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21" w:rsidRPr="00967A52" w:rsidRDefault="003105D9" w:rsidP="00F46334">
      <w:pPr>
        <w:spacing w:after="0" w:line="240" w:lineRule="auto"/>
        <w:jc w:val="center"/>
        <w:rPr>
          <w:rFonts w:ascii="Times New Roman" w:eastAsia="Times New Roman" w:hAnsi="Times New Roman" w:cs="Times New Roman"/>
          <w:b/>
          <w:sz w:val="24"/>
          <w:szCs w:val="24"/>
          <w:lang w:eastAsia="lv-LV"/>
        </w:rPr>
      </w:pPr>
      <w:bookmarkStart w:id="0" w:name="OLE_LINK6"/>
      <w:bookmarkStart w:id="1" w:name="OLE_LINK7"/>
      <w:bookmarkStart w:id="2" w:name="OLE_LINK12"/>
      <w:bookmarkStart w:id="3" w:name="OLE_LINK13"/>
      <w:bookmarkStart w:id="4" w:name="OLE_LINK14"/>
      <w:bookmarkStart w:id="5" w:name="OLE_LINK5"/>
      <w:bookmarkStart w:id="6" w:name="OLE_LINK4"/>
      <w:bookmarkStart w:id="7" w:name="OLE_LINK8"/>
      <w:bookmarkStart w:id="8" w:name="OLE_LINK3"/>
      <w:bookmarkStart w:id="9" w:name="OLE_LINK2"/>
      <w:bookmarkStart w:id="10" w:name="OLE_LINK1"/>
      <w:r w:rsidRPr="00967A52">
        <w:rPr>
          <w:rFonts w:ascii="Times New Roman" w:hAnsi="Times New Roman" w:cs="Times New Roman"/>
          <w:b/>
          <w:sz w:val="24"/>
          <w:szCs w:val="24"/>
        </w:rPr>
        <w:t>Ministru kabineta noteikumu projekta „</w:t>
      </w:r>
      <w:r w:rsidRPr="00967A52">
        <w:rPr>
          <w:rFonts w:ascii="Times New Roman" w:hAnsi="Times New Roman" w:cs="Times New Roman"/>
          <w:b/>
          <w:bCs/>
          <w:sz w:val="24"/>
          <w:szCs w:val="24"/>
        </w:rPr>
        <w:t>Grozījumi 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w:t>
      </w:r>
      <w:r w:rsidRPr="00967A52">
        <w:rPr>
          <w:rFonts w:ascii="Times New Roman" w:hAnsi="Times New Roman" w:cs="Times New Roman"/>
          <w:b/>
          <w:sz w:val="24"/>
          <w:szCs w:val="24"/>
        </w:rPr>
        <w:t xml:space="preserve"> sākotnējās ietekmes novērtējuma ziņojums (anotācija)</w:t>
      </w:r>
      <w:bookmarkEnd w:id="0"/>
      <w:bookmarkEnd w:id="1"/>
      <w:bookmarkEnd w:id="2"/>
      <w:bookmarkEnd w:id="3"/>
      <w:bookmarkEnd w:id="4"/>
    </w:p>
    <w:bookmarkEnd w:id="5"/>
    <w:bookmarkEnd w:id="6"/>
    <w:bookmarkEnd w:id="7"/>
    <w:bookmarkEnd w:id="8"/>
    <w:bookmarkEnd w:id="9"/>
    <w:bookmarkEnd w:id="10"/>
    <w:p w:rsidR="00956521" w:rsidRPr="00967A52" w:rsidRDefault="00956521" w:rsidP="00F46334">
      <w:pPr>
        <w:spacing w:after="0" w:line="240" w:lineRule="auto"/>
        <w:rPr>
          <w:rFonts w:ascii="Times New Roman" w:eastAsia="Calibri" w:hAnsi="Times New Roman" w:cs="Times New Roman"/>
          <w:b/>
          <w:sz w:val="24"/>
          <w:szCs w:val="24"/>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1985"/>
        <w:gridCol w:w="6379"/>
      </w:tblGrid>
      <w:tr w:rsidR="00956521" w:rsidRPr="00967A52" w:rsidTr="003105D9">
        <w:tc>
          <w:tcPr>
            <w:tcW w:w="836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967A52" w:rsidRDefault="00956521" w:rsidP="003105D9">
            <w:pPr>
              <w:spacing w:after="0" w:line="240" w:lineRule="auto"/>
              <w:jc w:val="center"/>
              <w:rPr>
                <w:rFonts w:ascii="Times New Roman" w:eastAsia="Times New Roman" w:hAnsi="Times New Roman" w:cs="Times New Roman"/>
                <w:b/>
                <w:sz w:val="24"/>
                <w:szCs w:val="24"/>
                <w:lang w:eastAsia="lv-LV"/>
              </w:rPr>
            </w:pPr>
            <w:r w:rsidRPr="00967A52">
              <w:rPr>
                <w:rFonts w:ascii="Times New Roman" w:eastAsia="Times New Roman" w:hAnsi="Times New Roman" w:cs="Times New Roman"/>
                <w:b/>
                <w:sz w:val="24"/>
                <w:szCs w:val="24"/>
                <w:lang w:eastAsia="lv-LV"/>
              </w:rPr>
              <w:t>I.Tiesību akta projekta izstrādes nepieciešamība</w:t>
            </w:r>
          </w:p>
        </w:tc>
      </w:tr>
      <w:tr w:rsidR="00956521" w:rsidRPr="00967A52" w:rsidTr="00221970">
        <w:tc>
          <w:tcPr>
            <w:tcW w:w="198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3105D9">
            <w:pPr>
              <w:spacing w:after="0"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1. Pamatojums</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3105D9" w:rsidP="003105D9">
            <w:pPr>
              <w:spacing w:after="0" w:line="240" w:lineRule="auto"/>
              <w:ind w:firstLine="567"/>
              <w:jc w:val="both"/>
              <w:rPr>
                <w:rFonts w:ascii="Times New Roman" w:eastAsia="Calibri" w:hAnsi="Times New Roman" w:cs="Times New Roman"/>
                <w:sz w:val="24"/>
                <w:szCs w:val="24"/>
              </w:rPr>
            </w:pPr>
            <w:r w:rsidRPr="00967A52">
              <w:rPr>
                <w:rFonts w:ascii="Times New Roman" w:hAnsi="Times New Roman" w:cs="Times New Roman"/>
                <w:sz w:val="24"/>
                <w:szCs w:val="24"/>
              </w:rPr>
              <w:t>Noteikumu projekts sagatavots, pamatojoties uz Eiropas Savienības struktūrfondu un Kohēzijas fonda vadības likuma 18.panta 10.punktu.</w:t>
            </w:r>
          </w:p>
        </w:tc>
      </w:tr>
      <w:tr w:rsidR="00956521" w:rsidRPr="00967A52" w:rsidTr="00221970">
        <w:trPr>
          <w:trHeight w:val="360"/>
        </w:trPr>
        <w:tc>
          <w:tcPr>
            <w:tcW w:w="198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3105D9">
            <w:pPr>
              <w:spacing w:after="0"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 xml:space="preserve">2. </w:t>
            </w:r>
            <w:r w:rsidR="00EE419A" w:rsidRPr="00967A5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3105D9" w:rsidRPr="00967A52" w:rsidRDefault="003105D9" w:rsidP="003105D9">
            <w:pPr>
              <w:spacing w:after="0" w:line="240" w:lineRule="auto"/>
              <w:ind w:firstLine="567"/>
              <w:jc w:val="both"/>
              <w:rPr>
                <w:rFonts w:ascii="Times New Roman" w:hAnsi="Times New Roman" w:cs="Times New Roman"/>
                <w:sz w:val="24"/>
                <w:szCs w:val="24"/>
              </w:rPr>
            </w:pPr>
            <w:r w:rsidRPr="00967A52">
              <w:rPr>
                <w:rFonts w:ascii="Times New Roman" w:hAnsi="Times New Roman" w:cs="Times New Roman"/>
                <w:bCs/>
                <w:sz w:val="24"/>
                <w:szCs w:val="24"/>
              </w:rPr>
              <w:t xml:space="preserve">Kopš 2010.gada, kad tika uzsākta darbības programmas „Uzņēmējdarbība un inovācijas”” papildinājuma 2.3.1.1.2.apakšaktivitātes „Ārējo tirgu apgūšana – nozaru starptautiskās konkurētspējas stiprināšana”” (turpmāk – 2.3.1.1.2.apakšaktivtāte) ieviešana, Latvijas Investīciju un attīstības aģentūra (turpmāk – LIAA) un Latvijas Tūrisma attīstības aģentūra (turpmāk – TAVA) īsteno projektus, kas ietver </w:t>
            </w:r>
            <w:r w:rsidRPr="00967A52">
              <w:rPr>
                <w:rFonts w:ascii="Times New Roman" w:hAnsi="Times New Roman" w:cs="Times New Roman"/>
                <w:sz w:val="24"/>
                <w:szCs w:val="24"/>
              </w:rPr>
              <w:t>nacionālo stendu organizēšanu starptautiskajās izstādēs ārvalstīs, mārketinga aktivitāšu organizēšanu Latvijā un ārvalstīs, mārketinga pētījumu un citu pasākumu organizēšanu ārvalstu tūristu piesaistei, kā arī tiek nodrošināta Latvijas ārvalstu ekonomisko pārstāvniecību darbība un ārvalstu investīciju piesaistes pasākumi.</w:t>
            </w:r>
          </w:p>
          <w:p w:rsidR="003105D9" w:rsidRPr="00967A52" w:rsidRDefault="003105D9" w:rsidP="003105D9">
            <w:pPr>
              <w:spacing w:after="0" w:line="240" w:lineRule="auto"/>
              <w:ind w:firstLine="567"/>
              <w:jc w:val="both"/>
              <w:rPr>
                <w:rFonts w:ascii="Times New Roman" w:hAnsi="Times New Roman" w:cs="Times New Roman"/>
                <w:sz w:val="24"/>
                <w:szCs w:val="24"/>
              </w:rPr>
            </w:pPr>
            <w:r w:rsidRPr="00967A52">
              <w:rPr>
                <w:rFonts w:ascii="Times New Roman" w:hAnsi="Times New Roman" w:cs="Times New Roman"/>
                <w:sz w:val="24"/>
                <w:szCs w:val="24"/>
              </w:rPr>
              <w:t>2.3.1.1.2.apakšaktivtātes ietvaros 2013.gadā ir sasniegti šādi rezultāti:</w:t>
            </w:r>
          </w:p>
          <w:p w:rsidR="003105D9" w:rsidRPr="00967A52" w:rsidRDefault="003105D9" w:rsidP="003105D9">
            <w:pPr>
              <w:tabs>
                <w:tab w:val="left" w:pos="284"/>
              </w:tabs>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1)</w:t>
            </w:r>
            <w:r w:rsidRPr="00967A52">
              <w:rPr>
                <w:rFonts w:ascii="Times New Roman" w:hAnsi="Times New Roman" w:cs="Times New Roman"/>
                <w:sz w:val="24"/>
                <w:szCs w:val="24"/>
              </w:rPr>
              <w:tab/>
              <w:t>Nacionālie stendi starptautiskajās izstādēs Norvēģijā, Lielbritānijā, Vācijā, Somijā, Igaunijā, Lietuvā, Krievijā, Zviedrijā, Azerbaidžānā, Japānā, Francijā, Ķīnā– 17;</w:t>
            </w:r>
          </w:p>
          <w:p w:rsidR="003105D9" w:rsidRPr="00967A52" w:rsidRDefault="003105D9" w:rsidP="003105D9">
            <w:pPr>
              <w:tabs>
                <w:tab w:val="left" w:pos="284"/>
              </w:tabs>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2)</w:t>
            </w:r>
            <w:r w:rsidRPr="00967A52">
              <w:rPr>
                <w:rFonts w:ascii="Times New Roman" w:hAnsi="Times New Roman" w:cs="Times New Roman"/>
                <w:sz w:val="24"/>
                <w:szCs w:val="24"/>
              </w:rPr>
              <w:tab/>
              <w:t>Dalībnieku skaits starptautiskajās izstādēs – 164;</w:t>
            </w:r>
          </w:p>
          <w:p w:rsidR="003105D9" w:rsidRPr="00967A52" w:rsidRDefault="003105D9" w:rsidP="003105D9">
            <w:pPr>
              <w:tabs>
                <w:tab w:val="left" w:pos="284"/>
              </w:tabs>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3)</w:t>
            </w:r>
            <w:r w:rsidRPr="00967A52">
              <w:rPr>
                <w:rFonts w:ascii="Times New Roman" w:hAnsi="Times New Roman" w:cs="Times New Roman"/>
                <w:sz w:val="24"/>
                <w:szCs w:val="24"/>
              </w:rPr>
              <w:tab/>
              <w:t xml:space="preserve">Tirdzniecības misijas un dalība </w:t>
            </w:r>
            <w:proofErr w:type="spellStart"/>
            <w:r w:rsidRPr="00967A52">
              <w:rPr>
                <w:rFonts w:ascii="Times New Roman" w:hAnsi="Times New Roman" w:cs="Times New Roman"/>
                <w:sz w:val="24"/>
                <w:szCs w:val="24"/>
              </w:rPr>
              <w:t>kontaktbiržās</w:t>
            </w:r>
            <w:proofErr w:type="spellEnd"/>
            <w:r w:rsidRPr="00967A52">
              <w:rPr>
                <w:rFonts w:ascii="Times New Roman" w:hAnsi="Times New Roman" w:cs="Times New Roman"/>
                <w:sz w:val="24"/>
                <w:szCs w:val="24"/>
              </w:rPr>
              <w:t xml:space="preserve"> Krievijā, Vācijā, Lietuvā, Japānā, Dānijā, Zviedrijā, Ķīnā, Ukrainā, Lielbritānijā, Beļģijā, Nīderlandē – 18;</w:t>
            </w:r>
          </w:p>
          <w:p w:rsidR="003105D9" w:rsidRPr="00967A52" w:rsidRDefault="003105D9" w:rsidP="003105D9">
            <w:pPr>
              <w:tabs>
                <w:tab w:val="left" w:pos="284"/>
              </w:tabs>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4)</w:t>
            </w:r>
            <w:r w:rsidRPr="00967A52">
              <w:rPr>
                <w:rFonts w:ascii="Times New Roman" w:hAnsi="Times New Roman" w:cs="Times New Roman"/>
                <w:sz w:val="24"/>
                <w:szCs w:val="24"/>
              </w:rPr>
              <w:tab/>
              <w:t xml:space="preserve">Komersantu dalība tirdzniecības misijās un </w:t>
            </w:r>
            <w:proofErr w:type="spellStart"/>
            <w:r w:rsidRPr="00967A52">
              <w:rPr>
                <w:rFonts w:ascii="Times New Roman" w:hAnsi="Times New Roman" w:cs="Times New Roman"/>
                <w:sz w:val="24"/>
                <w:szCs w:val="24"/>
              </w:rPr>
              <w:t>kontaktbiržās</w:t>
            </w:r>
            <w:proofErr w:type="spellEnd"/>
            <w:r w:rsidRPr="00967A52">
              <w:rPr>
                <w:rFonts w:ascii="Times New Roman" w:hAnsi="Times New Roman" w:cs="Times New Roman"/>
                <w:sz w:val="24"/>
                <w:szCs w:val="24"/>
              </w:rPr>
              <w:t xml:space="preserve"> – 93;</w:t>
            </w:r>
          </w:p>
          <w:p w:rsidR="003105D9" w:rsidRPr="00967A52" w:rsidRDefault="003105D9" w:rsidP="003105D9">
            <w:pPr>
              <w:tabs>
                <w:tab w:val="left" w:pos="284"/>
              </w:tabs>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5)</w:t>
            </w:r>
            <w:r w:rsidRPr="00967A52">
              <w:rPr>
                <w:rFonts w:ascii="Times New Roman" w:hAnsi="Times New Roman" w:cs="Times New Roman"/>
                <w:sz w:val="24"/>
                <w:szCs w:val="24"/>
              </w:rPr>
              <w:tab/>
              <w:t>Konsultācijas Latvijas komersantiem, organizējot individuālās biznesa vizītes ārvalstīs – 22  vizītes;</w:t>
            </w:r>
          </w:p>
          <w:p w:rsidR="003105D9" w:rsidRPr="00967A52" w:rsidRDefault="003105D9" w:rsidP="003105D9">
            <w:pPr>
              <w:tabs>
                <w:tab w:val="left" w:pos="284"/>
              </w:tabs>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6)</w:t>
            </w:r>
            <w:r w:rsidRPr="00967A52">
              <w:rPr>
                <w:rFonts w:ascii="Times New Roman" w:hAnsi="Times New Roman" w:cs="Times New Roman"/>
                <w:sz w:val="24"/>
                <w:szCs w:val="24"/>
              </w:rPr>
              <w:tab/>
              <w:t>Konsultācijas Latvijas komersantiem, sniedzot atbalstu dalībai starptautiskajās izstādēs ārvalstīs – 77 (komersanti);</w:t>
            </w:r>
          </w:p>
          <w:p w:rsidR="003105D9" w:rsidRPr="00967A52" w:rsidRDefault="003105D9" w:rsidP="003105D9">
            <w:pPr>
              <w:tabs>
                <w:tab w:val="left" w:pos="284"/>
              </w:tabs>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7)</w:t>
            </w:r>
            <w:r w:rsidRPr="00967A52">
              <w:rPr>
                <w:rFonts w:ascii="Times New Roman" w:hAnsi="Times New Roman" w:cs="Times New Roman"/>
                <w:sz w:val="24"/>
                <w:szCs w:val="24"/>
              </w:rPr>
              <w:tab/>
              <w:t>Konsultācijas komersantiem par ārējiem tirgiem un biznesa partneru meklēšana – 174 (komersanti);</w:t>
            </w:r>
          </w:p>
          <w:p w:rsidR="003105D9" w:rsidRPr="00967A52" w:rsidRDefault="003105D9" w:rsidP="003105D9">
            <w:pPr>
              <w:tabs>
                <w:tab w:val="left" w:pos="284"/>
              </w:tabs>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8)</w:t>
            </w:r>
            <w:r w:rsidRPr="00967A52">
              <w:rPr>
                <w:rFonts w:ascii="Times New Roman" w:hAnsi="Times New Roman" w:cs="Times New Roman"/>
                <w:sz w:val="24"/>
                <w:szCs w:val="24"/>
              </w:rPr>
              <w:tab/>
              <w:t>Ārvalstu investīciju piesaistes pasākumi: potenciālo investoru kontaktu skaits – 15;</w:t>
            </w:r>
          </w:p>
          <w:p w:rsidR="003105D9" w:rsidRPr="00967A52" w:rsidRDefault="003105D9" w:rsidP="003105D9">
            <w:pPr>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9)  Izstrādāts mārketinga plāns efektīvai ārvalstu tiešo investīciju piesaistei – 2;</w:t>
            </w:r>
          </w:p>
          <w:p w:rsidR="003105D9" w:rsidRPr="00967A52" w:rsidRDefault="003105D9" w:rsidP="003105D9">
            <w:pPr>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10) Veikta mārketinga/publicitātes kampaņa ārvalstīs – 11;</w:t>
            </w:r>
          </w:p>
          <w:p w:rsidR="003105D9" w:rsidRPr="00967A52" w:rsidRDefault="003105D9" w:rsidP="003105D9">
            <w:pPr>
              <w:tabs>
                <w:tab w:val="left" w:pos="5290"/>
              </w:tabs>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11) Identificēti investīciju projekti – 34;</w:t>
            </w:r>
          </w:p>
          <w:p w:rsidR="003105D9" w:rsidRPr="00967A52" w:rsidRDefault="003105D9" w:rsidP="003105D9">
            <w:pPr>
              <w:tabs>
                <w:tab w:val="left" w:pos="425"/>
              </w:tabs>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12)</w:t>
            </w:r>
            <w:r w:rsidRPr="00967A52">
              <w:rPr>
                <w:rFonts w:ascii="Times New Roman" w:hAnsi="Times New Roman" w:cs="Times New Roman"/>
                <w:sz w:val="24"/>
                <w:szCs w:val="24"/>
              </w:rPr>
              <w:tab/>
              <w:t xml:space="preserve">Reklāmas kampaņu organizēšana (koncepcija, kampaņa un </w:t>
            </w:r>
            <w:r w:rsidRPr="00967A52">
              <w:rPr>
                <w:rFonts w:ascii="Times New Roman" w:hAnsi="Times New Roman" w:cs="Times New Roman"/>
                <w:sz w:val="24"/>
                <w:szCs w:val="24"/>
              </w:rPr>
              <w:lastRenderedPageBreak/>
              <w:t>materiālu dizains) ārvalstu tirgos – 14;</w:t>
            </w:r>
          </w:p>
          <w:p w:rsidR="003105D9" w:rsidRPr="00967A52" w:rsidRDefault="003105D9" w:rsidP="003105D9">
            <w:pPr>
              <w:tabs>
                <w:tab w:val="left" w:pos="425"/>
              </w:tabs>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13)</w:t>
            </w:r>
            <w:r w:rsidRPr="00967A52">
              <w:rPr>
                <w:rFonts w:ascii="Times New Roman" w:hAnsi="Times New Roman" w:cs="Times New Roman"/>
                <w:sz w:val="24"/>
                <w:szCs w:val="24"/>
              </w:rPr>
              <w:tab/>
              <w:t>Tūrisma ziņu apkārtraksti – 9 (numuru skaits);</w:t>
            </w:r>
          </w:p>
          <w:p w:rsidR="003105D9" w:rsidRPr="00967A52" w:rsidRDefault="003105D9" w:rsidP="003105D9">
            <w:pPr>
              <w:tabs>
                <w:tab w:val="left" w:pos="425"/>
              </w:tabs>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14)</w:t>
            </w:r>
            <w:r w:rsidRPr="00967A52">
              <w:rPr>
                <w:rFonts w:ascii="Times New Roman" w:hAnsi="Times New Roman" w:cs="Times New Roman"/>
                <w:sz w:val="24"/>
                <w:szCs w:val="24"/>
              </w:rPr>
              <w:tab/>
              <w:t>Tūrisma informācijas materiālu izgatavošana – 11 (veidi);</w:t>
            </w:r>
          </w:p>
          <w:p w:rsidR="003105D9" w:rsidRPr="00967A52" w:rsidRDefault="003105D9" w:rsidP="003105D9">
            <w:pPr>
              <w:tabs>
                <w:tab w:val="left" w:pos="425"/>
              </w:tabs>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15)</w:t>
            </w:r>
            <w:r w:rsidRPr="00967A52">
              <w:rPr>
                <w:rFonts w:ascii="Times New Roman" w:hAnsi="Times New Roman" w:cs="Times New Roman"/>
                <w:sz w:val="24"/>
                <w:szCs w:val="24"/>
              </w:rPr>
              <w:tab/>
              <w:t>Žurnālistu vizīšu organizēšana – 12 (vizītes);</w:t>
            </w:r>
          </w:p>
          <w:p w:rsidR="003105D9" w:rsidRPr="00967A52" w:rsidRDefault="003105D9" w:rsidP="003105D9">
            <w:pPr>
              <w:tabs>
                <w:tab w:val="left" w:pos="425"/>
              </w:tabs>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 xml:space="preserve">16) </w:t>
            </w:r>
            <w:proofErr w:type="spellStart"/>
            <w:r w:rsidRPr="00967A52">
              <w:rPr>
                <w:rFonts w:ascii="Times New Roman" w:hAnsi="Times New Roman" w:cs="Times New Roman"/>
                <w:sz w:val="24"/>
                <w:szCs w:val="24"/>
              </w:rPr>
              <w:t>Tūroperatoru</w:t>
            </w:r>
            <w:proofErr w:type="spellEnd"/>
            <w:r w:rsidRPr="00967A52">
              <w:rPr>
                <w:rFonts w:ascii="Times New Roman" w:hAnsi="Times New Roman" w:cs="Times New Roman"/>
                <w:sz w:val="24"/>
                <w:szCs w:val="24"/>
              </w:rPr>
              <w:t xml:space="preserve"> </w:t>
            </w:r>
            <w:proofErr w:type="spellStart"/>
            <w:r w:rsidRPr="00967A52">
              <w:rPr>
                <w:rFonts w:ascii="Times New Roman" w:hAnsi="Times New Roman" w:cs="Times New Roman"/>
                <w:sz w:val="24"/>
                <w:szCs w:val="24"/>
              </w:rPr>
              <w:t>vizīžu</w:t>
            </w:r>
            <w:proofErr w:type="spellEnd"/>
            <w:r w:rsidRPr="00967A52">
              <w:rPr>
                <w:rFonts w:ascii="Times New Roman" w:hAnsi="Times New Roman" w:cs="Times New Roman"/>
                <w:sz w:val="24"/>
                <w:szCs w:val="24"/>
              </w:rPr>
              <w:t xml:space="preserve"> organizēšana – 7 (vizītes);</w:t>
            </w:r>
          </w:p>
          <w:p w:rsidR="003105D9" w:rsidRPr="00967A52" w:rsidRDefault="003105D9" w:rsidP="003105D9">
            <w:pPr>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17) Nacionālā stenda starptautiskajās izstādēs apmeklētāju piesaistes pasākumi – 10;</w:t>
            </w:r>
          </w:p>
          <w:p w:rsidR="003105D9" w:rsidRPr="00967A52" w:rsidRDefault="003105D9" w:rsidP="003105D9">
            <w:pPr>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18) Dalība ārvalstu specializētajos tūrisma veicināšanas pasākumos – 14;</w:t>
            </w:r>
          </w:p>
          <w:p w:rsidR="003105D9" w:rsidRPr="00967A52" w:rsidRDefault="003105D9" w:rsidP="003105D9">
            <w:pPr>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19) Kontaktu datu bāzes izveidošana mērķa tirgos – 12;</w:t>
            </w:r>
          </w:p>
          <w:p w:rsidR="003105D9" w:rsidRPr="00967A52" w:rsidRDefault="003105D9" w:rsidP="003105D9">
            <w:pPr>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20) Mērķa tirgu monitoringa veikšana – 12;</w:t>
            </w:r>
          </w:p>
          <w:p w:rsidR="003105D9" w:rsidRPr="00967A52" w:rsidRDefault="003105D9" w:rsidP="003105D9">
            <w:pPr>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21) Reklāmas aktivitāšu īstenošana – 6 (tirgu skaits).</w:t>
            </w:r>
          </w:p>
          <w:p w:rsidR="003105D9" w:rsidRPr="00967A52" w:rsidRDefault="003105D9" w:rsidP="003105D9">
            <w:pPr>
              <w:spacing w:after="0" w:line="240" w:lineRule="auto"/>
              <w:ind w:firstLine="567"/>
              <w:jc w:val="both"/>
              <w:rPr>
                <w:rFonts w:ascii="Times New Roman" w:hAnsi="Times New Roman" w:cs="Times New Roman"/>
                <w:bCs/>
                <w:sz w:val="24"/>
                <w:szCs w:val="24"/>
              </w:rPr>
            </w:pPr>
            <w:r w:rsidRPr="00967A52">
              <w:rPr>
                <w:rFonts w:ascii="Times New Roman" w:hAnsi="Times New Roman" w:cs="Times New Roman"/>
                <w:sz w:val="24"/>
                <w:szCs w:val="24"/>
              </w:rPr>
              <w:t xml:space="preserve">Komersantiem ir liela interese LIAA un TAVA organizētajos pasākumos. Ekonomikas ministrija 2012.gadā jau savlaicīgi veica grozījumus </w:t>
            </w:r>
            <w:r w:rsidRPr="00967A52">
              <w:rPr>
                <w:rFonts w:ascii="Times New Roman" w:hAnsi="Times New Roman" w:cs="Times New Roman"/>
                <w:bCs/>
                <w:sz w:val="24"/>
                <w:szCs w:val="24"/>
              </w:rPr>
              <w:t>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w:t>
            </w:r>
            <w:r w:rsidR="001E6C85" w:rsidRPr="00967A52">
              <w:rPr>
                <w:rFonts w:ascii="Times New Roman" w:hAnsi="Times New Roman" w:cs="Times New Roman"/>
                <w:bCs/>
                <w:sz w:val="24"/>
                <w:szCs w:val="24"/>
              </w:rPr>
              <w:t xml:space="preserve"> </w:t>
            </w:r>
            <w:r w:rsidRPr="00967A52">
              <w:rPr>
                <w:rFonts w:ascii="Times New Roman" w:hAnsi="Times New Roman" w:cs="Times New Roman"/>
                <w:bCs/>
                <w:sz w:val="24"/>
                <w:szCs w:val="24"/>
              </w:rPr>
              <w:t>(turpmāk – MK noteikumi Nr.887), palielinot Eiropas Reģionālā attīstības fonda (turpmāk – ERAF) līdzfinansējumu projektu īstenošanai</w:t>
            </w:r>
            <w:r w:rsidR="00012CA4" w:rsidRPr="00967A52">
              <w:rPr>
                <w:rFonts w:ascii="Times New Roman" w:hAnsi="Times New Roman" w:cs="Times New Roman"/>
                <w:bCs/>
                <w:sz w:val="24"/>
                <w:szCs w:val="24"/>
              </w:rPr>
              <w:t xml:space="preserve"> </w:t>
            </w:r>
            <w:r w:rsidRPr="00967A52">
              <w:rPr>
                <w:rFonts w:ascii="Times New Roman" w:hAnsi="Times New Roman" w:cs="Times New Roman"/>
                <w:bCs/>
                <w:sz w:val="24"/>
                <w:szCs w:val="24"/>
              </w:rPr>
              <w:t xml:space="preserve"> par 2 500 000 latu</w:t>
            </w:r>
            <w:r w:rsidR="00CB051A" w:rsidRPr="00967A52">
              <w:rPr>
                <w:rFonts w:ascii="Times New Roman" w:hAnsi="Times New Roman" w:cs="Times New Roman"/>
                <w:bCs/>
                <w:sz w:val="24"/>
                <w:szCs w:val="24"/>
              </w:rPr>
              <w:t xml:space="preserve">, jeb 3 557 180 </w:t>
            </w:r>
            <w:r w:rsidR="00CB051A" w:rsidRPr="00967A52">
              <w:rPr>
                <w:rFonts w:ascii="Times New Roman" w:hAnsi="Times New Roman" w:cs="Times New Roman"/>
                <w:bCs/>
                <w:i/>
                <w:sz w:val="24"/>
                <w:szCs w:val="24"/>
              </w:rPr>
              <w:t>euro</w:t>
            </w:r>
            <w:r w:rsidR="007632A6" w:rsidRPr="00967A52">
              <w:rPr>
                <w:rFonts w:ascii="Times New Roman" w:hAnsi="Times New Roman" w:cs="Times New Roman"/>
                <w:bCs/>
                <w:i/>
                <w:sz w:val="24"/>
                <w:szCs w:val="24"/>
              </w:rPr>
              <w:t xml:space="preserve"> </w:t>
            </w:r>
            <w:r w:rsidR="00E57038" w:rsidRPr="00967A52">
              <w:rPr>
                <w:rFonts w:ascii="Times New Roman" w:hAnsi="Times New Roman" w:cs="Times New Roman"/>
                <w:bCs/>
                <w:sz w:val="24"/>
                <w:szCs w:val="24"/>
              </w:rPr>
              <w:t>papildus</w:t>
            </w:r>
            <w:r w:rsidR="00E57038" w:rsidRPr="00967A52">
              <w:rPr>
                <w:rFonts w:ascii="Times New Roman" w:hAnsi="Times New Roman" w:cs="Times New Roman"/>
                <w:bCs/>
                <w:i/>
                <w:sz w:val="24"/>
                <w:szCs w:val="24"/>
              </w:rPr>
              <w:t xml:space="preserve"> </w:t>
            </w:r>
            <w:r w:rsidR="007632A6" w:rsidRPr="00967A52">
              <w:rPr>
                <w:rFonts w:ascii="Times New Roman" w:hAnsi="Times New Roman" w:cs="Times New Roman"/>
                <w:bCs/>
                <w:sz w:val="24"/>
                <w:szCs w:val="24"/>
              </w:rPr>
              <w:t xml:space="preserve">jau </w:t>
            </w:r>
            <w:r w:rsidR="00E57038" w:rsidRPr="00967A52">
              <w:rPr>
                <w:rFonts w:ascii="Times New Roman" w:hAnsi="Times New Roman" w:cs="Times New Roman"/>
                <w:bCs/>
                <w:sz w:val="24"/>
                <w:szCs w:val="24"/>
              </w:rPr>
              <w:t>esošajiem 3 000 000 latu</w:t>
            </w:r>
            <w:r w:rsidR="007632A6" w:rsidRPr="00967A52">
              <w:rPr>
                <w:rFonts w:ascii="Times New Roman" w:hAnsi="Times New Roman" w:cs="Times New Roman"/>
                <w:bCs/>
                <w:sz w:val="24"/>
                <w:szCs w:val="24"/>
              </w:rPr>
              <w:t xml:space="preserve">, jeb 4 268 615 </w:t>
            </w:r>
            <w:r w:rsidR="007632A6" w:rsidRPr="00967A52">
              <w:rPr>
                <w:rFonts w:ascii="Times New Roman" w:hAnsi="Times New Roman" w:cs="Times New Roman"/>
                <w:bCs/>
                <w:i/>
                <w:sz w:val="24"/>
                <w:szCs w:val="24"/>
              </w:rPr>
              <w:t>euro</w:t>
            </w:r>
            <w:r w:rsidRPr="00967A52">
              <w:rPr>
                <w:rFonts w:ascii="Times New Roman" w:hAnsi="Times New Roman" w:cs="Times New Roman"/>
                <w:bCs/>
                <w:sz w:val="24"/>
                <w:szCs w:val="24"/>
              </w:rPr>
              <w:t>. Šobrīd kopējais pieejamais ERAF līdzfinansējums ir 5 500 000 lati</w:t>
            </w:r>
            <w:r w:rsidR="00CB051A" w:rsidRPr="00967A52">
              <w:rPr>
                <w:rFonts w:ascii="Times New Roman" w:hAnsi="Times New Roman" w:cs="Times New Roman"/>
                <w:bCs/>
                <w:sz w:val="24"/>
                <w:szCs w:val="24"/>
              </w:rPr>
              <w:t xml:space="preserve"> (7 825 795 </w:t>
            </w:r>
            <w:r w:rsidR="00CB051A" w:rsidRPr="00967A52">
              <w:rPr>
                <w:rFonts w:ascii="Times New Roman" w:hAnsi="Times New Roman" w:cs="Times New Roman"/>
                <w:bCs/>
                <w:i/>
                <w:sz w:val="24"/>
                <w:szCs w:val="24"/>
              </w:rPr>
              <w:t>euro</w:t>
            </w:r>
            <w:r w:rsidR="00CB051A" w:rsidRPr="00967A52">
              <w:rPr>
                <w:rFonts w:ascii="Times New Roman" w:hAnsi="Times New Roman" w:cs="Times New Roman"/>
                <w:bCs/>
                <w:sz w:val="24"/>
                <w:szCs w:val="24"/>
              </w:rPr>
              <w:t xml:space="preserve">) </w:t>
            </w:r>
            <w:r w:rsidRPr="00967A52">
              <w:rPr>
                <w:rFonts w:ascii="Times New Roman" w:hAnsi="Times New Roman" w:cs="Times New Roman"/>
                <w:bCs/>
                <w:sz w:val="24"/>
                <w:szCs w:val="24"/>
              </w:rPr>
              <w:t xml:space="preserve"> un valsts budžeta līdzfinansējums 3 666 666 lati</w:t>
            </w:r>
            <w:r w:rsidR="00CB051A" w:rsidRPr="00967A52">
              <w:rPr>
                <w:rFonts w:ascii="Times New Roman" w:hAnsi="Times New Roman" w:cs="Times New Roman"/>
                <w:bCs/>
                <w:sz w:val="24"/>
                <w:szCs w:val="24"/>
              </w:rPr>
              <w:t xml:space="preserve"> (5 217 197 </w:t>
            </w:r>
            <w:r w:rsidR="00CB051A" w:rsidRPr="00967A52">
              <w:rPr>
                <w:rFonts w:ascii="Times New Roman" w:hAnsi="Times New Roman" w:cs="Times New Roman"/>
                <w:bCs/>
                <w:i/>
                <w:sz w:val="24"/>
                <w:szCs w:val="24"/>
              </w:rPr>
              <w:t>euro</w:t>
            </w:r>
            <w:r w:rsidR="00CB051A" w:rsidRPr="00967A52">
              <w:rPr>
                <w:rFonts w:ascii="Times New Roman" w:hAnsi="Times New Roman" w:cs="Times New Roman"/>
                <w:bCs/>
                <w:sz w:val="24"/>
                <w:szCs w:val="24"/>
              </w:rPr>
              <w:t>)</w:t>
            </w:r>
            <w:r w:rsidRPr="00967A52">
              <w:rPr>
                <w:rFonts w:ascii="Times New Roman" w:hAnsi="Times New Roman" w:cs="Times New Roman"/>
                <w:bCs/>
                <w:sz w:val="24"/>
                <w:szCs w:val="24"/>
              </w:rPr>
              <w:t>.</w:t>
            </w:r>
          </w:p>
          <w:p w:rsidR="00CE0484" w:rsidRPr="00967A52" w:rsidRDefault="002C571F" w:rsidP="00CE0484">
            <w:pPr>
              <w:spacing w:after="0" w:line="240" w:lineRule="auto"/>
              <w:ind w:firstLine="567"/>
              <w:jc w:val="both"/>
              <w:rPr>
                <w:rFonts w:ascii="Times New Roman" w:hAnsi="Times New Roman" w:cs="Times New Roman"/>
                <w:bCs/>
                <w:sz w:val="24"/>
                <w:szCs w:val="24"/>
              </w:rPr>
            </w:pPr>
            <w:r w:rsidRPr="00967A52">
              <w:rPr>
                <w:rFonts w:ascii="Times New Roman" w:hAnsi="Times New Roman" w:cs="Times New Roman"/>
                <w:bCs/>
                <w:sz w:val="24"/>
                <w:szCs w:val="24"/>
              </w:rPr>
              <w:t>TAVA</w:t>
            </w:r>
            <w:r w:rsidR="00CE0484" w:rsidRPr="00967A52">
              <w:rPr>
                <w:rFonts w:ascii="Times New Roman" w:hAnsi="Times New Roman" w:cs="Times New Roman"/>
                <w:bCs/>
                <w:sz w:val="24"/>
                <w:szCs w:val="24"/>
              </w:rPr>
              <w:t xml:space="preserve"> īstenotā projekta ietvaros šobrīd pieejamais ES fondu finansējums ir 3 000 000 lati, jeb 4 268 615 </w:t>
            </w:r>
            <w:r w:rsidR="00CE0484" w:rsidRPr="00967A52">
              <w:rPr>
                <w:rFonts w:ascii="Times New Roman" w:hAnsi="Times New Roman" w:cs="Times New Roman"/>
                <w:bCs/>
                <w:i/>
                <w:sz w:val="24"/>
                <w:szCs w:val="24"/>
              </w:rPr>
              <w:t>euro</w:t>
            </w:r>
            <w:r w:rsidR="00CE0484" w:rsidRPr="00967A52">
              <w:rPr>
                <w:rFonts w:ascii="Times New Roman" w:hAnsi="Times New Roman" w:cs="Times New Roman"/>
                <w:bCs/>
                <w:sz w:val="24"/>
                <w:szCs w:val="24"/>
              </w:rPr>
              <w:t>.</w:t>
            </w:r>
            <w:r w:rsidRPr="00967A52">
              <w:rPr>
                <w:rFonts w:ascii="Times New Roman" w:hAnsi="Times New Roman" w:cs="Times New Roman"/>
                <w:bCs/>
                <w:sz w:val="24"/>
                <w:szCs w:val="24"/>
              </w:rPr>
              <w:t xml:space="preserve"> Līdz 2013.gada 31.decembrim TAVA ir apguvusi ES fondu finansējumu par 878 621,31 latiem, jeb 1 255 879,48 </w:t>
            </w:r>
            <w:r w:rsidRPr="00967A52">
              <w:rPr>
                <w:rFonts w:ascii="Times New Roman" w:hAnsi="Times New Roman" w:cs="Times New Roman"/>
                <w:bCs/>
                <w:i/>
                <w:sz w:val="24"/>
                <w:szCs w:val="24"/>
              </w:rPr>
              <w:t xml:space="preserve">euro, </w:t>
            </w:r>
            <w:r w:rsidRPr="00967A52">
              <w:rPr>
                <w:rFonts w:ascii="Times New Roman" w:hAnsi="Times New Roman" w:cs="Times New Roman"/>
                <w:bCs/>
                <w:sz w:val="24"/>
                <w:szCs w:val="24"/>
              </w:rPr>
              <w:t>kas sastāda 37% no kopējā projektam pieejamā ES fondu finansējuma.</w:t>
            </w:r>
            <w:r w:rsidR="001E6C85" w:rsidRPr="00967A52">
              <w:rPr>
                <w:rFonts w:ascii="Times New Roman" w:hAnsi="Times New Roman" w:cs="Times New Roman"/>
                <w:bCs/>
                <w:sz w:val="24"/>
                <w:szCs w:val="24"/>
              </w:rPr>
              <w:t xml:space="preserve"> Atlikušais finansējums ir plānots apgūt pilnā apmērā līdz 2015.gada 1.jūlijam.</w:t>
            </w:r>
          </w:p>
          <w:p w:rsidR="006B26F7" w:rsidRPr="00967A52" w:rsidRDefault="002C571F" w:rsidP="003105D9">
            <w:pPr>
              <w:spacing w:after="0" w:line="240" w:lineRule="auto"/>
              <w:ind w:firstLine="567"/>
              <w:jc w:val="both"/>
              <w:rPr>
                <w:rFonts w:ascii="Times New Roman" w:hAnsi="Times New Roman" w:cs="Times New Roman"/>
                <w:bCs/>
                <w:sz w:val="24"/>
                <w:szCs w:val="24"/>
              </w:rPr>
            </w:pPr>
            <w:r w:rsidRPr="00967A52">
              <w:rPr>
                <w:rFonts w:ascii="Times New Roman" w:hAnsi="Times New Roman" w:cs="Times New Roman"/>
                <w:bCs/>
                <w:sz w:val="24"/>
                <w:szCs w:val="24"/>
              </w:rPr>
              <w:t xml:space="preserve">Savukārt, </w:t>
            </w:r>
            <w:r w:rsidR="006B26F7" w:rsidRPr="00967A52">
              <w:rPr>
                <w:rFonts w:ascii="Times New Roman" w:hAnsi="Times New Roman" w:cs="Times New Roman"/>
                <w:bCs/>
                <w:sz w:val="24"/>
                <w:szCs w:val="24"/>
              </w:rPr>
              <w:t>LIAA īstenotā projekta ietvaros šobrīd pieejamais ES fondu finansējums ir 2</w:t>
            </w:r>
            <w:r w:rsidR="00160AEA" w:rsidRPr="00967A52">
              <w:rPr>
                <w:rFonts w:ascii="Times New Roman" w:hAnsi="Times New Roman" w:cs="Times New Roman"/>
                <w:bCs/>
                <w:sz w:val="24"/>
                <w:szCs w:val="24"/>
              </w:rPr>
              <w:t xml:space="preserve"> </w:t>
            </w:r>
            <w:r w:rsidR="006B26F7" w:rsidRPr="00967A52">
              <w:rPr>
                <w:rFonts w:ascii="Times New Roman" w:hAnsi="Times New Roman" w:cs="Times New Roman"/>
                <w:bCs/>
                <w:sz w:val="24"/>
                <w:szCs w:val="24"/>
              </w:rPr>
              <w:t>500</w:t>
            </w:r>
            <w:r w:rsidR="00160AEA" w:rsidRPr="00967A52">
              <w:rPr>
                <w:rFonts w:ascii="Times New Roman" w:hAnsi="Times New Roman" w:cs="Times New Roman"/>
                <w:bCs/>
                <w:sz w:val="24"/>
                <w:szCs w:val="24"/>
              </w:rPr>
              <w:t xml:space="preserve"> </w:t>
            </w:r>
            <w:r w:rsidR="006B26F7" w:rsidRPr="00967A52">
              <w:rPr>
                <w:rFonts w:ascii="Times New Roman" w:hAnsi="Times New Roman" w:cs="Times New Roman"/>
                <w:bCs/>
                <w:sz w:val="24"/>
                <w:szCs w:val="24"/>
              </w:rPr>
              <w:t xml:space="preserve">000 lati, jeb 3 557 180 </w:t>
            </w:r>
            <w:r w:rsidR="006B26F7" w:rsidRPr="00967A52">
              <w:rPr>
                <w:rFonts w:ascii="Times New Roman" w:hAnsi="Times New Roman" w:cs="Times New Roman"/>
                <w:bCs/>
                <w:i/>
                <w:sz w:val="24"/>
                <w:szCs w:val="24"/>
              </w:rPr>
              <w:t>euro</w:t>
            </w:r>
            <w:r w:rsidR="006B26F7" w:rsidRPr="00967A52">
              <w:rPr>
                <w:rFonts w:ascii="Times New Roman" w:hAnsi="Times New Roman" w:cs="Times New Roman"/>
                <w:bCs/>
                <w:sz w:val="24"/>
                <w:szCs w:val="24"/>
              </w:rPr>
              <w:t>. Līdz 2013.gada 31.decembrim LIAA ir apguvusi ES fondu finansējumu par 1 472 989,06 latiem, jeb 2</w:t>
            </w:r>
            <w:r w:rsidR="007632A6" w:rsidRPr="00967A52">
              <w:rPr>
                <w:rFonts w:ascii="Times New Roman" w:hAnsi="Times New Roman" w:cs="Times New Roman"/>
                <w:bCs/>
                <w:sz w:val="24"/>
                <w:szCs w:val="24"/>
              </w:rPr>
              <w:t> 101 105,8</w:t>
            </w:r>
            <w:r w:rsidR="006B26F7" w:rsidRPr="00967A52">
              <w:rPr>
                <w:rFonts w:ascii="Times New Roman" w:hAnsi="Times New Roman" w:cs="Times New Roman"/>
                <w:bCs/>
                <w:sz w:val="24"/>
                <w:szCs w:val="24"/>
              </w:rPr>
              <w:t xml:space="preserve"> </w:t>
            </w:r>
            <w:r w:rsidR="006B26F7" w:rsidRPr="00967A52">
              <w:rPr>
                <w:rFonts w:ascii="Times New Roman" w:hAnsi="Times New Roman" w:cs="Times New Roman"/>
                <w:bCs/>
                <w:i/>
                <w:sz w:val="24"/>
                <w:szCs w:val="24"/>
              </w:rPr>
              <w:t xml:space="preserve">euro, </w:t>
            </w:r>
            <w:r w:rsidR="006B26F7" w:rsidRPr="00967A52">
              <w:rPr>
                <w:rFonts w:ascii="Times New Roman" w:hAnsi="Times New Roman" w:cs="Times New Roman"/>
                <w:bCs/>
                <w:sz w:val="24"/>
                <w:szCs w:val="24"/>
              </w:rPr>
              <w:t xml:space="preserve">kas </w:t>
            </w:r>
            <w:r w:rsidR="007632A6" w:rsidRPr="00967A52">
              <w:rPr>
                <w:rFonts w:ascii="Times New Roman" w:hAnsi="Times New Roman" w:cs="Times New Roman"/>
                <w:bCs/>
                <w:sz w:val="24"/>
                <w:szCs w:val="24"/>
              </w:rPr>
              <w:t>sastāda 59</w:t>
            </w:r>
            <w:r w:rsidR="006B26F7" w:rsidRPr="00967A52">
              <w:rPr>
                <w:rFonts w:ascii="Times New Roman" w:hAnsi="Times New Roman" w:cs="Times New Roman"/>
                <w:bCs/>
                <w:sz w:val="24"/>
                <w:szCs w:val="24"/>
              </w:rPr>
              <w:t xml:space="preserve">% no kopējā </w:t>
            </w:r>
            <w:r w:rsidR="00CE0484" w:rsidRPr="00967A52">
              <w:rPr>
                <w:rFonts w:ascii="Times New Roman" w:hAnsi="Times New Roman" w:cs="Times New Roman"/>
                <w:bCs/>
                <w:sz w:val="24"/>
                <w:szCs w:val="24"/>
              </w:rPr>
              <w:t xml:space="preserve">projektam </w:t>
            </w:r>
            <w:r w:rsidR="006B26F7" w:rsidRPr="00967A52">
              <w:rPr>
                <w:rFonts w:ascii="Times New Roman" w:hAnsi="Times New Roman" w:cs="Times New Roman"/>
                <w:bCs/>
                <w:sz w:val="24"/>
                <w:szCs w:val="24"/>
              </w:rPr>
              <w:t>pieejamā finansējuma. Savukārt atlikušais pieejamais finansējums, saskaņā ar LIAA plānu un jau uzsāktajām aktivitātēm tiks izlietots 2014.gadā.</w:t>
            </w:r>
          </w:p>
          <w:p w:rsidR="003105D9" w:rsidRPr="00967A52" w:rsidRDefault="003105D9" w:rsidP="003105D9">
            <w:pPr>
              <w:spacing w:after="0" w:line="240" w:lineRule="auto"/>
              <w:ind w:firstLine="567"/>
              <w:jc w:val="both"/>
              <w:rPr>
                <w:rFonts w:ascii="Times New Roman" w:hAnsi="Times New Roman" w:cs="Times New Roman"/>
                <w:bCs/>
                <w:sz w:val="24"/>
                <w:szCs w:val="24"/>
              </w:rPr>
            </w:pPr>
            <w:r w:rsidRPr="00967A52">
              <w:rPr>
                <w:rFonts w:ascii="Times New Roman" w:hAnsi="Times New Roman" w:cs="Times New Roman"/>
                <w:bCs/>
                <w:sz w:val="24"/>
                <w:szCs w:val="24"/>
              </w:rPr>
              <w:t>Pēc šī brīža aprēķiniem, ņemot vērā augsto ieinteresēto personu aktivitāti un atbalstāmo darbību izmaksas, tiek aprēķināts, ka kopējais pieejamais finansējums</w:t>
            </w:r>
            <w:r w:rsidR="001E6C85" w:rsidRPr="00967A52">
              <w:rPr>
                <w:rFonts w:ascii="Times New Roman" w:hAnsi="Times New Roman" w:cs="Times New Roman"/>
                <w:bCs/>
                <w:sz w:val="24"/>
                <w:szCs w:val="24"/>
              </w:rPr>
              <w:t xml:space="preserve"> LIAA īstenotā projekta ietvaros</w:t>
            </w:r>
            <w:r w:rsidRPr="00967A52">
              <w:rPr>
                <w:rFonts w:ascii="Times New Roman" w:hAnsi="Times New Roman" w:cs="Times New Roman"/>
                <w:bCs/>
                <w:sz w:val="24"/>
                <w:szCs w:val="24"/>
              </w:rPr>
              <w:t xml:space="preserve"> ir pietiekams, lai atbalstāmās darbības varētu īstenot visu 2014.gadu, bet projektu īstenošanas laiks ir līdz 2015.gada 1.jūlijam. Situācija ir skaidrojama ar to, ka būtiski ir pieaugusi 2.3.1.1.2.apakšaktivtātes loma noz</w:t>
            </w:r>
            <w:r w:rsidR="004432DB" w:rsidRPr="00967A52">
              <w:rPr>
                <w:rFonts w:ascii="Times New Roman" w:hAnsi="Times New Roman" w:cs="Times New Roman"/>
                <w:bCs/>
                <w:sz w:val="24"/>
                <w:szCs w:val="24"/>
              </w:rPr>
              <w:t xml:space="preserve">aru konkurētspējas stiprināšanā, un atlikušais projekta ietvaros pieejamais </w:t>
            </w:r>
            <w:r w:rsidR="004432DB" w:rsidRPr="00967A52">
              <w:rPr>
                <w:rFonts w:ascii="Times New Roman" w:hAnsi="Times New Roman" w:cs="Times New Roman"/>
                <w:bCs/>
                <w:sz w:val="24"/>
                <w:szCs w:val="24"/>
              </w:rPr>
              <w:lastRenderedPageBreak/>
              <w:t>finansējums ir jau rezervēts 2014.gada pasākumiem.</w:t>
            </w:r>
          </w:p>
          <w:p w:rsidR="002C571F" w:rsidRPr="00967A52" w:rsidRDefault="002C571F" w:rsidP="003105D9">
            <w:pPr>
              <w:spacing w:after="0" w:line="240" w:lineRule="auto"/>
              <w:ind w:firstLine="567"/>
              <w:jc w:val="both"/>
              <w:rPr>
                <w:rFonts w:ascii="Times New Roman" w:hAnsi="Times New Roman" w:cs="Times New Roman"/>
                <w:bCs/>
                <w:sz w:val="24"/>
                <w:szCs w:val="24"/>
              </w:rPr>
            </w:pPr>
            <w:r w:rsidRPr="00967A52">
              <w:rPr>
                <w:rFonts w:ascii="Times New Roman" w:hAnsi="Times New Roman" w:cs="Times New Roman"/>
                <w:bCs/>
                <w:sz w:val="24"/>
                <w:szCs w:val="24"/>
              </w:rPr>
              <w:t xml:space="preserve">Šobrīd LIAA jau ir nokomplektējusi dalībnieku grupas 2014.gada nacionālajos stendos, tādejādi rezervējot visu atlikušo pieejamo ES fondu finansējumu. </w:t>
            </w:r>
          </w:p>
          <w:p w:rsidR="004432DB" w:rsidRPr="00967A52" w:rsidRDefault="001E6C85" w:rsidP="004432DB">
            <w:pPr>
              <w:spacing w:after="0" w:line="240" w:lineRule="auto"/>
              <w:ind w:firstLine="567"/>
              <w:jc w:val="both"/>
              <w:rPr>
                <w:rFonts w:ascii="Times New Roman" w:hAnsi="Times New Roman" w:cs="Times New Roman"/>
                <w:sz w:val="24"/>
                <w:szCs w:val="24"/>
              </w:rPr>
            </w:pPr>
            <w:r w:rsidRPr="00967A52">
              <w:rPr>
                <w:rFonts w:ascii="Times New Roman" w:hAnsi="Times New Roman" w:cs="Times New Roman"/>
                <w:bCs/>
                <w:sz w:val="24"/>
                <w:szCs w:val="24"/>
              </w:rPr>
              <w:t xml:space="preserve">LIAA īstenotā projekta ietvaros </w:t>
            </w:r>
            <w:r w:rsidR="004432DB" w:rsidRPr="00967A52">
              <w:rPr>
                <w:rFonts w:ascii="Times New Roman" w:hAnsi="Times New Roman" w:cs="Times New Roman"/>
                <w:sz w:val="24"/>
                <w:szCs w:val="24"/>
              </w:rPr>
              <w:t xml:space="preserve">ir nepieciešams papildus finansējums, lai </w:t>
            </w:r>
            <w:r w:rsidRPr="00967A52">
              <w:rPr>
                <w:rFonts w:ascii="Times New Roman" w:hAnsi="Times New Roman" w:cs="Times New Roman"/>
                <w:bCs/>
                <w:sz w:val="24"/>
                <w:szCs w:val="24"/>
              </w:rPr>
              <w:t xml:space="preserve">tā spētu organizēt </w:t>
            </w:r>
            <w:r w:rsidRPr="00967A52">
              <w:rPr>
                <w:rFonts w:ascii="Times New Roman" w:hAnsi="Times New Roman" w:cs="Times New Roman"/>
                <w:sz w:val="24"/>
                <w:szCs w:val="24"/>
              </w:rPr>
              <w:t>nacionālos stendus starptautiskajās izstādēs ārvalstīs, kā arī nodrošina Latvijas ārvalstu ekonomisko pārstāvniecību darbību (Lietuvā, Ķīnā un Baltkrievijā) un ārvalstu investīciju piesaistes pasākumus 2015.gad</w:t>
            </w:r>
            <w:r w:rsidR="004432DB" w:rsidRPr="00967A52">
              <w:rPr>
                <w:rFonts w:ascii="Times New Roman" w:hAnsi="Times New Roman" w:cs="Times New Roman"/>
                <w:sz w:val="24"/>
                <w:szCs w:val="24"/>
              </w:rPr>
              <w:t>ā.</w:t>
            </w:r>
          </w:p>
          <w:p w:rsidR="004432DB" w:rsidRPr="00636C52" w:rsidRDefault="004432DB" w:rsidP="004432DB">
            <w:pPr>
              <w:spacing w:after="0" w:line="240" w:lineRule="auto"/>
              <w:jc w:val="both"/>
              <w:rPr>
                <w:rFonts w:ascii="Times New Roman" w:hAnsi="Times New Roman" w:cs="Times New Roman"/>
                <w:bCs/>
                <w:sz w:val="24"/>
                <w:szCs w:val="24"/>
              </w:rPr>
            </w:pPr>
            <w:r w:rsidRPr="00967A52">
              <w:rPr>
                <w:rFonts w:ascii="Times New Roman" w:hAnsi="Times New Roman" w:cs="Times New Roman"/>
                <w:bCs/>
                <w:sz w:val="24"/>
                <w:szCs w:val="24"/>
              </w:rPr>
              <w:tab/>
              <w:t xml:space="preserve">LIAA īstenotā projekta ietvaros komersantu dalība nacionālo stendu izstādēs tiek organizētās ātrāk kā pusgadu pirms izstādes norises laika. Līdz ar to lai spētu noorganizēt komersantu dalību </w:t>
            </w:r>
            <w:r w:rsidRPr="00636C52">
              <w:rPr>
                <w:rFonts w:ascii="Times New Roman" w:hAnsi="Times New Roman" w:cs="Times New Roman"/>
                <w:bCs/>
                <w:sz w:val="24"/>
                <w:szCs w:val="24"/>
              </w:rPr>
              <w:t xml:space="preserve">nacionālajos stendos sākot ar 2015.gada ziemas perioda izstādēm, LIAA jau </w:t>
            </w:r>
            <w:r w:rsidR="00833F5A" w:rsidRPr="00636C52">
              <w:rPr>
                <w:rFonts w:ascii="Times New Roman" w:hAnsi="Times New Roman" w:cs="Times New Roman"/>
                <w:bCs/>
                <w:sz w:val="24"/>
                <w:szCs w:val="24"/>
              </w:rPr>
              <w:t>maijā</w:t>
            </w:r>
            <w:r w:rsidRPr="00636C52">
              <w:rPr>
                <w:rFonts w:ascii="Times New Roman" w:hAnsi="Times New Roman" w:cs="Times New Roman"/>
                <w:bCs/>
                <w:sz w:val="24"/>
                <w:szCs w:val="24"/>
              </w:rPr>
              <w:t xml:space="preserve"> ir nepieciešams izsludināt uzsaukumu komersantu atlasei. </w:t>
            </w:r>
          </w:p>
          <w:p w:rsidR="001E6C85" w:rsidRPr="00967A52" w:rsidRDefault="004432DB" w:rsidP="003105D9">
            <w:pPr>
              <w:spacing w:after="0" w:line="240" w:lineRule="auto"/>
              <w:jc w:val="both"/>
              <w:rPr>
                <w:rFonts w:ascii="Times New Roman" w:hAnsi="Times New Roman" w:cs="Times New Roman"/>
                <w:sz w:val="24"/>
                <w:szCs w:val="24"/>
              </w:rPr>
            </w:pPr>
            <w:r w:rsidRPr="00636C52">
              <w:rPr>
                <w:rFonts w:ascii="Times New Roman" w:hAnsi="Times New Roman" w:cs="Times New Roman"/>
                <w:sz w:val="24"/>
                <w:szCs w:val="24"/>
              </w:rPr>
              <w:tab/>
            </w:r>
            <w:r w:rsidR="003105D9" w:rsidRPr="00636C52">
              <w:rPr>
                <w:rFonts w:ascii="Times New Roman" w:hAnsi="Times New Roman" w:cs="Times New Roman"/>
                <w:sz w:val="24"/>
                <w:szCs w:val="24"/>
              </w:rPr>
              <w:t xml:space="preserve">Saskaņā ar LIAA veiktajiem aprēķiniem, tad 2015.gadā projekta īstenošanai nepieciešamais finansējums sastāda 970 000 </w:t>
            </w:r>
            <w:r w:rsidR="003105D9" w:rsidRPr="00636C52">
              <w:rPr>
                <w:rFonts w:ascii="Times New Roman" w:hAnsi="Times New Roman" w:cs="Times New Roman"/>
                <w:i/>
                <w:sz w:val="24"/>
                <w:szCs w:val="24"/>
              </w:rPr>
              <w:t>euro</w:t>
            </w:r>
            <w:r w:rsidR="003105D9" w:rsidRPr="00636C52">
              <w:rPr>
                <w:rFonts w:ascii="Times New Roman" w:hAnsi="Times New Roman" w:cs="Times New Roman"/>
                <w:sz w:val="24"/>
                <w:szCs w:val="24"/>
              </w:rPr>
              <w:t xml:space="preserve"> (582 000 </w:t>
            </w:r>
            <w:r w:rsidR="003105D9" w:rsidRPr="00636C52">
              <w:rPr>
                <w:rFonts w:ascii="Times New Roman" w:hAnsi="Times New Roman" w:cs="Times New Roman"/>
                <w:i/>
                <w:sz w:val="24"/>
                <w:szCs w:val="24"/>
              </w:rPr>
              <w:t>euro</w:t>
            </w:r>
            <w:r w:rsidR="003105D9" w:rsidRPr="00636C52">
              <w:rPr>
                <w:rFonts w:ascii="Times New Roman" w:hAnsi="Times New Roman" w:cs="Times New Roman"/>
                <w:sz w:val="24"/>
                <w:szCs w:val="24"/>
              </w:rPr>
              <w:t>, ERAF finansējums (60%) un 388 000 euro, valsts budžeta finansējums</w:t>
            </w:r>
            <w:r w:rsidR="003105D9" w:rsidRPr="00967A52">
              <w:rPr>
                <w:rFonts w:ascii="Times New Roman" w:hAnsi="Times New Roman" w:cs="Times New Roman"/>
                <w:sz w:val="24"/>
                <w:szCs w:val="24"/>
              </w:rPr>
              <w:t xml:space="preserve"> (40%)).</w:t>
            </w:r>
            <w:r w:rsidR="001E6C85" w:rsidRPr="00967A52">
              <w:rPr>
                <w:rFonts w:ascii="Times New Roman" w:hAnsi="Times New Roman" w:cs="Times New Roman"/>
                <w:sz w:val="24"/>
                <w:szCs w:val="24"/>
              </w:rPr>
              <w:t xml:space="preserve"> </w:t>
            </w:r>
          </w:p>
          <w:p w:rsidR="003105D9" w:rsidRPr="00967A52" w:rsidRDefault="001E6C85" w:rsidP="003105D9">
            <w:pPr>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ab/>
              <w:t xml:space="preserve">Ekonomikas ministrija ir konstatējusi, ka 2.3.prioritātes „Uzņēmējdarbības veicināšana” ietvaros pēc veiktajām prognozēm 2.3.2.2.1.apakšaktivitātē „Atbalsts ieguldījumiem mikro, maziem un vidējiem komersantiem īpaši atbalstāmajās teritorijās (ĪAT)” ir brīvs ERAF finansējums 2 142 586,54 lati, jeb </w:t>
            </w:r>
            <w:r w:rsidRPr="00967A52">
              <w:rPr>
                <w:rFonts w:ascii="Times New Roman" w:eastAsia="Times New Roman" w:hAnsi="Times New Roman"/>
                <w:sz w:val="24"/>
                <w:szCs w:val="24"/>
                <w:lang w:eastAsia="lv-LV"/>
              </w:rPr>
              <w:t>3 048 626</w:t>
            </w:r>
            <w:r w:rsidRPr="00967A52">
              <w:rPr>
                <w:rFonts w:ascii="Times New Roman" w:hAnsi="Times New Roman" w:cs="Times New Roman"/>
                <w:sz w:val="24"/>
                <w:szCs w:val="24"/>
              </w:rPr>
              <w:t xml:space="preserve"> </w:t>
            </w:r>
            <w:r w:rsidRPr="00967A52">
              <w:rPr>
                <w:rFonts w:ascii="Times New Roman" w:hAnsi="Times New Roman" w:cs="Times New Roman"/>
                <w:i/>
                <w:sz w:val="24"/>
                <w:szCs w:val="24"/>
              </w:rPr>
              <w:t>euro.</w:t>
            </w:r>
          </w:p>
          <w:p w:rsidR="003105D9" w:rsidRPr="00967A52" w:rsidRDefault="003105D9" w:rsidP="003105D9">
            <w:pPr>
              <w:spacing w:after="0" w:line="240" w:lineRule="auto"/>
              <w:jc w:val="both"/>
              <w:rPr>
                <w:rFonts w:ascii="Times New Roman" w:eastAsia="Times New Roman" w:hAnsi="Times New Roman"/>
                <w:sz w:val="24"/>
                <w:szCs w:val="24"/>
                <w:lang w:eastAsia="lv-LV"/>
              </w:rPr>
            </w:pPr>
            <w:r w:rsidRPr="00967A52">
              <w:rPr>
                <w:rFonts w:ascii="Times New Roman" w:hAnsi="Times New Roman" w:cs="Times New Roman"/>
                <w:sz w:val="24"/>
                <w:szCs w:val="24"/>
              </w:rPr>
              <w:tab/>
              <w:t xml:space="preserve">Līdz ar to Ekonomikas  ministrija ir paredzējusi pārdalīt ERAF finansējumu no 2.3.2.2.1.apakšaktivitātes „Atbalsts ieguldījumiem mikro, maziem un vidējiem komersantiem īpaši atbalstāmajās teritorijās (ĪAT)” 582 000 </w:t>
            </w:r>
            <w:r w:rsidRPr="00967A52">
              <w:rPr>
                <w:rFonts w:ascii="Times New Roman" w:hAnsi="Times New Roman" w:cs="Times New Roman"/>
                <w:i/>
                <w:sz w:val="24"/>
                <w:szCs w:val="24"/>
              </w:rPr>
              <w:t xml:space="preserve">euro </w:t>
            </w:r>
            <w:r w:rsidRPr="00967A52">
              <w:rPr>
                <w:rFonts w:ascii="Times New Roman" w:hAnsi="Times New Roman" w:cs="Times New Roman"/>
                <w:sz w:val="24"/>
                <w:szCs w:val="24"/>
              </w:rPr>
              <w:t>apmērā, lai LIAA projektu varētu īstenot līdz 2015.gada 1.jūlijam.</w:t>
            </w:r>
            <w:r w:rsidR="00894030" w:rsidRPr="00967A52">
              <w:rPr>
                <w:rFonts w:ascii="Times New Roman" w:hAnsi="Times New Roman" w:cs="Times New Roman"/>
                <w:sz w:val="24"/>
                <w:szCs w:val="24"/>
              </w:rPr>
              <w:t xml:space="preserve"> Savukārt, no valsts budžeta </w:t>
            </w:r>
            <w:r w:rsidR="00894030" w:rsidRPr="00967A52">
              <w:rPr>
                <w:rFonts w:ascii="Times New Roman" w:eastAsia="Times New Roman" w:hAnsi="Times New Roman"/>
                <w:sz w:val="24"/>
                <w:szCs w:val="24"/>
                <w:lang w:eastAsia="lv-LV"/>
              </w:rPr>
              <w:t xml:space="preserve">74.resora „Gadskārtējā valsts budžeta izpildes procesā pārdalāmais finansējums” 80.00.00 programmas „Nesadalītais finansējums Eiropas Savienības politiku instrumentu un pārējās ārvalstu finanšu palīdzības līdzfinansēto projektu un pasākumu īstenošanai” projektu īstenošanai tik pārdalīts 388 00 </w:t>
            </w:r>
            <w:r w:rsidR="00894030" w:rsidRPr="00967A52">
              <w:rPr>
                <w:rFonts w:ascii="Times New Roman" w:eastAsia="Times New Roman" w:hAnsi="Times New Roman"/>
                <w:i/>
                <w:sz w:val="24"/>
                <w:szCs w:val="24"/>
                <w:lang w:eastAsia="lv-LV"/>
              </w:rPr>
              <w:t>euro.</w:t>
            </w:r>
          </w:p>
          <w:p w:rsidR="008E3174" w:rsidRPr="00967A52" w:rsidRDefault="008E3174" w:rsidP="008E3174">
            <w:pPr>
              <w:spacing w:after="0" w:line="240" w:lineRule="auto"/>
              <w:jc w:val="both"/>
              <w:rPr>
                <w:rFonts w:ascii="Times New Roman" w:eastAsia="Times New Roman" w:hAnsi="Times New Roman"/>
                <w:sz w:val="24"/>
                <w:szCs w:val="24"/>
                <w:lang w:eastAsia="lv-LV"/>
              </w:rPr>
            </w:pPr>
            <w:r w:rsidRPr="00967A52">
              <w:rPr>
                <w:rFonts w:ascii="Times New Roman" w:eastAsia="Times New Roman" w:hAnsi="Times New Roman"/>
                <w:sz w:val="24"/>
                <w:szCs w:val="24"/>
                <w:lang w:eastAsia="lv-LV"/>
              </w:rPr>
              <w:tab/>
              <w:t>Ekonomikas ministrija norāda, ka darbības programmas „Uzņēmējdarbība un inovācijas” papildinājuma 2.3.prioritātes „Uzņēmējdarbības veicināšana” ietvaros esošajās aktivitātēs nav pieejams brīvs valsts budžeta finansējums. 2.3.2.1.aktivitātes „Biznesa inkubatori” un 2.3.1.2.aktivitātes „Pasākumi motivācijas celšanai inovācijām un uzņēmējdarbības uzsākšanai” ietvaros vis pieejamais valsts budžeta līdzfinansējums ir piesaistīts aktivitāšu ietvaros uzsāktajiem projektiem, līdz ar to šo finansējumu nav iespējams samazināt vai pārdalīt citu aktivitāšu īstenošanai.</w:t>
            </w:r>
          </w:p>
          <w:p w:rsidR="00B57C45" w:rsidRPr="00967A52" w:rsidRDefault="00B57C45" w:rsidP="003105D9">
            <w:pPr>
              <w:spacing w:after="0" w:line="240" w:lineRule="auto"/>
              <w:jc w:val="both"/>
              <w:rPr>
                <w:rFonts w:ascii="Times New Roman" w:hAnsi="Times New Roman" w:cs="Times New Roman"/>
                <w:sz w:val="24"/>
                <w:szCs w:val="24"/>
              </w:rPr>
            </w:pPr>
            <w:r w:rsidRPr="00967A52">
              <w:rPr>
                <w:rFonts w:ascii="Times New Roman" w:hAnsi="Times New Roman" w:cs="Times New Roman"/>
                <w:bCs/>
                <w:sz w:val="24"/>
                <w:szCs w:val="24"/>
              </w:rPr>
              <w:tab/>
              <w:t>MK noteikumi Nr.887</w:t>
            </w:r>
            <w:r w:rsidRPr="00967A52">
              <w:rPr>
                <w:rFonts w:ascii="Times New Roman" w:hAnsi="Times New Roman" w:cs="Times New Roman"/>
                <w:sz w:val="24"/>
                <w:szCs w:val="24"/>
              </w:rPr>
              <w:t xml:space="preserve"> pieejamais finansējums noteikts </w:t>
            </w:r>
            <w:r w:rsidRPr="00967A52">
              <w:rPr>
                <w:rFonts w:ascii="Times New Roman" w:hAnsi="Times New Roman" w:cs="Times New Roman"/>
                <w:sz w:val="24"/>
                <w:szCs w:val="24"/>
              </w:rPr>
              <w:lastRenderedPageBreak/>
              <w:t xml:space="preserve">latu valūtā. Ņemot vērā pāreju uz euro valūtu sākot ar 2014.gada 1.janvāri, nepieciešami grozījumi </w:t>
            </w:r>
            <w:r w:rsidRPr="00967A52">
              <w:rPr>
                <w:rFonts w:ascii="Times New Roman" w:hAnsi="Times New Roman" w:cs="Times New Roman"/>
                <w:bCs/>
                <w:sz w:val="24"/>
                <w:szCs w:val="24"/>
              </w:rPr>
              <w:t>MK noteikumi Nr.887</w:t>
            </w:r>
            <w:r w:rsidRPr="00967A52">
              <w:rPr>
                <w:rFonts w:ascii="Times New Roman" w:hAnsi="Times New Roman" w:cs="Times New Roman"/>
                <w:sz w:val="24"/>
                <w:szCs w:val="24"/>
              </w:rPr>
              <w:t xml:space="preserve">, norādot pieejamo finansējumu </w:t>
            </w:r>
            <w:r w:rsidRPr="00967A52">
              <w:rPr>
                <w:rFonts w:ascii="Times New Roman" w:hAnsi="Times New Roman" w:cs="Times New Roman"/>
                <w:i/>
                <w:sz w:val="24"/>
                <w:szCs w:val="24"/>
              </w:rPr>
              <w:t>euro</w:t>
            </w:r>
            <w:r w:rsidRPr="00967A52">
              <w:rPr>
                <w:rFonts w:ascii="Times New Roman" w:hAnsi="Times New Roman" w:cs="Times New Roman"/>
                <w:sz w:val="24"/>
                <w:szCs w:val="24"/>
              </w:rPr>
              <w:t xml:space="preserve"> valūtā atbilstoši Euro ieviešanas kārtības likuma 32.panta otrās daļas 2.punktam.</w:t>
            </w:r>
            <w:r w:rsidR="00CC2CA4" w:rsidRPr="00967A52">
              <w:rPr>
                <w:rFonts w:ascii="Times New Roman" w:hAnsi="Times New Roman" w:cs="Times New Roman"/>
                <w:sz w:val="24"/>
                <w:szCs w:val="24"/>
              </w:rPr>
              <w:t xml:space="preserve"> </w:t>
            </w:r>
            <w:r w:rsidR="0021078D" w:rsidRPr="00967A52">
              <w:rPr>
                <w:rFonts w:ascii="Times New Roman" w:hAnsi="Times New Roman"/>
                <w:sz w:val="24"/>
                <w:szCs w:val="24"/>
              </w:rPr>
              <w:t xml:space="preserve">MK noteikumu projekta punkts, kurā skaitliskā vērtība tiek izteikta </w:t>
            </w:r>
            <w:r w:rsidR="0021078D" w:rsidRPr="00967A52">
              <w:rPr>
                <w:rFonts w:ascii="Times New Roman" w:hAnsi="Times New Roman"/>
                <w:i/>
                <w:iCs/>
                <w:sz w:val="24"/>
                <w:szCs w:val="24"/>
              </w:rPr>
              <w:t>euro</w:t>
            </w:r>
            <w:r w:rsidR="0021078D" w:rsidRPr="00967A52">
              <w:rPr>
                <w:rFonts w:ascii="Times New Roman" w:hAnsi="Times New Roman"/>
                <w:sz w:val="24"/>
                <w:szCs w:val="24"/>
              </w:rPr>
              <w:t xml:space="preserve"> un noapaļota, nav personai nelabvēlīgāks par sākotnējo tiesību normu, kurā skaitliskā vērtība ir izteikta latos</w:t>
            </w:r>
            <w:r w:rsidR="00CC2CA4" w:rsidRPr="00967A52">
              <w:rPr>
                <w:rFonts w:ascii="Times New Roman" w:hAnsi="Times New Roman" w:cs="Times New Roman"/>
                <w:bCs/>
                <w:sz w:val="24"/>
                <w:szCs w:val="24"/>
              </w:rPr>
              <w:t xml:space="preserve"> </w:t>
            </w:r>
          </w:p>
          <w:p w:rsidR="004E16CB" w:rsidRPr="00967A52" w:rsidRDefault="003105D9" w:rsidP="004E16CB">
            <w:pPr>
              <w:spacing w:after="0"/>
              <w:ind w:firstLine="709"/>
              <w:jc w:val="both"/>
              <w:rPr>
                <w:rFonts w:ascii="Times New Roman" w:hAnsi="Times New Roman" w:cs="Times New Roman"/>
              </w:rPr>
            </w:pPr>
            <w:r w:rsidRPr="00967A52">
              <w:rPr>
                <w:rFonts w:ascii="Times New Roman" w:hAnsi="Times New Roman" w:cs="Times New Roman"/>
                <w:sz w:val="24"/>
                <w:szCs w:val="24"/>
              </w:rPr>
              <w:tab/>
            </w:r>
            <w:r w:rsidR="004E16CB" w:rsidRPr="00967A52">
              <w:rPr>
                <w:rFonts w:ascii="Times New Roman" w:hAnsi="Times New Roman" w:cs="Times New Roman"/>
                <w:lang w:eastAsia="lv-LV"/>
              </w:rPr>
              <w:t xml:space="preserve">Tā kā atbalsts aktivitātes ietvaros tiek piešķirts kā </w:t>
            </w:r>
            <w:r w:rsidR="004E16CB" w:rsidRPr="00967A52">
              <w:rPr>
                <w:rFonts w:ascii="Times New Roman" w:hAnsi="Times New Roman" w:cs="Times New Roman"/>
                <w:i/>
                <w:lang w:eastAsia="lv-LV"/>
              </w:rPr>
              <w:t>de minimis</w:t>
            </w:r>
            <w:r w:rsidR="004E16CB" w:rsidRPr="00967A52">
              <w:rPr>
                <w:rFonts w:ascii="Times New Roman" w:hAnsi="Times New Roman" w:cs="Times New Roman"/>
                <w:lang w:eastAsia="lv-LV"/>
              </w:rPr>
              <w:t xml:space="preserve"> atbalsts, līdz šim atbalsta piešķiršana notika saskaņā ar 2006.gada 15.decembra Komisijas Regulu (EK) </w:t>
            </w:r>
            <w:proofErr w:type="spellStart"/>
            <w:r w:rsidR="004E16CB" w:rsidRPr="00967A52">
              <w:rPr>
                <w:rFonts w:ascii="Times New Roman" w:hAnsi="Times New Roman" w:cs="Times New Roman"/>
                <w:lang w:eastAsia="lv-LV"/>
              </w:rPr>
              <w:t>Nr</w:t>
            </w:r>
            <w:proofErr w:type="spellEnd"/>
            <w:r w:rsidR="004E16CB" w:rsidRPr="00967A52">
              <w:rPr>
                <w:rFonts w:ascii="Times New Roman" w:hAnsi="Times New Roman" w:cs="Times New Roman"/>
                <w:lang w:eastAsia="lv-LV"/>
              </w:rPr>
              <w:t xml:space="preserve">. 1998/2006 par Līguma 87. un 88. panta piemērošanu </w:t>
            </w:r>
            <w:r w:rsidR="004E16CB" w:rsidRPr="00967A52">
              <w:rPr>
                <w:rFonts w:ascii="Times New Roman" w:hAnsi="Times New Roman" w:cs="Times New Roman"/>
                <w:i/>
                <w:lang w:eastAsia="lv-LV"/>
              </w:rPr>
              <w:t>de minimis</w:t>
            </w:r>
            <w:r w:rsidR="004E16CB" w:rsidRPr="00967A52">
              <w:rPr>
                <w:rFonts w:ascii="Times New Roman" w:hAnsi="Times New Roman" w:cs="Times New Roman"/>
                <w:lang w:eastAsia="lv-LV"/>
              </w:rPr>
              <w:t xml:space="preserve"> atbalstam (turpmāk – Regula 1998/2006). Regulas Nr.1998/2006 6.pants nosaka, ka Regulu Nr.1998/2006 piemēro līdz 2013.gada 31.decembrim, savukārt 5.panta 3.punkts</w:t>
            </w:r>
            <w:r w:rsidR="004E16CB" w:rsidRPr="00967A52">
              <w:rPr>
                <w:rFonts w:ascii="Times New Roman" w:hAnsi="Times New Roman" w:cs="Times New Roman"/>
              </w:rPr>
              <w:t xml:space="preserve"> nosaka, ka Regulas Nr.1998/2006 spēkā esamības laika beigās jebkuru </w:t>
            </w:r>
            <w:r w:rsidR="004E16CB" w:rsidRPr="00967A52">
              <w:rPr>
                <w:rFonts w:ascii="Times New Roman" w:hAnsi="Times New Roman" w:cs="Times New Roman"/>
                <w:i/>
                <w:iCs/>
              </w:rPr>
              <w:t>de minimis</w:t>
            </w:r>
            <w:r w:rsidR="004E16CB" w:rsidRPr="00967A52">
              <w:rPr>
                <w:rFonts w:ascii="Times New Roman" w:hAnsi="Times New Roman" w:cs="Times New Roman"/>
              </w:rPr>
              <w:t xml:space="preserve"> atbalstu, kurš atbilst Regulas 1998/2006 nosacījumiem, var likumīgi īstenot turpmākajos sešos mēnešos, tātad - </w:t>
            </w:r>
            <w:r w:rsidR="004E16CB" w:rsidRPr="00967A52">
              <w:rPr>
                <w:rFonts w:ascii="Times New Roman" w:hAnsi="Times New Roman" w:cs="Times New Roman"/>
                <w:lang w:eastAsia="lv-LV"/>
              </w:rPr>
              <w:t xml:space="preserve"> līdz 2014.gada 30.jūnijam. </w:t>
            </w:r>
            <w:r w:rsidR="004E16CB" w:rsidRPr="00967A52">
              <w:rPr>
                <w:rFonts w:ascii="Times New Roman" w:hAnsi="Times New Roman" w:cs="Times New Roman"/>
              </w:rPr>
              <w:t xml:space="preserve">Ņemot vērā, ka 2013.gada 18.decembrī stājās spēkā jaunais </w:t>
            </w:r>
            <w:r w:rsidR="004E16CB" w:rsidRPr="00967A52">
              <w:rPr>
                <w:rFonts w:ascii="Times New Roman" w:hAnsi="Times New Roman" w:cs="Times New Roman"/>
                <w:i/>
              </w:rPr>
              <w:t>de minimis</w:t>
            </w:r>
            <w:r w:rsidR="004E16CB" w:rsidRPr="00967A52">
              <w:rPr>
                <w:rFonts w:ascii="Times New Roman" w:hAnsi="Times New Roman" w:cs="Times New Roman"/>
              </w:rPr>
              <w:t xml:space="preserve"> atbalsta regulējums </w:t>
            </w:r>
            <w:r w:rsidR="004E16CB" w:rsidRPr="00967A52">
              <w:rPr>
                <w:rFonts w:ascii="Times New Roman" w:hAnsi="Times New Roman" w:cs="Times New Roman"/>
                <w:i/>
              </w:rPr>
              <w:t>-</w:t>
            </w:r>
            <w:r w:rsidR="004E16CB" w:rsidRPr="00967A52">
              <w:rPr>
                <w:rFonts w:ascii="Times New Roman" w:hAnsi="Times New Roman" w:cs="Times New Roman"/>
              </w:rPr>
              <w:t xml:space="preserve">  2013.gada 18.decembra Komisijas Regula (E</w:t>
            </w:r>
            <w:r w:rsidR="00636C52">
              <w:rPr>
                <w:rFonts w:ascii="Times New Roman" w:hAnsi="Times New Roman" w:cs="Times New Roman"/>
              </w:rPr>
              <w:t>S</w:t>
            </w:r>
            <w:r w:rsidR="004E16CB" w:rsidRPr="00967A52">
              <w:rPr>
                <w:rFonts w:ascii="Times New Roman" w:hAnsi="Times New Roman" w:cs="Times New Roman"/>
              </w:rPr>
              <w:t xml:space="preserve">) </w:t>
            </w:r>
            <w:proofErr w:type="spellStart"/>
            <w:r w:rsidR="004E16CB" w:rsidRPr="00967A52">
              <w:rPr>
                <w:rFonts w:ascii="Times New Roman" w:hAnsi="Times New Roman" w:cs="Times New Roman"/>
              </w:rPr>
              <w:t>Nr</w:t>
            </w:r>
            <w:proofErr w:type="spellEnd"/>
            <w:r w:rsidR="004E16CB" w:rsidRPr="00967A52">
              <w:rPr>
                <w:rFonts w:ascii="Times New Roman" w:hAnsi="Times New Roman" w:cs="Times New Roman"/>
              </w:rPr>
              <w:t xml:space="preserve">. 1407/2013 par Līguma par Eiropas Savienības darbību 107. un 108.panta piemērošanu </w:t>
            </w:r>
            <w:r w:rsidR="004E16CB" w:rsidRPr="00967A52">
              <w:rPr>
                <w:rFonts w:ascii="Times New Roman" w:hAnsi="Times New Roman" w:cs="Times New Roman"/>
                <w:i/>
              </w:rPr>
              <w:t>de minimis</w:t>
            </w:r>
            <w:r w:rsidR="004E16CB" w:rsidRPr="00967A52">
              <w:rPr>
                <w:rFonts w:ascii="Times New Roman" w:hAnsi="Times New Roman" w:cs="Times New Roman"/>
              </w:rPr>
              <w:t xml:space="preserve"> atbalstam (Eiropas Savienības Oficiālais Vēstnesis, 2013.gada 24.decembris, </w:t>
            </w:r>
            <w:proofErr w:type="spellStart"/>
            <w:r w:rsidR="004E16CB" w:rsidRPr="00967A52">
              <w:rPr>
                <w:rFonts w:ascii="Times New Roman" w:hAnsi="Times New Roman" w:cs="Times New Roman"/>
              </w:rPr>
              <w:t>Nr</w:t>
            </w:r>
            <w:proofErr w:type="spellEnd"/>
            <w:r w:rsidR="004E16CB" w:rsidRPr="00967A52">
              <w:rPr>
                <w:rFonts w:ascii="Times New Roman" w:hAnsi="Times New Roman" w:cs="Times New Roman"/>
              </w:rPr>
              <w:t xml:space="preserve">. L 352) (turpmāk – Komisijas Regula </w:t>
            </w:r>
            <w:proofErr w:type="spellStart"/>
            <w:r w:rsidR="004E16CB" w:rsidRPr="00967A52">
              <w:rPr>
                <w:rFonts w:ascii="Times New Roman" w:hAnsi="Times New Roman" w:cs="Times New Roman"/>
              </w:rPr>
              <w:t>Nr</w:t>
            </w:r>
            <w:proofErr w:type="spellEnd"/>
            <w:r w:rsidR="004E16CB" w:rsidRPr="00967A52">
              <w:rPr>
                <w:rFonts w:ascii="Times New Roman" w:hAnsi="Times New Roman" w:cs="Times New Roman"/>
              </w:rPr>
              <w:t>. 1407/2013), Ekonomikas ministrija (turpmāk – EM) ir veikusi grozījumus MK noteikumos Nr.887, pielāgojot noteikumu regulējumu Komisijas Regulai Nr.1407/2013.  Jānorāda, ka Regulas Nr.1407/2013 nosacījumi ir  saskanīgi ar Regulas Nr.1998/2006 nosacījumiem  un nav nelabvēlīgāki finansējuma saņēmējiem. Ņemot vērā, ka Regula Nr.1998/2006 ir spēkā līdz 2014.gada 30.jūnijam, ar grozījumiem MK noteikumos Nr.887 Ekonomikas ministrija ierosina, ka finansējumu apakšaktivitātes ietvaros tiem finansējuma pretendentiem, kuri uz finansējumu pieteikušies līdz 2014.gada 31.maijam un par kuriem lēmums pieņemts līdz 2014.gada 30.jūnijam, piešķir saskaņā ar Regulu Nr.1998/2006, savukārt finansējums tiem finansējuma pretendentiem, kuri uz finansējumu pieteikušies pēc 2014.gada 31.maija, tiek piešķirts saskaņā ar Regulu Nr.1</w:t>
            </w:r>
            <w:r w:rsidR="00A42D54" w:rsidRPr="00967A52">
              <w:rPr>
                <w:rFonts w:ascii="Times New Roman" w:hAnsi="Times New Roman" w:cs="Times New Roman"/>
              </w:rPr>
              <w:t>407</w:t>
            </w:r>
            <w:r w:rsidR="004E16CB" w:rsidRPr="00967A52">
              <w:rPr>
                <w:rFonts w:ascii="Times New Roman" w:hAnsi="Times New Roman" w:cs="Times New Roman"/>
              </w:rPr>
              <w:t>/2013.</w:t>
            </w:r>
          </w:p>
          <w:p w:rsidR="005F6356" w:rsidRPr="00967A52" w:rsidRDefault="005F6356" w:rsidP="004E16CB">
            <w:pPr>
              <w:ind w:firstLine="709"/>
              <w:jc w:val="both"/>
              <w:rPr>
                <w:rFonts w:ascii="Times New Roman" w:hAnsi="Times New Roman" w:cs="Times New Roman"/>
              </w:rPr>
            </w:pPr>
            <w:r w:rsidRPr="00967A52">
              <w:rPr>
                <w:rFonts w:ascii="Times New Roman" w:hAnsi="Times New Roman" w:cs="Times New Roman"/>
                <w:sz w:val="24"/>
                <w:szCs w:val="24"/>
              </w:rPr>
              <w:tab/>
              <w:t xml:space="preserve">Ņemot vērā, ka jaunā </w:t>
            </w:r>
            <w:r w:rsidRPr="00967A52">
              <w:rPr>
                <w:rFonts w:ascii="Times New Roman" w:hAnsi="Times New Roman" w:cs="Times New Roman"/>
                <w:i/>
                <w:sz w:val="24"/>
                <w:szCs w:val="24"/>
              </w:rPr>
              <w:t xml:space="preserve">de minimis </w:t>
            </w:r>
            <w:r w:rsidRPr="00967A52">
              <w:rPr>
                <w:rFonts w:ascii="Times New Roman" w:hAnsi="Times New Roman" w:cs="Times New Roman"/>
                <w:sz w:val="24"/>
                <w:szCs w:val="24"/>
              </w:rPr>
              <w:t>Regula Nr.1407/2013 nenosaka specifiskus atbalsta ierobežojumus</w:t>
            </w:r>
            <w:r w:rsidRPr="00967A52">
              <w:rPr>
                <w:rFonts w:ascii="Times New Roman" w:hAnsi="Times New Roman"/>
                <w:sz w:val="24"/>
                <w:szCs w:val="24"/>
              </w:rPr>
              <w:t xml:space="preserve"> komersantiem, kuri atbilst</w:t>
            </w:r>
            <w:r w:rsidRPr="00967A52">
              <w:rPr>
                <w:rFonts w:ascii="Times New Roman" w:hAnsi="Times New Roman" w:cs="Times New Roman"/>
                <w:sz w:val="24"/>
                <w:szCs w:val="24"/>
              </w:rPr>
              <w:t xml:space="preserve"> grūtībās nonākuš</w:t>
            </w:r>
            <w:r w:rsidRPr="00967A52">
              <w:rPr>
                <w:rFonts w:ascii="Times New Roman" w:hAnsi="Times New Roman"/>
                <w:sz w:val="24"/>
                <w:szCs w:val="24"/>
              </w:rPr>
              <w:t>u</w:t>
            </w:r>
            <w:r w:rsidRPr="00967A52">
              <w:rPr>
                <w:rFonts w:ascii="Times New Roman" w:hAnsi="Times New Roman" w:cs="Times New Roman"/>
                <w:sz w:val="24"/>
                <w:szCs w:val="24"/>
              </w:rPr>
              <w:t xml:space="preserve"> komersant</w:t>
            </w:r>
            <w:r w:rsidRPr="00967A52">
              <w:rPr>
                <w:rFonts w:ascii="Times New Roman" w:hAnsi="Times New Roman"/>
                <w:sz w:val="24"/>
                <w:szCs w:val="24"/>
              </w:rPr>
              <w:t>u pazīmēm</w:t>
            </w:r>
            <w:r w:rsidRPr="00967A52">
              <w:rPr>
                <w:rFonts w:ascii="Times New Roman" w:hAnsi="Times New Roman" w:cs="Times New Roman"/>
                <w:sz w:val="24"/>
                <w:szCs w:val="24"/>
              </w:rPr>
              <w:t xml:space="preserve">, līdz ar to </w:t>
            </w:r>
            <w:r w:rsidRPr="00967A52">
              <w:rPr>
                <w:rFonts w:ascii="Times New Roman" w:hAnsi="Times New Roman" w:cs="Times New Roman"/>
                <w:bCs/>
                <w:sz w:val="24"/>
                <w:szCs w:val="24"/>
              </w:rPr>
              <w:t xml:space="preserve">MK noteikumos Nr.887 ir nepieciešams dzēst prasības, ka atbalstu nevar saņemt, ja atbalsta pretendents atbilst grūtībās nonākuša komersanta pazīmēm. Savukārt ir nepieciešams atstāt prasību, ka atbalsta pretendents var saņemt finansējumu, ja tam </w:t>
            </w:r>
            <w:r w:rsidRPr="00967A52">
              <w:rPr>
                <w:rFonts w:ascii="Times New Roman" w:hAnsi="Times New Roman" w:cs="Times New Roman"/>
                <w:sz w:val="24"/>
                <w:szCs w:val="24"/>
              </w:rPr>
              <w:t xml:space="preserve">ar tiesas spriedumu nav pasludināts maksātnespējas process vai ar tiesas spriedumu netiek īstenots tiesiskās aizsardzības process, vai ar tiesas lēmumu netiek īstenots ārpustiesas tiesiskās aizsardzības </w:t>
            </w:r>
            <w:r w:rsidRPr="00967A52">
              <w:rPr>
                <w:rFonts w:ascii="Times New Roman" w:hAnsi="Times New Roman" w:cs="Times New Roman"/>
                <w:sz w:val="24"/>
                <w:szCs w:val="24"/>
              </w:rPr>
              <w:lastRenderedPageBreak/>
              <w:t>process, tam nav uzsākta bankrota procedūra, piemērota sanācija vai mierizlīgums vai tā saimnieciskā darbība nav izbeigta.</w:t>
            </w:r>
          </w:p>
          <w:p w:rsidR="003105D9" w:rsidRPr="00967A52" w:rsidRDefault="005F6356" w:rsidP="005F6356">
            <w:pPr>
              <w:spacing w:after="0" w:line="240" w:lineRule="auto"/>
              <w:jc w:val="both"/>
              <w:rPr>
                <w:rFonts w:ascii="Times New Roman" w:hAnsi="Times New Roman" w:cs="Times New Roman"/>
                <w:sz w:val="24"/>
                <w:szCs w:val="24"/>
              </w:rPr>
            </w:pPr>
            <w:r w:rsidRPr="00967A52">
              <w:rPr>
                <w:rFonts w:ascii="Times New Roman" w:hAnsi="Times New Roman" w:cs="Times New Roman"/>
                <w:sz w:val="24"/>
                <w:szCs w:val="24"/>
              </w:rPr>
              <w:tab/>
            </w:r>
            <w:r w:rsidR="003105D9" w:rsidRPr="00967A52">
              <w:rPr>
                <w:rFonts w:ascii="Times New Roman" w:hAnsi="Times New Roman" w:cs="Times New Roman"/>
                <w:sz w:val="24"/>
                <w:szCs w:val="24"/>
              </w:rPr>
              <w:t>Līdz ar to tiesību akta projekts paredz veikt grozījumus MK noteikumos Nr.887:</w:t>
            </w:r>
          </w:p>
          <w:p w:rsidR="003105D9" w:rsidRPr="00967A52" w:rsidRDefault="003105D9" w:rsidP="003105D9">
            <w:pPr>
              <w:pStyle w:val="ListParagraph"/>
              <w:numPr>
                <w:ilvl w:val="0"/>
                <w:numId w:val="3"/>
              </w:numPr>
              <w:tabs>
                <w:tab w:val="left" w:pos="199"/>
              </w:tabs>
              <w:spacing w:after="0" w:line="240" w:lineRule="auto"/>
              <w:ind w:left="0" w:hanging="11"/>
              <w:jc w:val="both"/>
              <w:rPr>
                <w:rFonts w:ascii="Times New Roman" w:hAnsi="Times New Roman" w:cs="Times New Roman"/>
                <w:sz w:val="24"/>
                <w:szCs w:val="24"/>
              </w:rPr>
            </w:pPr>
            <w:r w:rsidRPr="00967A52">
              <w:rPr>
                <w:rFonts w:ascii="Times New Roman" w:hAnsi="Times New Roman" w:cs="Times New Roman"/>
                <w:sz w:val="24"/>
                <w:szCs w:val="24"/>
              </w:rPr>
              <w:t xml:space="preserve">aizstājot un konvertējot valūtu no latiem uz </w:t>
            </w:r>
            <w:r w:rsidRPr="00967A52">
              <w:rPr>
                <w:rFonts w:ascii="Times New Roman" w:hAnsi="Times New Roman" w:cs="Times New Roman"/>
                <w:i/>
                <w:sz w:val="24"/>
                <w:szCs w:val="24"/>
              </w:rPr>
              <w:t>euro</w:t>
            </w:r>
            <w:r w:rsidRPr="00967A52">
              <w:rPr>
                <w:rFonts w:ascii="Times New Roman" w:hAnsi="Times New Roman" w:cs="Times New Roman"/>
                <w:sz w:val="24"/>
                <w:szCs w:val="24"/>
              </w:rPr>
              <w:t xml:space="preserve">; </w:t>
            </w:r>
          </w:p>
          <w:p w:rsidR="003105D9" w:rsidRPr="00967A52" w:rsidRDefault="003105D9" w:rsidP="003105D9">
            <w:pPr>
              <w:pStyle w:val="ListParagraph"/>
              <w:numPr>
                <w:ilvl w:val="0"/>
                <w:numId w:val="3"/>
              </w:numPr>
              <w:tabs>
                <w:tab w:val="left" w:pos="199"/>
              </w:tabs>
              <w:spacing w:after="0" w:line="240" w:lineRule="auto"/>
              <w:ind w:left="0" w:hanging="11"/>
              <w:jc w:val="both"/>
              <w:rPr>
                <w:rFonts w:ascii="Times New Roman" w:hAnsi="Times New Roman" w:cs="Times New Roman"/>
                <w:sz w:val="24"/>
                <w:szCs w:val="24"/>
              </w:rPr>
            </w:pPr>
            <w:r w:rsidRPr="00967A52">
              <w:rPr>
                <w:rFonts w:ascii="Times New Roman" w:hAnsi="Times New Roman" w:cs="Times New Roman"/>
                <w:sz w:val="24"/>
                <w:szCs w:val="24"/>
              </w:rPr>
              <w:t xml:space="preserve">palielinot </w:t>
            </w:r>
            <w:r w:rsidRPr="00967A52">
              <w:rPr>
                <w:rFonts w:ascii="Times New Roman" w:hAnsi="Times New Roman" w:cs="Times New Roman"/>
                <w:bCs/>
                <w:sz w:val="24"/>
                <w:szCs w:val="24"/>
              </w:rPr>
              <w:t>2.3.1.1.2.apakšaktivitātes  ERAF līdz</w:t>
            </w:r>
            <w:r w:rsidRPr="00967A52">
              <w:rPr>
                <w:rFonts w:ascii="Times New Roman" w:hAnsi="Times New Roman" w:cs="Times New Roman"/>
                <w:sz w:val="24"/>
                <w:szCs w:val="24"/>
              </w:rPr>
              <w:t xml:space="preserve">finansējumu par 582 000 </w:t>
            </w:r>
            <w:r w:rsidRPr="00967A52">
              <w:rPr>
                <w:rFonts w:ascii="Times New Roman" w:hAnsi="Times New Roman" w:cs="Times New Roman"/>
                <w:i/>
                <w:sz w:val="24"/>
                <w:szCs w:val="24"/>
              </w:rPr>
              <w:t>euro</w:t>
            </w:r>
            <w:r w:rsidRPr="00967A52">
              <w:rPr>
                <w:rFonts w:ascii="Times New Roman" w:hAnsi="Times New Roman" w:cs="Times New Roman"/>
                <w:sz w:val="24"/>
                <w:szCs w:val="24"/>
              </w:rPr>
              <w:t xml:space="preserve"> un valsts budžeta līdzfinansējumu par 388 000 </w:t>
            </w:r>
            <w:r w:rsidRPr="00967A52">
              <w:rPr>
                <w:rFonts w:ascii="Times New Roman" w:hAnsi="Times New Roman" w:cs="Times New Roman"/>
                <w:i/>
                <w:sz w:val="24"/>
                <w:szCs w:val="24"/>
              </w:rPr>
              <w:t>euro</w:t>
            </w:r>
            <w:r w:rsidRPr="00967A52">
              <w:rPr>
                <w:rFonts w:ascii="Times New Roman" w:hAnsi="Times New Roman" w:cs="Times New Roman"/>
                <w:sz w:val="24"/>
                <w:szCs w:val="24"/>
              </w:rPr>
              <w:t>;</w:t>
            </w:r>
          </w:p>
          <w:p w:rsidR="003105D9" w:rsidRPr="00967A52" w:rsidRDefault="003105D9" w:rsidP="003105D9">
            <w:pPr>
              <w:pStyle w:val="ListParagraph"/>
              <w:numPr>
                <w:ilvl w:val="0"/>
                <w:numId w:val="3"/>
              </w:numPr>
              <w:tabs>
                <w:tab w:val="left" w:pos="199"/>
              </w:tabs>
              <w:spacing w:after="0" w:line="240" w:lineRule="auto"/>
              <w:ind w:left="0" w:hanging="11"/>
              <w:jc w:val="both"/>
              <w:rPr>
                <w:rFonts w:ascii="Times New Roman" w:hAnsi="Times New Roman" w:cs="Times New Roman"/>
                <w:sz w:val="24"/>
                <w:szCs w:val="24"/>
              </w:rPr>
            </w:pPr>
            <w:r w:rsidRPr="00967A52">
              <w:rPr>
                <w:rFonts w:ascii="Times New Roman" w:hAnsi="Times New Roman" w:cs="Times New Roman"/>
                <w:sz w:val="24"/>
                <w:szCs w:val="24"/>
              </w:rPr>
              <w:t>aizstā</w:t>
            </w:r>
            <w:r w:rsidR="00CB051A" w:rsidRPr="00967A52">
              <w:rPr>
                <w:rFonts w:ascii="Times New Roman" w:hAnsi="Times New Roman" w:cs="Times New Roman"/>
                <w:sz w:val="24"/>
                <w:szCs w:val="24"/>
              </w:rPr>
              <w:t>jot</w:t>
            </w:r>
            <w:r w:rsidRPr="00967A52">
              <w:rPr>
                <w:rFonts w:ascii="Times New Roman" w:hAnsi="Times New Roman" w:cs="Times New Roman"/>
                <w:sz w:val="24"/>
                <w:szCs w:val="24"/>
              </w:rPr>
              <w:t xml:space="preserve"> Komisijas 2006.gada 15.decembra Regulu (EK) </w:t>
            </w:r>
            <w:proofErr w:type="spellStart"/>
            <w:r w:rsidRPr="00967A52">
              <w:rPr>
                <w:rFonts w:ascii="Times New Roman" w:hAnsi="Times New Roman" w:cs="Times New Roman"/>
                <w:sz w:val="24"/>
                <w:szCs w:val="24"/>
              </w:rPr>
              <w:t>Nr</w:t>
            </w:r>
            <w:proofErr w:type="spellEnd"/>
            <w:r w:rsidRPr="00967A52">
              <w:rPr>
                <w:rFonts w:ascii="Times New Roman" w:hAnsi="Times New Roman" w:cs="Times New Roman"/>
                <w:sz w:val="24"/>
                <w:szCs w:val="24"/>
              </w:rPr>
              <w:t xml:space="preserve">. 1998/2006 par Līguma 87. un 88.panta piemērošanu de minimis atbalstam (Eiropas Savienības Oficiālais Vēstnesis, 2006.gada 28.decembris, </w:t>
            </w:r>
            <w:proofErr w:type="spellStart"/>
            <w:r w:rsidRPr="00967A52">
              <w:rPr>
                <w:rFonts w:ascii="Times New Roman" w:hAnsi="Times New Roman" w:cs="Times New Roman"/>
                <w:sz w:val="24"/>
                <w:szCs w:val="24"/>
              </w:rPr>
              <w:t>Nr</w:t>
            </w:r>
            <w:proofErr w:type="spellEnd"/>
            <w:r w:rsidRPr="00967A52">
              <w:rPr>
                <w:rFonts w:ascii="Times New Roman" w:hAnsi="Times New Roman" w:cs="Times New Roman"/>
                <w:sz w:val="24"/>
                <w:szCs w:val="24"/>
              </w:rPr>
              <w:t xml:space="preserve">. L 379) </w:t>
            </w:r>
            <w:r w:rsidRPr="00967A52">
              <w:rPr>
                <w:rFonts w:ascii="Times New Roman" w:hAnsi="Times New Roman" w:cs="Times New Roman"/>
                <w:b/>
                <w:sz w:val="24"/>
                <w:szCs w:val="24"/>
              </w:rPr>
              <w:t xml:space="preserve">ar </w:t>
            </w:r>
            <w:r w:rsidRPr="00967A52">
              <w:rPr>
                <w:rFonts w:ascii="Times New Roman" w:hAnsi="Times New Roman" w:cs="Times New Roman"/>
                <w:sz w:val="24"/>
                <w:szCs w:val="24"/>
              </w:rPr>
              <w:t>Komisijas 2013.gada 18.decembra Regulu (E</w:t>
            </w:r>
            <w:r w:rsidR="00636C52">
              <w:rPr>
                <w:rFonts w:ascii="Times New Roman" w:hAnsi="Times New Roman" w:cs="Times New Roman"/>
                <w:sz w:val="24"/>
                <w:szCs w:val="24"/>
              </w:rPr>
              <w:t>S</w:t>
            </w:r>
            <w:r w:rsidRPr="00967A52">
              <w:rPr>
                <w:rFonts w:ascii="Times New Roman" w:hAnsi="Times New Roman" w:cs="Times New Roman"/>
                <w:sz w:val="24"/>
                <w:szCs w:val="24"/>
              </w:rPr>
              <w:t>) Nr.1407/2013 par Līguma par Eiropas Savienības darbību 107. un 108. panta piemērošanu de minimis atbalstam (Eiropas Savienības Oficiālais Vēstnesis, 201</w:t>
            </w:r>
            <w:r w:rsidR="005F6356" w:rsidRPr="00967A52">
              <w:rPr>
                <w:rFonts w:ascii="Times New Roman" w:hAnsi="Times New Roman" w:cs="Times New Roman"/>
                <w:sz w:val="24"/>
                <w:szCs w:val="24"/>
              </w:rPr>
              <w:t xml:space="preserve">3.gada 24.decembris, </w:t>
            </w:r>
            <w:proofErr w:type="spellStart"/>
            <w:r w:rsidR="005F6356" w:rsidRPr="00967A52">
              <w:rPr>
                <w:rFonts w:ascii="Times New Roman" w:hAnsi="Times New Roman" w:cs="Times New Roman"/>
                <w:sz w:val="24"/>
                <w:szCs w:val="24"/>
              </w:rPr>
              <w:t>Nr</w:t>
            </w:r>
            <w:proofErr w:type="spellEnd"/>
            <w:r w:rsidR="005F6356" w:rsidRPr="00967A52">
              <w:rPr>
                <w:rFonts w:ascii="Times New Roman" w:hAnsi="Times New Roman" w:cs="Times New Roman"/>
                <w:sz w:val="24"/>
                <w:szCs w:val="24"/>
              </w:rPr>
              <w:t>. L 352);</w:t>
            </w:r>
          </w:p>
          <w:p w:rsidR="005F6356" w:rsidRPr="00967A52" w:rsidRDefault="005B2F7D" w:rsidP="003105D9">
            <w:pPr>
              <w:pStyle w:val="ListParagraph"/>
              <w:numPr>
                <w:ilvl w:val="0"/>
                <w:numId w:val="3"/>
              </w:numPr>
              <w:tabs>
                <w:tab w:val="left" w:pos="199"/>
              </w:tabs>
              <w:spacing w:after="0" w:line="240" w:lineRule="auto"/>
              <w:ind w:left="0" w:hanging="11"/>
              <w:jc w:val="both"/>
              <w:rPr>
                <w:rFonts w:ascii="Times New Roman" w:hAnsi="Times New Roman" w:cs="Times New Roman"/>
                <w:sz w:val="24"/>
                <w:szCs w:val="24"/>
              </w:rPr>
            </w:pPr>
            <w:r w:rsidRPr="00967A52">
              <w:rPr>
                <w:rFonts w:ascii="Times New Roman" w:hAnsi="Times New Roman" w:cs="Times New Roman"/>
                <w:sz w:val="24"/>
                <w:szCs w:val="24"/>
              </w:rPr>
              <w:t xml:space="preserve">tiek dzēstas prasības </w:t>
            </w:r>
            <w:r w:rsidR="006E1AE1" w:rsidRPr="00967A52">
              <w:rPr>
                <w:rFonts w:ascii="Times New Roman" w:hAnsi="Times New Roman" w:cs="Times New Roman"/>
                <w:sz w:val="24"/>
                <w:szCs w:val="24"/>
              </w:rPr>
              <w:t>izvērtēt atbalsta pretendentu</w:t>
            </w:r>
            <w:r w:rsidRPr="00967A52">
              <w:rPr>
                <w:rFonts w:ascii="Times New Roman" w:hAnsi="Times New Roman" w:cs="Times New Roman"/>
                <w:sz w:val="24"/>
                <w:szCs w:val="24"/>
              </w:rPr>
              <w:t xml:space="preserve"> atbilstībai grūtībās nonākuša komersanta pazīmēm.</w:t>
            </w:r>
          </w:p>
          <w:p w:rsidR="00221970" w:rsidRPr="00967A52" w:rsidRDefault="00221970" w:rsidP="004432DB">
            <w:pPr>
              <w:pStyle w:val="ListParagraph"/>
              <w:spacing w:after="0" w:line="240" w:lineRule="auto"/>
              <w:ind w:left="0"/>
              <w:jc w:val="both"/>
              <w:rPr>
                <w:rFonts w:ascii="Times New Roman" w:hAnsi="Times New Roman" w:cs="Times New Roman"/>
                <w:sz w:val="24"/>
                <w:szCs w:val="24"/>
              </w:rPr>
            </w:pPr>
            <w:r w:rsidRPr="00967A52">
              <w:rPr>
                <w:rFonts w:ascii="Times New Roman" w:hAnsi="Times New Roman" w:cs="Times New Roman"/>
                <w:sz w:val="24"/>
                <w:szCs w:val="24"/>
              </w:rPr>
              <w:tab/>
              <w:t xml:space="preserve">Ekonomikas ministrija papildus informē, ņemot vērā, ka 2.3.1.1.2.apakšaktivitātes ietvaros nav plānota jaunu projektu iesniegumu pieņemšana, </w:t>
            </w:r>
            <w:r w:rsidR="00CB051A" w:rsidRPr="00967A52">
              <w:rPr>
                <w:rFonts w:ascii="Times New Roman" w:hAnsi="Times New Roman" w:cs="Times New Roman"/>
                <w:sz w:val="24"/>
                <w:szCs w:val="24"/>
              </w:rPr>
              <w:t>tad</w:t>
            </w:r>
            <w:r w:rsidRPr="00967A52">
              <w:rPr>
                <w:rFonts w:ascii="Times New Roman" w:hAnsi="Times New Roman" w:cs="Times New Roman"/>
                <w:sz w:val="24"/>
                <w:szCs w:val="24"/>
              </w:rPr>
              <w:t xml:space="preserve"> MK noteikumu Nr.887 pielikumi netiek grozīti, kas saistīts ar latu valūtas maiņu uz </w:t>
            </w:r>
            <w:r w:rsidRPr="00967A52">
              <w:rPr>
                <w:rFonts w:ascii="Times New Roman" w:hAnsi="Times New Roman" w:cs="Times New Roman"/>
                <w:i/>
                <w:sz w:val="24"/>
                <w:szCs w:val="24"/>
              </w:rPr>
              <w:t xml:space="preserve">euro </w:t>
            </w:r>
            <w:r w:rsidRPr="00967A52">
              <w:rPr>
                <w:rFonts w:ascii="Times New Roman" w:hAnsi="Times New Roman" w:cs="Times New Roman"/>
                <w:sz w:val="24"/>
                <w:szCs w:val="24"/>
              </w:rPr>
              <w:t>valūtu.</w:t>
            </w:r>
          </w:p>
        </w:tc>
      </w:tr>
      <w:tr w:rsidR="00956521" w:rsidRPr="00967A52" w:rsidTr="00221970">
        <w:trPr>
          <w:trHeight w:val="360"/>
        </w:trPr>
        <w:tc>
          <w:tcPr>
            <w:tcW w:w="198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3105D9">
            <w:pPr>
              <w:spacing w:after="0"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lastRenderedPageBreak/>
              <w:t xml:space="preserve">3. </w:t>
            </w:r>
            <w:r w:rsidR="00EE419A" w:rsidRPr="00967A52">
              <w:rPr>
                <w:rFonts w:ascii="Times New Roman" w:eastAsia="Times New Roman" w:hAnsi="Times New Roman" w:cs="Times New Roman"/>
                <w:sz w:val="24"/>
                <w:szCs w:val="24"/>
                <w:lang w:eastAsia="lv-LV"/>
              </w:rPr>
              <w:t>Projekta izstrādē iesaistītās institūcijas</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415FB0" w:rsidP="003105D9">
            <w:pPr>
              <w:spacing w:after="0" w:line="240" w:lineRule="auto"/>
              <w:ind w:firstLine="567"/>
              <w:jc w:val="both"/>
              <w:rPr>
                <w:rFonts w:ascii="Times New Roman" w:eastAsia="Calibri" w:hAnsi="Times New Roman" w:cs="Times New Roman"/>
                <w:color w:val="000000"/>
                <w:sz w:val="24"/>
                <w:szCs w:val="24"/>
              </w:rPr>
            </w:pPr>
            <w:r w:rsidRPr="00967A52">
              <w:rPr>
                <w:rFonts w:ascii="Times New Roman" w:eastAsia="Calibri" w:hAnsi="Times New Roman" w:cs="Times New Roman"/>
                <w:color w:val="000000"/>
                <w:sz w:val="24"/>
                <w:szCs w:val="24"/>
              </w:rPr>
              <w:t>Ekonomikas ministrija</w:t>
            </w:r>
          </w:p>
        </w:tc>
      </w:tr>
      <w:tr w:rsidR="00956521" w:rsidRPr="00967A52" w:rsidTr="00221970">
        <w:tc>
          <w:tcPr>
            <w:tcW w:w="198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EE419A" w:rsidP="003105D9">
            <w:pPr>
              <w:spacing w:after="0"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 4</w:t>
            </w:r>
            <w:r w:rsidR="00956521" w:rsidRPr="00967A52">
              <w:rPr>
                <w:rFonts w:ascii="Times New Roman" w:eastAsia="Times New Roman" w:hAnsi="Times New Roman" w:cs="Times New Roman"/>
                <w:sz w:val="24"/>
                <w:szCs w:val="24"/>
                <w:lang w:eastAsia="lv-LV"/>
              </w:rPr>
              <w:t>. Cita informācija</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8A1411" w:rsidRPr="00967A52" w:rsidRDefault="003105D9" w:rsidP="003105D9">
            <w:pPr>
              <w:pStyle w:val="ListParagraph"/>
              <w:tabs>
                <w:tab w:val="left" w:pos="199"/>
              </w:tabs>
              <w:spacing w:after="0" w:line="240" w:lineRule="auto"/>
              <w:ind w:left="0"/>
              <w:jc w:val="both"/>
              <w:rPr>
                <w:rFonts w:ascii="Times New Roman" w:hAnsi="Times New Roman" w:cs="Times New Roman"/>
                <w:sz w:val="24"/>
                <w:szCs w:val="24"/>
              </w:rPr>
            </w:pPr>
            <w:r w:rsidRPr="00967A52">
              <w:rPr>
                <w:rFonts w:ascii="Times New Roman" w:hAnsi="Times New Roman" w:cs="Times New Roman"/>
                <w:sz w:val="24"/>
                <w:szCs w:val="24"/>
              </w:rPr>
              <w:t>Nav</w:t>
            </w:r>
          </w:p>
        </w:tc>
      </w:tr>
    </w:tbl>
    <w:p w:rsidR="00956521" w:rsidRPr="00967A52" w:rsidRDefault="00956521" w:rsidP="003105D9">
      <w:pPr>
        <w:spacing w:after="0" w:line="240" w:lineRule="auto"/>
        <w:rPr>
          <w:rFonts w:ascii="Times New Roman" w:eastAsia="Arial Unicode MS" w:hAnsi="Times New Roman" w:cs="Times New Roman"/>
          <w:b/>
          <w:sz w:val="26"/>
          <w:szCs w:val="26"/>
        </w:rPr>
      </w:pPr>
    </w:p>
    <w:tbl>
      <w:tblPr>
        <w:tblpPr w:leftFromText="180" w:rightFromText="180" w:bottomFromText="200" w:vertAnchor="text" w:horzAnchor="margin" w:tblpXSpec="center" w:tblpY="149"/>
        <w:tblW w:w="84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847"/>
        <w:gridCol w:w="4111"/>
      </w:tblGrid>
      <w:tr w:rsidR="00956521" w:rsidRPr="00967A52" w:rsidTr="00221970">
        <w:tc>
          <w:tcPr>
            <w:tcW w:w="841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967A52" w:rsidRDefault="00EE419A" w:rsidP="00F46334">
            <w:pPr>
              <w:spacing w:after="0" w:line="240" w:lineRule="auto"/>
              <w:jc w:val="center"/>
              <w:rPr>
                <w:rFonts w:ascii="Times New Roman" w:eastAsia="Times New Roman" w:hAnsi="Times New Roman" w:cs="Times New Roman"/>
                <w:b/>
                <w:bCs/>
                <w:sz w:val="24"/>
                <w:szCs w:val="24"/>
                <w:lang w:eastAsia="lv-LV"/>
              </w:rPr>
            </w:pPr>
            <w:r w:rsidRPr="00967A5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56521" w:rsidRPr="00967A52" w:rsidTr="00221970">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F46334">
            <w:pPr>
              <w:spacing w:after="0"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1.</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EE419A" w:rsidP="00F46334">
            <w:pPr>
              <w:spacing w:after="0"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 xml:space="preserve">Sabiedrības </w:t>
            </w:r>
            <w:proofErr w:type="spellStart"/>
            <w:r w:rsidRPr="00967A52">
              <w:rPr>
                <w:rFonts w:ascii="Times New Roman" w:eastAsia="Times New Roman" w:hAnsi="Times New Roman" w:cs="Times New Roman"/>
                <w:sz w:val="24"/>
                <w:szCs w:val="24"/>
                <w:lang w:eastAsia="lv-LV"/>
              </w:rPr>
              <w:t>mērķgrupas</w:t>
            </w:r>
            <w:proofErr w:type="spellEnd"/>
            <w:r w:rsidRPr="00967A52">
              <w:rPr>
                <w:rFonts w:ascii="Times New Roman" w:eastAsia="Times New Roman" w:hAnsi="Times New Roman" w:cs="Times New Roman"/>
                <w:sz w:val="24"/>
                <w:szCs w:val="24"/>
                <w:lang w:eastAsia="lv-LV"/>
              </w:rPr>
              <w:t>, kuras tiesiskais regulējums ietekmē vai varētu ietekmēt</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3105D9" w:rsidP="00F46334">
            <w:pPr>
              <w:spacing w:before="75" w:after="75" w:line="240" w:lineRule="auto"/>
              <w:ind w:firstLine="450"/>
              <w:jc w:val="both"/>
              <w:rPr>
                <w:rFonts w:ascii="Times New Roman" w:eastAsia="Times New Roman" w:hAnsi="Times New Roman" w:cs="Times New Roman"/>
                <w:iCs/>
                <w:sz w:val="24"/>
                <w:szCs w:val="24"/>
                <w:lang w:eastAsia="lv-LV"/>
              </w:rPr>
            </w:pPr>
            <w:r w:rsidRPr="00967A52">
              <w:rPr>
                <w:rFonts w:ascii="Times New Roman" w:eastAsia="Times New Roman" w:hAnsi="Times New Roman" w:cs="Times New Roman"/>
                <w:iCs/>
                <w:sz w:val="24"/>
                <w:szCs w:val="24"/>
                <w:lang w:eastAsia="lv-LV"/>
              </w:rPr>
              <w:t xml:space="preserve">Komersanti, biedrības, nodibinājumi, kooperatīvās sabiedrības, ostu pārvaldes un pašvaldības. </w:t>
            </w:r>
          </w:p>
        </w:tc>
      </w:tr>
      <w:tr w:rsidR="00956521" w:rsidRPr="00967A52" w:rsidTr="00221970">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F46334">
            <w:pPr>
              <w:spacing w:after="0"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2.</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EE419A" w:rsidP="00F46334">
            <w:pPr>
              <w:spacing w:after="0"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Tiesiskā regulējuma ietekme uz tautsaimniecību un administratīvo slogu</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F46334">
            <w:pPr>
              <w:spacing w:after="0" w:line="240" w:lineRule="auto"/>
              <w:ind w:firstLine="450"/>
              <w:jc w:val="both"/>
              <w:rPr>
                <w:rFonts w:ascii="Times New Roman" w:eastAsia="Times New Roman" w:hAnsi="Times New Roman" w:cs="Times New Roman"/>
                <w:sz w:val="24"/>
                <w:szCs w:val="24"/>
                <w:lang w:eastAsia="lv-LV"/>
              </w:rPr>
            </w:pPr>
            <w:r w:rsidRPr="00967A52">
              <w:rPr>
                <w:rFonts w:ascii="Times New Roman" w:eastAsia="Times New Roman" w:hAnsi="Times New Roman" w:cs="Times New Roman"/>
                <w:iCs/>
                <w:sz w:val="24"/>
                <w:szCs w:val="24"/>
                <w:lang w:eastAsia="lv-LV"/>
              </w:rPr>
              <w:t>Projekts šo jomu neskar.</w:t>
            </w:r>
          </w:p>
        </w:tc>
      </w:tr>
      <w:tr w:rsidR="00956521" w:rsidRPr="00967A52" w:rsidTr="00221970">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F46334">
            <w:pPr>
              <w:spacing w:after="0"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3.</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EE419A" w:rsidP="00F46334">
            <w:pPr>
              <w:spacing w:after="0"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Administratīvo izmaksu monetārs novērtējums</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415FB0" w:rsidP="00F46334">
            <w:pPr>
              <w:spacing w:after="0" w:line="240" w:lineRule="auto"/>
              <w:ind w:firstLine="450"/>
              <w:jc w:val="both"/>
              <w:rPr>
                <w:rFonts w:ascii="Times New Roman" w:eastAsia="Times New Roman" w:hAnsi="Times New Roman" w:cs="Times New Roman"/>
                <w:sz w:val="24"/>
                <w:szCs w:val="24"/>
                <w:lang w:eastAsia="lv-LV"/>
              </w:rPr>
            </w:pPr>
            <w:r w:rsidRPr="00967A52">
              <w:rPr>
                <w:rFonts w:ascii="Times New Roman" w:eastAsia="Times New Roman" w:hAnsi="Times New Roman" w:cs="Times New Roman"/>
                <w:color w:val="000000"/>
                <w:sz w:val="24"/>
                <w:szCs w:val="24"/>
                <w:lang w:eastAsia="lv-LV"/>
              </w:rPr>
              <w:t>Projekts šo jomu neskar.</w:t>
            </w:r>
          </w:p>
        </w:tc>
      </w:tr>
      <w:tr w:rsidR="00956521" w:rsidRPr="00967A52" w:rsidTr="00221970">
        <w:trPr>
          <w:trHeight w:val="381"/>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F46334">
            <w:pPr>
              <w:spacing w:after="0"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4.</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EE419A" w:rsidP="00F46334">
            <w:pPr>
              <w:spacing w:after="0"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Cita informācija</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EE419A" w:rsidP="00F46334">
            <w:pPr>
              <w:spacing w:after="0" w:line="240" w:lineRule="auto"/>
              <w:ind w:firstLine="450"/>
              <w:jc w:val="both"/>
              <w:rPr>
                <w:rFonts w:ascii="Times New Roman" w:eastAsia="Times New Roman" w:hAnsi="Times New Roman" w:cs="Times New Roman"/>
                <w:iCs/>
                <w:sz w:val="24"/>
                <w:szCs w:val="24"/>
                <w:lang w:eastAsia="lv-LV"/>
              </w:rPr>
            </w:pPr>
            <w:r w:rsidRPr="00967A52">
              <w:rPr>
                <w:rFonts w:ascii="Times New Roman" w:eastAsia="Times New Roman" w:hAnsi="Times New Roman" w:cs="Times New Roman"/>
                <w:color w:val="000000"/>
                <w:sz w:val="24"/>
                <w:szCs w:val="24"/>
                <w:lang w:eastAsia="lv-LV"/>
              </w:rPr>
              <w:t>Nav</w:t>
            </w:r>
          </w:p>
        </w:tc>
      </w:tr>
    </w:tbl>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1841"/>
        <w:gridCol w:w="6097"/>
      </w:tblGrid>
      <w:tr w:rsidR="00956521" w:rsidRPr="00967A52" w:rsidTr="003105D9">
        <w:tc>
          <w:tcPr>
            <w:tcW w:w="426" w:type="dxa"/>
            <w:tcBorders>
              <w:top w:val="thickThinLargeGap" w:sz="6" w:space="0" w:color="C0C0C0"/>
              <w:left w:val="thickThinLargeGap" w:sz="6" w:space="0" w:color="C0C0C0"/>
              <w:bottom w:val="thickThinLargeGap" w:sz="6" w:space="0" w:color="C0C0C0"/>
              <w:right w:val="nil"/>
            </w:tcBorders>
          </w:tcPr>
          <w:p w:rsidR="00956521" w:rsidRPr="00967A52" w:rsidRDefault="00956521" w:rsidP="00F46334">
            <w:pPr>
              <w:spacing w:after="0" w:line="240" w:lineRule="auto"/>
              <w:ind w:firstLine="720"/>
              <w:jc w:val="center"/>
              <w:rPr>
                <w:rFonts w:ascii="Times New Roman" w:eastAsia="Calibri" w:hAnsi="Times New Roman" w:cs="Times New Roman"/>
                <w:b/>
                <w:sz w:val="24"/>
                <w:szCs w:val="24"/>
                <w:lang w:eastAsia="lv-LV"/>
              </w:rPr>
            </w:pPr>
          </w:p>
        </w:tc>
        <w:tc>
          <w:tcPr>
            <w:tcW w:w="7938" w:type="dxa"/>
            <w:gridSpan w:val="2"/>
            <w:tcBorders>
              <w:top w:val="thickThinLargeGap" w:sz="6" w:space="0" w:color="C0C0C0"/>
              <w:left w:val="nil"/>
              <w:bottom w:val="thickThinLargeGap" w:sz="6" w:space="0" w:color="C0C0C0"/>
              <w:right w:val="thickThinLargeGap" w:sz="6" w:space="0" w:color="C0C0C0"/>
            </w:tcBorders>
            <w:hideMark/>
          </w:tcPr>
          <w:p w:rsidR="00956521" w:rsidRPr="00967A52" w:rsidRDefault="00956521" w:rsidP="00F46334">
            <w:pPr>
              <w:spacing w:after="0" w:line="240" w:lineRule="auto"/>
              <w:rPr>
                <w:rFonts w:ascii="Times New Roman" w:eastAsia="Calibri" w:hAnsi="Times New Roman" w:cs="Times New Roman"/>
                <w:b/>
                <w:sz w:val="24"/>
                <w:szCs w:val="24"/>
                <w:lang w:eastAsia="lv-LV"/>
              </w:rPr>
            </w:pPr>
            <w:r w:rsidRPr="00967A52">
              <w:rPr>
                <w:rFonts w:ascii="Times New Roman" w:eastAsia="Calibri" w:hAnsi="Times New Roman" w:cs="Times New Roman"/>
                <w:b/>
                <w:sz w:val="24"/>
                <w:szCs w:val="24"/>
                <w:lang w:eastAsia="lv-LV"/>
              </w:rPr>
              <w:t>IV. Tiesību akta projekta ietekme uz spēkā esošo tiesību normu sistēmu</w:t>
            </w:r>
          </w:p>
        </w:tc>
      </w:tr>
      <w:tr w:rsidR="00956521" w:rsidRPr="00967A52" w:rsidTr="003105D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F46334">
            <w:pPr>
              <w:spacing w:after="0" w:line="240" w:lineRule="auto"/>
              <w:jc w:val="both"/>
              <w:rPr>
                <w:rFonts w:ascii="Times New Roman" w:eastAsia="Calibri" w:hAnsi="Times New Roman" w:cs="Times New Roman"/>
                <w:sz w:val="24"/>
                <w:szCs w:val="24"/>
                <w:lang w:eastAsia="lv-LV"/>
              </w:rPr>
            </w:pPr>
            <w:r w:rsidRPr="00967A52">
              <w:rPr>
                <w:rFonts w:ascii="Times New Roman" w:eastAsia="Calibri" w:hAnsi="Times New Roman" w:cs="Times New Roman"/>
                <w:sz w:val="24"/>
                <w:szCs w:val="24"/>
                <w:lang w:eastAsia="lv-LV"/>
              </w:rPr>
              <w:t>1.</w:t>
            </w:r>
          </w:p>
        </w:tc>
        <w:tc>
          <w:tcPr>
            <w:tcW w:w="1841" w:type="dxa"/>
            <w:tcBorders>
              <w:top w:val="thickThinLargeGap" w:sz="6" w:space="0" w:color="C0C0C0"/>
              <w:left w:val="nil"/>
              <w:bottom w:val="thickThinLargeGap" w:sz="6" w:space="0" w:color="C0C0C0"/>
              <w:right w:val="thickThinLargeGap" w:sz="6" w:space="0" w:color="C0C0C0"/>
            </w:tcBorders>
            <w:hideMark/>
          </w:tcPr>
          <w:p w:rsidR="00956521" w:rsidRPr="00967A52" w:rsidRDefault="00956521" w:rsidP="00F46334">
            <w:pPr>
              <w:spacing w:after="0" w:line="240" w:lineRule="auto"/>
              <w:jc w:val="both"/>
              <w:rPr>
                <w:rFonts w:ascii="Times New Roman" w:eastAsia="Calibri" w:hAnsi="Times New Roman" w:cs="Times New Roman"/>
                <w:sz w:val="24"/>
                <w:szCs w:val="24"/>
                <w:lang w:eastAsia="lv-LV"/>
              </w:rPr>
            </w:pPr>
            <w:r w:rsidRPr="00967A52">
              <w:rPr>
                <w:rFonts w:ascii="Times New Roman" w:eastAsia="Calibri" w:hAnsi="Times New Roman" w:cs="Times New Roman"/>
                <w:sz w:val="24"/>
                <w:szCs w:val="24"/>
                <w:lang w:eastAsia="lv-LV"/>
              </w:rPr>
              <w:t>Nepieciešamie saistītie tiesību aktu projekti</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3105D9" w:rsidP="00F46334">
            <w:pPr>
              <w:spacing w:after="0" w:line="240" w:lineRule="auto"/>
              <w:ind w:firstLine="426"/>
              <w:jc w:val="both"/>
              <w:rPr>
                <w:rFonts w:ascii="Times New Roman" w:eastAsia="Calibri" w:hAnsi="Times New Roman" w:cs="Times New Roman"/>
                <w:bCs/>
                <w:sz w:val="24"/>
                <w:szCs w:val="24"/>
              </w:rPr>
            </w:pPr>
            <w:r w:rsidRPr="00967A52">
              <w:rPr>
                <w:rFonts w:ascii="Times New Roman" w:eastAsia="Calibri" w:hAnsi="Times New Roman" w:cs="Times New Roman"/>
                <w:bCs/>
                <w:sz w:val="24"/>
                <w:szCs w:val="24"/>
              </w:rPr>
              <w:t xml:space="preserve">Nepieciešams veikt grozījumus </w:t>
            </w:r>
            <w:r w:rsidRPr="00967A52">
              <w:rPr>
                <w:rFonts w:ascii="Times New Roman" w:hAnsi="Times New Roman" w:cs="Times New Roman"/>
                <w:sz w:val="24"/>
                <w:szCs w:val="24"/>
              </w:rPr>
              <w:t>darbības programmas „Uzņēmējdarbība un inovācijas” papildinājumā</w:t>
            </w:r>
            <w:r w:rsidRPr="00967A52">
              <w:rPr>
                <w:rFonts w:ascii="Times New Roman" w:hAnsi="Times New Roman" w:cs="Times New Roman"/>
                <w:bCs/>
                <w:sz w:val="24"/>
                <w:szCs w:val="24"/>
              </w:rPr>
              <w:t>.</w:t>
            </w:r>
          </w:p>
        </w:tc>
      </w:tr>
      <w:tr w:rsidR="00E70ADF" w:rsidRPr="00967A52" w:rsidTr="003105D9">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E70ADF" w:rsidRPr="00967A52" w:rsidRDefault="00E70ADF" w:rsidP="00F46334">
            <w:pPr>
              <w:spacing w:after="0" w:line="240" w:lineRule="auto"/>
              <w:jc w:val="both"/>
              <w:rPr>
                <w:rFonts w:ascii="Times New Roman" w:eastAsia="Calibri" w:hAnsi="Times New Roman" w:cs="Times New Roman"/>
                <w:sz w:val="24"/>
                <w:szCs w:val="24"/>
                <w:lang w:eastAsia="lv-LV"/>
              </w:rPr>
            </w:pPr>
            <w:r w:rsidRPr="00967A52">
              <w:rPr>
                <w:rFonts w:ascii="Times New Roman" w:eastAsia="Calibri" w:hAnsi="Times New Roman" w:cs="Times New Roman"/>
                <w:sz w:val="24"/>
                <w:szCs w:val="24"/>
                <w:lang w:eastAsia="lv-LV"/>
              </w:rPr>
              <w:lastRenderedPageBreak/>
              <w:t>2.</w:t>
            </w:r>
          </w:p>
        </w:tc>
        <w:tc>
          <w:tcPr>
            <w:tcW w:w="1841" w:type="dxa"/>
            <w:tcBorders>
              <w:top w:val="thickThinLargeGap" w:sz="6" w:space="0" w:color="C0C0C0"/>
              <w:left w:val="nil"/>
              <w:bottom w:val="thickThinLargeGap" w:sz="6" w:space="0" w:color="C0C0C0"/>
              <w:right w:val="thickThinLargeGap" w:sz="6" w:space="0" w:color="C0C0C0"/>
            </w:tcBorders>
          </w:tcPr>
          <w:p w:rsidR="00E70ADF" w:rsidRPr="00967A52" w:rsidRDefault="00E70ADF" w:rsidP="00F46334">
            <w:pPr>
              <w:spacing w:after="0" w:line="240" w:lineRule="auto"/>
              <w:jc w:val="both"/>
              <w:rPr>
                <w:rFonts w:ascii="Times New Roman" w:eastAsia="Calibri" w:hAnsi="Times New Roman" w:cs="Times New Roman"/>
                <w:sz w:val="24"/>
                <w:szCs w:val="24"/>
                <w:lang w:eastAsia="lv-LV"/>
              </w:rPr>
            </w:pPr>
            <w:r w:rsidRPr="00967A52">
              <w:rPr>
                <w:rFonts w:ascii="Times New Roman" w:eastAsia="Calibri" w:hAnsi="Times New Roman" w:cs="Times New Roman"/>
                <w:sz w:val="24"/>
                <w:szCs w:val="24"/>
                <w:lang w:eastAsia="lv-LV"/>
              </w:rPr>
              <w:t>Atbildīgā institūcija</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tcPr>
          <w:p w:rsidR="00E70ADF" w:rsidRPr="00967A52" w:rsidRDefault="0050657E" w:rsidP="00F46334">
            <w:pPr>
              <w:spacing w:after="0" w:line="240" w:lineRule="auto"/>
              <w:ind w:firstLine="426"/>
              <w:jc w:val="both"/>
              <w:rPr>
                <w:rFonts w:ascii="Times New Roman" w:eastAsia="Calibri" w:hAnsi="Times New Roman" w:cs="Times New Roman"/>
                <w:bCs/>
                <w:sz w:val="24"/>
                <w:szCs w:val="24"/>
              </w:rPr>
            </w:pPr>
            <w:r w:rsidRPr="00967A52">
              <w:rPr>
                <w:rFonts w:ascii="Times New Roman" w:eastAsia="Times New Roman" w:hAnsi="Times New Roman" w:cs="Times New Roman"/>
                <w:iCs/>
                <w:sz w:val="24"/>
                <w:szCs w:val="24"/>
                <w:lang w:eastAsia="lv-LV"/>
              </w:rPr>
              <w:t>Projekts šo jomu neskar.</w:t>
            </w:r>
          </w:p>
        </w:tc>
      </w:tr>
      <w:tr w:rsidR="00956521" w:rsidRPr="00967A52" w:rsidTr="003105D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E70ADF" w:rsidP="00F46334">
            <w:pPr>
              <w:spacing w:after="0" w:line="240" w:lineRule="auto"/>
              <w:jc w:val="both"/>
              <w:rPr>
                <w:rFonts w:ascii="Times New Roman" w:eastAsia="Calibri" w:hAnsi="Times New Roman" w:cs="Times New Roman"/>
                <w:sz w:val="24"/>
                <w:szCs w:val="24"/>
                <w:lang w:eastAsia="lv-LV"/>
              </w:rPr>
            </w:pPr>
            <w:r w:rsidRPr="00967A52">
              <w:rPr>
                <w:rFonts w:ascii="Times New Roman" w:eastAsia="Calibri" w:hAnsi="Times New Roman" w:cs="Times New Roman"/>
                <w:sz w:val="24"/>
                <w:szCs w:val="24"/>
                <w:lang w:eastAsia="lv-LV"/>
              </w:rPr>
              <w:t>3</w:t>
            </w:r>
            <w:r w:rsidR="00956521" w:rsidRPr="00967A52">
              <w:rPr>
                <w:rFonts w:ascii="Times New Roman" w:eastAsia="Calibri" w:hAnsi="Times New Roman" w:cs="Times New Roman"/>
                <w:sz w:val="24"/>
                <w:szCs w:val="24"/>
                <w:lang w:eastAsia="lv-LV"/>
              </w:rPr>
              <w:t>.</w:t>
            </w:r>
          </w:p>
        </w:tc>
        <w:tc>
          <w:tcPr>
            <w:tcW w:w="1841" w:type="dxa"/>
            <w:tcBorders>
              <w:top w:val="thickThinLargeGap" w:sz="6" w:space="0" w:color="C0C0C0"/>
              <w:left w:val="nil"/>
              <w:bottom w:val="thickThinLargeGap" w:sz="6" w:space="0" w:color="C0C0C0"/>
              <w:right w:val="thickThinLargeGap" w:sz="6" w:space="0" w:color="C0C0C0"/>
            </w:tcBorders>
            <w:hideMark/>
          </w:tcPr>
          <w:p w:rsidR="00956521" w:rsidRPr="00967A52" w:rsidRDefault="00956521" w:rsidP="00F46334">
            <w:pPr>
              <w:spacing w:after="0" w:line="240" w:lineRule="auto"/>
              <w:jc w:val="both"/>
              <w:rPr>
                <w:rFonts w:ascii="Times New Roman" w:eastAsia="Calibri" w:hAnsi="Times New Roman" w:cs="Times New Roman"/>
                <w:sz w:val="24"/>
                <w:szCs w:val="24"/>
                <w:lang w:eastAsia="lv-LV"/>
              </w:rPr>
            </w:pPr>
            <w:r w:rsidRPr="00967A52">
              <w:rPr>
                <w:rFonts w:ascii="Times New Roman" w:eastAsia="Calibri" w:hAnsi="Times New Roman" w:cs="Times New Roman"/>
                <w:sz w:val="24"/>
                <w:szCs w:val="24"/>
                <w:lang w:eastAsia="lv-LV"/>
              </w:rPr>
              <w:t>Cita informācija</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hideMark/>
          </w:tcPr>
          <w:p w:rsidR="00D5213A" w:rsidRPr="00967A52" w:rsidRDefault="00D5213A" w:rsidP="00D5213A">
            <w:pPr>
              <w:spacing w:after="0" w:line="240" w:lineRule="auto"/>
              <w:ind w:firstLine="425"/>
              <w:jc w:val="both"/>
              <w:rPr>
                <w:rFonts w:ascii="Times New Roman" w:hAnsi="Times New Roman" w:cs="Times New Roman"/>
                <w:bCs/>
                <w:sz w:val="24"/>
                <w:szCs w:val="24"/>
              </w:rPr>
            </w:pPr>
            <w:r w:rsidRPr="00967A52">
              <w:rPr>
                <w:rFonts w:ascii="Times New Roman" w:eastAsia="Calibri" w:hAnsi="Times New Roman" w:cs="Times New Roman"/>
                <w:sz w:val="24"/>
                <w:szCs w:val="24"/>
              </w:rPr>
              <w:t>Grozījumi</w:t>
            </w:r>
            <w:r w:rsidRPr="00967A52">
              <w:rPr>
                <w:rFonts w:ascii="Times New Roman" w:hAnsi="Times New Roman" w:cs="Times New Roman"/>
                <w:sz w:val="24"/>
                <w:szCs w:val="24"/>
              </w:rPr>
              <w:t xml:space="preserve"> darbības programmas „Uzņēmējdarbība un inovācijas” papildinājumā</w:t>
            </w:r>
            <w:r w:rsidRPr="00967A52">
              <w:rPr>
                <w:rFonts w:ascii="Times New Roman" w:hAnsi="Times New Roman" w:cs="Times New Roman"/>
                <w:bCs/>
                <w:sz w:val="24"/>
                <w:szCs w:val="24"/>
              </w:rPr>
              <w:t xml:space="preserve"> tiek izstrādāti un iesniegti izskatīšanai Ministru kabinetā paralēli ar </w:t>
            </w:r>
            <w:r w:rsidRPr="00967A52">
              <w:rPr>
                <w:rFonts w:ascii="Times New Roman" w:hAnsi="Times New Roman" w:cs="Times New Roman"/>
                <w:sz w:val="24"/>
                <w:szCs w:val="24"/>
              </w:rPr>
              <w:t>Ministru kabineta noteikumu projektu „</w:t>
            </w:r>
            <w:r w:rsidRPr="00967A52">
              <w:rPr>
                <w:rFonts w:ascii="Times New Roman" w:hAnsi="Times New Roman" w:cs="Times New Roman"/>
                <w:bCs/>
                <w:sz w:val="24"/>
                <w:szCs w:val="24"/>
              </w:rPr>
              <w:t>Grozījumi 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w:t>
            </w:r>
          </w:p>
          <w:p w:rsidR="00956521" w:rsidRPr="00967A52" w:rsidRDefault="00D5213A" w:rsidP="00D5213A">
            <w:pPr>
              <w:spacing w:after="0" w:line="240" w:lineRule="auto"/>
              <w:ind w:firstLine="425"/>
              <w:jc w:val="both"/>
              <w:rPr>
                <w:rFonts w:ascii="Times New Roman" w:eastAsia="Calibri" w:hAnsi="Times New Roman" w:cs="Times New Roman"/>
                <w:sz w:val="24"/>
                <w:szCs w:val="24"/>
                <w:lang w:eastAsia="lv-LV"/>
              </w:rPr>
            </w:pPr>
            <w:r w:rsidRPr="00967A52">
              <w:rPr>
                <w:rFonts w:ascii="Times New Roman" w:hAnsi="Times New Roman" w:cs="Times New Roman"/>
                <w:bCs/>
                <w:sz w:val="24"/>
                <w:szCs w:val="24"/>
              </w:rPr>
              <w:t xml:space="preserve">Saskaņā ar Ministru kabineta 2014.gada 11.februāra sēdes protokola Nr.8 8.§ 4.5.apakšpunktu, grozījumi </w:t>
            </w:r>
            <w:r w:rsidR="00CB051A" w:rsidRPr="00967A52">
              <w:rPr>
                <w:rFonts w:ascii="Times New Roman" w:hAnsi="Times New Roman" w:cs="Times New Roman"/>
                <w:sz w:val="24"/>
                <w:szCs w:val="24"/>
                <w:shd w:val="clear" w:color="auto" w:fill="FFFFFF"/>
              </w:rPr>
              <w:t>2.3.2.2.1.apakšaktivitātē „</w:t>
            </w:r>
            <w:r w:rsidRPr="00967A52">
              <w:rPr>
                <w:rFonts w:ascii="Times New Roman" w:hAnsi="Times New Roman" w:cs="Times New Roman"/>
                <w:sz w:val="24"/>
                <w:szCs w:val="24"/>
                <w:shd w:val="clear" w:color="auto" w:fill="FFFFFF"/>
              </w:rPr>
              <w:t>Atbalsts ieguldījumiem mikro, maziem un vidējiem komersantiem ī</w:t>
            </w:r>
            <w:r w:rsidR="00CB051A" w:rsidRPr="00967A52">
              <w:rPr>
                <w:rFonts w:ascii="Times New Roman" w:hAnsi="Times New Roman" w:cs="Times New Roman"/>
                <w:sz w:val="24"/>
                <w:szCs w:val="24"/>
                <w:shd w:val="clear" w:color="auto" w:fill="FFFFFF"/>
              </w:rPr>
              <w:t>paši atbalstāmajās teritorijās””</w:t>
            </w:r>
            <w:r w:rsidRPr="00967A52">
              <w:rPr>
                <w:rFonts w:ascii="Times New Roman" w:hAnsi="Times New Roman" w:cs="Times New Roman"/>
                <w:sz w:val="24"/>
                <w:szCs w:val="24"/>
                <w:shd w:val="clear" w:color="auto" w:fill="FFFFFF"/>
              </w:rPr>
              <w:t xml:space="preserve"> nav nepieciešami, jo apakšaktivitātes ietvaros jaunas projektu iesniegumu atlases kārtas nav vairs paredzētas.</w:t>
            </w:r>
          </w:p>
        </w:tc>
      </w:tr>
    </w:tbl>
    <w:p w:rsidR="00956521" w:rsidRPr="00967A52" w:rsidRDefault="00956521" w:rsidP="00F46334">
      <w:pPr>
        <w:tabs>
          <w:tab w:val="left" w:pos="6710"/>
        </w:tabs>
        <w:spacing w:after="0" w:line="240" w:lineRule="auto"/>
        <w:rPr>
          <w:rFonts w:ascii="Times New Roman" w:eastAsia="Times New Roman" w:hAnsi="Times New Roman" w:cs="Times New Roman"/>
          <w:sz w:val="26"/>
          <w:szCs w:val="26"/>
          <w:lang w:eastAsia="lv-LV"/>
        </w:rPr>
      </w:pPr>
    </w:p>
    <w:tbl>
      <w:tblPr>
        <w:tblW w:w="4916" w:type="pct"/>
        <w:tblCellSpacing w:w="15" w:type="dxa"/>
        <w:tblInd w:w="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59"/>
        <w:gridCol w:w="1148"/>
        <w:gridCol w:w="806"/>
        <w:gridCol w:w="796"/>
        <w:gridCol w:w="67"/>
        <w:gridCol w:w="1871"/>
        <w:gridCol w:w="3267"/>
      </w:tblGrid>
      <w:tr w:rsidR="00956521" w:rsidRPr="00967A52" w:rsidTr="00C172FA">
        <w:trPr>
          <w:trHeight w:val="445"/>
          <w:tblCellSpacing w:w="15" w:type="dxa"/>
        </w:trPr>
        <w:tc>
          <w:tcPr>
            <w:tcW w:w="4964" w:type="pct"/>
            <w:gridSpan w:val="7"/>
            <w:tcBorders>
              <w:top w:val="outset" w:sz="6" w:space="0" w:color="auto"/>
              <w:left w:val="outset" w:sz="6" w:space="0" w:color="auto"/>
              <w:bottom w:val="outset" w:sz="6" w:space="0" w:color="auto"/>
              <w:right w:val="outset" w:sz="6" w:space="0" w:color="auto"/>
            </w:tcBorders>
            <w:hideMark/>
          </w:tcPr>
          <w:p w:rsidR="00956521" w:rsidRPr="00967A52" w:rsidRDefault="00956521" w:rsidP="00F46334">
            <w:pPr>
              <w:spacing w:line="240" w:lineRule="auto"/>
              <w:jc w:val="center"/>
              <w:rPr>
                <w:rFonts w:ascii="Times New Roman" w:eastAsia="Times New Roman" w:hAnsi="Times New Roman" w:cs="Times New Roman"/>
                <w:b/>
                <w:bCs/>
                <w:sz w:val="24"/>
                <w:szCs w:val="24"/>
                <w:lang w:eastAsia="lv-LV"/>
              </w:rPr>
            </w:pPr>
            <w:r w:rsidRPr="00967A52">
              <w:rPr>
                <w:rFonts w:ascii="Times New Roman" w:eastAsia="Times New Roman" w:hAnsi="Times New Roman" w:cs="Times New Roman"/>
                <w:b/>
                <w:bCs/>
                <w:sz w:val="24"/>
                <w:szCs w:val="24"/>
                <w:lang w:eastAsia="lv-LV"/>
              </w:rPr>
              <w:t>V. Tiesību akta projekta atbilstība Latvijas Republikas starptautiskajām saistībām</w:t>
            </w:r>
          </w:p>
        </w:tc>
      </w:tr>
      <w:tr w:rsidR="00D5213A" w:rsidRPr="00967A52" w:rsidTr="00BD45ED">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956521" w:rsidRPr="00967A52" w:rsidRDefault="00956521" w:rsidP="00F46334">
            <w:pPr>
              <w:spacing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1.</w:t>
            </w:r>
          </w:p>
        </w:tc>
        <w:tc>
          <w:tcPr>
            <w:tcW w:w="1164" w:type="pct"/>
            <w:gridSpan w:val="2"/>
            <w:tcBorders>
              <w:top w:val="outset" w:sz="6" w:space="0" w:color="auto"/>
              <w:left w:val="outset" w:sz="6" w:space="0" w:color="auto"/>
              <w:bottom w:val="outset" w:sz="6" w:space="0" w:color="auto"/>
              <w:right w:val="outset" w:sz="6" w:space="0" w:color="auto"/>
            </w:tcBorders>
            <w:hideMark/>
          </w:tcPr>
          <w:p w:rsidR="00956521" w:rsidRPr="00967A52" w:rsidRDefault="00956521" w:rsidP="00F46334">
            <w:pPr>
              <w:spacing w:line="240" w:lineRule="auto"/>
              <w:jc w:val="both"/>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Saistības pret Eiropas Savienību</w:t>
            </w:r>
          </w:p>
        </w:tc>
        <w:tc>
          <w:tcPr>
            <w:tcW w:w="3570" w:type="pct"/>
            <w:gridSpan w:val="4"/>
            <w:tcBorders>
              <w:top w:val="outset" w:sz="6" w:space="0" w:color="auto"/>
              <w:left w:val="outset" w:sz="6" w:space="0" w:color="auto"/>
              <w:bottom w:val="outset" w:sz="6" w:space="0" w:color="auto"/>
              <w:right w:val="outset" w:sz="6" w:space="0" w:color="auto"/>
            </w:tcBorders>
            <w:hideMark/>
          </w:tcPr>
          <w:p w:rsidR="0086083A" w:rsidRPr="00967A52" w:rsidRDefault="00DF4C0E" w:rsidP="00636C52">
            <w:pPr>
              <w:pStyle w:val="naiskr"/>
              <w:spacing w:before="0" w:after="0"/>
              <w:jc w:val="both"/>
              <w:rPr>
                <w:lang w:eastAsia="en-US"/>
              </w:rPr>
            </w:pPr>
            <w:r w:rsidRPr="00DF4C0E">
              <w:t>Komisijas 2013.gada 18.decembra Regul</w:t>
            </w:r>
            <w:r>
              <w:t>a</w:t>
            </w:r>
            <w:r w:rsidRPr="00DF4C0E">
              <w:t xml:space="preserve"> (E</w:t>
            </w:r>
            <w:r w:rsidR="00636C52">
              <w:t>S</w:t>
            </w:r>
            <w:r w:rsidRPr="00DF4C0E">
              <w:t xml:space="preserve">) Nr.1407/2013 par Līguma par Eiropas Savienības darbību 107. un 108. panta piemērošanu de minimis atbalstam (Eiropas Savienības Oficiālais Vēstnesis, 2013.gada 24.decembris, </w:t>
            </w:r>
            <w:proofErr w:type="spellStart"/>
            <w:r w:rsidRPr="00DF4C0E">
              <w:t>Nr</w:t>
            </w:r>
            <w:proofErr w:type="spellEnd"/>
            <w:r w:rsidRPr="00DF4C0E">
              <w:t>. L 352)</w:t>
            </w:r>
            <w:r w:rsidR="00CB3AED" w:rsidRPr="00967A52">
              <w:t xml:space="preserve"> </w:t>
            </w:r>
          </w:p>
        </w:tc>
      </w:tr>
      <w:tr w:rsidR="00D5213A" w:rsidRPr="00967A52" w:rsidTr="00BD45ED">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956521" w:rsidRPr="00967A52" w:rsidRDefault="00956521" w:rsidP="00F46334">
            <w:pPr>
              <w:spacing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2.</w:t>
            </w:r>
          </w:p>
        </w:tc>
        <w:tc>
          <w:tcPr>
            <w:tcW w:w="1164" w:type="pct"/>
            <w:gridSpan w:val="2"/>
            <w:tcBorders>
              <w:top w:val="outset" w:sz="6" w:space="0" w:color="auto"/>
              <w:left w:val="outset" w:sz="6" w:space="0" w:color="auto"/>
              <w:bottom w:val="outset" w:sz="6" w:space="0" w:color="auto"/>
              <w:right w:val="outset" w:sz="6" w:space="0" w:color="auto"/>
            </w:tcBorders>
            <w:hideMark/>
          </w:tcPr>
          <w:p w:rsidR="00956521" w:rsidRPr="00967A52" w:rsidRDefault="00956521" w:rsidP="00F46334">
            <w:pPr>
              <w:spacing w:line="240" w:lineRule="auto"/>
              <w:jc w:val="both"/>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Citas starptautiskās saistības</w:t>
            </w:r>
          </w:p>
        </w:tc>
        <w:tc>
          <w:tcPr>
            <w:tcW w:w="3570" w:type="pct"/>
            <w:gridSpan w:val="4"/>
            <w:tcBorders>
              <w:top w:val="outset" w:sz="6" w:space="0" w:color="auto"/>
              <w:left w:val="outset" w:sz="6" w:space="0" w:color="auto"/>
              <w:bottom w:val="outset" w:sz="6" w:space="0" w:color="auto"/>
              <w:right w:val="outset" w:sz="6" w:space="0" w:color="auto"/>
            </w:tcBorders>
            <w:hideMark/>
          </w:tcPr>
          <w:p w:rsidR="00956521" w:rsidRPr="00967A52" w:rsidRDefault="00956521" w:rsidP="00F46334">
            <w:pPr>
              <w:spacing w:line="240" w:lineRule="auto"/>
              <w:jc w:val="both"/>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Noteikumu projekts šo jomu neskar.</w:t>
            </w:r>
          </w:p>
        </w:tc>
      </w:tr>
      <w:tr w:rsidR="00D5213A" w:rsidRPr="00967A52" w:rsidTr="00BD45ED">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956521" w:rsidRPr="00967A52" w:rsidRDefault="00956521" w:rsidP="00F46334">
            <w:pPr>
              <w:spacing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3.</w:t>
            </w:r>
          </w:p>
        </w:tc>
        <w:tc>
          <w:tcPr>
            <w:tcW w:w="1164" w:type="pct"/>
            <w:gridSpan w:val="2"/>
            <w:tcBorders>
              <w:top w:val="outset" w:sz="6" w:space="0" w:color="auto"/>
              <w:left w:val="outset" w:sz="6" w:space="0" w:color="auto"/>
              <w:bottom w:val="outset" w:sz="6" w:space="0" w:color="auto"/>
              <w:right w:val="outset" w:sz="6" w:space="0" w:color="auto"/>
            </w:tcBorders>
            <w:hideMark/>
          </w:tcPr>
          <w:p w:rsidR="00956521" w:rsidRPr="00967A52" w:rsidRDefault="00956521" w:rsidP="00F46334">
            <w:pPr>
              <w:spacing w:line="240" w:lineRule="auto"/>
              <w:jc w:val="both"/>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Cita informācija</w:t>
            </w:r>
          </w:p>
        </w:tc>
        <w:tc>
          <w:tcPr>
            <w:tcW w:w="3570" w:type="pct"/>
            <w:gridSpan w:val="4"/>
            <w:tcBorders>
              <w:top w:val="outset" w:sz="6" w:space="0" w:color="auto"/>
              <w:left w:val="outset" w:sz="6" w:space="0" w:color="auto"/>
              <w:bottom w:val="outset" w:sz="6" w:space="0" w:color="auto"/>
              <w:right w:val="outset" w:sz="6" w:space="0" w:color="auto"/>
            </w:tcBorders>
            <w:hideMark/>
          </w:tcPr>
          <w:p w:rsidR="00956521" w:rsidRPr="00967A52" w:rsidRDefault="00E70ADF" w:rsidP="00F46334">
            <w:pPr>
              <w:spacing w:after="0" w:line="240" w:lineRule="auto"/>
              <w:rPr>
                <w:rFonts w:ascii="Times New Roman" w:hAnsi="Times New Roman" w:cs="Times New Roman"/>
                <w:sz w:val="24"/>
                <w:szCs w:val="24"/>
              </w:rPr>
            </w:pPr>
            <w:r w:rsidRPr="00967A52">
              <w:rPr>
                <w:rFonts w:ascii="Times New Roman" w:hAnsi="Times New Roman" w:cs="Times New Roman"/>
                <w:sz w:val="24"/>
                <w:szCs w:val="24"/>
              </w:rPr>
              <w:t>N</w:t>
            </w:r>
            <w:r w:rsidR="0055170F" w:rsidRPr="00967A52">
              <w:rPr>
                <w:rFonts w:ascii="Times New Roman" w:hAnsi="Times New Roman" w:cs="Times New Roman"/>
                <w:sz w:val="24"/>
                <w:szCs w:val="24"/>
              </w:rPr>
              <w:t>av</w:t>
            </w:r>
          </w:p>
        </w:tc>
      </w:tr>
      <w:tr w:rsidR="00956521" w:rsidRPr="00967A52" w:rsidTr="00C172FA">
        <w:tblPrEx>
          <w:tblBorders>
            <w:insideH w:val="none" w:sz="0" w:space="0" w:color="auto"/>
            <w:insideV w:val="none" w:sz="0" w:space="0" w:color="auto"/>
          </w:tblBorders>
        </w:tblPrEx>
        <w:trPr>
          <w:tblCellSpacing w:w="15" w:type="dxa"/>
        </w:trPr>
        <w:tc>
          <w:tcPr>
            <w:tcW w:w="4964" w:type="pct"/>
            <w:gridSpan w:val="7"/>
            <w:tcBorders>
              <w:top w:val="outset" w:sz="6" w:space="0" w:color="auto"/>
              <w:left w:val="outset" w:sz="6" w:space="0" w:color="auto"/>
              <w:bottom w:val="outset" w:sz="6" w:space="0" w:color="auto"/>
              <w:right w:val="outset" w:sz="6" w:space="0" w:color="auto"/>
            </w:tcBorders>
            <w:vAlign w:val="center"/>
            <w:hideMark/>
          </w:tcPr>
          <w:p w:rsidR="00956521" w:rsidRPr="00967A52" w:rsidRDefault="00956521" w:rsidP="00F46334">
            <w:pPr>
              <w:spacing w:line="240" w:lineRule="auto"/>
              <w:jc w:val="center"/>
              <w:rPr>
                <w:rFonts w:ascii="Times New Roman" w:eastAsia="Times New Roman" w:hAnsi="Times New Roman" w:cs="Times New Roman"/>
                <w:b/>
                <w:bCs/>
                <w:sz w:val="24"/>
                <w:szCs w:val="24"/>
                <w:lang w:eastAsia="lv-LV"/>
              </w:rPr>
            </w:pPr>
            <w:r w:rsidRPr="00967A52">
              <w:rPr>
                <w:rFonts w:ascii="Times New Roman" w:eastAsia="Times New Roman" w:hAnsi="Times New Roman" w:cs="Times New Roman"/>
                <w:sz w:val="24"/>
                <w:szCs w:val="24"/>
                <w:lang w:eastAsia="lv-LV"/>
              </w:rPr>
              <w:t> </w:t>
            </w:r>
            <w:r w:rsidRPr="00967A52">
              <w:rPr>
                <w:rFonts w:ascii="Times New Roman" w:eastAsia="Times New Roman" w:hAnsi="Times New Roman" w:cs="Times New Roman"/>
                <w:b/>
                <w:bCs/>
                <w:sz w:val="24"/>
                <w:szCs w:val="24"/>
                <w:lang w:eastAsia="lv-LV"/>
              </w:rPr>
              <w:t>1.tabula</w:t>
            </w:r>
            <w:r w:rsidRPr="00967A52">
              <w:rPr>
                <w:rFonts w:ascii="Times New Roman" w:eastAsia="Times New Roman" w:hAnsi="Times New Roman" w:cs="Times New Roman"/>
                <w:b/>
                <w:bCs/>
                <w:sz w:val="24"/>
                <w:szCs w:val="24"/>
                <w:lang w:eastAsia="lv-LV"/>
              </w:rPr>
              <w:br/>
              <w:t>Tiesību akta projekta atbilstība ES tiesību aktiem</w:t>
            </w:r>
          </w:p>
        </w:tc>
      </w:tr>
      <w:tr w:rsidR="00956521" w:rsidRPr="00967A52" w:rsidTr="006E1AE1">
        <w:tblPrEx>
          <w:tblBorders>
            <w:insideH w:val="none" w:sz="0" w:space="0" w:color="auto"/>
            <w:insideV w:val="none" w:sz="0" w:space="0" w:color="auto"/>
          </w:tblBorders>
        </w:tblPrEx>
        <w:trPr>
          <w:tblCellSpacing w:w="15" w:type="dxa"/>
        </w:trPr>
        <w:tc>
          <w:tcPr>
            <w:tcW w:w="880" w:type="pct"/>
            <w:gridSpan w:val="2"/>
            <w:tcBorders>
              <w:top w:val="outset" w:sz="6" w:space="0" w:color="auto"/>
              <w:left w:val="outset" w:sz="6" w:space="0" w:color="auto"/>
              <w:bottom w:val="outset" w:sz="6" w:space="0" w:color="auto"/>
              <w:right w:val="outset" w:sz="6" w:space="0" w:color="auto"/>
            </w:tcBorders>
            <w:vAlign w:val="center"/>
            <w:hideMark/>
          </w:tcPr>
          <w:p w:rsidR="00956521" w:rsidRPr="00967A52" w:rsidRDefault="00956521" w:rsidP="00F46334">
            <w:pPr>
              <w:spacing w:line="240" w:lineRule="auto"/>
              <w:jc w:val="both"/>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Attiecīgā ES tiesību akta datums, numurs un nosaukums</w:t>
            </w:r>
          </w:p>
        </w:tc>
        <w:tc>
          <w:tcPr>
            <w:tcW w:w="4066" w:type="pct"/>
            <w:gridSpan w:val="5"/>
            <w:tcBorders>
              <w:top w:val="outset" w:sz="6" w:space="0" w:color="auto"/>
              <w:left w:val="outset" w:sz="6" w:space="0" w:color="auto"/>
              <w:bottom w:val="outset" w:sz="6" w:space="0" w:color="auto"/>
              <w:right w:val="outset" w:sz="6" w:space="0" w:color="auto"/>
            </w:tcBorders>
            <w:vAlign w:val="center"/>
            <w:hideMark/>
          </w:tcPr>
          <w:p w:rsidR="00956521" w:rsidRPr="00967A52" w:rsidRDefault="00DF4C0E" w:rsidP="00636C52">
            <w:pPr>
              <w:pStyle w:val="naiskr"/>
              <w:spacing w:before="0" w:after="0"/>
              <w:jc w:val="both"/>
              <w:rPr>
                <w:lang w:eastAsia="en-US"/>
              </w:rPr>
            </w:pPr>
            <w:r w:rsidRPr="00DF4C0E">
              <w:t>Komisijas 2013.gada 18.decembra Regul</w:t>
            </w:r>
            <w:r>
              <w:t>a</w:t>
            </w:r>
            <w:r w:rsidRPr="00DF4C0E">
              <w:t xml:space="preserve"> (E</w:t>
            </w:r>
            <w:r w:rsidR="00636C52">
              <w:t>S</w:t>
            </w:r>
            <w:r w:rsidRPr="00DF4C0E">
              <w:t xml:space="preserve">) Nr.1407/2013 par Līguma par Eiropas Savienības darbību 107. un 108. panta piemērošanu de minimis atbalstam (Eiropas Savienības Oficiālais Vēstnesis, 2013.gada 24.decembris, </w:t>
            </w:r>
            <w:proofErr w:type="spellStart"/>
            <w:r w:rsidRPr="00DF4C0E">
              <w:t>Nr</w:t>
            </w:r>
            <w:proofErr w:type="spellEnd"/>
            <w:r w:rsidRPr="00DF4C0E">
              <w:t>. L 352)</w:t>
            </w:r>
          </w:p>
        </w:tc>
      </w:tr>
      <w:tr w:rsidR="00D5213A" w:rsidRPr="00967A52" w:rsidTr="00BD45ED">
        <w:tblPrEx>
          <w:tblBorders>
            <w:insideH w:val="none" w:sz="0" w:space="0" w:color="auto"/>
            <w:insideV w:val="none" w:sz="0" w:space="0" w:color="auto"/>
          </w:tblBorders>
        </w:tblPrEx>
        <w:trPr>
          <w:tblCellSpacing w:w="15" w:type="dxa"/>
        </w:trPr>
        <w:tc>
          <w:tcPr>
            <w:tcW w:w="880" w:type="pct"/>
            <w:gridSpan w:val="2"/>
            <w:tcBorders>
              <w:top w:val="outset" w:sz="6" w:space="0" w:color="auto"/>
              <w:left w:val="outset" w:sz="6" w:space="0" w:color="auto"/>
              <w:bottom w:val="outset" w:sz="6" w:space="0" w:color="auto"/>
              <w:right w:val="outset" w:sz="6" w:space="0" w:color="auto"/>
            </w:tcBorders>
            <w:vAlign w:val="center"/>
            <w:hideMark/>
          </w:tcPr>
          <w:p w:rsidR="00956521" w:rsidRPr="00967A52" w:rsidRDefault="00956521" w:rsidP="00F46334">
            <w:pPr>
              <w:spacing w:line="240" w:lineRule="auto"/>
              <w:jc w:val="center"/>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A</w:t>
            </w:r>
          </w:p>
        </w:tc>
        <w:tc>
          <w:tcPr>
            <w:tcW w:w="971" w:type="pct"/>
            <w:gridSpan w:val="3"/>
            <w:tcBorders>
              <w:top w:val="outset" w:sz="6" w:space="0" w:color="auto"/>
              <w:left w:val="outset" w:sz="6" w:space="0" w:color="auto"/>
              <w:bottom w:val="outset" w:sz="6" w:space="0" w:color="auto"/>
              <w:right w:val="outset" w:sz="6" w:space="0" w:color="auto"/>
            </w:tcBorders>
            <w:vAlign w:val="center"/>
            <w:hideMark/>
          </w:tcPr>
          <w:p w:rsidR="00956521" w:rsidRPr="00967A52" w:rsidRDefault="00956521" w:rsidP="00F46334">
            <w:pPr>
              <w:spacing w:line="240" w:lineRule="auto"/>
              <w:jc w:val="center"/>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B</w:t>
            </w:r>
          </w:p>
        </w:tc>
        <w:tc>
          <w:tcPr>
            <w:tcW w:w="1132" w:type="pct"/>
            <w:tcBorders>
              <w:top w:val="outset" w:sz="6" w:space="0" w:color="auto"/>
              <w:left w:val="outset" w:sz="6" w:space="0" w:color="auto"/>
              <w:bottom w:val="outset" w:sz="6" w:space="0" w:color="auto"/>
              <w:right w:val="outset" w:sz="6" w:space="0" w:color="auto"/>
            </w:tcBorders>
            <w:vAlign w:val="center"/>
            <w:hideMark/>
          </w:tcPr>
          <w:p w:rsidR="00956521" w:rsidRPr="00967A52" w:rsidRDefault="00956521" w:rsidP="00F46334">
            <w:pPr>
              <w:spacing w:line="240" w:lineRule="auto"/>
              <w:jc w:val="center"/>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C</w:t>
            </w:r>
          </w:p>
        </w:tc>
        <w:tc>
          <w:tcPr>
            <w:tcW w:w="1927" w:type="pct"/>
            <w:tcBorders>
              <w:top w:val="outset" w:sz="6" w:space="0" w:color="auto"/>
              <w:left w:val="outset" w:sz="6" w:space="0" w:color="auto"/>
              <w:bottom w:val="outset" w:sz="6" w:space="0" w:color="auto"/>
              <w:right w:val="outset" w:sz="6" w:space="0" w:color="auto"/>
            </w:tcBorders>
            <w:vAlign w:val="center"/>
            <w:hideMark/>
          </w:tcPr>
          <w:p w:rsidR="00956521" w:rsidRPr="00967A52" w:rsidRDefault="00956521" w:rsidP="00F46334">
            <w:pPr>
              <w:spacing w:line="240" w:lineRule="auto"/>
              <w:jc w:val="center"/>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D</w:t>
            </w:r>
          </w:p>
        </w:tc>
      </w:tr>
      <w:tr w:rsidR="00D5213A" w:rsidRPr="00967A52" w:rsidTr="00BD45ED">
        <w:tblPrEx>
          <w:tblBorders>
            <w:insideH w:val="none" w:sz="0" w:space="0" w:color="auto"/>
            <w:insideV w:val="none" w:sz="0" w:space="0" w:color="auto"/>
          </w:tblBorders>
        </w:tblPrEx>
        <w:trPr>
          <w:tblCellSpacing w:w="15" w:type="dxa"/>
        </w:trPr>
        <w:tc>
          <w:tcPr>
            <w:tcW w:w="880" w:type="pct"/>
            <w:gridSpan w:val="2"/>
            <w:tcBorders>
              <w:top w:val="outset" w:sz="6" w:space="0" w:color="auto"/>
              <w:left w:val="outset" w:sz="6" w:space="0" w:color="auto"/>
              <w:bottom w:val="outset" w:sz="6" w:space="0" w:color="auto"/>
              <w:right w:val="outset" w:sz="6" w:space="0" w:color="auto"/>
            </w:tcBorders>
            <w:hideMark/>
          </w:tcPr>
          <w:p w:rsidR="00956521" w:rsidRPr="00967A52" w:rsidRDefault="00956521" w:rsidP="00F46334">
            <w:pPr>
              <w:pStyle w:val="naiskr"/>
              <w:spacing w:before="0" w:after="0"/>
              <w:jc w:val="both"/>
              <w:rPr>
                <w:lang w:eastAsia="en-US"/>
              </w:rPr>
            </w:pPr>
            <w:r w:rsidRPr="00967A52">
              <w:rPr>
                <w:lang w:eastAsia="en-US"/>
              </w:rPr>
              <w:t xml:space="preserve">Attiecīgā ES tiesību akta </w:t>
            </w:r>
            <w:r w:rsidRPr="00967A52">
              <w:rPr>
                <w:lang w:eastAsia="en-US"/>
              </w:rPr>
              <w:lastRenderedPageBreak/>
              <w:t xml:space="preserve">panta numurs (uzskaitot katru tiesību akta </w:t>
            </w:r>
            <w:r w:rsidRPr="00967A52">
              <w:rPr>
                <w:lang w:eastAsia="en-US"/>
              </w:rPr>
              <w:br/>
              <w:t>vienību – pantu, daļu, punktu, apakšpunktu)</w:t>
            </w:r>
          </w:p>
        </w:tc>
        <w:tc>
          <w:tcPr>
            <w:tcW w:w="971" w:type="pct"/>
            <w:gridSpan w:val="3"/>
            <w:tcBorders>
              <w:top w:val="outset" w:sz="6" w:space="0" w:color="auto"/>
              <w:left w:val="outset" w:sz="6" w:space="0" w:color="auto"/>
              <w:bottom w:val="outset" w:sz="6" w:space="0" w:color="auto"/>
              <w:right w:val="outset" w:sz="6" w:space="0" w:color="auto"/>
            </w:tcBorders>
            <w:hideMark/>
          </w:tcPr>
          <w:p w:rsidR="00956521" w:rsidRPr="00967A52" w:rsidRDefault="00956521" w:rsidP="00F46334">
            <w:pPr>
              <w:pStyle w:val="naiskr"/>
              <w:spacing w:before="0" w:after="0"/>
              <w:jc w:val="both"/>
              <w:rPr>
                <w:lang w:eastAsia="en-US"/>
              </w:rPr>
            </w:pPr>
            <w:r w:rsidRPr="00967A52">
              <w:rPr>
                <w:lang w:eastAsia="en-US"/>
              </w:rPr>
              <w:lastRenderedPageBreak/>
              <w:t xml:space="preserve">Projekta vienība, kas </w:t>
            </w:r>
            <w:r w:rsidRPr="00967A52">
              <w:rPr>
                <w:lang w:eastAsia="en-US"/>
              </w:rPr>
              <w:lastRenderedPageBreak/>
              <w:t>pārņem vai ievieš katru šīs tabulas A ailē minēto ES tiesību akta vienību</w:t>
            </w:r>
          </w:p>
        </w:tc>
        <w:tc>
          <w:tcPr>
            <w:tcW w:w="1132" w:type="pct"/>
            <w:tcBorders>
              <w:top w:val="outset" w:sz="6" w:space="0" w:color="auto"/>
              <w:left w:val="outset" w:sz="6" w:space="0" w:color="auto"/>
              <w:bottom w:val="outset" w:sz="6" w:space="0" w:color="auto"/>
              <w:right w:val="outset" w:sz="6" w:space="0" w:color="auto"/>
            </w:tcBorders>
            <w:hideMark/>
          </w:tcPr>
          <w:p w:rsidR="00956521" w:rsidRPr="00967A52" w:rsidRDefault="00956521" w:rsidP="00F46334">
            <w:pPr>
              <w:pStyle w:val="naiskr"/>
              <w:spacing w:before="0" w:after="0"/>
              <w:jc w:val="both"/>
              <w:rPr>
                <w:lang w:eastAsia="en-US"/>
              </w:rPr>
            </w:pPr>
            <w:r w:rsidRPr="00967A52">
              <w:rPr>
                <w:lang w:eastAsia="en-US"/>
              </w:rPr>
              <w:lastRenderedPageBreak/>
              <w:t xml:space="preserve">Informācija par to, vai šīs tabulas </w:t>
            </w:r>
            <w:r w:rsidRPr="00967A52">
              <w:rPr>
                <w:lang w:eastAsia="en-US"/>
              </w:rPr>
              <w:lastRenderedPageBreak/>
              <w:t>A ailē minētās ES tiesību akta vienības tiek pārņemtas vai ieviestas pilnībā vai daļēji.</w:t>
            </w:r>
          </w:p>
          <w:p w:rsidR="00956521" w:rsidRPr="00967A52" w:rsidRDefault="00956521" w:rsidP="00F46334">
            <w:pPr>
              <w:pStyle w:val="naiskr"/>
              <w:spacing w:before="0" w:after="0"/>
              <w:jc w:val="both"/>
              <w:rPr>
                <w:lang w:eastAsia="en-US"/>
              </w:rPr>
            </w:pPr>
            <w:r w:rsidRPr="00967A52">
              <w:rPr>
                <w:lang w:eastAsia="en-US"/>
              </w:rPr>
              <w:t>Ja attiecīgā ES tiesību akta vienība tiek pārņemta vai ieviesta daļēji, – sniedz attiecīgu skaidrojumu, kā arī precīzi norāda, kad un kādā veidā ES tiesību akta vienība tiks pārņemta vai ieviesta pilnībā.</w:t>
            </w:r>
          </w:p>
          <w:p w:rsidR="00956521" w:rsidRPr="00967A52" w:rsidRDefault="00956521" w:rsidP="00F46334">
            <w:pPr>
              <w:pStyle w:val="naiskr"/>
              <w:spacing w:before="0" w:after="0"/>
              <w:jc w:val="both"/>
              <w:rPr>
                <w:lang w:eastAsia="en-US"/>
              </w:rPr>
            </w:pPr>
            <w:r w:rsidRPr="00967A52">
              <w:rPr>
                <w:lang w:eastAsia="en-US"/>
              </w:rPr>
              <w:t>Norāda institūciju, kas ir atbildīga par šo saistību izpildi pilnībā</w:t>
            </w:r>
          </w:p>
        </w:tc>
        <w:tc>
          <w:tcPr>
            <w:tcW w:w="1927" w:type="pct"/>
            <w:tcBorders>
              <w:top w:val="outset" w:sz="6" w:space="0" w:color="auto"/>
              <w:left w:val="outset" w:sz="6" w:space="0" w:color="auto"/>
              <w:bottom w:val="outset" w:sz="6" w:space="0" w:color="auto"/>
              <w:right w:val="outset" w:sz="6" w:space="0" w:color="auto"/>
            </w:tcBorders>
            <w:hideMark/>
          </w:tcPr>
          <w:p w:rsidR="00956521" w:rsidRPr="00967A52" w:rsidRDefault="00956521" w:rsidP="00F46334">
            <w:pPr>
              <w:pStyle w:val="naiskr"/>
              <w:spacing w:before="0" w:after="0"/>
              <w:jc w:val="both"/>
              <w:rPr>
                <w:lang w:eastAsia="en-US"/>
              </w:rPr>
            </w:pPr>
            <w:r w:rsidRPr="00967A52">
              <w:rPr>
                <w:lang w:eastAsia="en-US"/>
              </w:rPr>
              <w:lastRenderedPageBreak/>
              <w:t xml:space="preserve">Informācija par to, vai šīs tabulas B ailē minētās projekta </w:t>
            </w:r>
            <w:r w:rsidRPr="00967A52">
              <w:rPr>
                <w:lang w:eastAsia="en-US"/>
              </w:rPr>
              <w:lastRenderedPageBreak/>
              <w:t>vienības paredz stingrākas prasības nekā šīs tabulas A ailē minētās ES tiesību akta vienības.</w:t>
            </w:r>
          </w:p>
          <w:p w:rsidR="00956521" w:rsidRPr="00967A52" w:rsidRDefault="00956521" w:rsidP="00F46334">
            <w:pPr>
              <w:pStyle w:val="naiskr"/>
              <w:spacing w:before="0" w:after="0"/>
              <w:jc w:val="both"/>
              <w:rPr>
                <w:lang w:eastAsia="en-US"/>
              </w:rPr>
            </w:pPr>
            <w:r w:rsidRPr="00967A52">
              <w:rPr>
                <w:lang w:eastAsia="en-US"/>
              </w:rPr>
              <w:t>Ja projekts satur stingrākas prasības nekā attiecīgais ES tiesību akts, – norāda pamatojumu un samērīgumu.</w:t>
            </w:r>
          </w:p>
          <w:p w:rsidR="00956521" w:rsidRPr="00967A52" w:rsidRDefault="00956521" w:rsidP="00F46334">
            <w:pPr>
              <w:pStyle w:val="naiskr"/>
              <w:spacing w:before="0" w:after="0"/>
              <w:jc w:val="both"/>
              <w:rPr>
                <w:lang w:eastAsia="en-US"/>
              </w:rPr>
            </w:pPr>
            <w:r w:rsidRPr="00967A52">
              <w:rPr>
                <w:lang w:eastAsia="en-US"/>
              </w:rPr>
              <w:t>Norāda iespējamās alternatīvas (</w:t>
            </w:r>
            <w:proofErr w:type="spellStart"/>
            <w:r w:rsidRPr="00967A52">
              <w:rPr>
                <w:lang w:eastAsia="en-US"/>
              </w:rPr>
              <w:t>t.sk</w:t>
            </w:r>
            <w:proofErr w:type="spellEnd"/>
            <w:r w:rsidRPr="00967A52">
              <w:rPr>
                <w:lang w:eastAsia="en-US"/>
              </w:rPr>
              <w:t>. alternatīvas, kas neparedz tiesiskā regulējuma izstrādi) – kādos gadījumos būtu iespējams izvairīties no stingrāku prasību noteikšanas, nekā paredzēts attiecīgajos ES tiesību aktos.</w:t>
            </w:r>
          </w:p>
        </w:tc>
      </w:tr>
      <w:tr w:rsidR="0021078D" w:rsidRPr="00967A52" w:rsidTr="00BD45ED">
        <w:tblPrEx>
          <w:tblBorders>
            <w:insideH w:val="none" w:sz="0" w:space="0" w:color="auto"/>
            <w:insideV w:val="none" w:sz="0" w:space="0" w:color="auto"/>
          </w:tblBorders>
        </w:tblPrEx>
        <w:trPr>
          <w:tblCellSpacing w:w="15" w:type="dxa"/>
        </w:trPr>
        <w:tc>
          <w:tcPr>
            <w:tcW w:w="880" w:type="pct"/>
            <w:gridSpan w:val="2"/>
            <w:tcBorders>
              <w:top w:val="outset" w:sz="6" w:space="0" w:color="auto"/>
              <w:left w:val="outset" w:sz="6" w:space="0" w:color="auto"/>
              <w:bottom w:val="outset" w:sz="6" w:space="0" w:color="auto"/>
              <w:right w:val="outset" w:sz="6" w:space="0" w:color="auto"/>
            </w:tcBorders>
          </w:tcPr>
          <w:p w:rsidR="0021078D" w:rsidRPr="00967A52" w:rsidRDefault="0021078D" w:rsidP="00F46334">
            <w:pPr>
              <w:pStyle w:val="naiskr"/>
              <w:spacing w:before="0" w:after="0"/>
              <w:jc w:val="both"/>
              <w:rPr>
                <w:lang w:eastAsia="en-US"/>
              </w:rPr>
            </w:pPr>
            <w:r w:rsidRPr="00967A52">
              <w:rPr>
                <w:i/>
                <w:lang w:eastAsia="en-US"/>
              </w:rPr>
              <w:lastRenderedPageBreak/>
              <w:t xml:space="preserve">Komisijas Regulas </w:t>
            </w:r>
            <w:proofErr w:type="spellStart"/>
            <w:r w:rsidRPr="00967A52">
              <w:rPr>
                <w:i/>
                <w:lang w:eastAsia="en-US"/>
              </w:rPr>
              <w:t>Nr</w:t>
            </w:r>
            <w:proofErr w:type="spellEnd"/>
            <w:r w:rsidRPr="00967A52">
              <w:rPr>
                <w:i/>
                <w:lang w:eastAsia="en-US"/>
              </w:rPr>
              <w:t>.</w:t>
            </w:r>
            <w:r w:rsidRPr="00967A52">
              <w:t xml:space="preserve"> 1407/2013 1.panta 1.punkts</w:t>
            </w:r>
          </w:p>
        </w:tc>
        <w:tc>
          <w:tcPr>
            <w:tcW w:w="971" w:type="pct"/>
            <w:gridSpan w:val="3"/>
            <w:tcBorders>
              <w:top w:val="outset" w:sz="6" w:space="0" w:color="auto"/>
              <w:left w:val="outset" w:sz="6" w:space="0" w:color="auto"/>
              <w:bottom w:val="outset" w:sz="6" w:space="0" w:color="auto"/>
              <w:right w:val="outset" w:sz="6" w:space="0" w:color="auto"/>
            </w:tcBorders>
          </w:tcPr>
          <w:p w:rsidR="0021078D" w:rsidRPr="00967A52" w:rsidRDefault="0021078D" w:rsidP="00F46334">
            <w:pPr>
              <w:pStyle w:val="naiskr"/>
              <w:spacing w:before="0" w:after="0"/>
              <w:jc w:val="both"/>
              <w:rPr>
                <w:lang w:eastAsia="en-US"/>
              </w:rPr>
            </w:pPr>
            <w:r w:rsidRPr="00967A52">
              <w:rPr>
                <w:b/>
                <w:i/>
                <w:lang w:eastAsia="en-US"/>
              </w:rPr>
              <w:t>Noteikumu projekta 7.punkts</w:t>
            </w:r>
          </w:p>
        </w:tc>
        <w:tc>
          <w:tcPr>
            <w:tcW w:w="1132" w:type="pct"/>
            <w:tcBorders>
              <w:top w:val="outset" w:sz="6" w:space="0" w:color="auto"/>
              <w:left w:val="outset" w:sz="6" w:space="0" w:color="auto"/>
              <w:bottom w:val="outset" w:sz="6" w:space="0" w:color="auto"/>
              <w:right w:val="outset" w:sz="6" w:space="0" w:color="auto"/>
            </w:tcBorders>
            <w:vAlign w:val="center"/>
          </w:tcPr>
          <w:p w:rsidR="0021078D" w:rsidRPr="00967A52" w:rsidRDefault="0021078D" w:rsidP="009D77A2">
            <w:pPr>
              <w:pStyle w:val="naiskr"/>
              <w:spacing w:before="0" w:after="0"/>
              <w:jc w:val="both"/>
              <w:rPr>
                <w:i/>
                <w:lang w:eastAsia="en-US"/>
              </w:rPr>
            </w:pPr>
            <w:r w:rsidRPr="00967A52">
              <w:rPr>
                <w:i/>
                <w:lang w:eastAsia="en-US"/>
              </w:rPr>
              <w:t>ieviesta pilnībā</w:t>
            </w:r>
          </w:p>
        </w:tc>
        <w:tc>
          <w:tcPr>
            <w:tcW w:w="1927" w:type="pct"/>
            <w:tcBorders>
              <w:top w:val="outset" w:sz="6" w:space="0" w:color="auto"/>
              <w:left w:val="outset" w:sz="6" w:space="0" w:color="auto"/>
              <w:bottom w:val="outset" w:sz="6" w:space="0" w:color="auto"/>
              <w:right w:val="outset" w:sz="6" w:space="0" w:color="auto"/>
            </w:tcBorders>
            <w:vAlign w:val="center"/>
          </w:tcPr>
          <w:p w:rsidR="0021078D" w:rsidRPr="00967A52" w:rsidRDefault="0021078D" w:rsidP="009D77A2">
            <w:pPr>
              <w:pStyle w:val="naiskr"/>
              <w:spacing w:before="0" w:after="0"/>
              <w:jc w:val="both"/>
              <w:rPr>
                <w:i/>
                <w:lang w:eastAsia="en-US"/>
              </w:rPr>
            </w:pPr>
            <w:r w:rsidRPr="00967A52">
              <w:rPr>
                <w:i/>
                <w:lang w:eastAsia="en-US"/>
              </w:rPr>
              <w:t>neparedz stingrākas prasības</w:t>
            </w:r>
          </w:p>
        </w:tc>
      </w:tr>
      <w:tr w:rsidR="0021078D" w:rsidRPr="00967A52" w:rsidTr="00BD45ED">
        <w:tblPrEx>
          <w:tblBorders>
            <w:insideH w:val="none" w:sz="0" w:space="0" w:color="auto"/>
            <w:insideV w:val="none" w:sz="0" w:space="0" w:color="auto"/>
          </w:tblBorders>
        </w:tblPrEx>
        <w:trPr>
          <w:tblCellSpacing w:w="15" w:type="dxa"/>
        </w:trPr>
        <w:tc>
          <w:tcPr>
            <w:tcW w:w="880" w:type="pct"/>
            <w:gridSpan w:val="2"/>
            <w:tcBorders>
              <w:top w:val="outset" w:sz="6" w:space="0" w:color="auto"/>
              <w:left w:val="outset" w:sz="6" w:space="0" w:color="auto"/>
              <w:bottom w:val="outset" w:sz="6" w:space="0" w:color="auto"/>
              <w:right w:val="outset" w:sz="6" w:space="0" w:color="auto"/>
            </w:tcBorders>
            <w:vAlign w:val="center"/>
            <w:hideMark/>
          </w:tcPr>
          <w:p w:rsidR="0021078D" w:rsidRPr="00967A52" w:rsidRDefault="0021078D" w:rsidP="00D5213A">
            <w:pPr>
              <w:pStyle w:val="naiskr"/>
              <w:spacing w:before="0" w:after="0"/>
              <w:jc w:val="both"/>
              <w:rPr>
                <w:i/>
                <w:lang w:eastAsia="en-US"/>
              </w:rPr>
            </w:pPr>
            <w:r w:rsidRPr="00967A52">
              <w:rPr>
                <w:i/>
                <w:lang w:eastAsia="en-US"/>
              </w:rPr>
              <w:t xml:space="preserve">Komisijas Regulas </w:t>
            </w:r>
            <w:proofErr w:type="spellStart"/>
            <w:r w:rsidRPr="00967A52">
              <w:rPr>
                <w:i/>
                <w:lang w:eastAsia="en-US"/>
              </w:rPr>
              <w:t>Nr</w:t>
            </w:r>
            <w:proofErr w:type="spellEnd"/>
            <w:r w:rsidRPr="00967A52">
              <w:rPr>
                <w:i/>
                <w:lang w:eastAsia="en-US"/>
              </w:rPr>
              <w:t>.</w:t>
            </w:r>
            <w:r w:rsidRPr="00967A52">
              <w:t xml:space="preserve"> 1407/2013 6.panta 1.punkts</w:t>
            </w:r>
          </w:p>
        </w:tc>
        <w:tc>
          <w:tcPr>
            <w:tcW w:w="971" w:type="pct"/>
            <w:gridSpan w:val="3"/>
            <w:tcBorders>
              <w:top w:val="outset" w:sz="6" w:space="0" w:color="auto"/>
              <w:left w:val="outset" w:sz="6" w:space="0" w:color="auto"/>
              <w:bottom w:val="outset" w:sz="6" w:space="0" w:color="auto"/>
              <w:right w:val="outset" w:sz="6" w:space="0" w:color="auto"/>
            </w:tcBorders>
            <w:vAlign w:val="center"/>
            <w:hideMark/>
          </w:tcPr>
          <w:p w:rsidR="0021078D" w:rsidRPr="00967A52" w:rsidRDefault="0021078D" w:rsidP="00F46334">
            <w:pPr>
              <w:pStyle w:val="naiskr"/>
              <w:spacing w:before="0" w:after="0"/>
              <w:jc w:val="both"/>
              <w:rPr>
                <w:i/>
                <w:lang w:eastAsia="en-US"/>
              </w:rPr>
            </w:pPr>
            <w:r w:rsidRPr="00967A52">
              <w:rPr>
                <w:b/>
                <w:i/>
                <w:lang w:eastAsia="en-US"/>
              </w:rPr>
              <w:t xml:space="preserve">Noteikumu projekta 3.punkts </w:t>
            </w:r>
          </w:p>
        </w:tc>
        <w:tc>
          <w:tcPr>
            <w:tcW w:w="1132" w:type="pct"/>
            <w:tcBorders>
              <w:top w:val="outset" w:sz="6" w:space="0" w:color="auto"/>
              <w:left w:val="outset" w:sz="6" w:space="0" w:color="auto"/>
              <w:bottom w:val="outset" w:sz="6" w:space="0" w:color="auto"/>
              <w:right w:val="outset" w:sz="6" w:space="0" w:color="auto"/>
            </w:tcBorders>
            <w:vAlign w:val="center"/>
            <w:hideMark/>
          </w:tcPr>
          <w:p w:rsidR="0021078D" w:rsidRPr="00967A52" w:rsidRDefault="0021078D" w:rsidP="00F46334">
            <w:pPr>
              <w:pStyle w:val="naiskr"/>
              <w:spacing w:before="0" w:after="0"/>
              <w:jc w:val="both"/>
              <w:rPr>
                <w:i/>
                <w:lang w:eastAsia="en-US"/>
              </w:rPr>
            </w:pPr>
            <w:r w:rsidRPr="00967A52">
              <w:rPr>
                <w:i/>
                <w:lang w:eastAsia="en-US"/>
              </w:rPr>
              <w:t>ieviesta pilnībā</w:t>
            </w:r>
          </w:p>
        </w:tc>
        <w:tc>
          <w:tcPr>
            <w:tcW w:w="1927" w:type="pct"/>
            <w:tcBorders>
              <w:top w:val="outset" w:sz="6" w:space="0" w:color="auto"/>
              <w:left w:val="outset" w:sz="6" w:space="0" w:color="auto"/>
              <w:bottom w:val="outset" w:sz="6" w:space="0" w:color="auto"/>
              <w:right w:val="outset" w:sz="6" w:space="0" w:color="auto"/>
            </w:tcBorders>
            <w:vAlign w:val="center"/>
            <w:hideMark/>
          </w:tcPr>
          <w:p w:rsidR="0021078D" w:rsidRPr="00967A52" w:rsidRDefault="0021078D" w:rsidP="00F46334">
            <w:pPr>
              <w:pStyle w:val="naiskr"/>
              <w:spacing w:before="0" w:after="0"/>
              <w:jc w:val="both"/>
              <w:rPr>
                <w:i/>
                <w:lang w:eastAsia="en-US"/>
              </w:rPr>
            </w:pPr>
            <w:r w:rsidRPr="00967A52">
              <w:rPr>
                <w:i/>
                <w:lang w:eastAsia="en-US"/>
              </w:rPr>
              <w:t>neparedz stingrākas prasības</w:t>
            </w:r>
          </w:p>
        </w:tc>
      </w:tr>
      <w:tr w:rsidR="0021078D" w:rsidRPr="00967A52" w:rsidTr="00BD45ED">
        <w:tblPrEx>
          <w:tblBorders>
            <w:insideH w:val="none" w:sz="0" w:space="0" w:color="auto"/>
            <w:insideV w:val="none" w:sz="0" w:space="0" w:color="auto"/>
          </w:tblBorders>
        </w:tblPrEx>
        <w:trPr>
          <w:tblCellSpacing w:w="15" w:type="dxa"/>
        </w:trPr>
        <w:tc>
          <w:tcPr>
            <w:tcW w:w="880" w:type="pct"/>
            <w:gridSpan w:val="2"/>
            <w:tcBorders>
              <w:top w:val="outset" w:sz="6" w:space="0" w:color="auto"/>
              <w:left w:val="outset" w:sz="6" w:space="0" w:color="auto"/>
              <w:bottom w:val="outset" w:sz="6" w:space="0" w:color="auto"/>
              <w:right w:val="outset" w:sz="6" w:space="0" w:color="auto"/>
            </w:tcBorders>
            <w:vAlign w:val="center"/>
          </w:tcPr>
          <w:p w:rsidR="0021078D" w:rsidRPr="00967A52" w:rsidRDefault="0021078D" w:rsidP="00D5213A">
            <w:pPr>
              <w:pStyle w:val="naiskr"/>
              <w:spacing w:before="0" w:after="0"/>
              <w:jc w:val="both"/>
              <w:rPr>
                <w:lang w:eastAsia="en-US"/>
              </w:rPr>
            </w:pPr>
            <w:r w:rsidRPr="00967A52">
              <w:rPr>
                <w:i/>
                <w:lang w:eastAsia="en-US"/>
              </w:rPr>
              <w:t xml:space="preserve">Komisijas Regulas </w:t>
            </w:r>
            <w:proofErr w:type="spellStart"/>
            <w:r w:rsidRPr="00967A52">
              <w:rPr>
                <w:i/>
                <w:lang w:eastAsia="en-US"/>
              </w:rPr>
              <w:t>Nr</w:t>
            </w:r>
            <w:proofErr w:type="spellEnd"/>
            <w:r w:rsidRPr="00967A52">
              <w:rPr>
                <w:i/>
                <w:lang w:eastAsia="en-US"/>
              </w:rPr>
              <w:t>.</w:t>
            </w:r>
            <w:r w:rsidRPr="00967A52">
              <w:t xml:space="preserve"> 1407/2013 3.panta 2.punkts</w:t>
            </w:r>
          </w:p>
        </w:tc>
        <w:tc>
          <w:tcPr>
            <w:tcW w:w="971" w:type="pct"/>
            <w:gridSpan w:val="3"/>
            <w:tcBorders>
              <w:top w:val="outset" w:sz="6" w:space="0" w:color="auto"/>
              <w:left w:val="outset" w:sz="6" w:space="0" w:color="auto"/>
              <w:bottom w:val="outset" w:sz="6" w:space="0" w:color="auto"/>
              <w:right w:val="outset" w:sz="6" w:space="0" w:color="auto"/>
            </w:tcBorders>
            <w:vAlign w:val="center"/>
          </w:tcPr>
          <w:p w:rsidR="0021078D" w:rsidRPr="00967A52" w:rsidRDefault="0021078D" w:rsidP="00F46334">
            <w:pPr>
              <w:pStyle w:val="naiskr"/>
              <w:spacing w:before="0" w:after="0"/>
              <w:jc w:val="both"/>
              <w:rPr>
                <w:b/>
                <w:lang w:eastAsia="en-US"/>
              </w:rPr>
            </w:pPr>
            <w:r w:rsidRPr="00967A52">
              <w:rPr>
                <w:b/>
                <w:i/>
                <w:lang w:eastAsia="en-US"/>
              </w:rPr>
              <w:t>Noteikumu projekta 4.punkts</w:t>
            </w:r>
          </w:p>
        </w:tc>
        <w:tc>
          <w:tcPr>
            <w:tcW w:w="1132" w:type="pct"/>
            <w:tcBorders>
              <w:top w:val="outset" w:sz="6" w:space="0" w:color="auto"/>
              <w:left w:val="outset" w:sz="6" w:space="0" w:color="auto"/>
              <w:bottom w:val="outset" w:sz="6" w:space="0" w:color="auto"/>
              <w:right w:val="outset" w:sz="6" w:space="0" w:color="auto"/>
            </w:tcBorders>
            <w:vAlign w:val="center"/>
          </w:tcPr>
          <w:p w:rsidR="0021078D" w:rsidRPr="00967A52" w:rsidRDefault="0021078D" w:rsidP="00F46334">
            <w:pPr>
              <w:pStyle w:val="naiskr"/>
              <w:spacing w:before="0" w:after="0"/>
              <w:jc w:val="both"/>
              <w:rPr>
                <w:lang w:eastAsia="en-US"/>
              </w:rPr>
            </w:pPr>
            <w:r w:rsidRPr="00967A52">
              <w:rPr>
                <w:i/>
                <w:lang w:eastAsia="en-US"/>
              </w:rPr>
              <w:t>ieviesta pilnībā</w:t>
            </w:r>
          </w:p>
        </w:tc>
        <w:tc>
          <w:tcPr>
            <w:tcW w:w="1927" w:type="pct"/>
            <w:tcBorders>
              <w:top w:val="outset" w:sz="6" w:space="0" w:color="auto"/>
              <w:left w:val="outset" w:sz="6" w:space="0" w:color="auto"/>
              <w:bottom w:val="outset" w:sz="6" w:space="0" w:color="auto"/>
              <w:right w:val="outset" w:sz="6" w:space="0" w:color="auto"/>
            </w:tcBorders>
            <w:vAlign w:val="center"/>
          </w:tcPr>
          <w:p w:rsidR="0021078D" w:rsidRPr="00967A52" w:rsidRDefault="0021078D" w:rsidP="00F46334">
            <w:pPr>
              <w:pStyle w:val="naiskr"/>
              <w:spacing w:before="0" w:after="0"/>
              <w:jc w:val="both"/>
              <w:rPr>
                <w:lang w:eastAsia="en-US"/>
              </w:rPr>
            </w:pPr>
            <w:r w:rsidRPr="00967A52">
              <w:rPr>
                <w:i/>
                <w:lang w:eastAsia="en-US"/>
              </w:rPr>
              <w:t>neparedz stingrākas prasības</w:t>
            </w:r>
          </w:p>
        </w:tc>
      </w:tr>
      <w:tr w:rsidR="006E1AE1" w:rsidRPr="00967A52" w:rsidTr="00BD45ED">
        <w:tblPrEx>
          <w:tblBorders>
            <w:insideH w:val="none" w:sz="0" w:space="0" w:color="auto"/>
            <w:insideV w:val="none" w:sz="0" w:space="0" w:color="auto"/>
          </w:tblBorders>
        </w:tblPrEx>
        <w:trPr>
          <w:tblCellSpacing w:w="15" w:type="dxa"/>
        </w:trPr>
        <w:tc>
          <w:tcPr>
            <w:tcW w:w="880" w:type="pct"/>
            <w:gridSpan w:val="2"/>
            <w:tcBorders>
              <w:top w:val="outset" w:sz="6" w:space="0" w:color="auto"/>
              <w:left w:val="outset" w:sz="6" w:space="0" w:color="auto"/>
              <w:bottom w:val="outset" w:sz="6" w:space="0" w:color="auto"/>
              <w:right w:val="outset" w:sz="6" w:space="0" w:color="auto"/>
            </w:tcBorders>
            <w:vAlign w:val="center"/>
          </w:tcPr>
          <w:p w:rsidR="006E1AE1" w:rsidRPr="00967A52" w:rsidRDefault="006E1AE1" w:rsidP="006E1AE1">
            <w:pPr>
              <w:pStyle w:val="naiskr"/>
              <w:spacing w:before="0" w:after="0"/>
              <w:jc w:val="both"/>
              <w:rPr>
                <w:lang w:eastAsia="en-US"/>
              </w:rPr>
            </w:pPr>
            <w:r w:rsidRPr="00967A52">
              <w:rPr>
                <w:i/>
                <w:lang w:eastAsia="en-US"/>
              </w:rPr>
              <w:t xml:space="preserve">Komisijas Regulas </w:t>
            </w:r>
            <w:proofErr w:type="spellStart"/>
            <w:r w:rsidRPr="00967A52">
              <w:rPr>
                <w:i/>
                <w:lang w:eastAsia="en-US"/>
              </w:rPr>
              <w:t>Nr</w:t>
            </w:r>
            <w:proofErr w:type="spellEnd"/>
            <w:r w:rsidRPr="00967A52">
              <w:rPr>
                <w:i/>
                <w:lang w:eastAsia="en-US"/>
              </w:rPr>
              <w:t>.</w:t>
            </w:r>
            <w:r w:rsidRPr="00967A52">
              <w:t xml:space="preserve"> 1407/2013 2.panta 2.punkts</w:t>
            </w:r>
          </w:p>
        </w:tc>
        <w:tc>
          <w:tcPr>
            <w:tcW w:w="971" w:type="pct"/>
            <w:gridSpan w:val="3"/>
            <w:tcBorders>
              <w:top w:val="outset" w:sz="6" w:space="0" w:color="auto"/>
              <w:left w:val="outset" w:sz="6" w:space="0" w:color="auto"/>
              <w:bottom w:val="outset" w:sz="6" w:space="0" w:color="auto"/>
              <w:right w:val="outset" w:sz="6" w:space="0" w:color="auto"/>
            </w:tcBorders>
            <w:vAlign w:val="center"/>
          </w:tcPr>
          <w:p w:rsidR="006E1AE1" w:rsidRPr="00967A52" w:rsidRDefault="006E1AE1" w:rsidP="003169CC">
            <w:pPr>
              <w:pStyle w:val="naiskr"/>
              <w:spacing w:before="0" w:after="0"/>
              <w:jc w:val="both"/>
              <w:rPr>
                <w:b/>
                <w:lang w:eastAsia="en-US"/>
              </w:rPr>
            </w:pPr>
            <w:r w:rsidRPr="00967A52">
              <w:rPr>
                <w:b/>
                <w:i/>
                <w:lang w:eastAsia="en-US"/>
              </w:rPr>
              <w:t>Noteikumu projekta 4.punkts</w:t>
            </w:r>
          </w:p>
        </w:tc>
        <w:tc>
          <w:tcPr>
            <w:tcW w:w="1132" w:type="pct"/>
            <w:tcBorders>
              <w:top w:val="outset" w:sz="6" w:space="0" w:color="auto"/>
              <w:left w:val="outset" w:sz="6" w:space="0" w:color="auto"/>
              <w:bottom w:val="outset" w:sz="6" w:space="0" w:color="auto"/>
              <w:right w:val="outset" w:sz="6" w:space="0" w:color="auto"/>
            </w:tcBorders>
            <w:vAlign w:val="center"/>
          </w:tcPr>
          <w:p w:rsidR="006E1AE1" w:rsidRPr="00967A52" w:rsidRDefault="006E1AE1" w:rsidP="003169CC">
            <w:pPr>
              <w:pStyle w:val="naiskr"/>
              <w:spacing w:before="0" w:after="0"/>
              <w:jc w:val="both"/>
              <w:rPr>
                <w:lang w:eastAsia="en-US"/>
              </w:rPr>
            </w:pPr>
            <w:r w:rsidRPr="00967A52">
              <w:rPr>
                <w:i/>
                <w:lang w:eastAsia="en-US"/>
              </w:rPr>
              <w:t>ieviesta pilnībā</w:t>
            </w:r>
          </w:p>
        </w:tc>
        <w:tc>
          <w:tcPr>
            <w:tcW w:w="1927" w:type="pct"/>
            <w:tcBorders>
              <w:top w:val="outset" w:sz="6" w:space="0" w:color="auto"/>
              <w:left w:val="outset" w:sz="6" w:space="0" w:color="auto"/>
              <w:bottom w:val="outset" w:sz="6" w:space="0" w:color="auto"/>
              <w:right w:val="outset" w:sz="6" w:space="0" w:color="auto"/>
            </w:tcBorders>
            <w:vAlign w:val="center"/>
          </w:tcPr>
          <w:p w:rsidR="006E1AE1" w:rsidRPr="00967A52" w:rsidRDefault="006E1AE1" w:rsidP="003169CC">
            <w:pPr>
              <w:pStyle w:val="naiskr"/>
              <w:spacing w:before="0" w:after="0"/>
              <w:jc w:val="both"/>
              <w:rPr>
                <w:lang w:eastAsia="en-US"/>
              </w:rPr>
            </w:pPr>
            <w:r w:rsidRPr="00967A52">
              <w:rPr>
                <w:i/>
                <w:lang w:eastAsia="en-US"/>
              </w:rPr>
              <w:t>neparedz stingrākas prasības</w:t>
            </w:r>
          </w:p>
        </w:tc>
      </w:tr>
      <w:tr w:rsidR="006E1AE1" w:rsidRPr="00967A52" w:rsidTr="00BD45ED">
        <w:tblPrEx>
          <w:tblBorders>
            <w:insideH w:val="none" w:sz="0" w:space="0" w:color="auto"/>
            <w:insideV w:val="none" w:sz="0" w:space="0" w:color="auto"/>
          </w:tblBorders>
        </w:tblPrEx>
        <w:trPr>
          <w:tblCellSpacing w:w="15" w:type="dxa"/>
        </w:trPr>
        <w:tc>
          <w:tcPr>
            <w:tcW w:w="880" w:type="pct"/>
            <w:gridSpan w:val="2"/>
            <w:tcBorders>
              <w:top w:val="outset" w:sz="6" w:space="0" w:color="auto"/>
              <w:left w:val="outset" w:sz="6" w:space="0" w:color="auto"/>
              <w:bottom w:val="outset" w:sz="6" w:space="0" w:color="auto"/>
              <w:right w:val="outset" w:sz="6" w:space="0" w:color="auto"/>
            </w:tcBorders>
            <w:vAlign w:val="center"/>
          </w:tcPr>
          <w:p w:rsidR="006E1AE1" w:rsidRPr="00967A52" w:rsidRDefault="006E1AE1" w:rsidP="00D5213A">
            <w:pPr>
              <w:pStyle w:val="naiskr"/>
              <w:spacing w:before="0" w:after="0"/>
              <w:jc w:val="both"/>
              <w:rPr>
                <w:i/>
                <w:lang w:eastAsia="en-US"/>
              </w:rPr>
            </w:pPr>
            <w:r w:rsidRPr="00967A52">
              <w:rPr>
                <w:i/>
                <w:lang w:eastAsia="en-US"/>
              </w:rPr>
              <w:t xml:space="preserve">Komisijas Regulas </w:t>
            </w:r>
            <w:proofErr w:type="spellStart"/>
            <w:r w:rsidRPr="00967A52">
              <w:rPr>
                <w:i/>
                <w:lang w:eastAsia="en-US"/>
              </w:rPr>
              <w:t>Nr</w:t>
            </w:r>
            <w:proofErr w:type="spellEnd"/>
            <w:r w:rsidRPr="00967A52">
              <w:rPr>
                <w:i/>
                <w:lang w:eastAsia="en-US"/>
              </w:rPr>
              <w:t>.</w:t>
            </w:r>
            <w:r w:rsidRPr="00967A52">
              <w:t xml:space="preserve"> </w:t>
            </w:r>
            <w:r w:rsidRPr="00967A52">
              <w:lastRenderedPageBreak/>
              <w:t>1407/2013 6.panta 1.punkts</w:t>
            </w:r>
          </w:p>
        </w:tc>
        <w:tc>
          <w:tcPr>
            <w:tcW w:w="971" w:type="pct"/>
            <w:gridSpan w:val="3"/>
            <w:tcBorders>
              <w:top w:val="outset" w:sz="6" w:space="0" w:color="auto"/>
              <w:left w:val="outset" w:sz="6" w:space="0" w:color="auto"/>
              <w:bottom w:val="outset" w:sz="6" w:space="0" w:color="auto"/>
              <w:right w:val="outset" w:sz="6" w:space="0" w:color="auto"/>
            </w:tcBorders>
            <w:vAlign w:val="center"/>
          </w:tcPr>
          <w:p w:rsidR="006E1AE1" w:rsidRPr="00967A52" w:rsidRDefault="006E1AE1" w:rsidP="00F46334">
            <w:pPr>
              <w:pStyle w:val="naiskr"/>
              <w:spacing w:before="0" w:after="0"/>
              <w:jc w:val="both"/>
              <w:rPr>
                <w:b/>
                <w:i/>
                <w:lang w:eastAsia="en-US"/>
              </w:rPr>
            </w:pPr>
            <w:r w:rsidRPr="00967A52">
              <w:rPr>
                <w:b/>
                <w:i/>
                <w:lang w:eastAsia="en-US"/>
              </w:rPr>
              <w:lastRenderedPageBreak/>
              <w:t xml:space="preserve">Noteikumu projekta </w:t>
            </w:r>
            <w:r w:rsidRPr="00967A52">
              <w:rPr>
                <w:b/>
                <w:i/>
                <w:lang w:eastAsia="en-US"/>
              </w:rPr>
              <w:lastRenderedPageBreak/>
              <w:t>5.punkts</w:t>
            </w:r>
          </w:p>
        </w:tc>
        <w:tc>
          <w:tcPr>
            <w:tcW w:w="1132" w:type="pct"/>
            <w:tcBorders>
              <w:top w:val="outset" w:sz="6" w:space="0" w:color="auto"/>
              <w:left w:val="outset" w:sz="6" w:space="0" w:color="auto"/>
              <w:bottom w:val="outset" w:sz="6" w:space="0" w:color="auto"/>
              <w:right w:val="outset" w:sz="6" w:space="0" w:color="auto"/>
            </w:tcBorders>
            <w:vAlign w:val="center"/>
          </w:tcPr>
          <w:p w:rsidR="006E1AE1" w:rsidRPr="00967A52" w:rsidRDefault="006E1AE1" w:rsidP="00050314">
            <w:pPr>
              <w:pStyle w:val="naiskr"/>
              <w:spacing w:before="0" w:after="0"/>
              <w:jc w:val="both"/>
              <w:rPr>
                <w:lang w:eastAsia="en-US"/>
              </w:rPr>
            </w:pPr>
            <w:r w:rsidRPr="00967A52">
              <w:rPr>
                <w:i/>
                <w:lang w:eastAsia="en-US"/>
              </w:rPr>
              <w:lastRenderedPageBreak/>
              <w:t>ieviesta pilnībā</w:t>
            </w:r>
          </w:p>
        </w:tc>
        <w:tc>
          <w:tcPr>
            <w:tcW w:w="1927" w:type="pct"/>
            <w:tcBorders>
              <w:top w:val="outset" w:sz="6" w:space="0" w:color="auto"/>
              <w:left w:val="outset" w:sz="6" w:space="0" w:color="auto"/>
              <w:bottom w:val="outset" w:sz="6" w:space="0" w:color="auto"/>
              <w:right w:val="outset" w:sz="6" w:space="0" w:color="auto"/>
            </w:tcBorders>
            <w:vAlign w:val="center"/>
          </w:tcPr>
          <w:p w:rsidR="006E1AE1" w:rsidRPr="00967A52" w:rsidRDefault="006E1AE1" w:rsidP="00050314">
            <w:pPr>
              <w:pStyle w:val="naiskr"/>
              <w:spacing w:before="0" w:after="0"/>
              <w:jc w:val="both"/>
              <w:rPr>
                <w:lang w:eastAsia="en-US"/>
              </w:rPr>
            </w:pPr>
            <w:r w:rsidRPr="00967A52">
              <w:rPr>
                <w:i/>
                <w:lang w:eastAsia="en-US"/>
              </w:rPr>
              <w:t>neparedz stingrākas prasības</w:t>
            </w:r>
          </w:p>
        </w:tc>
      </w:tr>
      <w:tr w:rsidR="006E1AE1" w:rsidRPr="00967A52" w:rsidTr="00BD45ED">
        <w:tblPrEx>
          <w:tblBorders>
            <w:insideH w:val="none" w:sz="0" w:space="0" w:color="auto"/>
            <w:insideV w:val="none" w:sz="0" w:space="0" w:color="auto"/>
          </w:tblBorders>
        </w:tblPrEx>
        <w:trPr>
          <w:tblCellSpacing w:w="15" w:type="dxa"/>
        </w:trPr>
        <w:tc>
          <w:tcPr>
            <w:tcW w:w="1828" w:type="pct"/>
            <w:gridSpan w:val="4"/>
            <w:tcBorders>
              <w:top w:val="outset" w:sz="6" w:space="0" w:color="auto"/>
              <w:left w:val="outset" w:sz="6" w:space="0" w:color="auto"/>
              <w:bottom w:val="outset" w:sz="6" w:space="0" w:color="auto"/>
              <w:right w:val="outset" w:sz="6" w:space="0" w:color="auto"/>
            </w:tcBorders>
            <w:vAlign w:val="center"/>
            <w:hideMark/>
          </w:tcPr>
          <w:p w:rsidR="006E1AE1" w:rsidRPr="00967A52" w:rsidRDefault="006E1AE1" w:rsidP="00F46334">
            <w:pPr>
              <w:spacing w:line="240" w:lineRule="auto"/>
              <w:jc w:val="both"/>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w:t>
            </w:r>
          </w:p>
        </w:tc>
        <w:tc>
          <w:tcPr>
            <w:tcW w:w="3118" w:type="pct"/>
            <w:gridSpan w:val="3"/>
            <w:tcBorders>
              <w:top w:val="outset" w:sz="6" w:space="0" w:color="auto"/>
              <w:left w:val="outset" w:sz="6" w:space="0" w:color="auto"/>
              <w:bottom w:val="outset" w:sz="6" w:space="0" w:color="auto"/>
              <w:right w:val="outset" w:sz="6" w:space="0" w:color="auto"/>
            </w:tcBorders>
            <w:hideMark/>
          </w:tcPr>
          <w:p w:rsidR="006E1AE1" w:rsidRPr="00967A52" w:rsidRDefault="006E1AE1" w:rsidP="00F46334">
            <w:pPr>
              <w:spacing w:line="240" w:lineRule="auto"/>
              <w:jc w:val="both"/>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Nav attiecināms.</w:t>
            </w:r>
          </w:p>
        </w:tc>
      </w:tr>
      <w:tr w:rsidR="006E1AE1" w:rsidRPr="00967A52" w:rsidTr="00BD45ED">
        <w:tblPrEx>
          <w:tblBorders>
            <w:insideH w:val="none" w:sz="0" w:space="0" w:color="auto"/>
            <w:insideV w:val="none" w:sz="0" w:space="0" w:color="auto"/>
          </w:tblBorders>
        </w:tblPrEx>
        <w:trPr>
          <w:tblCellSpacing w:w="15" w:type="dxa"/>
        </w:trPr>
        <w:tc>
          <w:tcPr>
            <w:tcW w:w="1828" w:type="pct"/>
            <w:gridSpan w:val="4"/>
            <w:tcBorders>
              <w:top w:val="outset" w:sz="6" w:space="0" w:color="auto"/>
              <w:left w:val="outset" w:sz="6" w:space="0" w:color="auto"/>
              <w:bottom w:val="outset" w:sz="6" w:space="0" w:color="auto"/>
              <w:right w:val="outset" w:sz="6" w:space="0" w:color="auto"/>
            </w:tcBorders>
            <w:vAlign w:val="center"/>
            <w:hideMark/>
          </w:tcPr>
          <w:p w:rsidR="006E1AE1" w:rsidRPr="00967A52" w:rsidRDefault="006E1AE1" w:rsidP="00F46334">
            <w:pPr>
              <w:spacing w:line="240" w:lineRule="auto"/>
              <w:jc w:val="both"/>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118" w:type="pct"/>
            <w:gridSpan w:val="3"/>
            <w:tcBorders>
              <w:top w:val="outset" w:sz="6" w:space="0" w:color="auto"/>
              <w:left w:val="outset" w:sz="6" w:space="0" w:color="auto"/>
              <w:bottom w:val="outset" w:sz="6" w:space="0" w:color="auto"/>
              <w:right w:val="outset" w:sz="6" w:space="0" w:color="auto"/>
            </w:tcBorders>
            <w:hideMark/>
          </w:tcPr>
          <w:p w:rsidR="006E1AE1" w:rsidRPr="00967A52" w:rsidRDefault="006E1AE1" w:rsidP="00F46334">
            <w:pPr>
              <w:spacing w:line="240" w:lineRule="auto"/>
              <w:jc w:val="both"/>
              <w:rPr>
                <w:rFonts w:ascii="Times New Roman" w:eastAsia="Times New Roman" w:hAnsi="Times New Roman" w:cs="Times New Roman"/>
                <w:sz w:val="24"/>
                <w:szCs w:val="24"/>
                <w:lang w:eastAsia="lv-LV"/>
              </w:rPr>
            </w:pPr>
            <w:r w:rsidRPr="00967A52">
              <w:rPr>
                <w:rFonts w:ascii="Times New Roman" w:hAnsi="Times New Roman" w:cs="Times New Roman"/>
                <w:sz w:val="24"/>
                <w:szCs w:val="24"/>
              </w:rPr>
              <w:t>Nav attiecināms.</w:t>
            </w:r>
          </w:p>
        </w:tc>
      </w:tr>
      <w:tr w:rsidR="006E1AE1" w:rsidRPr="00967A52" w:rsidTr="00BD45ED">
        <w:tblPrEx>
          <w:tblBorders>
            <w:insideH w:val="none" w:sz="0" w:space="0" w:color="auto"/>
            <w:insideV w:val="none" w:sz="0" w:space="0" w:color="auto"/>
          </w:tblBorders>
        </w:tblPrEx>
        <w:trPr>
          <w:tblCellSpacing w:w="15" w:type="dxa"/>
        </w:trPr>
        <w:tc>
          <w:tcPr>
            <w:tcW w:w="1828" w:type="pct"/>
            <w:gridSpan w:val="4"/>
            <w:tcBorders>
              <w:top w:val="outset" w:sz="6" w:space="0" w:color="auto"/>
              <w:left w:val="outset" w:sz="6" w:space="0" w:color="auto"/>
              <w:bottom w:val="outset" w:sz="6" w:space="0" w:color="auto"/>
              <w:right w:val="outset" w:sz="6" w:space="0" w:color="auto"/>
            </w:tcBorders>
            <w:hideMark/>
          </w:tcPr>
          <w:p w:rsidR="006E1AE1" w:rsidRPr="00967A52" w:rsidRDefault="006E1AE1" w:rsidP="00F46334">
            <w:pPr>
              <w:spacing w:line="240" w:lineRule="auto"/>
              <w:jc w:val="both"/>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Cita informācija</w:t>
            </w:r>
          </w:p>
        </w:tc>
        <w:tc>
          <w:tcPr>
            <w:tcW w:w="3118" w:type="pct"/>
            <w:gridSpan w:val="3"/>
            <w:tcBorders>
              <w:top w:val="outset" w:sz="6" w:space="0" w:color="auto"/>
              <w:left w:val="outset" w:sz="6" w:space="0" w:color="auto"/>
              <w:bottom w:val="outset" w:sz="6" w:space="0" w:color="auto"/>
              <w:right w:val="outset" w:sz="6" w:space="0" w:color="auto"/>
            </w:tcBorders>
            <w:hideMark/>
          </w:tcPr>
          <w:p w:rsidR="006E1AE1" w:rsidRPr="00967A52" w:rsidRDefault="006E1AE1" w:rsidP="00F46334">
            <w:pPr>
              <w:spacing w:line="240" w:lineRule="auto"/>
              <w:jc w:val="both"/>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Nav</w:t>
            </w:r>
          </w:p>
        </w:tc>
      </w:tr>
    </w:tbl>
    <w:p w:rsidR="00956521" w:rsidRPr="00967A52" w:rsidRDefault="00956521" w:rsidP="00F46334">
      <w:pPr>
        <w:tabs>
          <w:tab w:val="left" w:pos="7655"/>
        </w:tabs>
        <w:spacing w:line="240" w:lineRule="auto"/>
        <w:jc w:val="both"/>
        <w:rPr>
          <w:rFonts w:ascii="Times New Roman" w:hAnsi="Times New Roman" w:cs="Times New Roman"/>
          <w:bCs/>
          <w:sz w:val="26"/>
          <w:szCs w:val="26"/>
        </w:rPr>
      </w:pPr>
      <w:r w:rsidRPr="00967A52">
        <w:rPr>
          <w:rFonts w:ascii="Times New Roman" w:hAnsi="Times New Roman" w:cs="Times New Roman"/>
          <w:bCs/>
          <w:sz w:val="26"/>
          <w:szCs w:val="26"/>
        </w:rPr>
        <w:t xml:space="preserve"> </w:t>
      </w: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2268"/>
        <w:gridCol w:w="5387"/>
      </w:tblGrid>
      <w:tr w:rsidR="00956521" w:rsidRPr="00967A52" w:rsidTr="003105D9">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E70ADF" w:rsidP="00221970">
            <w:pPr>
              <w:spacing w:after="0" w:line="240" w:lineRule="auto"/>
              <w:jc w:val="center"/>
              <w:rPr>
                <w:rFonts w:ascii="Times New Roman" w:eastAsia="Times New Roman" w:hAnsi="Times New Roman" w:cs="Times New Roman"/>
                <w:b/>
                <w:sz w:val="26"/>
                <w:szCs w:val="26"/>
                <w:lang w:eastAsia="lv-LV"/>
              </w:rPr>
            </w:pPr>
            <w:r w:rsidRPr="00967A52">
              <w:rPr>
                <w:rFonts w:ascii="Times New Roman" w:hAnsi="Times New Roman" w:cs="Times New Roman"/>
                <w:b/>
                <w:bCs/>
                <w:sz w:val="26"/>
                <w:szCs w:val="26"/>
              </w:rPr>
              <w:t>VI. Sabiedrības līdzdalība un komunikācijas aktivitātes</w:t>
            </w:r>
          </w:p>
        </w:tc>
      </w:tr>
      <w:tr w:rsidR="00956521" w:rsidRPr="00967A52" w:rsidTr="00D5213A">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221970">
            <w:pPr>
              <w:spacing w:after="0" w:line="240" w:lineRule="auto"/>
              <w:rPr>
                <w:rFonts w:ascii="Times New Roman" w:eastAsia="Times New Roman" w:hAnsi="Times New Roman" w:cs="Times New Roman"/>
                <w:sz w:val="26"/>
                <w:szCs w:val="26"/>
                <w:lang w:eastAsia="lv-LV"/>
              </w:rPr>
            </w:pPr>
            <w:r w:rsidRPr="00967A52">
              <w:rPr>
                <w:rFonts w:ascii="Times New Roman" w:eastAsia="Times New Roman" w:hAnsi="Times New Roman" w:cs="Times New Roman"/>
                <w:sz w:val="26"/>
                <w:szCs w:val="26"/>
                <w:lang w:eastAsia="lv-LV"/>
              </w:rPr>
              <w:t>1.</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E70ADF" w:rsidP="00221970">
            <w:pPr>
              <w:spacing w:after="0" w:line="240" w:lineRule="auto"/>
              <w:rPr>
                <w:rFonts w:ascii="Times New Roman" w:eastAsia="Times New Roman" w:hAnsi="Times New Roman" w:cs="Times New Roman"/>
                <w:sz w:val="26"/>
                <w:szCs w:val="26"/>
                <w:lang w:eastAsia="lv-LV"/>
              </w:rPr>
            </w:pPr>
            <w:r w:rsidRPr="00967A52">
              <w:rPr>
                <w:rFonts w:ascii="Times New Roman" w:hAnsi="Times New Roman" w:cs="Times New Roman"/>
                <w:sz w:val="26"/>
                <w:szCs w:val="26"/>
              </w:rPr>
              <w:t>Plānotās sabiedrības līdzdalības un komunikācijas aktivitātes saistībā ar projektu</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D677E3" w:rsidP="00221970">
            <w:pPr>
              <w:spacing w:after="0" w:line="240" w:lineRule="auto"/>
              <w:ind w:left="124"/>
              <w:jc w:val="both"/>
              <w:rPr>
                <w:rFonts w:ascii="Times New Roman" w:eastAsia="Times New Roman" w:hAnsi="Times New Roman" w:cs="Times New Roman"/>
                <w:sz w:val="26"/>
                <w:szCs w:val="26"/>
                <w:lang w:eastAsia="lv-LV"/>
              </w:rPr>
            </w:pPr>
            <w:r w:rsidRPr="00967A52">
              <w:rPr>
                <w:rFonts w:ascii="Times New Roman" w:eastAsia="Times New Roman" w:hAnsi="Times New Roman" w:cs="Times New Roman"/>
                <w:iCs/>
                <w:sz w:val="26"/>
                <w:szCs w:val="26"/>
                <w:lang w:eastAsia="lv-LV"/>
              </w:rPr>
              <w:t>Grozījumi ir labvēlīgāki potenciālajiem projektu iesniedzējiem salīdzinājumā ar spēkā esošajiem noteikumiem, tāpēc konsultācijas nebija nepieciešams rīkot.</w:t>
            </w:r>
          </w:p>
        </w:tc>
      </w:tr>
      <w:tr w:rsidR="00956521" w:rsidRPr="00967A52" w:rsidTr="00D5213A">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221970">
            <w:pPr>
              <w:spacing w:after="0" w:line="240" w:lineRule="auto"/>
              <w:rPr>
                <w:rFonts w:ascii="Times New Roman" w:eastAsia="Times New Roman" w:hAnsi="Times New Roman" w:cs="Times New Roman"/>
                <w:sz w:val="26"/>
                <w:szCs w:val="26"/>
                <w:lang w:eastAsia="lv-LV"/>
              </w:rPr>
            </w:pPr>
            <w:r w:rsidRPr="00967A52">
              <w:rPr>
                <w:rFonts w:ascii="Times New Roman" w:eastAsia="Times New Roman" w:hAnsi="Times New Roman" w:cs="Times New Roman"/>
                <w:sz w:val="26"/>
                <w:szCs w:val="26"/>
                <w:lang w:eastAsia="lv-LV"/>
              </w:rPr>
              <w:t>2.</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E70ADF" w:rsidP="00221970">
            <w:pPr>
              <w:spacing w:after="0" w:line="240" w:lineRule="auto"/>
              <w:rPr>
                <w:rFonts w:ascii="Times New Roman" w:eastAsia="Times New Roman" w:hAnsi="Times New Roman" w:cs="Times New Roman"/>
                <w:sz w:val="26"/>
                <w:szCs w:val="26"/>
                <w:lang w:eastAsia="lv-LV"/>
              </w:rPr>
            </w:pPr>
            <w:r w:rsidRPr="00967A52">
              <w:rPr>
                <w:rFonts w:ascii="Times New Roman" w:hAnsi="Times New Roman" w:cs="Times New Roman"/>
                <w:sz w:val="26"/>
                <w:szCs w:val="26"/>
              </w:rPr>
              <w:t>Sabiedrības līdzdalība projekta izstrādē</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D677E3" w:rsidP="00221970">
            <w:pPr>
              <w:spacing w:after="0" w:line="240" w:lineRule="auto"/>
              <w:ind w:left="124"/>
              <w:jc w:val="both"/>
              <w:rPr>
                <w:rFonts w:ascii="Times New Roman" w:eastAsia="Times New Roman" w:hAnsi="Times New Roman" w:cs="Times New Roman"/>
                <w:iCs/>
                <w:sz w:val="26"/>
                <w:szCs w:val="26"/>
                <w:lang w:eastAsia="lv-LV"/>
              </w:rPr>
            </w:pPr>
            <w:r w:rsidRPr="00967A52">
              <w:rPr>
                <w:rFonts w:ascii="Times New Roman" w:eastAsia="Times New Roman" w:hAnsi="Times New Roman" w:cs="Times New Roman"/>
                <w:iCs/>
                <w:sz w:val="26"/>
                <w:szCs w:val="26"/>
                <w:lang w:eastAsia="lv-LV"/>
              </w:rPr>
              <w:t>Grozījumi ir labvēlīgāki potenciālajiem projektu iesniedzējiem salīdzinājumā ar spēkā esošajiem noteikumiem, tāpēc konsultācijas nebija nepieciešams rīkot.</w:t>
            </w:r>
          </w:p>
        </w:tc>
      </w:tr>
      <w:tr w:rsidR="00956521" w:rsidRPr="00967A52" w:rsidTr="00D5213A">
        <w:trPr>
          <w:trHeight w:val="930"/>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221970">
            <w:pPr>
              <w:spacing w:after="0" w:line="240" w:lineRule="auto"/>
              <w:rPr>
                <w:rFonts w:ascii="Times New Roman" w:eastAsia="Times New Roman" w:hAnsi="Times New Roman" w:cs="Times New Roman"/>
                <w:sz w:val="26"/>
                <w:szCs w:val="26"/>
                <w:lang w:eastAsia="lv-LV"/>
              </w:rPr>
            </w:pPr>
            <w:r w:rsidRPr="00967A52">
              <w:rPr>
                <w:rFonts w:ascii="Times New Roman" w:eastAsia="Times New Roman" w:hAnsi="Times New Roman" w:cs="Times New Roman"/>
                <w:sz w:val="26"/>
                <w:szCs w:val="26"/>
                <w:lang w:eastAsia="lv-LV"/>
              </w:rPr>
              <w:t>3.</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221970">
            <w:pPr>
              <w:spacing w:after="0" w:line="240" w:lineRule="auto"/>
              <w:rPr>
                <w:rFonts w:ascii="Times New Roman" w:eastAsia="Times New Roman" w:hAnsi="Times New Roman" w:cs="Times New Roman"/>
                <w:sz w:val="26"/>
                <w:szCs w:val="26"/>
                <w:lang w:eastAsia="lv-LV"/>
              </w:rPr>
            </w:pPr>
            <w:r w:rsidRPr="00967A52">
              <w:rPr>
                <w:rFonts w:ascii="Times New Roman" w:hAnsi="Times New Roman" w:cs="Times New Roman"/>
                <w:sz w:val="26"/>
                <w:szCs w:val="26"/>
              </w:rPr>
              <w:t>Sabiedrības līdzdalības rezultāti</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D677E3" w:rsidP="00221970">
            <w:pPr>
              <w:spacing w:after="0" w:line="240" w:lineRule="auto"/>
              <w:ind w:left="124"/>
              <w:jc w:val="both"/>
              <w:rPr>
                <w:rFonts w:ascii="Times New Roman" w:eastAsia="Times New Roman" w:hAnsi="Times New Roman" w:cs="Times New Roman"/>
                <w:b/>
                <w:sz w:val="26"/>
                <w:szCs w:val="26"/>
                <w:lang w:eastAsia="lv-LV"/>
              </w:rPr>
            </w:pPr>
            <w:r w:rsidRPr="00967A52">
              <w:rPr>
                <w:rFonts w:ascii="Times New Roman" w:eastAsia="Times New Roman" w:hAnsi="Times New Roman" w:cs="Times New Roman"/>
                <w:iCs/>
                <w:sz w:val="26"/>
                <w:szCs w:val="26"/>
                <w:lang w:eastAsia="lv-LV"/>
              </w:rPr>
              <w:t>Grozījumi ir labvēlīgāki potenciālajiem projektu iesniedzējiem salīdzinājumā ar spēkā esošajiem noteikumiem, tāpēc konsultācijas nebija nepieciešams rīkot.</w:t>
            </w:r>
          </w:p>
        </w:tc>
      </w:tr>
      <w:tr w:rsidR="00956521" w:rsidRPr="00967A52" w:rsidTr="00D5213A">
        <w:trPr>
          <w:trHeight w:val="912"/>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E70ADF" w:rsidP="00221970">
            <w:pPr>
              <w:spacing w:after="0" w:line="240" w:lineRule="auto"/>
              <w:rPr>
                <w:rFonts w:ascii="Times New Roman" w:eastAsia="Times New Roman" w:hAnsi="Times New Roman" w:cs="Times New Roman"/>
                <w:sz w:val="26"/>
                <w:szCs w:val="26"/>
                <w:lang w:eastAsia="lv-LV"/>
              </w:rPr>
            </w:pPr>
            <w:r w:rsidRPr="00967A52">
              <w:rPr>
                <w:rFonts w:ascii="Times New Roman" w:eastAsia="Times New Roman" w:hAnsi="Times New Roman" w:cs="Times New Roman"/>
                <w:sz w:val="26"/>
                <w:szCs w:val="26"/>
                <w:lang w:eastAsia="lv-LV"/>
              </w:rPr>
              <w:t>4</w:t>
            </w:r>
            <w:r w:rsidR="00956521" w:rsidRPr="00967A52">
              <w:rPr>
                <w:rFonts w:ascii="Times New Roman" w:eastAsia="Times New Roman" w:hAnsi="Times New Roman" w:cs="Times New Roman"/>
                <w:sz w:val="26"/>
                <w:szCs w:val="26"/>
                <w:lang w:eastAsia="lv-LV"/>
              </w:rPr>
              <w:t>.</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221970">
            <w:pPr>
              <w:spacing w:after="0" w:line="240" w:lineRule="auto"/>
              <w:rPr>
                <w:rFonts w:ascii="Times New Roman" w:eastAsia="Times New Roman" w:hAnsi="Times New Roman" w:cs="Times New Roman"/>
                <w:sz w:val="26"/>
                <w:szCs w:val="26"/>
                <w:lang w:eastAsia="lv-LV"/>
              </w:rPr>
            </w:pPr>
            <w:r w:rsidRPr="00967A52">
              <w:rPr>
                <w:rFonts w:ascii="Times New Roman" w:hAnsi="Times New Roman" w:cs="Times New Roman"/>
                <w:sz w:val="26"/>
                <w:szCs w:val="26"/>
              </w:rPr>
              <w:t>Cita informācija</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E70ADF" w:rsidP="00221970">
            <w:pPr>
              <w:spacing w:after="0" w:line="240" w:lineRule="auto"/>
              <w:ind w:firstLine="284"/>
              <w:jc w:val="both"/>
              <w:rPr>
                <w:rFonts w:ascii="Times New Roman" w:eastAsia="Times New Roman" w:hAnsi="Times New Roman" w:cs="Times New Roman"/>
                <w:sz w:val="26"/>
                <w:szCs w:val="26"/>
                <w:lang w:eastAsia="lv-LV"/>
              </w:rPr>
            </w:pPr>
            <w:r w:rsidRPr="00967A52">
              <w:rPr>
                <w:rFonts w:ascii="Times New Roman" w:eastAsia="Times New Roman" w:hAnsi="Times New Roman" w:cs="Times New Roman"/>
                <w:iCs/>
                <w:sz w:val="26"/>
                <w:szCs w:val="26"/>
                <w:lang w:eastAsia="lv-LV"/>
              </w:rPr>
              <w:t>Nav</w:t>
            </w:r>
          </w:p>
        </w:tc>
      </w:tr>
    </w:tbl>
    <w:p w:rsidR="00956521" w:rsidRPr="00967A52" w:rsidRDefault="00956521" w:rsidP="00F46334">
      <w:pPr>
        <w:tabs>
          <w:tab w:val="left" w:pos="7655"/>
        </w:tabs>
        <w:spacing w:line="240" w:lineRule="auto"/>
        <w:jc w:val="both"/>
        <w:rPr>
          <w:rFonts w:ascii="Times New Roman" w:hAnsi="Times New Roman" w:cs="Times New Roman"/>
          <w:bCs/>
          <w:sz w:val="26"/>
          <w:szCs w:val="26"/>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4111"/>
        <w:gridCol w:w="3544"/>
      </w:tblGrid>
      <w:tr w:rsidR="00956521" w:rsidRPr="00967A52" w:rsidTr="00D5213A">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F46334">
            <w:pPr>
              <w:spacing w:line="240" w:lineRule="auto"/>
              <w:jc w:val="center"/>
              <w:rPr>
                <w:rFonts w:ascii="Times New Roman" w:eastAsia="Times New Roman" w:hAnsi="Times New Roman" w:cs="Times New Roman"/>
                <w:b/>
                <w:sz w:val="24"/>
                <w:szCs w:val="24"/>
                <w:lang w:eastAsia="lv-LV"/>
              </w:rPr>
            </w:pPr>
            <w:r w:rsidRPr="00967A52">
              <w:rPr>
                <w:rFonts w:ascii="Times New Roman" w:eastAsia="Times New Roman" w:hAnsi="Times New Roman" w:cs="Times New Roman"/>
                <w:b/>
                <w:sz w:val="24"/>
                <w:szCs w:val="24"/>
                <w:lang w:eastAsia="lv-LV"/>
              </w:rPr>
              <w:t>VII. Tiesību akta projekta izpildes nodrošināšana un tās ietekme uz institūcijām</w:t>
            </w:r>
          </w:p>
        </w:tc>
      </w:tr>
      <w:tr w:rsidR="00956521" w:rsidRPr="00967A52" w:rsidTr="00221970">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F46334">
            <w:pPr>
              <w:spacing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lastRenderedPageBreak/>
              <w:t>1.</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F46334">
            <w:pPr>
              <w:spacing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Projekta izpildē iesaistītās institūcijas</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F46334">
            <w:pPr>
              <w:spacing w:line="240" w:lineRule="auto"/>
              <w:ind w:left="142"/>
              <w:jc w:val="both"/>
              <w:rPr>
                <w:rFonts w:ascii="Times New Roman" w:hAnsi="Times New Roman" w:cs="Times New Roman"/>
                <w:sz w:val="24"/>
                <w:szCs w:val="24"/>
                <w:lang w:eastAsia="lv-LV"/>
              </w:rPr>
            </w:pPr>
            <w:r w:rsidRPr="00967A52">
              <w:rPr>
                <w:rFonts w:ascii="Times New Roman" w:hAnsi="Times New Roman" w:cs="Times New Roman"/>
                <w:sz w:val="24"/>
                <w:szCs w:val="24"/>
              </w:rPr>
              <w:t xml:space="preserve">Noteikumu projekta izpildē ir iesaistīta </w:t>
            </w:r>
            <w:r w:rsidR="006A34A8" w:rsidRPr="00967A52">
              <w:rPr>
                <w:rFonts w:ascii="Times New Roman" w:hAnsi="Times New Roman" w:cs="Times New Roman"/>
                <w:sz w:val="24"/>
                <w:szCs w:val="24"/>
              </w:rPr>
              <w:t>LIAA</w:t>
            </w:r>
            <w:r w:rsidRPr="00967A52">
              <w:rPr>
                <w:rFonts w:ascii="Times New Roman" w:hAnsi="Times New Roman" w:cs="Times New Roman"/>
                <w:sz w:val="24"/>
                <w:szCs w:val="24"/>
              </w:rPr>
              <w:t>.</w:t>
            </w:r>
          </w:p>
        </w:tc>
      </w:tr>
      <w:tr w:rsidR="00956521" w:rsidRPr="00967A52" w:rsidTr="00221970">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F46334">
            <w:pPr>
              <w:spacing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2.</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393" w:rsidRPr="00967A52" w:rsidRDefault="009C2393" w:rsidP="00F46334">
            <w:pPr>
              <w:spacing w:after="0"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Projekta izpildes ietekme uz pārvaldes funkcijām un institucionālo struktūru.</w:t>
            </w:r>
          </w:p>
          <w:p w:rsidR="00956521" w:rsidRPr="00967A52" w:rsidRDefault="009C2393" w:rsidP="00F46334">
            <w:pPr>
              <w:spacing w:after="0"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F46334">
            <w:pPr>
              <w:spacing w:line="240" w:lineRule="auto"/>
              <w:ind w:left="142"/>
              <w:jc w:val="both"/>
              <w:rPr>
                <w:rFonts w:ascii="Times New Roman" w:hAnsi="Times New Roman" w:cs="Times New Roman"/>
                <w:sz w:val="24"/>
                <w:szCs w:val="24"/>
              </w:rPr>
            </w:pPr>
            <w:r w:rsidRPr="00967A52">
              <w:rPr>
                <w:rFonts w:ascii="Times New Roman" w:hAnsi="Times New Roman" w:cs="Times New Roman"/>
                <w:sz w:val="24"/>
                <w:szCs w:val="24"/>
              </w:rPr>
              <w:t xml:space="preserve">Noteikumu projekta izpildi nodrošinās </w:t>
            </w:r>
            <w:r w:rsidR="006A34A8" w:rsidRPr="00967A52">
              <w:rPr>
                <w:rFonts w:ascii="Times New Roman" w:hAnsi="Times New Roman" w:cs="Times New Roman"/>
                <w:sz w:val="24"/>
                <w:szCs w:val="24"/>
              </w:rPr>
              <w:t>LIAA</w:t>
            </w:r>
            <w:r w:rsidRPr="00967A52">
              <w:rPr>
                <w:rFonts w:ascii="Times New Roman" w:hAnsi="Times New Roman" w:cs="Times New Roman"/>
                <w:sz w:val="24"/>
                <w:szCs w:val="24"/>
              </w:rPr>
              <w:t xml:space="preserve"> darbības ietvaros.</w:t>
            </w:r>
          </w:p>
        </w:tc>
      </w:tr>
      <w:tr w:rsidR="00956521" w:rsidRPr="00967A52" w:rsidTr="00221970">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C2393" w:rsidP="00F46334">
            <w:pPr>
              <w:spacing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3</w:t>
            </w:r>
            <w:r w:rsidR="00956521" w:rsidRPr="00967A52">
              <w:rPr>
                <w:rFonts w:ascii="Times New Roman" w:eastAsia="Times New Roman" w:hAnsi="Times New Roman" w:cs="Times New Roman"/>
                <w:sz w:val="24"/>
                <w:szCs w:val="24"/>
                <w:lang w:eastAsia="lv-LV"/>
              </w:rPr>
              <w:t>.</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56521" w:rsidP="00F46334">
            <w:pPr>
              <w:spacing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Cita informācija</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967A52" w:rsidRDefault="009C2393" w:rsidP="00F46334">
            <w:pPr>
              <w:spacing w:line="240" w:lineRule="auto"/>
              <w:ind w:firstLine="284"/>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Nav</w:t>
            </w:r>
          </w:p>
        </w:tc>
      </w:tr>
    </w:tbl>
    <w:p w:rsidR="006E5DAC" w:rsidRPr="00967A52" w:rsidRDefault="006E5DAC" w:rsidP="00F46334">
      <w:pPr>
        <w:tabs>
          <w:tab w:val="left" w:pos="6710"/>
        </w:tabs>
        <w:spacing w:after="0" w:line="240" w:lineRule="auto"/>
        <w:rPr>
          <w:rFonts w:ascii="Times New Roman" w:eastAsia="Times New Roman" w:hAnsi="Times New Roman" w:cs="Times New Roman"/>
          <w:b/>
          <w:sz w:val="26"/>
          <w:szCs w:val="26"/>
          <w:lang w:eastAsia="lv-LV"/>
        </w:rPr>
      </w:pPr>
      <w:r w:rsidRPr="00967A52">
        <w:rPr>
          <w:rFonts w:ascii="Times New Roman" w:eastAsia="Times New Roman" w:hAnsi="Times New Roman" w:cs="Times New Roman"/>
          <w:b/>
          <w:sz w:val="26"/>
          <w:szCs w:val="26"/>
          <w:lang w:eastAsia="lv-LV"/>
        </w:rPr>
        <w:t>Anotācijas III. sadaļa - projekts šīs jomas neskar.</w:t>
      </w:r>
    </w:p>
    <w:p w:rsidR="00956521" w:rsidRPr="00967A52"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956521" w:rsidRPr="00967A52"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967A52" w:rsidRDefault="00967A52" w:rsidP="00967A52">
      <w:pPr>
        <w:tabs>
          <w:tab w:val="left" w:pos="6521"/>
        </w:tabs>
        <w:spacing w:after="0" w:line="240" w:lineRule="auto"/>
        <w:jc w:val="both"/>
        <w:rPr>
          <w:rFonts w:ascii="Times New Roman" w:hAnsi="Times New Roman" w:cs="Times New Roman"/>
          <w:color w:val="000000" w:themeColor="text1"/>
          <w:sz w:val="26"/>
          <w:szCs w:val="26"/>
        </w:rPr>
      </w:pPr>
    </w:p>
    <w:p w:rsidR="00B37073" w:rsidRPr="00967A52" w:rsidRDefault="00B37073" w:rsidP="00967A52">
      <w:pPr>
        <w:tabs>
          <w:tab w:val="left" w:pos="6521"/>
        </w:tabs>
        <w:spacing w:after="0" w:line="240" w:lineRule="auto"/>
        <w:jc w:val="both"/>
        <w:rPr>
          <w:rFonts w:ascii="Times New Roman" w:hAnsi="Times New Roman" w:cs="Times New Roman"/>
          <w:color w:val="000000" w:themeColor="text1"/>
          <w:sz w:val="26"/>
          <w:szCs w:val="26"/>
        </w:rPr>
      </w:pPr>
      <w:r w:rsidRPr="00967A52">
        <w:rPr>
          <w:rFonts w:ascii="Times New Roman" w:hAnsi="Times New Roman" w:cs="Times New Roman"/>
          <w:color w:val="000000" w:themeColor="text1"/>
          <w:sz w:val="26"/>
          <w:szCs w:val="26"/>
        </w:rPr>
        <w:t xml:space="preserve">Ekonomikas ministrs </w:t>
      </w:r>
      <w:r w:rsidRPr="00967A52">
        <w:rPr>
          <w:rFonts w:ascii="Times New Roman" w:hAnsi="Times New Roman" w:cs="Times New Roman"/>
          <w:color w:val="000000" w:themeColor="text1"/>
          <w:sz w:val="26"/>
          <w:szCs w:val="26"/>
        </w:rPr>
        <w:tab/>
      </w:r>
      <w:proofErr w:type="spellStart"/>
      <w:r w:rsidR="00E73C53" w:rsidRPr="00967A52">
        <w:rPr>
          <w:rFonts w:ascii="Times New Roman" w:hAnsi="Times New Roman" w:cs="Times New Roman"/>
          <w:color w:val="000000" w:themeColor="text1"/>
          <w:sz w:val="26"/>
          <w:szCs w:val="26"/>
        </w:rPr>
        <w:t>V.Dombrovskis</w:t>
      </w:r>
      <w:proofErr w:type="spellEnd"/>
    </w:p>
    <w:p w:rsidR="00956521" w:rsidRPr="00967A52"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956521" w:rsidRPr="00967A52"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2F0C82" w:rsidRPr="00967A52" w:rsidRDefault="002F0C82" w:rsidP="00F46334">
      <w:pPr>
        <w:tabs>
          <w:tab w:val="right" w:pos="9071"/>
        </w:tabs>
        <w:spacing w:after="0" w:line="240" w:lineRule="auto"/>
        <w:jc w:val="both"/>
        <w:rPr>
          <w:rFonts w:ascii="Times New Roman" w:hAnsi="Times New Roman" w:cs="Times New Roman"/>
          <w:color w:val="000000" w:themeColor="text1"/>
          <w:sz w:val="26"/>
          <w:szCs w:val="26"/>
        </w:rPr>
      </w:pPr>
    </w:p>
    <w:p w:rsidR="00B37073" w:rsidRPr="00967A52" w:rsidRDefault="00967A52" w:rsidP="00967A52">
      <w:pPr>
        <w:tabs>
          <w:tab w:val="left" w:pos="6521"/>
        </w:tabs>
        <w:spacing w:after="0" w:line="240" w:lineRule="auto"/>
        <w:jc w:val="both"/>
        <w:rPr>
          <w:rFonts w:ascii="Times New Roman" w:hAnsi="Times New Roman" w:cs="Times New Roman"/>
          <w:color w:val="000000" w:themeColor="text1"/>
          <w:sz w:val="26"/>
          <w:szCs w:val="26"/>
        </w:rPr>
      </w:pPr>
      <w:r w:rsidRPr="00967A52">
        <w:rPr>
          <w:rFonts w:ascii="Times New Roman" w:hAnsi="Times New Roman" w:cs="Times New Roman"/>
          <w:color w:val="000000" w:themeColor="text1"/>
          <w:sz w:val="26"/>
          <w:szCs w:val="26"/>
        </w:rPr>
        <w:t>Vīza: Valsts sekretārs</w:t>
      </w:r>
      <w:r w:rsidRPr="00967A52">
        <w:rPr>
          <w:rFonts w:ascii="Times New Roman" w:hAnsi="Times New Roman" w:cs="Times New Roman"/>
          <w:color w:val="000000" w:themeColor="text1"/>
          <w:sz w:val="26"/>
          <w:szCs w:val="26"/>
        </w:rPr>
        <w:tab/>
      </w:r>
      <w:proofErr w:type="spellStart"/>
      <w:r>
        <w:rPr>
          <w:rFonts w:ascii="Times New Roman" w:hAnsi="Times New Roman" w:cs="Times New Roman"/>
          <w:color w:val="000000" w:themeColor="text1"/>
          <w:sz w:val="26"/>
          <w:szCs w:val="26"/>
        </w:rPr>
        <w:t>M.Lazdovskis</w:t>
      </w:r>
      <w:proofErr w:type="spellEnd"/>
    </w:p>
    <w:p w:rsidR="00956521" w:rsidRPr="00967A52" w:rsidRDefault="00956521"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967A52">
        <w:rPr>
          <w:rFonts w:ascii="Times New Roman" w:eastAsia="Times New Roman" w:hAnsi="Times New Roman" w:cs="Times New Roman"/>
          <w:sz w:val="24"/>
          <w:szCs w:val="24"/>
          <w:lang w:eastAsia="lv-LV"/>
        </w:rPr>
        <w:tab/>
      </w:r>
    </w:p>
    <w:p w:rsidR="00956521" w:rsidRPr="00967A52" w:rsidRDefault="00956521" w:rsidP="00F46334">
      <w:pPr>
        <w:widowControl w:val="0"/>
        <w:spacing w:after="0" w:line="240" w:lineRule="auto"/>
        <w:jc w:val="both"/>
        <w:rPr>
          <w:rFonts w:ascii="Times New Roman" w:eastAsia="Times New Roman" w:hAnsi="Times New Roman" w:cs="Times New Roman"/>
          <w:sz w:val="20"/>
          <w:szCs w:val="20"/>
        </w:rPr>
      </w:pPr>
    </w:p>
    <w:p w:rsidR="002F0C82" w:rsidRPr="00967A52" w:rsidRDefault="002F0C82" w:rsidP="00F46334">
      <w:pPr>
        <w:widowControl w:val="0"/>
        <w:spacing w:after="0" w:line="240" w:lineRule="auto"/>
        <w:jc w:val="both"/>
        <w:rPr>
          <w:rFonts w:ascii="Times New Roman" w:eastAsia="Times New Roman" w:hAnsi="Times New Roman" w:cs="Times New Roman"/>
          <w:sz w:val="20"/>
          <w:szCs w:val="20"/>
        </w:rPr>
      </w:pPr>
    </w:p>
    <w:p w:rsidR="002F0C82" w:rsidRPr="00967A52" w:rsidRDefault="002F0C82" w:rsidP="00F46334">
      <w:pPr>
        <w:widowControl w:val="0"/>
        <w:spacing w:after="0" w:line="240" w:lineRule="auto"/>
        <w:jc w:val="both"/>
        <w:rPr>
          <w:rFonts w:ascii="Times New Roman" w:eastAsia="Times New Roman" w:hAnsi="Times New Roman" w:cs="Times New Roman"/>
          <w:sz w:val="20"/>
          <w:szCs w:val="20"/>
        </w:rPr>
      </w:pPr>
    </w:p>
    <w:p w:rsidR="00A26FF7" w:rsidRDefault="00A26FF7"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19.05.2014 09:02</w:t>
      </w:r>
    </w:p>
    <w:bookmarkStart w:id="11" w:name="_GoBack"/>
    <w:bookmarkEnd w:id="11"/>
    <w:p w:rsidR="00956521" w:rsidRPr="00967A52" w:rsidRDefault="00F5755C" w:rsidP="00F46334">
      <w:pPr>
        <w:widowControl w:val="0"/>
        <w:spacing w:after="0" w:line="240" w:lineRule="auto"/>
        <w:jc w:val="both"/>
        <w:rPr>
          <w:rFonts w:ascii="Times New Roman" w:eastAsia="Times New Roman" w:hAnsi="Times New Roman" w:cs="Times New Roman"/>
          <w:sz w:val="20"/>
          <w:szCs w:val="20"/>
        </w:rPr>
      </w:pPr>
      <w:r>
        <w:fldChar w:fldCharType="begin"/>
      </w:r>
      <w:r>
        <w:instrText xml:space="preserve"> NUMWORDS   \* MERGEFORMAT </w:instrText>
      </w:r>
      <w:r>
        <w:fldChar w:fldCharType="separate"/>
      </w:r>
      <w:r w:rsidR="00A26FF7" w:rsidRPr="00A26FF7">
        <w:rPr>
          <w:rFonts w:ascii="Times New Roman" w:eastAsia="Times New Roman" w:hAnsi="Times New Roman" w:cs="Times New Roman"/>
          <w:noProof/>
          <w:sz w:val="20"/>
          <w:szCs w:val="20"/>
        </w:rPr>
        <w:t>2173</w:t>
      </w:r>
      <w:r>
        <w:rPr>
          <w:rFonts w:ascii="Times New Roman" w:eastAsia="Times New Roman" w:hAnsi="Times New Roman" w:cs="Times New Roman"/>
          <w:noProof/>
          <w:sz w:val="20"/>
          <w:szCs w:val="20"/>
        </w:rPr>
        <w:fldChar w:fldCharType="end"/>
      </w:r>
    </w:p>
    <w:p w:rsidR="00956521" w:rsidRPr="00967A52" w:rsidRDefault="00722624"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Māris Krūmiņš</w:t>
      </w:r>
    </w:p>
    <w:p w:rsidR="004F0FF7" w:rsidRDefault="00956521" w:rsidP="003D5573">
      <w:pPr>
        <w:widowControl w:val="0"/>
        <w:spacing w:after="0" w:line="240" w:lineRule="auto"/>
        <w:jc w:val="both"/>
      </w:pPr>
      <w:r w:rsidRPr="00967A52">
        <w:rPr>
          <w:rFonts w:ascii="Times New Roman" w:eastAsia="Times New Roman" w:hAnsi="Times New Roman" w:cs="Times New Roman"/>
          <w:sz w:val="20"/>
          <w:szCs w:val="20"/>
        </w:rPr>
        <w:t>67013</w:t>
      </w:r>
      <w:r w:rsidR="00722624">
        <w:rPr>
          <w:rFonts w:ascii="Times New Roman" w:eastAsia="Times New Roman" w:hAnsi="Times New Roman" w:cs="Times New Roman"/>
          <w:sz w:val="20"/>
          <w:szCs w:val="20"/>
        </w:rPr>
        <w:t>126</w:t>
      </w:r>
      <w:r w:rsidRPr="00967A52">
        <w:rPr>
          <w:rFonts w:ascii="Times New Roman" w:eastAsia="Times New Roman" w:hAnsi="Times New Roman" w:cs="Times New Roman"/>
          <w:sz w:val="20"/>
          <w:szCs w:val="20"/>
        </w:rPr>
        <w:t xml:space="preserve">, </w:t>
      </w:r>
      <w:r w:rsidR="00722624">
        <w:rPr>
          <w:rFonts w:ascii="Times New Roman" w:eastAsia="Times New Roman" w:hAnsi="Times New Roman" w:cs="Times New Roman"/>
          <w:sz w:val="20"/>
          <w:szCs w:val="20"/>
        </w:rPr>
        <w:t>Maris.Krumins</w:t>
      </w:r>
      <w:r w:rsidRPr="00967A52">
        <w:rPr>
          <w:rFonts w:ascii="Times New Roman" w:eastAsia="Times New Roman" w:hAnsi="Times New Roman" w:cs="Times New Roman"/>
          <w:sz w:val="20"/>
          <w:szCs w:val="20"/>
        </w:rPr>
        <w:t>@em.gov.lv</w:t>
      </w:r>
    </w:p>
    <w:sectPr w:rsidR="004F0FF7" w:rsidSect="00761BA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13" w:rsidRDefault="00254F13" w:rsidP="00F06DFF">
      <w:pPr>
        <w:spacing w:after="0" w:line="240" w:lineRule="auto"/>
      </w:pPr>
      <w:r>
        <w:separator/>
      </w:r>
    </w:p>
  </w:endnote>
  <w:endnote w:type="continuationSeparator" w:id="0">
    <w:p w:rsidR="00254F13" w:rsidRDefault="00254F13" w:rsidP="00F0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FF" w:rsidRPr="00221970" w:rsidRDefault="00CB051A" w:rsidP="00221970">
    <w:pPr>
      <w:pStyle w:val="Footer"/>
      <w:jc w:val="both"/>
      <w:rPr>
        <w:rFonts w:ascii="Times New Roman" w:hAnsi="Times New Roman" w:cs="Times New Roman"/>
      </w:rPr>
    </w:pPr>
    <w:r>
      <w:rPr>
        <w:rFonts w:ascii="Times New Roman" w:hAnsi="Times New Roman" w:cs="Times New Roman"/>
        <w:sz w:val="20"/>
        <w:szCs w:val="20"/>
      </w:rPr>
      <w:t>EMAnot_</w:t>
    </w:r>
    <w:r w:rsidR="00DF4C0E">
      <w:rPr>
        <w:rFonts w:ascii="Times New Roman" w:hAnsi="Times New Roman" w:cs="Times New Roman"/>
        <w:sz w:val="20"/>
        <w:szCs w:val="20"/>
      </w:rPr>
      <w:t>1905</w:t>
    </w:r>
    <w:r w:rsidR="00AE1893" w:rsidRPr="00221970">
      <w:rPr>
        <w:rFonts w:ascii="Times New Roman" w:hAnsi="Times New Roman" w:cs="Times New Roman"/>
        <w:sz w:val="20"/>
        <w:szCs w:val="20"/>
      </w:rPr>
      <w:t>2014</w:t>
    </w:r>
    <w:r w:rsidR="00221970" w:rsidRPr="00221970">
      <w:rPr>
        <w:rFonts w:ascii="Times New Roman" w:hAnsi="Times New Roman" w:cs="Times New Roman"/>
        <w:sz w:val="20"/>
        <w:szCs w:val="20"/>
      </w:rPr>
      <w:t>_groz887; Ministru kabineta noteikumu projekta „</w:t>
    </w:r>
    <w:r w:rsidR="00221970" w:rsidRPr="00221970">
      <w:rPr>
        <w:rFonts w:ascii="Times New Roman" w:eastAsia="Calibri" w:hAnsi="Times New Roman" w:cs="Times New Roman"/>
        <w:bCs/>
        <w:sz w:val="20"/>
        <w:szCs w:val="20"/>
      </w:rPr>
      <w:t>Grozījumi Ministru kabineta 2010.gada 21.septembra noteikumos Nr.887 „Noteikumi par darbības programmas „Uzņēmējdarbība un inovācijas</w:t>
    </w:r>
    <w:r w:rsidR="00722624">
      <w:rPr>
        <w:rFonts w:ascii="Times New Roman" w:eastAsia="Calibri" w:hAnsi="Times New Roman" w:cs="Times New Roman"/>
        <w:bCs/>
        <w:sz w:val="20"/>
        <w:szCs w:val="20"/>
      </w:rPr>
      <w:t>”</w:t>
    </w:r>
    <w:r w:rsidR="00221970" w:rsidRPr="00221970">
      <w:rPr>
        <w:rFonts w:ascii="Times New Roman" w:eastAsia="Calibri" w:hAnsi="Times New Roman" w:cs="Times New Roman"/>
        <w:bCs/>
        <w:sz w:val="20"/>
        <w:szCs w:val="20"/>
      </w:rPr>
      <w:t xml:space="preserve"> papildinājuma 2.3.1.1.aktivitātes „Ārējo tirgu apgūšana” 2.3.1.1.2.apakšaktivitāti „Ārējo tirgu apgūšana – nozaru starptautiskās konkurētspējas stiprināšana””</w:t>
    </w:r>
    <w:r w:rsidR="00221970" w:rsidRPr="00221970">
      <w:rPr>
        <w:rFonts w:ascii="Times New Roman" w:hAnsi="Times New Roman" w:cs="Times New Roman"/>
        <w:bCs/>
        <w:sz w:val="20"/>
        <w:szCs w:val="20"/>
      </w:rPr>
      <w:t xml:space="preserve">” </w:t>
    </w:r>
    <w:r w:rsidR="00221970" w:rsidRPr="00221970">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1" w:rsidRPr="00434CB4" w:rsidRDefault="00967A52" w:rsidP="00434CB4">
    <w:pPr>
      <w:pStyle w:val="Footer"/>
      <w:jc w:val="both"/>
      <w:rPr>
        <w:rFonts w:ascii="Times New Roman" w:hAnsi="Times New Roman" w:cs="Times New Roman"/>
      </w:rPr>
    </w:pPr>
    <w:r>
      <w:rPr>
        <w:rFonts w:ascii="Times New Roman" w:hAnsi="Times New Roman" w:cs="Times New Roman"/>
        <w:sz w:val="20"/>
        <w:szCs w:val="20"/>
      </w:rPr>
      <w:t>EMAnot_</w:t>
    </w:r>
    <w:r w:rsidR="00DF4C0E">
      <w:rPr>
        <w:rFonts w:ascii="Times New Roman" w:hAnsi="Times New Roman" w:cs="Times New Roman"/>
        <w:sz w:val="20"/>
        <w:szCs w:val="20"/>
      </w:rPr>
      <w:t>1905</w:t>
    </w:r>
    <w:r w:rsidR="00434CB4" w:rsidRPr="00221970">
      <w:rPr>
        <w:rFonts w:ascii="Times New Roman" w:hAnsi="Times New Roman" w:cs="Times New Roman"/>
        <w:sz w:val="20"/>
        <w:szCs w:val="20"/>
      </w:rPr>
      <w:t>2014_groz887; Ministru kabineta noteikumu projekta „</w:t>
    </w:r>
    <w:r w:rsidR="00434CB4" w:rsidRPr="00221970">
      <w:rPr>
        <w:rFonts w:ascii="Times New Roman" w:eastAsia="Calibri" w:hAnsi="Times New Roman" w:cs="Times New Roman"/>
        <w:bCs/>
        <w:sz w:val="20"/>
        <w:szCs w:val="20"/>
      </w:rPr>
      <w:t>Grozījumi Ministru kabineta 2010.gada 21.septembra noteikumos Nr.887 „Noteikumi par darbības programmas „Uzņēmējdarbība un inovācijas</w:t>
    </w:r>
    <w:r w:rsidR="00722624">
      <w:rPr>
        <w:rFonts w:ascii="Times New Roman" w:eastAsia="Calibri" w:hAnsi="Times New Roman" w:cs="Times New Roman"/>
        <w:bCs/>
        <w:sz w:val="20"/>
        <w:szCs w:val="20"/>
      </w:rPr>
      <w:t>”</w:t>
    </w:r>
    <w:r w:rsidR="00434CB4" w:rsidRPr="00221970">
      <w:rPr>
        <w:rFonts w:ascii="Times New Roman" w:eastAsia="Calibri" w:hAnsi="Times New Roman" w:cs="Times New Roman"/>
        <w:bCs/>
        <w:sz w:val="20"/>
        <w:szCs w:val="20"/>
      </w:rPr>
      <w:t xml:space="preserve"> papildinājuma 2.3.1.1.aktivitātes „Ārējo tirgu apgūšana” 2.3.1.1.2.apakšaktivitāti „Ārējo tirgu apgūšana – nozaru starptautiskās konkurētspējas stiprināšana””</w:t>
    </w:r>
    <w:r w:rsidR="00434CB4" w:rsidRPr="00221970">
      <w:rPr>
        <w:rFonts w:ascii="Times New Roman" w:hAnsi="Times New Roman" w:cs="Times New Roman"/>
        <w:bCs/>
        <w:sz w:val="20"/>
        <w:szCs w:val="20"/>
      </w:rPr>
      <w:t xml:space="preserve">” </w:t>
    </w:r>
    <w:r w:rsidR="00434CB4" w:rsidRPr="00221970">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13" w:rsidRDefault="00254F13" w:rsidP="00F06DFF">
      <w:pPr>
        <w:spacing w:after="0" w:line="240" w:lineRule="auto"/>
      </w:pPr>
      <w:r>
        <w:separator/>
      </w:r>
    </w:p>
  </w:footnote>
  <w:footnote w:type="continuationSeparator" w:id="0">
    <w:p w:rsidR="00254F13" w:rsidRDefault="00254F13" w:rsidP="00F0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761BA7" w:rsidRDefault="00FD0C76">
        <w:pPr>
          <w:pStyle w:val="Header"/>
          <w:jc w:val="center"/>
        </w:pPr>
        <w:r>
          <w:fldChar w:fldCharType="begin"/>
        </w:r>
        <w:r w:rsidR="00761BA7">
          <w:instrText xml:space="preserve"> PAGE   \* MERGEFORMAT </w:instrText>
        </w:r>
        <w:r>
          <w:fldChar w:fldCharType="separate"/>
        </w:r>
        <w:r w:rsidR="00A26FF7">
          <w:rPr>
            <w:noProof/>
          </w:rPr>
          <w:t>9</w:t>
        </w:r>
        <w:r>
          <w:rPr>
            <w:noProof/>
          </w:rPr>
          <w:fldChar w:fldCharType="end"/>
        </w:r>
      </w:p>
    </w:sdtContent>
  </w:sdt>
  <w:p w:rsidR="00761BA7" w:rsidRDefault="00761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2B2E"/>
    <w:multiLevelType w:val="hybridMultilevel"/>
    <w:tmpl w:val="881E5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21"/>
    <w:rsid w:val="00012CA4"/>
    <w:rsid w:val="000175C5"/>
    <w:rsid w:val="00022856"/>
    <w:rsid w:val="00027B9F"/>
    <w:rsid w:val="000434E1"/>
    <w:rsid w:val="000445BA"/>
    <w:rsid w:val="00045E63"/>
    <w:rsid w:val="00063A17"/>
    <w:rsid w:val="00084109"/>
    <w:rsid w:val="00084905"/>
    <w:rsid w:val="00090F37"/>
    <w:rsid w:val="00095AD1"/>
    <w:rsid w:val="000A0BB3"/>
    <w:rsid w:val="000C20CF"/>
    <w:rsid w:val="000C356C"/>
    <w:rsid w:val="000D79AB"/>
    <w:rsid w:val="000E4428"/>
    <w:rsid w:val="000E6C07"/>
    <w:rsid w:val="00125585"/>
    <w:rsid w:val="00126F59"/>
    <w:rsid w:val="001302CD"/>
    <w:rsid w:val="00144724"/>
    <w:rsid w:val="001453FF"/>
    <w:rsid w:val="00145869"/>
    <w:rsid w:val="00160AEA"/>
    <w:rsid w:val="00161F61"/>
    <w:rsid w:val="0016272F"/>
    <w:rsid w:val="00164000"/>
    <w:rsid w:val="00180103"/>
    <w:rsid w:val="00183287"/>
    <w:rsid w:val="001856E3"/>
    <w:rsid w:val="00185915"/>
    <w:rsid w:val="00185C5D"/>
    <w:rsid w:val="0019293D"/>
    <w:rsid w:val="001B5798"/>
    <w:rsid w:val="001B674B"/>
    <w:rsid w:val="001C24F2"/>
    <w:rsid w:val="001C2F5E"/>
    <w:rsid w:val="001C7116"/>
    <w:rsid w:val="001D1765"/>
    <w:rsid w:val="001E23D0"/>
    <w:rsid w:val="001E251A"/>
    <w:rsid w:val="001E6C85"/>
    <w:rsid w:val="001F3E3C"/>
    <w:rsid w:val="001F6FB8"/>
    <w:rsid w:val="001F75FE"/>
    <w:rsid w:val="0021078D"/>
    <w:rsid w:val="00212A9E"/>
    <w:rsid w:val="00213374"/>
    <w:rsid w:val="00214E8F"/>
    <w:rsid w:val="00221970"/>
    <w:rsid w:val="00222C2B"/>
    <w:rsid w:val="00223353"/>
    <w:rsid w:val="0023148C"/>
    <w:rsid w:val="002330B6"/>
    <w:rsid w:val="00237BB9"/>
    <w:rsid w:val="002502FC"/>
    <w:rsid w:val="00250694"/>
    <w:rsid w:val="00252AAE"/>
    <w:rsid w:val="00254F13"/>
    <w:rsid w:val="00256C46"/>
    <w:rsid w:val="00257B31"/>
    <w:rsid w:val="0027473F"/>
    <w:rsid w:val="00274A3B"/>
    <w:rsid w:val="00274DD7"/>
    <w:rsid w:val="00282649"/>
    <w:rsid w:val="002850CE"/>
    <w:rsid w:val="00285E59"/>
    <w:rsid w:val="00291089"/>
    <w:rsid w:val="00293CD1"/>
    <w:rsid w:val="002956C5"/>
    <w:rsid w:val="00297F3D"/>
    <w:rsid w:val="002A33E2"/>
    <w:rsid w:val="002A3CAA"/>
    <w:rsid w:val="002A736E"/>
    <w:rsid w:val="002A7578"/>
    <w:rsid w:val="002C0402"/>
    <w:rsid w:val="002C571F"/>
    <w:rsid w:val="002C6A8C"/>
    <w:rsid w:val="002D08E4"/>
    <w:rsid w:val="002D7B92"/>
    <w:rsid w:val="002D7BE6"/>
    <w:rsid w:val="002F0410"/>
    <w:rsid w:val="002F0C82"/>
    <w:rsid w:val="002F3E86"/>
    <w:rsid w:val="002F7C62"/>
    <w:rsid w:val="00301499"/>
    <w:rsid w:val="00301E76"/>
    <w:rsid w:val="00302AED"/>
    <w:rsid w:val="00304113"/>
    <w:rsid w:val="003105D9"/>
    <w:rsid w:val="003148C8"/>
    <w:rsid w:val="00315BE2"/>
    <w:rsid w:val="00316DE3"/>
    <w:rsid w:val="00332A03"/>
    <w:rsid w:val="00344C9F"/>
    <w:rsid w:val="00346784"/>
    <w:rsid w:val="00353329"/>
    <w:rsid w:val="00357A5B"/>
    <w:rsid w:val="003628F4"/>
    <w:rsid w:val="00362C01"/>
    <w:rsid w:val="00364D19"/>
    <w:rsid w:val="0036603C"/>
    <w:rsid w:val="00375DE8"/>
    <w:rsid w:val="00381402"/>
    <w:rsid w:val="00382E2E"/>
    <w:rsid w:val="003862D1"/>
    <w:rsid w:val="00387417"/>
    <w:rsid w:val="003B4D59"/>
    <w:rsid w:val="003D1E09"/>
    <w:rsid w:val="003D5573"/>
    <w:rsid w:val="003D7CB6"/>
    <w:rsid w:val="003E0121"/>
    <w:rsid w:val="003E0E54"/>
    <w:rsid w:val="003E7629"/>
    <w:rsid w:val="003F2794"/>
    <w:rsid w:val="003F2A4E"/>
    <w:rsid w:val="003F5419"/>
    <w:rsid w:val="00405A42"/>
    <w:rsid w:val="00410655"/>
    <w:rsid w:val="00415FB0"/>
    <w:rsid w:val="0042526D"/>
    <w:rsid w:val="00432CC5"/>
    <w:rsid w:val="00434CB4"/>
    <w:rsid w:val="00434CCA"/>
    <w:rsid w:val="004352DB"/>
    <w:rsid w:val="00441805"/>
    <w:rsid w:val="004432DB"/>
    <w:rsid w:val="00443EBE"/>
    <w:rsid w:val="00460D4F"/>
    <w:rsid w:val="004620BE"/>
    <w:rsid w:val="004642C2"/>
    <w:rsid w:val="00472F17"/>
    <w:rsid w:val="00473B7F"/>
    <w:rsid w:val="004901C4"/>
    <w:rsid w:val="00491FDB"/>
    <w:rsid w:val="004973F4"/>
    <w:rsid w:val="004A7562"/>
    <w:rsid w:val="004B4D06"/>
    <w:rsid w:val="004B50C9"/>
    <w:rsid w:val="004C1EE7"/>
    <w:rsid w:val="004C3B91"/>
    <w:rsid w:val="004C5A10"/>
    <w:rsid w:val="004E16CB"/>
    <w:rsid w:val="004E16CF"/>
    <w:rsid w:val="004F0FF7"/>
    <w:rsid w:val="004F1699"/>
    <w:rsid w:val="004F429C"/>
    <w:rsid w:val="004F5172"/>
    <w:rsid w:val="004F7686"/>
    <w:rsid w:val="0050609F"/>
    <w:rsid w:val="0050657E"/>
    <w:rsid w:val="00507B8A"/>
    <w:rsid w:val="00507F17"/>
    <w:rsid w:val="00510E8A"/>
    <w:rsid w:val="005172FE"/>
    <w:rsid w:val="005173F5"/>
    <w:rsid w:val="005174D6"/>
    <w:rsid w:val="00517FAC"/>
    <w:rsid w:val="005204C4"/>
    <w:rsid w:val="005208CF"/>
    <w:rsid w:val="00532A80"/>
    <w:rsid w:val="00534C99"/>
    <w:rsid w:val="00542985"/>
    <w:rsid w:val="0055170F"/>
    <w:rsid w:val="00554480"/>
    <w:rsid w:val="005559C6"/>
    <w:rsid w:val="0056352C"/>
    <w:rsid w:val="00564F8D"/>
    <w:rsid w:val="0056686B"/>
    <w:rsid w:val="00566D1E"/>
    <w:rsid w:val="00573B04"/>
    <w:rsid w:val="005878A6"/>
    <w:rsid w:val="00593807"/>
    <w:rsid w:val="005963AB"/>
    <w:rsid w:val="005A6FC9"/>
    <w:rsid w:val="005A7558"/>
    <w:rsid w:val="005B29C5"/>
    <w:rsid w:val="005B2F7D"/>
    <w:rsid w:val="005B6C90"/>
    <w:rsid w:val="005C00CE"/>
    <w:rsid w:val="005C0EF0"/>
    <w:rsid w:val="005C2BA7"/>
    <w:rsid w:val="005C3A11"/>
    <w:rsid w:val="005D1322"/>
    <w:rsid w:val="005E25FB"/>
    <w:rsid w:val="005E5990"/>
    <w:rsid w:val="005F1EA0"/>
    <w:rsid w:val="005F6356"/>
    <w:rsid w:val="00612C12"/>
    <w:rsid w:val="00616A7E"/>
    <w:rsid w:val="00621E2E"/>
    <w:rsid w:val="00622B88"/>
    <w:rsid w:val="00630DBD"/>
    <w:rsid w:val="00632014"/>
    <w:rsid w:val="006354F3"/>
    <w:rsid w:val="00636C52"/>
    <w:rsid w:val="006378A4"/>
    <w:rsid w:val="00641C3C"/>
    <w:rsid w:val="00644FDB"/>
    <w:rsid w:val="00645ADA"/>
    <w:rsid w:val="00646EFE"/>
    <w:rsid w:val="00675544"/>
    <w:rsid w:val="00677123"/>
    <w:rsid w:val="00685A1B"/>
    <w:rsid w:val="0068644B"/>
    <w:rsid w:val="0069147A"/>
    <w:rsid w:val="00695363"/>
    <w:rsid w:val="006A25F4"/>
    <w:rsid w:val="006A34A8"/>
    <w:rsid w:val="006A478F"/>
    <w:rsid w:val="006B2006"/>
    <w:rsid w:val="006B26F7"/>
    <w:rsid w:val="006B4925"/>
    <w:rsid w:val="006B6A56"/>
    <w:rsid w:val="006B7130"/>
    <w:rsid w:val="006C0BE8"/>
    <w:rsid w:val="006C524B"/>
    <w:rsid w:val="006C59C2"/>
    <w:rsid w:val="006C6AF8"/>
    <w:rsid w:val="006D0708"/>
    <w:rsid w:val="006D1F0B"/>
    <w:rsid w:val="006D225E"/>
    <w:rsid w:val="006D340D"/>
    <w:rsid w:val="006E11E0"/>
    <w:rsid w:val="006E18CE"/>
    <w:rsid w:val="006E1AE1"/>
    <w:rsid w:val="006E5DAC"/>
    <w:rsid w:val="006F0947"/>
    <w:rsid w:val="006F0EDD"/>
    <w:rsid w:val="006F4E6B"/>
    <w:rsid w:val="00702713"/>
    <w:rsid w:val="00707449"/>
    <w:rsid w:val="007075BA"/>
    <w:rsid w:val="00716194"/>
    <w:rsid w:val="00722624"/>
    <w:rsid w:val="0072351A"/>
    <w:rsid w:val="007328AC"/>
    <w:rsid w:val="00733A40"/>
    <w:rsid w:val="00735121"/>
    <w:rsid w:val="00761BA7"/>
    <w:rsid w:val="007621AF"/>
    <w:rsid w:val="00762B97"/>
    <w:rsid w:val="007632A6"/>
    <w:rsid w:val="00766382"/>
    <w:rsid w:val="00772951"/>
    <w:rsid w:val="0078003C"/>
    <w:rsid w:val="007815DB"/>
    <w:rsid w:val="0079114E"/>
    <w:rsid w:val="0079464E"/>
    <w:rsid w:val="007950AF"/>
    <w:rsid w:val="007A0D2B"/>
    <w:rsid w:val="007A0E08"/>
    <w:rsid w:val="007B5144"/>
    <w:rsid w:val="007B66D4"/>
    <w:rsid w:val="007C20C9"/>
    <w:rsid w:val="007C4AAF"/>
    <w:rsid w:val="007C6BD2"/>
    <w:rsid w:val="007C74A9"/>
    <w:rsid w:val="007C76EA"/>
    <w:rsid w:val="007F0F10"/>
    <w:rsid w:val="007F3FBC"/>
    <w:rsid w:val="007F5613"/>
    <w:rsid w:val="007F749B"/>
    <w:rsid w:val="00800DFD"/>
    <w:rsid w:val="0080373A"/>
    <w:rsid w:val="00815533"/>
    <w:rsid w:val="008223C1"/>
    <w:rsid w:val="00825AC0"/>
    <w:rsid w:val="00833F5A"/>
    <w:rsid w:val="00842E1E"/>
    <w:rsid w:val="0084639A"/>
    <w:rsid w:val="00847F41"/>
    <w:rsid w:val="0086083A"/>
    <w:rsid w:val="00874597"/>
    <w:rsid w:val="00874F39"/>
    <w:rsid w:val="00877CC0"/>
    <w:rsid w:val="00882A85"/>
    <w:rsid w:val="00885AB9"/>
    <w:rsid w:val="00892CAF"/>
    <w:rsid w:val="00894030"/>
    <w:rsid w:val="00897236"/>
    <w:rsid w:val="008A1411"/>
    <w:rsid w:val="008A1A1F"/>
    <w:rsid w:val="008A4D73"/>
    <w:rsid w:val="008B1C88"/>
    <w:rsid w:val="008B356F"/>
    <w:rsid w:val="008B39B9"/>
    <w:rsid w:val="008C3106"/>
    <w:rsid w:val="008C35E8"/>
    <w:rsid w:val="008D4725"/>
    <w:rsid w:val="008D5D28"/>
    <w:rsid w:val="008E3174"/>
    <w:rsid w:val="008E56DF"/>
    <w:rsid w:val="008E5CB2"/>
    <w:rsid w:val="008F6379"/>
    <w:rsid w:val="008F73BC"/>
    <w:rsid w:val="00901963"/>
    <w:rsid w:val="00906FB3"/>
    <w:rsid w:val="00907FD4"/>
    <w:rsid w:val="009105D1"/>
    <w:rsid w:val="00911681"/>
    <w:rsid w:val="009159B7"/>
    <w:rsid w:val="009171A9"/>
    <w:rsid w:val="009178FB"/>
    <w:rsid w:val="00931ABE"/>
    <w:rsid w:val="0093309D"/>
    <w:rsid w:val="00934CE6"/>
    <w:rsid w:val="00941F56"/>
    <w:rsid w:val="00952597"/>
    <w:rsid w:val="00954A12"/>
    <w:rsid w:val="00956521"/>
    <w:rsid w:val="00960458"/>
    <w:rsid w:val="00967A52"/>
    <w:rsid w:val="00971C09"/>
    <w:rsid w:val="00984978"/>
    <w:rsid w:val="009864C7"/>
    <w:rsid w:val="00991DD8"/>
    <w:rsid w:val="00995660"/>
    <w:rsid w:val="009A7E05"/>
    <w:rsid w:val="009B21BC"/>
    <w:rsid w:val="009B57BC"/>
    <w:rsid w:val="009C201E"/>
    <w:rsid w:val="009C2393"/>
    <w:rsid w:val="009D0B8E"/>
    <w:rsid w:val="009D7BC2"/>
    <w:rsid w:val="009E1183"/>
    <w:rsid w:val="009E334E"/>
    <w:rsid w:val="009F34F1"/>
    <w:rsid w:val="009F7B5F"/>
    <w:rsid w:val="00A07E67"/>
    <w:rsid w:val="00A07EAE"/>
    <w:rsid w:val="00A15ADB"/>
    <w:rsid w:val="00A26FF7"/>
    <w:rsid w:val="00A3347D"/>
    <w:rsid w:val="00A41781"/>
    <w:rsid w:val="00A42985"/>
    <w:rsid w:val="00A42D54"/>
    <w:rsid w:val="00A50CD6"/>
    <w:rsid w:val="00A5346D"/>
    <w:rsid w:val="00A57342"/>
    <w:rsid w:val="00A57451"/>
    <w:rsid w:val="00A75212"/>
    <w:rsid w:val="00A761A1"/>
    <w:rsid w:val="00A7789E"/>
    <w:rsid w:val="00A81F61"/>
    <w:rsid w:val="00A9225E"/>
    <w:rsid w:val="00AA7858"/>
    <w:rsid w:val="00AC008D"/>
    <w:rsid w:val="00AD24E8"/>
    <w:rsid w:val="00AD5AF5"/>
    <w:rsid w:val="00AE1893"/>
    <w:rsid w:val="00AE3DC4"/>
    <w:rsid w:val="00AE7A4D"/>
    <w:rsid w:val="00AF482E"/>
    <w:rsid w:val="00AF68C3"/>
    <w:rsid w:val="00B03E6E"/>
    <w:rsid w:val="00B07A66"/>
    <w:rsid w:val="00B17CE3"/>
    <w:rsid w:val="00B23652"/>
    <w:rsid w:val="00B24D42"/>
    <w:rsid w:val="00B259F4"/>
    <w:rsid w:val="00B2719B"/>
    <w:rsid w:val="00B31D53"/>
    <w:rsid w:val="00B353A8"/>
    <w:rsid w:val="00B37073"/>
    <w:rsid w:val="00B40B66"/>
    <w:rsid w:val="00B558DD"/>
    <w:rsid w:val="00B57C45"/>
    <w:rsid w:val="00B6184C"/>
    <w:rsid w:val="00B64500"/>
    <w:rsid w:val="00B71C0C"/>
    <w:rsid w:val="00B73307"/>
    <w:rsid w:val="00B73ED6"/>
    <w:rsid w:val="00B90F3C"/>
    <w:rsid w:val="00B9489F"/>
    <w:rsid w:val="00B964F3"/>
    <w:rsid w:val="00BA115E"/>
    <w:rsid w:val="00BA345C"/>
    <w:rsid w:val="00BA52B5"/>
    <w:rsid w:val="00BA62C4"/>
    <w:rsid w:val="00BA7F94"/>
    <w:rsid w:val="00BC1DBC"/>
    <w:rsid w:val="00BC5E9B"/>
    <w:rsid w:val="00BD45ED"/>
    <w:rsid w:val="00BE5EB7"/>
    <w:rsid w:val="00BE7B79"/>
    <w:rsid w:val="00BF6D15"/>
    <w:rsid w:val="00BF6E65"/>
    <w:rsid w:val="00C11456"/>
    <w:rsid w:val="00C129A7"/>
    <w:rsid w:val="00C172FA"/>
    <w:rsid w:val="00C34A77"/>
    <w:rsid w:val="00C51FC9"/>
    <w:rsid w:val="00C54652"/>
    <w:rsid w:val="00C67403"/>
    <w:rsid w:val="00C733A8"/>
    <w:rsid w:val="00C74B27"/>
    <w:rsid w:val="00C7776C"/>
    <w:rsid w:val="00C81846"/>
    <w:rsid w:val="00C863A5"/>
    <w:rsid w:val="00C9049E"/>
    <w:rsid w:val="00C9173F"/>
    <w:rsid w:val="00CA105E"/>
    <w:rsid w:val="00CA11C6"/>
    <w:rsid w:val="00CA14D1"/>
    <w:rsid w:val="00CA6DB5"/>
    <w:rsid w:val="00CA731C"/>
    <w:rsid w:val="00CB051A"/>
    <w:rsid w:val="00CB3AED"/>
    <w:rsid w:val="00CC1123"/>
    <w:rsid w:val="00CC2CA4"/>
    <w:rsid w:val="00CC605C"/>
    <w:rsid w:val="00CE0484"/>
    <w:rsid w:val="00CE759F"/>
    <w:rsid w:val="00CF3514"/>
    <w:rsid w:val="00CF4B1B"/>
    <w:rsid w:val="00D0643B"/>
    <w:rsid w:val="00D10A55"/>
    <w:rsid w:val="00D22C9B"/>
    <w:rsid w:val="00D323E4"/>
    <w:rsid w:val="00D36FE6"/>
    <w:rsid w:val="00D404CD"/>
    <w:rsid w:val="00D468CB"/>
    <w:rsid w:val="00D5213A"/>
    <w:rsid w:val="00D57DCD"/>
    <w:rsid w:val="00D62115"/>
    <w:rsid w:val="00D677E3"/>
    <w:rsid w:val="00D67C0B"/>
    <w:rsid w:val="00D737CC"/>
    <w:rsid w:val="00D73B05"/>
    <w:rsid w:val="00D8348C"/>
    <w:rsid w:val="00D94EFC"/>
    <w:rsid w:val="00D95010"/>
    <w:rsid w:val="00D9536E"/>
    <w:rsid w:val="00D96B21"/>
    <w:rsid w:val="00DA1B8E"/>
    <w:rsid w:val="00DB2453"/>
    <w:rsid w:val="00DC0357"/>
    <w:rsid w:val="00DD4904"/>
    <w:rsid w:val="00DE60BF"/>
    <w:rsid w:val="00DF4C0E"/>
    <w:rsid w:val="00DF76A3"/>
    <w:rsid w:val="00E004F4"/>
    <w:rsid w:val="00E12437"/>
    <w:rsid w:val="00E15026"/>
    <w:rsid w:val="00E22C60"/>
    <w:rsid w:val="00E36E30"/>
    <w:rsid w:val="00E40CD4"/>
    <w:rsid w:val="00E43F8D"/>
    <w:rsid w:val="00E47DAD"/>
    <w:rsid w:val="00E51558"/>
    <w:rsid w:val="00E57038"/>
    <w:rsid w:val="00E61BF4"/>
    <w:rsid w:val="00E70ADF"/>
    <w:rsid w:val="00E70DCB"/>
    <w:rsid w:val="00E73C53"/>
    <w:rsid w:val="00E753B6"/>
    <w:rsid w:val="00E76D44"/>
    <w:rsid w:val="00E774EE"/>
    <w:rsid w:val="00E83CAB"/>
    <w:rsid w:val="00E86A08"/>
    <w:rsid w:val="00E97415"/>
    <w:rsid w:val="00EB4604"/>
    <w:rsid w:val="00EB5CDD"/>
    <w:rsid w:val="00EB751B"/>
    <w:rsid w:val="00EC067B"/>
    <w:rsid w:val="00EC34C0"/>
    <w:rsid w:val="00EC4491"/>
    <w:rsid w:val="00EC4D12"/>
    <w:rsid w:val="00EC4F85"/>
    <w:rsid w:val="00EC6C68"/>
    <w:rsid w:val="00ED3419"/>
    <w:rsid w:val="00EE419A"/>
    <w:rsid w:val="00EE59D4"/>
    <w:rsid w:val="00EF036F"/>
    <w:rsid w:val="00EF0941"/>
    <w:rsid w:val="00EF70EC"/>
    <w:rsid w:val="00F01574"/>
    <w:rsid w:val="00F06DFF"/>
    <w:rsid w:val="00F21A5D"/>
    <w:rsid w:val="00F273A2"/>
    <w:rsid w:val="00F46334"/>
    <w:rsid w:val="00F5037D"/>
    <w:rsid w:val="00F51733"/>
    <w:rsid w:val="00F5373C"/>
    <w:rsid w:val="00F574FC"/>
    <w:rsid w:val="00F5755C"/>
    <w:rsid w:val="00F6391A"/>
    <w:rsid w:val="00F652D0"/>
    <w:rsid w:val="00F7432E"/>
    <w:rsid w:val="00F77CD6"/>
    <w:rsid w:val="00F81245"/>
    <w:rsid w:val="00F973CB"/>
    <w:rsid w:val="00F979BE"/>
    <w:rsid w:val="00FA2E55"/>
    <w:rsid w:val="00FB0EF8"/>
    <w:rsid w:val="00FB44A6"/>
    <w:rsid w:val="00FD0C76"/>
    <w:rsid w:val="00FD5A6C"/>
    <w:rsid w:val="00FD61B5"/>
    <w:rsid w:val="00FE4C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072">
      <w:bodyDiv w:val="1"/>
      <w:marLeft w:val="0"/>
      <w:marRight w:val="0"/>
      <w:marTop w:val="0"/>
      <w:marBottom w:val="0"/>
      <w:divBdr>
        <w:top w:val="none" w:sz="0" w:space="0" w:color="auto"/>
        <w:left w:val="none" w:sz="0" w:space="0" w:color="auto"/>
        <w:bottom w:val="none" w:sz="0" w:space="0" w:color="auto"/>
        <w:right w:val="none" w:sz="0" w:space="0" w:color="auto"/>
      </w:divBdr>
    </w:div>
    <w:div w:id="1270702045">
      <w:bodyDiv w:val="1"/>
      <w:marLeft w:val="0"/>
      <w:marRight w:val="0"/>
      <w:marTop w:val="0"/>
      <w:marBottom w:val="0"/>
      <w:divBdr>
        <w:top w:val="none" w:sz="0" w:space="0" w:color="auto"/>
        <w:left w:val="none" w:sz="0" w:space="0" w:color="auto"/>
        <w:bottom w:val="none" w:sz="0" w:space="0" w:color="auto"/>
        <w:right w:val="none" w:sz="0" w:space="0" w:color="auto"/>
      </w:divBdr>
    </w:div>
    <w:div w:id="20933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18D22-B4B2-45CE-A182-569F850E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2191</Words>
  <Characters>15713</Characters>
  <Application>Microsoft Office Word</Application>
  <DocSecurity>0</DocSecurity>
  <Lines>523</Lines>
  <Paragraphs>180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21.septembra noteikumos Nr.887 „Noteikumi par darbības programmas „Uzņēmējdarbība un inovācijas” papildinājuma 2.3.1.1.aktivitātes „Ārējo tirgu apgūšana” 2.3.1.1.2.apakšaktivitāti</vt:lpstr>
    </vt:vector>
  </TitlesOfParts>
  <Company/>
  <LinksUpToDate>false</LinksUpToDate>
  <CharactersWithSpaces>17724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 sākotnējās ietekmes novērtējuma ziņojums (anotācija)</dc:title>
  <dc:subject>Ministru kabineta noteikumu projekta sākotnējās ietekmes novērtējuma ziņojums (anotācija</dc:subject>
  <dc:creator>Māris Krūmiņš</dc:creator>
  <dc:description>67013126, Māris Krūmiņš</dc:description>
  <cp:lastModifiedBy>Māris Krūmiņš</cp:lastModifiedBy>
  <cp:revision>10</cp:revision>
  <cp:lastPrinted>2014-02-11T16:24:00Z</cp:lastPrinted>
  <dcterms:created xsi:type="dcterms:W3CDTF">2014-04-22T05:17:00Z</dcterms:created>
  <dcterms:modified xsi:type="dcterms:W3CDTF">2014-05-19T06:02:00Z</dcterms:modified>
</cp:coreProperties>
</file>