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21" w:rsidRPr="00B4621C" w:rsidRDefault="000B1C0D" w:rsidP="00F46334">
      <w:pPr>
        <w:spacing w:after="0" w:line="240" w:lineRule="auto"/>
        <w:jc w:val="center"/>
        <w:rPr>
          <w:rFonts w:ascii="Times New Roman" w:eastAsia="Times New Roman" w:hAnsi="Times New Roman" w:cs="Times New Roman"/>
          <w:b/>
          <w:sz w:val="25"/>
          <w:szCs w:val="25"/>
          <w:lang w:eastAsia="lv-LV"/>
        </w:rPr>
      </w:pPr>
      <w:bookmarkStart w:id="0" w:name="OLE_LINK6"/>
      <w:bookmarkStart w:id="1" w:name="OLE_LINK7"/>
      <w:bookmarkStart w:id="2" w:name="OLE_LINK12"/>
      <w:bookmarkStart w:id="3" w:name="OLE_LINK13"/>
      <w:bookmarkStart w:id="4" w:name="OLE_LINK14"/>
      <w:bookmarkStart w:id="5" w:name="OLE_LINK15"/>
      <w:bookmarkStart w:id="6" w:name="OLE_LINK5"/>
      <w:bookmarkStart w:id="7" w:name="OLE_LINK4"/>
      <w:bookmarkStart w:id="8" w:name="OLE_LINK8"/>
      <w:bookmarkStart w:id="9" w:name="OLE_LINK3"/>
      <w:bookmarkStart w:id="10" w:name="OLE_LINK2"/>
      <w:bookmarkStart w:id="11" w:name="OLE_LINK1"/>
      <w:r w:rsidRPr="00B4621C">
        <w:rPr>
          <w:rFonts w:ascii="Times New Roman" w:hAnsi="Times New Roman" w:cs="Times New Roman"/>
          <w:b/>
          <w:sz w:val="25"/>
          <w:szCs w:val="25"/>
        </w:rPr>
        <w:t>Ministru kabineta noteikumu projekta „</w:t>
      </w:r>
      <w:r w:rsidRPr="00B4621C">
        <w:rPr>
          <w:rFonts w:ascii="Times New Roman" w:hAnsi="Times New Roman" w:cs="Times New Roman"/>
          <w:b/>
          <w:bCs/>
          <w:sz w:val="25"/>
          <w:szCs w:val="25"/>
        </w:rPr>
        <w:t xml:space="preserve">Grozījumi Ministru kabineta 2009.gada 17.jūnija noteikumos Nr.582 </w:t>
      </w:r>
      <w:r w:rsidRPr="00B4621C">
        <w:rPr>
          <w:rFonts w:ascii="Times New Roman" w:hAnsi="Times New Roman" w:cs="Times New Roman"/>
          <w:b/>
          <w:sz w:val="25"/>
          <w:szCs w:val="25"/>
        </w:rPr>
        <w:t xml:space="preserve">„Noteikumi par darbības programmas </w:t>
      </w:r>
      <w:r w:rsidR="001B2CAC" w:rsidRPr="00B4621C">
        <w:rPr>
          <w:rFonts w:ascii="Times New Roman" w:hAnsi="Times New Roman" w:cs="Times New Roman"/>
          <w:b/>
          <w:sz w:val="25"/>
          <w:szCs w:val="25"/>
        </w:rPr>
        <w:t>„</w:t>
      </w:r>
      <w:r w:rsidRPr="00B4621C">
        <w:rPr>
          <w:rFonts w:ascii="Times New Roman" w:hAnsi="Times New Roman" w:cs="Times New Roman"/>
          <w:b/>
          <w:sz w:val="25"/>
          <w:szCs w:val="25"/>
        </w:rPr>
        <w:t xml:space="preserve">Uzņēmējdarbība un inovācijas” papildinājuma 2.3.1.1.1.apakšaktivitātes </w:t>
      </w:r>
      <w:r w:rsidR="001B2CAC" w:rsidRPr="00B4621C">
        <w:rPr>
          <w:rFonts w:ascii="Times New Roman" w:hAnsi="Times New Roman" w:cs="Times New Roman"/>
          <w:b/>
          <w:sz w:val="25"/>
          <w:szCs w:val="25"/>
        </w:rPr>
        <w:t>„</w:t>
      </w:r>
      <w:r w:rsidRPr="00B4621C">
        <w:rPr>
          <w:rFonts w:ascii="Times New Roman" w:hAnsi="Times New Roman" w:cs="Times New Roman"/>
          <w:b/>
          <w:sz w:val="25"/>
          <w:szCs w:val="25"/>
        </w:rPr>
        <w:t>Ārējo tirgu apgūšana – ārējais mārketings” sesto un turpmākajām kārtām</w:t>
      </w:r>
      <w:r w:rsidR="00514558">
        <w:rPr>
          <w:rFonts w:ascii="Times New Roman" w:hAnsi="Times New Roman" w:cs="Times New Roman"/>
          <w:b/>
          <w:bCs/>
          <w:sz w:val="25"/>
          <w:szCs w:val="25"/>
        </w:rPr>
        <w:t>””</w:t>
      </w:r>
      <w:r w:rsidRPr="00B4621C">
        <w:rPr>
          <w:rFonts w:ascii="Times New Roman" w:hAnsi="Times New Roman" w:cs="Times New Roman"/>
          <w:b/>
          <w:sz w:val="25"/>
          <w:szCs w:val="25"/>
        </w:rPr>
        <w:t xml:space="preserve"> sākotnējās ietekmes novērtējuma ziņojums (anotācija)</w:t>
      </w:r>
      <w:bookmarkEnd w:id="0"/>
      <w:bookmarkEnd w:id="1"/>
      <w:bookmarkEnd w:id="2"/>
      <w:bookmarkEnd w:id="3"/>
      <w:bookmarkEnd w:id="4"/>
      <w:bookmarkEnd w:id="5"/>
    </w:p>
    <w:bookmarkEnd w:id="6"/>
    <w:bookmarkEnd w:id="7"/>
    <w:bookmarkEnd w:id="8"/>
    <w:bookmarkEnd w:id="9"/>
    <w:bookmarkEnd w:id="10"/>
    <w:bookmarkEnd w:id="11"/>
    <w:p w:rsidR="00956521" w:rsidRPr="00B4621C" w:rsidRDefault="00956521" w:rsidP="00F46334">
      <w:pPr>
        <w:spacing w:after="0" w:line="240" w:lineRule="auto"/>
        <w:rPr>
          <w:rFonts w:ascii="Times New Roman" w:eastAsia="Calibri" w:hAnsi="Times New Roman" w:cs="Times New Roman"/>
          <w:b/>
          <w:sz w:val="25"/>
          <w:szCs w:val="25"/>
        </w:rPr>
      </w:pPr>
    </w:p>
    <w:tbl>
      <w:tblPr>
        <w:tblW w:w="8364" w:type="dxa"/>
        <w:tblInd w:w="30"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2268"/>
        <w:gridCol w:w="6096"/>
      </w:tblGrid>
      <w:tr w:rsidR="00956521" w:rsidRPr="00B4621C" w:rsidTr="003105D9">
        <w:tc>
          <w:tcPr>
            <w:tcW w:w="8364"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956521" w:rsidRPr="00B4621C" w:rsidRDefault="00956521" w:rsidP="003105D9">
            <w:pPr>
              <w:spacing w:after="0" w:line="240" w:lineRule="auto"/>
              <w:jc w:val="center"/>
              <w:rPr>
                <w:rFonts w:ascii="Times New Roman" w:eastAsia="Times New Roman" w:hAnsi="Times New Roman" w:cs="Times New Roman"/>
                <w:b/>
                <w:sz w:val="25"/>
                <w:szCs w:val="25"/>
                <w:lang w:eastAsia="lv-LV"/>
              </w:rPr>
            </w:pPr>
            <w:r w:rsidRPr="00B4621C">
              <w:rPr>
                <w:rFonts w:ascii="Times New Roman" w:eastAsia="Times New Roman" w:hAnsi="Times New Roman" w:cs="Times New Roman"/>
                <w:b/>
                <w:sz w:val="25"/>
                <w:szCs w:val="25"/>
                <w:lang w:eastAsia="lv-LV"/>
              </w:rPr>
              <w:t>I.Tiesību akta projekta izstrādes nepieciešamība</w:t>
            </w:r>
          </w:p>
        </w:tc>
      </w:tr>
      <w:tr w:rsidR="00956521" w:rsidRPr="00B4621C" w:rsidTr="00833979">
        <w:tc>
          <w:tcPr>
            <w:tcW w:w="2268"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B4621C" w:rsidRDefault="00956521" w:rsidP="003105D9">
            <w:pPr>
              <w:spacing w:after="0" w:line="240" w:lineRule="auto"/>
              <w:rPr>
                <w:rFonts w:ascii="Times New Roman" w:eastAsia="Times New Roman" w:hAnsi="Times New Roman" w:cs="Times New Roman"/>
                <w:sz w:val="25"/>
                <w:szCs w:val="25"/>
                <w:lang w:eastAsia="lv-LV"/>
              </w:rPr>
            </w:pPr>
            <w:r w:rsidRPr="00B4621C">
              <w:rPr>
                <w:rFonts w:ascii="Times New Roman" w:eastAsia="Times New Roman" w:hAnsi="Times New Roman" w:cs="Times New Roman"/>
                <w:sz w:val="25"/>
                <w:szCs w:val="25"/>
                <w:lang w:eastAsia="lv-LV"/>
              </w:rPr>
              <w:t>1. Pamatojums</w:t>
            </w:r>
          </w:p>
        </w:tc>
        <w:tc>
          <w:tcPr>
            <w:tcW w:w="6096" w:type="dxa"/>
            <w:tcBorders>
              <w:top w:val="thickThinLargeGap" w:sz="6" w:space="0" w:color="C0C0C0"/>
              <w:left w:val="thickThinLargeGap" w:sz="6" w:space="0" w:color="C0C0C0"/>
              <w:bottom w:val="thickThinLargeGap" w:sz="6" w:space="0" w:color="C0C0C0"/>
              <w:right w:val="thickThinLargeGap" w:sz="6" w:space="0" w:color="C0C0C0"/>
            </w:tcBorders>
            <w:hideMark/>
          </w:tcPr>
          <w:p w:rsidR="007745FB" w:rsidRPr="00B4621C" w:rsidRDefault="003105D9" w:rsidP="00B274F5">
            <w:pPr>
              <w:spacing w:after="0"/>
              <w:ind w:firstLine="567"/>
              <w:jc w:val="both"/>
              <w:rPr>
                <w:rFonts w:ascii="Times New Roman" w:eastAsia="Calibri" w:hAnsi="Times New Roman" w:cs="Times New Roman"/>
                <w:sz w:val="25"/>
                <w:szCs w:val="25"/>
              </w:rPr>
            </w:pPr>
            <w:r w:rsidRPr="00B4621C">
              <w:rPr>
                <w:rFonts w:ascii="Times New Roman" w:hAnsi="Times New Roman" w:cs="Times New Roman"/>
                <w:sz w:val="25"/>
                <w:szCs w:val="25"/>
              </w:rPr>
              <w:t>Noteikumu projekts sagatavots, pamatojoties uz Eiropas Savienības struktūrfondu un Kohēzijas fonda vadības likuma 18.panta 10.punktu</w:t>
            </w:r>
            <w:r w:rsidR="007745FB" w:rsidRPr="00B4621C">
              <w:rPr>
                <w:rFonts w:ascii="Times New Roman" w:hAnsi="Times New Roman" w:cs="Times New Roman"/>
                <w:sz w:val="25"/>
                <w:szCs w:val="25"/>
              </w:rPr>
              <w:t>, Euro ieviešanas kārtības likuma 32.panta otrās daļas 2.punkt</w:t>
            </w:r>
            <w:r w:rsidR="002E1E47" w:rsidRPr="00B4621C">
              <w:rPr>
                <w:rFonts w:ascii="Times New Roman" w:hAnsi="Times New Roman" w:cs="Times New Roman"/>
                <w:sz w:val="25"/>
                <w:szCs w:val="25"/>
              </w:rPr>
              <w:t>u</w:t>
            </w:r>
            <w:r w:rsidR="007745FB" w:rsidRPr="00B4621C">
              <w:rPr>
                <w:rFonts w:ascii="Times New Roman" w:hAnsi="Times New Roman" w:cs="Times New Roman"/>
                <w:sz w:val="25"/>
                <w:szCs w:val="25"/>
              </w:rPr>
              <w:t xml:space="preserve"> un Ministru kabineta 2012.gada 27.jūnija rīkojuma Nr.282 „Par „Koncepciju par normatīvo aktu sakārtošanu saistībā ar eiro ieviešanu Latvijā”” 7.1.apakšpunktu.</w:t>
            </w:r>
          </w:p>
        </w:tc>
      </w:tr>
      <w:tr w:rsidR="00956521" w:rsidRPr="00B4621C" w:rsidTr="00833979">
        <w:trPr>
          <w:trHeight w:val="360"/>
        </w:trPr>
        <w:tc>
          <w:tcPr>
            <w:tcW w:w="2268"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B4621C" w:rsidRDefault="00956521" w:rsidP="000B1C0D">
            <w:pPr>
              <w:spacing w:after="0" w:line="240" w:lineRule="auto"/>
              <w:rPr>
                <w:rFonts w:ascii="Times New Roman" w:eastAsia="Times New Roman" w:hAnsi="Times New Roman" w:cs="Times New Roman"/>
                <w:sz w:val="25"/>
                <w:szCs w:val="25"/>
                <w:lang w:eastAsia="lv-LV"/>
              </w:rPr>
            </w:pPr>
            <w:r w:rsidRPr="00B4621C">
              <w:rPr>
                <w:rFonts w:ascii="Times New Roman" w:eastAsia="Times New Roman" w:hAnsi="Times New Roman" w:cs="Times New Roman"/>
                <w:sz w:val="25"/>
                <w:szCs w:val="25"/>
                <w:lang w:eastAsia="lv-LV"/>
              </w:rPr>
              <w:t xml:space="preserve">2. </w:t>
            </w:r>
            <w:r w:rsidR="00EE419A" w:rsidRPr="00B4621C">
              <w:rPr>
                <w:rFonts w:ascii="Times New Roman" w:eastAsia="Times New Roman" w:hAnsi="Times New Roman" w:cs="Times New Roman"/>
                <w:sz w:val="25"/>
                <w:szCs w:val="25"/>
                <w:lang w:eastAsia="lv-LV"/>
              </w:rPr>
              <w:t>Pašreizējā situācija un problēmas, kuru risināšanai tiesību akta projekts izstrādāts, tiesiskā regulējuma mērķis un būtība</w:t>
            </w:r>
          </w:p>
        </w:tc>
        <w:tc>
          <w:tcPr>
            <w:tcW w:w="6096" w:type="dxa"/>
            <w:tcBorders>
              <w:top w:val="thickThinLargeGap" w:sz="6" w:space="0" w:color="C0C0C0"/>
              <w:left w:val="thickThinLargeGap" w:sz="6" w:space="0" w:color="C0C0C0"/>
              <w:bottom w:val="thickThinLargeGap" w:sz="6" w:space="0" w:color="C0C0C0"/>
              <w:right w:val="thickThinLargeGap" w:sz="6" w:space="0" w:color="C0C0C0"/>
            </w:tcBorders>
            <w:hideMark/>
          </w:tcPr>
          <w:p w:rsidR="00514558" w:rsidRDefault="000B1C0D" w:rsidP="00514558">
            <w:pPr>
              <w:spacing w:after="0"/>
              <w:ind w:firstLine="567"/>
              <w:jc w:val="both"/>
              <w:rPr>
                <w:rFonts w:ascii="Times New Roman" w:hAnsi="Times New Roman" w:cs="Times New Roman"/>
                <w:sz w:val="25"/>
                <w:szCs w:val="25"/>
              </w:rPr>
            </w:pPr>
            <w:r w:rsidRPr="00B4621C">
              <w:rPr>
                <w:rFonts w:ascii="Times New Roman" w:hAnsi="Times New Roman" w:cs="Times New Roman"/>
                <w:sz w:val="25"/>
                <w:szCs w:val="25"/>
              </w:rPr>
              <w:t>Darbības programmas „Uzņēmējdarbība un inovācijas” papildinājuma 2.3.1.1.1.apakšaktivitātes „Ārējo tirgu apgūšana – ārējais mārketings” (turpmāk – 2.3.1.1.1.apakšaktiv</w:t>
            </w:r>
            <w:r w:rsidR="00407CB4" w:rsidRPr="00B4621C">
              <w:rPr>
                <w:rFonts w:ascii="Times New Roman" w:hAnsi="Times New Roman" w:cs="Times New Roman"/>
                <w:sz w:val="25"/>
                <w:szCs w:val="25"/>
              </w:rPr>
              <w:t>i</w:t>
            </w:r>
            <w:r w:rsidRPr="00B4621C">
              <w:rPr>
                <w:rFonts w:ascii="Times New Roman" w:hAnsi="Times New Roman" w:cs="Times New Roman"/>
                <w:sz w:val="25"/>
                <w:szCs w:val="25"/>
              </w:rPr>
              <w:t>tāte) ietvaros Latvijas Investīciju un attīstības aģentūra</w:t>
            </w:r>
            <w:r w:rsidR="00407CB4" w:rsidRPr="00B4621C">
              <w:rPr>
                <w:rFonts w:ascii="Times New Roman" w:hAnsi="Times New Roman" w:cs="Times New Roman"/>
                <w:sz w:val="25"/>
                <w:szCs w:val="25"/>
              </w:rPr>
              <w:t xml:space="preserve">, pamatojoties uz </w:t>
            </w:r>
            <w:r w:rsidRPr="00B4621C">
              <w:rPr>
                <w:rFonts w:ascii="Times New Roman" w:hAnsi="Times New Roman" w:cs="Times New Roman"/>
                <w:sz w:val="25"/>
                <w:szCs w:val="25"/>
              </w:rPr>
              <w:t xml:space="preserve">Ministru kabineta 2009.gada 17.jūnija </w:t>
            </w:r>
            <w:r w:rsidR="00407CB4" w:rsidRPr="00B4621C">
              <w:rPr>
                <w:rFonts w:ascii="Times New Roman" w:hAnsi="Times New Roman" w:cs="Times New Roman"/>
                <w:sz w:val="25"/>
                <w:szCs w:val="25"/>
              </w:rPr>
              <w:t xml:space="preserve">noteikumu </w:t>
            </w:r>
            <w:r w:rsidRPr="00B4621C">
              <w:rPr>
                <w:rFonts w:ascii="Times New Roman" w:hAnsi="Times New Roman" w:cs="Times New Roman"/>
                <w:sz w:val="25"/>
                <w:szCs w:val="25"/>
              </w:rPr>
              <w:t xml:space="preserve">Nr.582 „Noteikumi par darbības programmas </w:t>
            </w:r>
            <w:r w:rsidR="00A41BF2" w:rsidRPr="00B4621C">
              <w:rPr>
                <w:rFonts w:ascii="Times New Roman" w:hAnsi="Times New Roman" w:cs="Times New Roman"/>
                <w:sz w:val="25"/>
                <w:szCs w:val="25"/>
              </w:rPr>
              <w:t>„</w:t>
            </w:r>
            <w:r w:rsidRPr="00B4621C">
              <w:rPr>
                <w:rFonts w:ascii="Times New Roman" w:hAnsi="Times New Roman" w:cs="Times New Roman"/>
                <w:sz w:val="25"/>
                <w:szCs w:val="25"/>
              </w:rPr>
              <w:t xml:space="preserve">Uzņēmējdarbība un inovācijas” papildinājuma 2.3.1.1.1.apakšaktivitātes </w:t>
            </w:r>
            <w:r w:rsidR="00A41BF2" w:rsidRPr="00B4621C">
              <w:rPr>
                <w:rFonts w:ascii="Times New Roman" w:hAnsi="Times New Roman" w:cs="Times New Roman"/>
                <w:sz w:val="25"/>
                <w:szCs w:val="25"/>
              </w:rPr>
              <w:t>„</w:t>
            </w:r>
            <w:r w:rsidRPr="00B4621C">
              <w:rPr>
                <w:rFonts w:ascii="Times New Roman" w:hAnsi="Times New Roman" w:cs="Times New Roman"/>
                <w:sz w:val="25"/>
                <w:szCs w:val="25"/>
              </w:rPr>
              <w:t xml:space="preserve">Ārējo tirgu apgūšana – ārējais mārketings” sesto un turpmākajām kārtām” (turpmāk – MK noteikumi Nr.582) </w:t>
            </w:r>
            <w:r w:rsidR="00407CB4" w:rsidRPr="00B4621C">
              <w:rPr>
                <w:rFonts w:ascii="Times New Roman" w:hAnsi="Times New Roman" w:cs="Times New Roman"/>
                <w:sz w:val="25"/>
                <w:szCs w:val="25"/>
              </w:rPr>
              <w:t xml:space="preserve">2.punktu finansējumu piešķir saskaņā ar </w:t>
            </w:r>
            <w:r w:rsidRPr="00B4621C">
              <w:rPr>
                <w:rFonts w:ascii="Times New Roman" w:hAnsi="Times New Roman" w:cs="Times New Roman"/>
                <w:sz w:val="25"/>
                <w:szCs w:val="25"/>
              </w:rPr>
              <w:t xml:space="preserve">Komisijas </w:t>
            </w:r>
            <w:r w:rsidR="00407CB4" w:rsidRPr="00B4621C">
              <w:rPr>
                <w:rFonts w:ascii="Times New Roman" w:hAnsi="Times New Roman" w:cs="Times New Roman"/>
                <w:sz w:val="25"/>
                <w:szCs w:val="25"/>
              </w:rPr>
              <w:t xml:space="preserve">Regulu </w:t>
            </w:r>
            <w:r w:rsidRPr="00B4621C">
              <w:rPr>
                <w:rFonts w:ascii="Times New Roman" w:hAnsi="Times New Roman" w:cs="Times New Roman"/>
                <w:sz w:val="25"/>
                <w:szCs w:val="25"/>
              </w:rPr>
              <w:t xml:space="preserve">(EK) </w:t>
            </w:r>
            <w:proofErr w:type="spellStart"/>
            <w:r w:rsidRPr="00B4621C">
              <w:rPr>
                <w:rFonts w:ascii="Times New Roman" w:hAnsi="Times New Roman" w:cs="Times New Roman"/>
                <w:sz w:val="25"/>
                <w:szCs w:val="25"/>
              </w:rPr>
              <w:t>Nr</w:t>
            </w:r>
            <w:proofErr w:type="spellEnd"/>
            <w:r w:rsidRPr="00B4621C">
              <w:rPr>
                <w:rFonts w:ascii="Times New Roman" w:hAnsi="Times New Roman" w:cs="Times New Roman"/>
                <w:sz w:val="25"/>
                <w:szCs w:val="25"/>
              </w:rPr>
              <w:t xml:space="preserve">. 1998/2006 (2006. gada 15. decembris) par Līguma 87. un 88. panta piemērošanu </w:t>
            </w:r>
            <w:r w:rsidRPr="00B4621C">
              <w:rPr>
                <w:rFonts w:ascii="Times New Roman" w:hAnsi="Times New Roman" w:cs="Times New Roman"/>
                <w:i/>
                <w:sz w:val="25"/>
                <w:szCs w:val="25"/>
              </w:rPr>
              <w:t>de minimis</w:t>
            </w:r>
            <w:r w:rsidRPr="00B4621C">
              <w:rPr>
                <w:rFonts w:ascii="Times New Roman" w:hAnsi="Times New Roman" w:cs="Times New Roman"/>
                <w:sz w:val="25"/>
                <w:szCs w:val="25"/>
              </w:rPr>
              <w:t xml:space="preserve"> atbalstam (turpmāk - Regula </w:t>
            </w:r>
            <w:r w:rsidR="002F1B49" w:rsidRPr="00B4621C">
              <w:rPr>
                <w:rFonts w:ascii="Times New Roman" w:hAnsi="Times New Roman" w:cs="Times New Roman"/>
                <w:sz w:val="25"/>
                <w:szCs w:val="25"/>
              </w:rPr>
              <w:t>Nr.</w:t>
            </w:r>
            <w:r w:rsidRPr="00B4621C">
              <w:rPr>
                <w:rFonts w:ascii="Times New Roman" w:hAnsi="Times New Roman" w:cs="Times New Roman"/>
                <w:sz w:val="25"/>
                <w:szCs w:val="25"/>
              </w:rPr>
              <w:t>1998/2006)</w:t>
            </w:r>
            <w:r w:rsidR="00407CB4" w:rsidRPr="00B4621C">
              <w:rPr>
                <w:rFonts w:ascii="Times New Roman" w:hAnsi="Times New Roman" w:cs="Times New Roman"/>
                <w:sz w:val="25"/>
                <w:szCs w:val="25"/>
              </w:rPr>
              <w:t>. Regulas</w:t>
            </w:r>
            <w:r w:rsidR="002F1B49" w:rsidRPr="00B4621C">
              <w:rPr>
                <w:rFonts w:ascii="Times New Roman" w:hAnsi="Times New Roman" w:cs="Times New Roman"/>
                <w:sz w:val="25"/>
                <w:szCs w:val="25"/>
              </w:rPr>
              <w:t xml:space="preserve"> Nr.</w:t>
            </w:r>
            <w:r w:rsidR="00407CB4" w:rsidRPr="00B4621C">
              <w:rPr>
                <w:rFonts w:ascii="Times New Roman" w:hAnsi="Times New Roman" w:cs="Times New Roman"/>
                <w:sz w:val="25"/>
                <w:szCs w:val="25"/>
              </w:rPr>
              <w:t xml:space="preserve">1998/2006 6.pantā noteikts, ka to piemēro līdz 2013.gada 31.decembrim. </w:t>
            </w:r>
          </w:p>
          <w:p w:rsidR="00407CB4" w:rsidRPr="00B4621C" w:rsidRDefault="00407CB4" w:rsidP="00514558">
            <w:pPr>
              <w:spacing w:after="0"/>
              <w:jc w:val="both"/>
              <w:rPr>
                <w:rFonts w:ascii="Times New Roman" w:hAnsi="Times New Roman" w:cs="Times New Roman"/>
                <w:sz w:val="25"/>
                <w:szCs w:val="25"/>
              </w:rPr>
            </w:pPr>
            <w:r w:rsidRPr="00B4621C">
              <w:rPr>
                <w:rFonts w:ascii="Times New Roman" w:hAnsi="Times New Roman" w:cs="Times New Roman"/>
                <w:sz w:val="25"/>
                <w:szCs w:val="25"/>
              </w:rPr>
              <w:t>2013.gada</w:t>
            </w:r>
            <w:r w:rsidR="002F1B49" w:rsidRPr="00B4621C">
              <w:rPr>
                <w:rFonts w:ascii="Times New Roman" w:hAnsi="Times New Roman" w:cs="Times New Roman"/>
                <w:sz w:val="25"/>
                <w:szCs w:val="25"/>
              </w:rPr>
              <w:t xml:space="preserve"> 18.decembrī tika pieņemts jaunais </w:t>
            </w:r>
            <w:r w:rsidR="002F1B49" w:rsidRPr="00B4621C">
              <w:rPr>
                <w:rFonts w:ascii="Times New Roman" w:hAnsi="Times New Roman" w:cs="Times New Roman"/>
                <w:i/>
                <w:sz w:val="25"/>
                <w:szCs w:val="25"/>
              </w:rPr>
              <w:t>de minimis</w:t>
            </w:r>
            <w:r w:rsidR="002F1B49" w:rsidRPr="00B4621C">
              <w:rPr>
                <w:rFonts w:ascii="Times New Roman" w:hAnsi="Times New Roman" w:cs="Times New Roman"/>
                <w:sz w:val="25"/>
                <w:szCs w:val="25"/>
              </w:rPr>
              <w:t xml:space="preserve"> atbalsta sniegšanas regulējums - </w:t>
            </w:r>
            <w:r w:rsidRPr="00B4621C">
              <w:rPr>
                <w:rFonts w:ascii="Times New Roman" w:hAnsi="Times New Roman" w:cs="Times New Roman"/>
                <w:sz w:val="25"/>
                <w:szCs w:val="25"/>
              </w:rPr>
              <w:t xml:space="preserve">Komisijas Regula (EK) Nr.1407/2013 par Līguma par Eiropas Savienības darbību 107. un 108. panta piemērošanu </w:t>
            </w:r>
            <w:r w:rsidRPr="00B4621C">
              <w:rPr>
                <w:rFonts w:ascii="Times New Roman" w:hAnsi="Times New Roman" w:cs="Times New Roman"/>
                <w:i/>
                <w:sz w:val="25"/>
                <w:szCs w:val="25"/>
              </w:rPr>
              <w:t>de minimis</w:t>
            </w:r>
            <w:r w:rsidRPr="00B4621C">
              <w:rPr>
                <w:rFonts w:ascii="Times New Roman" w:hAnsi="Times New Roman" w:cs="Times New Roman"/>
                <w:sz w:val="25"/>
                <w:szCs w:val="25"/>
              </w:rPr>
              <w:t xml:space="preserve"> atbalstam (Eiropas Savienības Oficiālais Vēstnesis, 2013.gada 24.decembris, </w:t>
            </w:r>
            <w:proofErr w:type="spellStart"/>
            <w:r w:rsidRPr="00B4621C">
              <w:rPr>
                <w:rFonts w:ascii="Times New Roman" w:hAnsi="Times New Roman" w:cs="Times New Roman"/>
                <w:sz w:val="25"/>
                <w:szCs w:val="25"/>
              </w:rPr>
              <w:t>Nr</w:t>
            </w:r>
            <w:proofErr w:type="spellEnd"/>
            <w:r w:rsidRPr="00B4621C">
              <w:rPr>
                <w:rFonts w:ascii="Times New Roman" w:hAnsi="Times New Roman" w:cs="Times New Roman"/>
                <w:sz w:val="25"/>
                <w:szCs w:val="25"/>
              </w:rPr>
              <w:t>. L 352) (turpmāk – regula Nr.1407/2013)</w:t>
            </w:r>
            <w:r w:rsidR="002F1B49" w:rsidRPr="00B4621C">
              <w:rPr>
                <w:rFonts w:ascii="Times New Roman" w:hAnsi="Times New Roman" w:cs="Times New Roman"/>
                <w:sz w:val="25"/>
                <w:szCs w:val="25"/>
              </w:rPr>
              <w:t>, kas stājies spēkā 2014.gada 1.janvārī.</w:t>
            </w:r>
          </w:p>
          <w:p w:rsidR="003126E5" w:rsidRPr="00B4621C" w:rsidRDefault="00407CB4" w:rsidP="008E5A17">
            <w:pPr>
              <w:spacing w:after="0"/>
              <w:jc w:val="both"/>
              <w:rPr>
                <w:sz w:val="25"/>
                <w:szCs w:val="25"/>
              </w:rPr>
            </w:pPr>
            <w:r w:rsidRPr="00B4621C">
              <w:rPr>
                <w:rFonts w:ascii="Times New Roman" w:hAnsi="Times New Roman" w:cs="Times New Roman"/>
                <w:sz w:val="25"/>
                <w:szCs w:val="25"/>
              </w:rPr>
              <w:t xml:space="preserve">          Ņemot vērā, ka projektu iesniegumu pieņemšana 2.3.1.1.1.apakšaktivitātes ietvaros tiks nodrošināta līdz 2014.gada </w:t>
            </w:r>
            <w:r w:rsidR="00370687" w:rsidRPr="00B4621C">
              <w:rPr>
                <w:rFonts w:ascii="Times New Roman" w:hAnsi="Times New Roman" w:cs="Times New Roman"/>
                <w:sz w:val="25"/>
                <w:szCs w:val="25"/>
              </w:rPr>
              <w:t>30.aprīlim</w:t>
            </w:r>
            <w:r w:rsidRPr="00B4621C">
              <w:rPr>
                <w:rFonts w:ascii="Times New Roman" w:hAnsi="Times New Roman" w:cs="Times New Roman"/>
                <w:sz w:val="25"/>
                <w:szCs w:val="25"/>
              </w:rPr>
              <w:t xml:space="preserve">, kā arī ievērojot Regulas 1998/2006 5.panta 3.punktā noteikto, </w:t>
            </w:r>
            <w:r w:rsidR="000B1C0D" w:rsidRPr="00B4621C">
              <w:rPr>
                <w:rFonts w:ascii="Times New Roman" w:hAnsi="Times New Roman" w:cs="Times New Roman"/>
                <w:sz w:val="25"/>
                <w:szCs w:val="25"/>
              </w:rPr>
              <w:t xml:space="preserve">ka Regulas 1998/2006 spēkā </w:t>
            </w:r>
            <w:r w:rsidR="000B1C0D" w:rsidRPr="00B4621C">
              <w:rPr>
                <w:rFonts w:ascii="Times New Roman" w:hAnsi="Times New Roman" w:cs="Times New Roman"/>
                <w:sz w:val="25"/>
                <w:szCs w:val="25"/>
              </w:rPr>
              <w:lastRenderedPageBreak/>
              <w:t xml:space="preserve">esamības laika beigās jebkuru </w:t>
            </w:r>
            <w:r w:rsidR="000B1C0D" w:rsidRPr="00B4621C">
              <w:rPr>
                <w:rFonts w:ascii="Times New Roman" w:hAnsi="Times New Roman" w:cs="Times New Roman"/>
                <w:i/>
                <w:sz w:val="25"/>
                <w:szCs w:val="25"/>
              </w:rPr>
              <w:t>de minimis</w:t>
            </w:r>
            <w:r w:rsidR="000B1C0D" w:rsidRPr="00B4621C">
              <w:rPr>
                <w:rFonts w:ascii="Times New Roman" w:hAnsi="Times New Roman" w:cs="Times New Roman"/>
                <w:sz w:val="25"/>
                <w:szCs w:val="25"/>
              </w:rPr>
              <w:t xml:space="preserve"> atbalstu, kurš atbilst Regulas </w:t>
            </w:r>
            <w:proofErr w:type="spellStart"/>
            <w:r w:rsidR="002766CF" w:rsidRPr="00B4621C">
              <w:rPr>
                <w:rFonts w:ascii="Times New Roman" w:hAnsi="Times New Roman" w:cs="Times New Roman"/>
                <w:sz w:val="25"/>
                <w:szCs w:val="25"/>
              </w:rPr>
              <w:t>Nr</w:t>
            </w:r>
            <w:proofErr w:type="spellEnd"/>
            <w:r w:rsidR="002766CF" w:rsidRPr="00B4621C">
              <w:rPr>
                <w:rFonts w:ascii="Times New Roman" w:hAnsi="Times New Roman" w:cs="Times New Roman"/>
                <w:sz w:val="25"/>
                <w:szCs w:val="25"/>
              </w:rPr>
              <w:t xml:space="preserve">. </w:t>
            </w:r>
            <w:r w:rsidR="000B1C0D" w:rsidRPr="00B4621C">
              <w:rPr>
                <w:rFonts w:ascii="Times New Roman" w:hAnsi="Times New Roman" w:cs="Times New Roman"/>
                <w:sz w:val="25"/>
                <w:szCs w:val="25"/>
              </w:rPr>
              <w:t>1998/2006 nosacījumiem, var likumīgi īstenot turpmākajos sešos mēnešos</w:t>
            </w:r>
            <w:r w:rsidRPr="00B4621C">
              <w:rPr>
                <w:rFonts w:ascii="Times New Roman" w:hAnsi="Times New Roman" w:cs="Times New Roman"/>
                <w:sz w:val="25"/>
                <w:szCs w:val="25"/>
              </w:rPr>
              <w:t>,</w:t>
            </w:r>
            <w:r w:rsidR="002F1B49" w:rsidRPr="00B4621C">
              <w:rPr>
                <w:rFonts w:ascii="Times New Roman" w:hAnsi="Times New Roman" w:cs="Times New Roman"/>
                <w:sz w:val="25"/>
                <w:szCs w:val="25"/>
              </w:rPr>
              <w:t xml:space="preserve"> tāpat arī</w:t>
            </w:r>
            <w:r w:rsidR="00514558">
              <w:rPr>
                <w:rFonts w:ascii="Times New Roman" w:hAnsi="Times New Roman" w:cs="Times New Roman"/>
                <w:sz w:val="25"/>
                <w:szCs w:val="25"/>
              </w:rPr>
              <w:t xml:space="preserve"> MK noteikumu Nr.582 52.punktu,</w:t>
            </w:r>
            <w:r w:rsidRPr="00B4621C">
              <w:rPr>
                <w:rFonts w:ascii="Times New Roman" w:hAnsi="Times New Roman" w:cs="Times New Roman"/>
                <w:sz w:val="25"/>
                <w:szCs w:val="25"/>
              </w:rPr>
              <w:t xml:space="preserve"> ar grozījumiem tiek noteikts, ka finansējumu tiem projektu iesniegumi</w:t>
            </w:r>
            <w:r w:rsidR="002766CF" w:rsidRPr="00B4621C">
              <w:rPr>
                <w:rFonts w:ascii="Times New Roman" w:hAnsi="Times New Roman" w:cs="Times New Roman"/>
                <w:sz w:val="25"/>
                <w:szCs w:val="25"/>
              </w:rPr>
              <w:t>em</w:t>
            </w:r>
            <w:r w:rsidRPr="00B4621C">
              <w:rPr>
                <w:rFonts w:ascii="Times New Roman" w:hAnsi="Times New Roman" w:cs="Times New Roman"/>
                <w:sz w:val="25"/>
                <w:szCs w:val="25"/>
              </w:rPr>
              <w:t xml:space="preserve">, kuri </w:t>
            </w:r>
            <w:r w:rsidR="002F1B49" w:rsidRPr="00B4621C">
              <w:rPr>
                <w:rFonts w:ascii="Times New Roman" w:hAnsi="Times New Roman" w:cs="Times New Roman"/>
                <w:sz w:val="25"/>
                <w:szCs w:val="25"/>
              </w:rPr>
              <w:t>iesniegti</w:t>
            </w:r>
            <w:r w:rsidRPr="00B4621C">
              <w:rPr>
                <w:rFonts w:ascii="Times New Roman" w:hAnsi="Times New Roman" w:cs="Times New Roman"/>
                <w:sz w:val="25"/>
                <w:szCs w:val="25"/>
              </w:rPr>
              <w:t xml:space="preserve"> </w:t>
            </w:r>
            <w:r w:rsidR="00514558">
              <w:rPr>
                <w:rFonts w:ascii="Times New Roman" w:hAnsi="Times New Roman" w:cs="Times New Roman"/>
                <w:sz w:val="25"/>
                <w:szCs w:val="25"/>
              </w:rPr>
              <w:t xml:space="preserve">Latvijas Investīciju un attīstības aģentūrai (turpmāk – </w:t>
            </w:r>
            <w:r w:rsidRPr="00B4621C">
              <w:rPr>
                <w:rFonts w:ascii="Times New Roman" w:hAnsi="Times New Roman" w:cs="Times New Roman"/>
                <w:sz w:val="25"/>
                <w:szCs w:val="25"/>
              </w:rPr>
              <w:t>LIAA</w:t>
            </w:r>
            <w:r w:rsidR="00514558">
              <w:rPr>
                <w:rFonts w:ascii="Times New Roman" w:hAnsi="Times New Roman" w:cs="Times New Roman"/>
                <w:sz w:val="25"/>
                <w:szCs w:val="25"/>
              </w:rPr>
              <w:t>)</w:t>
            </w:r>
            <w:r w:rsidRPr="00B4621C">
              <w:rPr>
                <w:rFonts w:ascii="Times New Roman" w:hAnsi="Times New Roman" w:cs="Times New Roman"/>
                <w:sz w:val="25"/>
                <w:szCs w:val="25"/>
              </w:rPr>
              <w:t xml:space="preserve"> līdz 2014.gada 30.aprīlim un par kuriem lēmums pieņemts līdz 2014.gada 30.jūnijam</w:t>
            </w:r>
            <w:r w:rsidR="002F1B49" w:rsidRPr="00B4621C">
              <w:rPr>
                <w:rFonts w:ascii="Times New Roman" w:hAnsi="Times New Roman" w:cs="Times New Roman"/>
                <w:sz w:val="25"/>
                <w:szCs w:val="25"/>
              </w:rPr>
              <w:t>, piešķir saskaņā ar Regulu Nr.1998/2006, savukārt finansējumu tiem projektu iesniegumiem, kuri tiks iesniegti pēc 2014.gada 30.aprīļa, piešķir saskaņā ar Regulu Nr.1407/2013.</w:t>
            </w:r>
          </w:p>
          <w:p w:rsidR="00634A43" w:rsidRPr="00B4621C" w:rsidRDefault="008E5A17" w:rsidP="006516B3">
            <w:pPr>
              <w:pStyle w:val="ListParagraph"/>
              <w:spacing w:after="0"/>
              <w:ind w:left="0"/>
              <w:jc w:val="both"/>
              <w:rPr>
                <w:rFonts w:ascii="Times New Roman" w:hAnsi="Times New Roman" w:cs="Times New Roman"/>
                <w:sz w:val="25"/>
                <w:szCs w:val="25"/>
              </w:rPr>
            </w:pPr>
            <w:r w:rsidRPr="00B4621C">
              <w:rPr>
                <w:rFonts w:ascii="Times New Roman" w:hAnsi="Times New Roman" w:cs="Times New Roman"/>
                <w:sz w:val="25"/>
                <w:szCs w:val="25"/>
              </w:rPr>
              <w:tab/>
            </w:r>
            <w:r w:rsidR="003126E5" w:rsidRPr="00B4621C">
              <w:rPr>
                <w:rFonts w:ascii="Times New Roman" w:hAnsi="Times New Roman" w:cs="Times New Roman"/>
                <w:sz w:val="25"/>
                <w:szCs w:val="25"/>
              </w:rPr>
              <w:t>Ekonomikas ministrija</w:t>
            </w:r>
            <w:r w:rsidR="002766CF" w:rsidRPr="00B4621C">
              <w:rPr>
                <w:rFonts w:ascii="Times New Roman" w:hAnsi="Times New Roman" w:cs="Times New Roman"/>
                <w:sz w:val="25"/>
                <w:szCs w:val="25"/>
              </w:rPr>
              <w:t xml:space="preserve"> kā 2.3.1.1.1.apakšaktivitātes atbildīgā iestāde</w:t>
            </w:r>
            <w:r w:rsidR="00634A43" w:rsidRPr="00B4621C">
              <w:rPr>
                <w:rFonts w:ascii="Times New Roman" w:hAnsi="Times New Roman" w:cs="Times New Roman"/>
                <w:sz w:val="25"/>
                <w:szCs w:val="25"/>
              </w:rPr>
              <w:t xml:space="preserve">, izskatot projektu iesniedzēju iesniegumus, ar kuriem tiek apstrīdēti LIAA lēmumi, ir konstatējusi, ka projektu iesniedzējiem pastāv neviennozīmīga izpratne par MK noteikumu Nr.582 5.3.punktā ietvertā jēdziena „tirdzniecības misija” būtību. Nolūkā novērst nepamatotas interpretācijas iespējas, ar grozījumiem tiek precizēta </w:t>
            </w:r>
            <w:r w:rsidR="002766CF" w:rsidRPr="00B4621C">
              <w:rPr>
                <w:rFonts w:ascii="Times New Roman" w:hAnsi="Times New Roman" w:cs="Times New Roman"/>
                <w:sz w:val="25"/>
                <w:szCs w:val="25"/>
              </w:rPr>
              <w:t>„tirdzniecības misijas”</w:t>
            </w:r>
            <w:r w:rsidR="00634A43" w:rsidRPr="00B4621C">
              <w:rPr>
                <w:rFonts w:ascii="Times New Roman" w:hAnsi="Times New Roman" w:cs="Times New Roman"/>
                <w:sz w:val="25"/>
                <w:szCs w:val="25"/>
              </w:rPr>
              <w:t xml:space="preserve"> definīcija, uzsverot, ka viena no tirdzniecības misijas pamatpazīmēm ir</w:t>
            </w:r>
            <w:r w:rsidR="002766CF" w:rsidRPr="00B4621C">
              <w:rPr>
                <w:rFonts w:ascii="Times New Roman" w:hAnsi="Times New Roman" w:cs="Times New Roman"/>
                <w:sz w:val="25"/>
                <w:szCs w:val="25"/>
              </w:rPr>
              <w:t xml:space="preserve"> tas, ka</w:t>
            </w:r>
            <w:r w:rsidR="00634A43" w:rsidRPr="00B4621C">
              <w:rPr>
                <w:rFonts w:ascii="Times New Roman" w:hAnsi="Times New Roman" w:cs="Times New Roman"/>
                <w:sz w:val="25"/>
                <w:szCs w:val="25"/>
              </w:rPr>
              <w:t xml:space="preserve"> komersantu grupa (vismaz div</w:t>
            </w:r>
            <w:r w:rsidR="002766CF" w:rsidRPr="00B4621C">
              <w:rPr>
                <w:rFonts w:ascii="Times New Roman" w:hAnsi="Times New Roman" w:cs="Times New Roman"/>
                <w:sz w:val="25"/>
                <w:szCs w:val="25"/>
              </w:rPr>
              <w:t>i</w:t>
            </w:r>
            <w:r w:rsidR="00634A43" w:rsidRPr="00B4621C">
              <w:rPr>
                <w:rFonts w:ascii="Times New Roman" w:hAnsi="Times New Roman" w:cs="Times New Roman"/>
                <w:sz w:val="25"/>
                <w:szCs w:val="25"/>
              </w:rPr>
              <w:t xml:space="preserve"> komersant</w:t>
            </w:r>
            <w:r w:rsidR="002766CF" w:rsidRPr="00B4621C">
              <w:rPr>
                <w:rFonts w:ascii="Times New Roman" w:hAnsi="Times New Roman" w:cs="Times New Roman"/>
                <w:sz w:val="25"/>
                <w:szCs w:val="25"/>
              </w:rPr>
              <w:t>i</w:t>
            </w:r>
            <w:r w:rsidR="00634A43" w:rsidRPr="00B4621C">
              <w:rPr>
                <w:rFonts w:ascii="Times New Roman" w:hAnsi="Times New Roman" w:cs="Times New Roman"/>
                <w:sz w:val="25"/>
                <w:szCs w:val="25"/>
              </w:rPr>
              <w:t xml:space="preserve">) uz ārvalstīm dodas </w:t>
            </w:r>
            <w:r w:rsidR="00634A43" w:rsidRPr="00B4621C">
              <w:rPr>
                <w:rFonts w:ascii="Times New Roman" w:hAnsi="Times New Roman" w:cs="Times New Roman"/>
                <w:sz w:val="25"/>
                <w:szCs w:val="25"/>
                <w:u w:val="single"/>
              </w:rPr>
              <w:t>vienotas vizītes</w:t>
            </w:r>
            <w:r w:rsidR="00634A43" w:rsidRPr="00B4621C">
              <w:rPr>
                <w:rFonts w:ascii="Times New Roman" w:hAnsi="Times New Roman" w:cs="Times New Roman"/>
                <w:sz w:val="25"/>
                <w:szCs w:val="25"/>
              </w:rPr>
              <w:t xml:space="preserve"> ietvaros. Proti, katram komersantam tiek izstrādāta individuāla programma, bet tai ir jāiekļaujas kopējā komersantu grupai izstrādātajā programmā. Vienotas vizītes jēdziens neizslēdz iespēju, ka tirdzniecības misijas dalībnieki vizītē dodas katrs ar savu sabiedrisko transportu, satiek dažādus dalībniekus, tomēr </w:t>
            </w:r>
            <w:r w:rsidR="00634A43" w:rsidRPr="00B4621C">
              <w:rPr>
                <w:rFonts w:ascii="Times New Roman" w:hAnsi="Times New Roman" w:cs="Times New Roman"/>
                <w:sz w:val="25"/>
                <w:szCs w:val="25"/>
                <w:u w:val="single"/>
              </w:rPr>
              <w:t>vizītes ietvaros ir</w:t>
            </w:r>
            <w:r w:rsidR="00634A43" w:rsidRPr="00B4621C">
              <w:rPr>
                <w:rFonts w:ascii="Times New Roman" w:hAnsi="Times New Roman" w:cs="Times New Roman"/>
                <w:sz w:val="25"/>
                <w:szCs w:val="25"/>
              </w:rPr>
              <w:t xml:space="preserve">  jābūt organizētam pasākumam, kurā piedalās visi komersantu grupas komersanti, tādējādi identificējot tajā ietilpstošo komersantu vienojošo elementu. </w:t>
            </w:r>
          </w:p>
          <w:p w:rsidR="00F05142" w:rsidRPr="00B4621C" w:rsidRDefault="002E1E47" w:rsidP="00B274F5">
            <w:pPr>
              <w:pStyle w:val="ListParagraph"/>
              <w:tabs>
                <w:tab w:val="left" w:pos="199"/>
              </w:tabs>
              <w:spacing w:after="0"/>
              <w:ind w:left="0"/>
              <w:jc w:val="both"/>
              <w:rPr>
                <w:rFonts w:ascii="Times New Roman" w:hAnsi="Times New Roman" w:cs="Times New Roman"/>
                <w:sz w:val="25"/>
                <w:szCs w:val="25"/>
              </w:rPr>
            </w:pPr>
            <w:r w:rsidRPr="00B4621C">
              <w:rPr>
                <w:rFonts w:ascii="Times New Roman" w:hAnsi="Times New Roman" w:cs="Times New Roman"/>
                <w:sz w:val="25"/>
                <w:szCs w:val="25"/>
              </w:rPr>
              <w:tab/>
            </w:r>
            <w:r w:rsidR="00B634CE" w:rsidRPr="00B4621C">
              <w:rPr>
                <w:rFonts w:ascii="Times New Roman" w:hAnsi="Times New Roman" w:cs="Times New Roman"/>
                <w:sz w:val="25"/>
                <w:szCs w:val="25"/>
              </w:rPr>
              <w:t>Jaunā</w:t>
            </w:r>
            <w:r w:rsidR="00F05142" w:rsidRPr="00B4621C">
              <w:rPr>
                <w:rFonts w:ascii="Times New Roman" w:hAnsi="Times New Roman" w:cs="Times New Roman"/>
                <w:sz w:val="25"/>
                <w:szCs w:val="25"/>
              </w:rPr>
              <w:t xml:space="preserve"> „tirdzniecības misijas” definīcija tiks attiecināta uz tiem projekta iesniegumiem, kuri </w:t>
            </w:r>
            <w:r w:rsidRPr="00B4621C">
              <w:rPr>
                <w:rFonts w:ascii="Times New Roman" w:hAnsi="Times New Roman" w:cs="Times New Roman"/>
                <w:sz w:val="25"/>
                <w:szCs w:val="25"/>
              </w:rPr>
              <w:t>tiks iesniegti</w:t>
            </w:r>
            <w:r w:rsidR="00F05142" w:rsidRPr="00B4621C">
              <w:rPr>
                <w:rFonts w:ascii="Times New Roman" w:hAnsi="Times New Roman" w:cs="Times New Roman"/>
                <w:sz w:val="25"/>
                <w:szCs w:val="25"/>
              </w:rPr>
              <w:t xml:space="preserve"> pēc šo noteikumu projekta spēkā stāšanos, lai ievērotu</w:t>
            </w:r>
            <w:r w:rsidR="00B634CE" w:rsidRPr="00B4621C">
              <w:rPr>
                <w:rFonts w:ascii="Times New Roman" w:hAnsi="Times New Roman" w:cs="Times New Roman"/>
                <w:sz w:val="25"/>
                <w:szCs w:val="25"/>
              </w:rPr>
              <w:t xml:space="preserve"> tiesiskās paļāvības principu.</w:t>
            </w:r>
            <w:r w:rsidR="00F05142" w:rsidRPr="00B4621C">
              <w:rPr>
                <w:rFonts w:ascii="Times New Roman" w:hAnsi="Times New Roman" w:cs="Times New Roman"/>
                <w:sz w:val="25"/>
                <w:szCs w:val="25"/>
              </w:rPr>
              <w:t xml:space="preserve"> </w:t>
            </w:r>
          </w:p>
          <w:p w:rsidR="001E1068" w:rsidRPr="00B4621C" w:rsidRDefault="008E5A17" w:rsidP="00B274F5">
            <w:pPr>
              <w:pStyle w:val="ListParagraph"/>
              <w:spacing w:after="0"/>
              <w:ind w:left="0"/>
              <w:jc w:val="both"/>
              <w:rPr>
                <w:rFonts w:ascii="Times New Roman" w:hAnsi="Times New Roman" w:cs="Times New Roman"/>
                <w:i/>
                <w:sz w:val="25"/>
                <w:szCs w:val="25"/>
              </w:rPr>
            </w:pPr>
            <w:r w:rsidRPr="00B4621C">
              <w:rPr>
                <w:rFonts w:ascii="Times New Roman" w:hAnsi="Times New Roman" w:cs="Times New Roman"/>
                <w:sz w:val="25"/>
                <w:szCs w:val="25"/>
              </w:rPr>
              <w:tab/>
            </w:r>
            <w:r w:rsidR="001E1068" w:rsidRPr="00B4621C">
              <w:rPr>
                <w:rFonts w:ascii="Times New Roman" w:hAnsi="Times New Roman" w:cs="Times New Roman"/>
                <w:sz w:val="25"/>
                <w:szCs w:val="25"/>
              </w:rPr>
              <w:t>Ekonomikas ministrija paralēli šim grozījumu projektam veic grozījumus darbības programmas „Uzņēmējdarbība un inovācijas” papildinājumā</w:t>
            </w:r>
            <w:r w:rsidR="003F117F" w:rsidRPr="00B4621C">
              <w:rPr>
                <w:rFonts w:ascii="Times New Roman" w:hAnsi="Times New Roman" w:cs="Times New Roman"/>
                <w:sz w:val="25"/>
                <w:szCs w:val="25"/>
              </w:rPr>
              <w:t xml:space="preserve">. Līdz ar to 2.3.1.1.1.apakšaktivitātes </w:t>
            </w:r>
            <w:r w:rsidR="001531AE" w:rsidRPr="00B4621C">
              <w:rPr>
                <w:rFonts w:ascii="Times New Roman" w:hAnsi="Times New Roman" w:cs="Times New Roman"/>
                <w:sz w:val="25"/>
                <w:szCs w:val="25"/>
              </w:rPr>
              <w:t>ietvaros</w:t>
            </w:r>
            <w:r w:rsidR="003F117F" w:rsidRPr="00B4621C">
              <w:rPr>
                <w:rFonts w:ascii="Times New Roman" w:hAnsi="Times New Roman" w:cs="Times New Roman"/>
                <w:sz w:val="25"/>
                <w:szCs w:val="25"/>
              </w:rPr>
              <w:t xml:space="preserve">, lai kopējais pieejamais finansējums būtu saskaņā ar grozījumiem darbības programmas „Uzņēmējdarbība un inovācijas” papildinājumā ir nepieciešams samazināt </w:t>
            </w:r>
            <w:r w:rsidR="003F117F" w:rsidRPr="00B4621C">
              <w:rPr>
                <w:rFonts w:ascii="Times New Roman" w:hAnsi="Times New Roman" w:cs="Times New Roman"/>
                <w:sz w:val="25"/>
                <w:szCs w:val="25"/>
              </w:rPr>
              <w:lastRenderedPageBreak/>
              <w:t xml:space="preserve">2.3.1.1.1.apakšaktivitātes kopējo finansējumu par </w:t>
            </w:r>
            <w:r w:rsidR="00100EFC" w:rsidRPr="00B4621C">
              <w:rPr>
                <w:rFonts w:ascii="Times New Roman" w:hAnsi="Times New Roman" w:cs="Times New Roman"/>
                <w:sz w:val="25"/>
                <w:szCs w:val="25"/>
              </w:rPr>
              <w:t>375 106</w:t>
            </w:r>
            <w:r w:rsidR="003F117F" w:rsidRPr="00B4621C">
              <w:rPr>
                <w:rFonts w:ascii="Times New Roman" w:hAnsi="Times New Roman" w:cs="Times New Roman"/>
                <w:sz w:val="25"/>
                <w:szCs w:val="25"/>
              </w:rPr>
              <w:t xml:space="preserve"> </w:t>
            </w:r>
            <w:r w:rsidR="003F117F" w:rsidRPr="00B4621C">
              <w:rPr>
                <w:rFonts w:ascii="Times New Roman" w:hAnsi="Times New Roman" w:cs="Times New Roman"/>
                <w:i/>
                <w:sz w:val="25"/>
                <w:szCs w:val="25"/>
              </w:rPr>
              <w:t>euro</w:t>
            </w:r>
            <w:r w:rsidR="003F117F" w:rsidRPr="00B4621C">
              <w:rPr>
                <w:rFonts w:ascii="Times New Roman" w:hAnsi="Times New Roman" w:cs="Times New Roman"/>
                <w:sz w:val="25"/>
                <w:szCs w:val="25"/>
              </w:rPr>
              <w:t>, saskaņā ar veiktajām finansējuma pārdalēm uz darbības programmas „Infrastruktūra un pakalpojumi” papildinājumu.</w:t>
            </w:r>
          </w:p>
          <w:p w:rsidR="00221970" w:rsidRPr="00B4621C" w:rsidRDefault="008E5A17" w:rsidP="00B274F5">
            <w:pPr>
              <w:pStyle w:val="ListParagraph"/>
              <w:spacing w:after="0"/>
              <w:ind w:left="0"/>
              <w:jc w:val="both"/>
              <w:rPr>
                <w:rFonts w:ascii="Times New Roman" w:hAnsi="Times New Roman" w:cs="Times New Roman"/>
                <w:sz w:val="25"/>
                <w:szCs w:val="25"/>
              </w:rPr>
            </w:pPr>
            <w:r w:rsidRPr="00B4621C">
              <w:rPr>
                <w:rFonts w:ascii="Times New Roman" w:hAnsi="Times New Roman" w:cs="Times New Roman"/>
                <w:sz w:val="25"/>
                <w:szCs w:val="25"/>
              </w:rPr>
              <w:tab/>
            </w:r>
            <w:r w:rsidR="000B1C0D" w:rsidRPr="00B4621C">
              <w:rPr>
                <w:rFonts w:ascii="Times New Roman" w:hAnsi="Times New Roman" w:cs="Times New Roman"/>
                <w:sz w:val="25"/>
                <w:szCs w:val="25"/>
              </w:rPr>
              <w:t xml:space="preserve">Šobrīd MK noteikumos Nr.582 lietotā valūta ir lats, lai pielāgotu MK noteikumus Nr.582 pārejai uz </w:t>
            </w:r>
            <w:r w:rsidR="000B1C0D" w:rsidRPr="00B4621C">
              <w:rPr>
                <w:rFonts w:ascii="Times New Roman" w:hAnsi="Times New Roman" w:cs="Times New Roman"/>
                <w:i/>
                <w:sz w:val="25"/>
                <w:szCs w:val="25"/>
              </w:rPr>
              <w:t xml:space="preserve">eiro </w:t>
            </w:r>
            <w:r w:rsidR="000B1C0D" w:rsidRPr="00B4621C">
              <w:rPr>
                <w:rFonts w:ascii="Times New Roman" w:hAnsi="Times New Roman" w:cs="Times New Roman"/>
                <w:sz w:val="25"/>
                <w:szCs w:val="25"/>
              </w:rPr>
              <w:t xml:space="preserve">valūtu,  ir jāveic atbilstoši grozījumi MK noteikumos Nr.582, norādot finansējuma apmēru </w:t>
            </w:r>
            <w:r w:rsidR="000B1C0D" w:rsidRPr="00B4621C">
              <w:rPr>
                <w:rFonts w:ascii="Times New Roman" w:hAnsi="Times New Roman" w:cs="Times New Roman"/>
                <w:i/>
                <w:sz w:val="25"/>
                <w:szCs w:val="25"/>
                <w:u w:val="single"/>
              </w:rPr>
              <w:t>eiro valūtā</w:t>
            </w:r>
            <w:r w:rsidR="000B1C0D" w:rsidRPr="00B4621C">
              <w:rPr>
                <w:rFonts w:ascii="Times New Roman" w:hAnsi="Times New Roman" w:cs="Times New Roman"/>
                <w:sz w:val="25"/>
                <w:szCs w:val="25"/>
              </w:rPr>
              <w:t>. Tādejādi lietotā</w:t>
            </w:r>
            <w:r w:rsidR="000B1C0D" w:rsidRPr="00B4621C">
              <w:rPr>
                <w:rFonts w:ascii="Times New Roman" w:hAnsi="Times New Roman" w:cs="Times New Roman"/>
                <w:color w:val="414142"/>
                <w:sz w:val="25"/>
                <w:szCs w:val="25"/>
                <w:shd w:val="clear" w:color="auto" w:fill="F1F1F1"/>
              </w:rPr>
              <w:t xml:space="preserve"> </w:t>
            </w:r>
            <w:r w:rsidR="000B1C0D" w:rsidRPr="00B4621C">
              <w:rPr>
                <w:rFonts w:ascii="Times New Roman" w:hAnsi="Times New Roman" w:cs="Times New Roman"/>
                <w:sz w:val="25"/>
                <w:szCs w:val="25"/>
              </w:rPr>
              <w:t xml:space="preserve">latu valūta tiek aizstāta ar </w:t>
            </w:r>
            <w:r w:rsidR="000B1C0D" w:rsidRPr="00B4621C">
              <w:rPr>
                <w:rFonts w:ascii="Times New Roman" w:hAnsi="Times New Roman" w:cs="Times New Roman"/>
                <w:i/>
                <w:sz w:val="25"/>
                <w:szCs w:val="25"/>
              </w:rPr>
              <w:t xml:space="preserve">euro </w:t>
            </w:r>
            <w:r w:rsidR="000B1C0D" w:rsidRPr="00B4621C">
              <w:rPr>
                <w:rFonts w:ascii="Times New Roman" w:hAnsi="Times New Roman" w:cs="Times New Roman"/>
                <w:sz w:val="25"/>
                <w:szCs w:val="25"/>
              </w:rPr>
              <w:t>valūtu</w:t>
            </w:r>
            <w:r w:rsidR="000B1C0D" w:rsidRPr="00B4621C">
              <w:rPr>
                <w:rFonts w:ascii="Times New Roman" w:hAnsi="Times New Roman" w:cs="Times New Roman"/>
                <w:i/>
                <w:sz w:val="25"/>
                <w:szCs w:val="25"/>
              </w:rPr>
              <w:t xml:space="preserve"> </w:t>
            </w:r>
            <w:r w:rsidR="000B1C0D" w:rsidRPr="00B4621C">
              <w:rPr>
                <w:rFonts w:ascii="Times New Roman" w:hAnsi="Times New Roman" w:cs="Times New Roman"/>
                <w:sz w:val="25"/>
                <w:szCs w:val="25"/>
              </w:rPr>
              <w:t xml:space="preserve">atbilstoši kursam 1 </w:t>
            </w:r>
            <w:r w:rsidR="000B1C0D" w:rsidRPr="00B4621C">
              <w:rPr>
                <w:rFonts w:ascii="Times New Roman" w:hAnsi="Times New Roman" w:cs="Times New Roman"/>
                <w:i/>
                <w:sz w:val="25"/>
                <w:szCs w:val="25"/>
              </w:rPr>
              <w:t>euro</w:t>
            </w:r>
            <w:r w:rsidR="000B1C0D" w:rsidRPr="00B4621C">
              <w:rPr>
                <w:rFonts w:ascii="Times New Roman" w:hAnsi="Times New Roman" w:cs="Times New Roman"/>
                <w:sz w:val="25"/>
                <w:szCs w:val="25"/>
              </w:rPr>
              <w:t xml:space="preserve"> = 0,702804 lati, kas atbilst </w:t>
            </w:r>
            <w:r w:rsidR="000B1C0D" w:rsidRPr="00B4621C">
              <w:rPr>
                <w:rFonts w:ascii="Times New Roman" w:hAnsi="Times New Roman" w:cs="Times New Roman"/>
                <w:i/>
                <w:sz w:val="25"/>
                <w:szCs w:val="25"/>
              </w:rPr>
              <w:t>Euro</w:t>
            </w:r>
            <w:r w:rsidR="000B1C0D" w:rsidRPr="00B4621C">
              <w:rPr>
                <w:rFonts w:ascii="Times New Roman" w:hAnsi="Times New Roman" w:cs="Times New Roman"/>
                <w:sz w:val="25"/>
                <w:szCs w:val="25"/>
              </w:rPr>
              <w:t xml:space="preserve"> ieviešanas kārtības likuma 32.panta otrās daļas 2.punktam.</w:t>
            </w:r>
            <w:r w:rsidR="00932826" w:rsidRPr="00B4621C">
              <w:rPr>
                <w:rFonts w:ascii="Times New Roman" w:hAnsi="Times New Roman" w:cs="Times New Roman"/>
                <w:sz w:val="25"/>
                <w:szCs w:val="25"/>
              </w:rPr>
              <w:t xml:space="preserve"> Noteikumu projekta grozījum</w:t>
            </w:r>
            <w:r w:rsidR="002E1E47" w:rsidRPr="00B4621C">
              <w:rPr>
                <w:rFonts w:ascii="Times New Roman" w:hAnsi="Times New Roman" w:cs="Times New Roman"/>
                <w:sz w:val="25"/>
                <w:szCs w:val="25"/>
              </w:rPr>
              <w:t>i</w:t>
            </w:r>
            <w:r w:rsidR="00932826" w:rsidRPr="00B4621C">
              <w:rPr>
                <w:rFonts w:ascii="Times New Roman" w:hAnsi="Times New Roman" w:cs="Times New Roman"/>
                <w:sz w:val="25"/>
                <w:szCs w:val="25"/>
              </w:rPr>
              <w:t xml:space="preserve"> ar pāreju  uz </w:t>
            </w:r>
            <w:r w:rsidR="00932826" w:rsidRPr="00B4621C">
              <w:rPr>
                <w:rFonts w:ascii="Times New Roman" w:hAnsi="Times New Roman" w:cs="Times New Roman"/>
                <w:i/>
                <w:sz w:val="25"/>
                <w:szCs w:val="25"/>
              </w:rPr>
              <w:t xml:space="preserve">eiro </w:t>
            </w:r>
            <w:r w:rsidR="00932826" w:rsidRPr="00B4621C">
              <w:rPr>
                <w:rFonts w:ascii="Times New Roman" w:hAnsi="Times New Roman" w:cs="Times New Roman"/>
                <w:sz w:val="25"/>
                <w:szCs w:val="25"/>
              </w:rPr>
              <w:t>valūtu ir labvēlīgi projekta iesniedzējiem.</w:t>
            </w:r>
          </w:p>
          <w:p w:rsidR="00932826" w:rsidRPr="00B4621C" w:rsidRDefault="00932826" w:rsidP="00B274F5">
            <w:pPr>
              <w:pStyle w:val="ListParagraph"/>
              <w:spacing w:after="0"/>
              <w:ind w:left="0"/>
              <w:jc w:val="both"/>
              <w:rPr>
                <w:rFonts w:ascii="Times New Roman" w:hAnsi="Times New Roman" w:cs="Times New Roman"/>
                <w:sz w:val="25"/>
                <w:szCs w:val="25"/>
              </w:rPr>
            </w:pPr>
            <w:r w:rsidRPr="00B4621C">
              <w:rPr>
                <w:rFonts w:ascii="Times New Roman" w:hAnsi="Times New Roman" w:cs="Times New Roman"/>
                <w:sz w:val="25"/>
                <w:szCs w:val="25"/>
              </w:rPr>
              <w:tab/>
              <w:t xml:space="preserve">Ņemot vērā, ka jaunā </w:t>
            </w:r>
            <w:r w:rsidRPr="00B4621C">
              <w:rPr>
                <w:rFonts w:ascii="Times New Roman" w:hAnsi="Times New Roman" w:cs="Times New Roman"/>
                <w:i/>
                <w:sz w:val="25"/>
                <w:szCs w:val="25"/>
              </w:rPr>
              <w:t xml:space="preserve">de minimis </w:t>
            </w:r>
            <w:r w:rsidRPr="00B4621C">
              <w:rPr>
                <w:rFonts w:ascii="Times New Roman" w:hAnsi="Times New Roman" w:cs="Times New Roman"/>
                <w:sz w:val="25"/>
                <w:szCs w:val="25"/>
              </w:rPr>
              <w:t>Regula Nr.1407/2013 nenosaka specifiskus atbalsta ierobežojumus</w:t>
            </w:r>
            <w:r w:rsidRPr="00B4621C">
              <w:rPr>
                <w:rFonts w:ascii="Times New Roman" w:hAnsi="Times New Roman"/>
                <w:sz w:val="25"/>
                <w:szCs w:val="25"/>
              </w:rPr>
              <w:t xml:space="preserve"> komersantiem, kuri atbilst</w:t>
            </w:r>
            <w:r w:rsidRPr="00B4621C">
              <w:rPr>
                <w:rFonts w:ascii="Times New Roman" w:hAnsi="Times New Roman" w:cs="Times New Roman"/>
                <w:sz w:val="25"/>
                <w:szCs w:val="25"/>
              </w:rPr>
              <w:t xml:space="preserve"> grūtībās nonākuš</w:t>
            </w:r>
            <w:r w:rsidRPr="00B4621C">
              <w:rPr>
                <w:rFonts w:ascii="Times New Roman" w:hAnsi="Times New Roman"/>
                <w:sz w:val="25"/>
                <w:szCs w:val="25"/>
              </w:rPr>
              <w:t>u</w:t>
            </w:r>
            <w:r w:rsidRPr="00B4621C">
              <w:rPr>
                <w:rFonts w:ascii="Times New Roman" w:hAnsi="Times New Roman" w:cs="Times New Roman"/>
                <w:sz w:val="25"/>
                <w:szCs w:val="25"/>
              </w:rPr>
              <w:t xml:space="preserve"> komersant</w:t>
            </w:r>
            <w:r w:rsidRPr="00B4621C">
              <w:rPr>
                <w:rFonts w:ascii="Times New Roman" w:hAnsi="Times New Roman"/>
                <w:sz w:val="25"/>
                <w:szCs w:val="25"/>
              </w:rPr>
              <w:t>u pazīmēm</w:t>
            </w:r>
            <w:r w:rsidRPr="00B4621C">
              <w:rPr>
                <w:rFonts w:ascii="Times New Roman" w:hAnsi="Times New Roman" w:cs="Times New Roman"/>
                <w:sz w:val="25"/>
                <w:szCs w:val="25"/>
              </w:rPr>
              <w:t xml:space="preserve">, </w:t>
            </w:r>
            <w:r w:rsidR="00514558">
              <w:rPr>
                <w:rFonts w:ascii="Times New Roman" w:hAnsi="Times New Roman" w:cs="Times New Roman"/>
                <w:sz w:val="25"/>
                <w:szCs w:val="25"/>
              </w:rPr>
              <w:t>tad</w:t>
            </w:r>
            <w:r w:rsidRPr="00B4621C">
              <w:rPr>
                <w:rFonts w:ascii="Times New Roman" w:hAnsi="Times New Roman" w:cs="Times New Roman"/>
                <w:sz w:val="25"/>
                <w:szCs w:val="25"/>
              </w:rPr>
              <w:t xml:space="preserve"> </w:t>
            </w:r>
            <w:r w:rsidRPr="00B4621C">
              <w:rPr>
                <w:rFonts w:ascii="Times New Roman" w:hAnsi="Times New Roman" w:cs="Times New Roman"/>
                <w:bCs/>
                <w:sz w:val="25"/>
                <w:szCs w:val="25"/>
              </w:rPr>
              <w:t xml:space="preserve">MK noteikumos Nr.582 ir nepieciešams dzēst prasības, ka atbalstu nevar saņemt, ja atbalsta pretendents atbilst grūtībās nonākuša komersanta pazīmēm. Savukārt ir nepieciešams atstāt prasību, ka atbalsta pretendents var saņemt finansējumu, ja tam </w:t>
            </w:r>
            <w:r w:rsidRPr="00B4621C">
              <w:rPr>
                <w:rFonts w:ascii="Times New Roman" w:hAnsi="Times New Roman" w:cs="Times New Roman"/>
                <w:sz w:val="25"/>
                <w:szCs w:val="25"/>
              </w:rPr>
              <w:t>ar tiesas spriedumu nav pasludināts maksātnespējas process vai ar tiesas spriedumu netiek īstenots tiesiskās aizsardzības process, vai ar tiesas lēmumu netiek īstenots ārpustiesas tiesiskās aizsardzības process, tam nav uzsākta bankrota procedūra, piemērota sanācija vai mierizlīgums vai tā saimnieciskā darbība nav izbeigta.</w:t>
            </w:r>
          </w:p>
          <w:p w:rsidR="000B1C0D" w:rsidRPr="00B4621C" w:rsidRDefault="000B1C0D" w:rsidP="000B1C0D">
            <w:pPr>
              <w:pStyle w:val="ListParagraph"/>
              <w:tabs>
                <w:tab w:val="left" w:pos="199"/>
              </w:tabs>
              <w:spacing w:after="0" w:line="240" w:lineRule="auto"/>
              <w:ind w:left="0"/>
              <w:jc w:val="both"/>
              <w:rPr>
                <w:rFonts w:ascii="Times New Roman" w:hAnsi="Times New Roman" w:cs="Times New Roman"/>
                <w:sz w:val="25"/>
                <w:szCs w:val="25"/>
              </w:rPr>
            </w:pPr>
          </w:p>
          <w:p w:rsidR="000B1C0D" w:rsidRPr="00B4621C" w:rsidRDefault="000B1C0D" w:rsidP="00B274F5">
            <w:pPr>
              <w:spacing w:after="0"/>
              <w:jc w:val="both"/>
              <w:rPr>
                <w:rFonts w:ascii="Times New Roman" w:hAnsi="Times New Roman" w:cs="Times New Roman"/>
                <w:b/>
                <w:sz w:val="25"/>
                <w:szCs w:val="25"/>
              </w:rPr>
            </w:pPr>
            <w:r w:rsidRPr="00B4621C">
              <w:rPr>
                <w:rFonts w:ascii="Times New Roman" w:hAnsi="Times New Roman" w:cs="Times New Roman"/>
                <w:b/>
                <w:sz w:val="25"/>
                <w:szCs w:val="25"/>
              </w:rPr>
              <w:t>EM ir izstrādājusi šādus grozījumus MK noteikumos Nr.582:</w:t>
            </w:r>
          </w:p>
          <w:p w:rsidR="000B1C0D" w:rsidRPr="00B4621C" w:rsidRDefault="000B1C0D" w:rsidP="00B274F5">
            <w:pPr>
              <w:spacing w:after="0"/>
              <w:jc w:val="both"/>
              <w:rPr>
                <w:rFonts w:ascii="Times New Roman" w:hAnsi="Times New Roman" w:cs="Times New Roman"/>
                <w:sz w:val="25"/>
                <w:szCs w:val="25"/>
              </w:rPr>
            </w:pPr>
            <w:r w:rsidRPr="00B4621C">
              <w:rPr>
                <w:rFonts w:ascii="Times New Roman" w:hAnsi="Times New Roman" w:cs="Times New Roman"/>
                <w:sz w:val="25"/>
                <w:szCs w:val="25"/>
              </w:rPr>
              <w:t xml:space="preserve">1.  konvertējot MK noteikumu Nr.582 ietvaros norādītās latu summas </w:t>
            </w:r>
            <w:r w:rsidRPr="00B4621C">
              <w:rPr>
                <w:rFonts w:ascii="Times New Roman" w:hAnsi="Times New Roman" w:cs="Times New Roman"/>
                <w:i/>
                <w:sz w:val="25"/>
                <w:szCs w:val="25"/>
              </w:rPr>
              <w:t>eiro</w:t>
            </w:r>
            <w:r w:rsidRPr="00B4621C">
              <w:rPr>
                <w:rFonts w:ascii="Times New Roman" w:hAnsi="Times New Roman" w:cs="Times New Roman"/>
                <w:sz w:val="25"/>
                <w:szCs w:val="25"/>
              </w:rPr>
              <w:t xml:space="preserve"> valūtā, pamatojoties uz  </w:t>
            </w:r>
            <w:r w:rsidRPr="00B4621C">
              <w:rPr>
                <w:rFonts w:ascii="Times New Roman" w:hAnsi="Times New Roman" w:cs="Times New Roman"/>
                <w:i/>
                <w:sz w:val="25"/>
                <w:szCs w:val="25"/>
              </w:rPr>
              <w:t>Euro</w:t>
            </w:r>
            <w:r w:rsidRPr="00B4621C">
              <w:rPr>
                <w:rFonts w:ascii="Times New Roman" w:hAnsi="Times New Roman" w:cs="Times New Roman"/>
                <w:sz w:val="25"/>
                <w:szCs w:val="25"/>
              </w:rPr>
              <w:t xml:space="preserve"> ieviešanas kārtības likuma 30.panta pirmo daļu un Ministru kabineta 2012.gada 27.jūnija rīkojuma Nr.282 „Par „Koncepciju par normatīvo aktu sakārtošanu saistībā ar eiro ieviešanu Latvijā”” 7.1.apakšpunktu;</w:t>
            </w:r>
          </w:p>
          <w:p w:rsidR="001E1068" w:rsidRPr="00B4621C" w:rsidRDefault="000B1C0D" w:rsidP="00B274F5">
            <w:pPr>
              <w:pStyle w:val="ListParagraph"/>
              <w:tabs>
                <w:tab w:val="left" w:pos="199"/>
              </w:tabs>
              <w:spacing w:after="0"/>
              <w:ind w:left="0"/>
              <w:jc w:val="both"/>
              <w:rPr>
                <w:rFonts w:ascii="Times New Roman" w:hAnsi="Times New Roman" w:cs="Times New Roman"/>
                <w:i/>
                <w:sz w:val="25"/>
                <w:szCs w:val="25"/>
              </w:rPr>
            </w:pPr>
            <w:r w:rsidRPr="00B4621C">
              <w:rPr>
                <w:rFonts w:ascii="Times New Roman" w:hAnsi="Times New Roman" w:cs="Times New Roman"/>
                <w:sz w:val="25"/>
                <w:szCs w:val="25"/>
              </w:rPr>
              <w:t xml:space="preserve">2. </w:t>
            </w:r>
            <w:r w:rsidR="001E1068" w:rsidRPr="00B4621C">
              <w:rPr>
                <w:rFonts w:ascii="Times New Roman" w:hAnsi="Times New Roman" w:cs="Times New Roman"/>
                <w:sz w:val="25"/>
                <w:szCs w:val="25"/>
              </w:rPr>
              <w:t xml:space="preserve">samazinot </w:t>
            </w:r>
            <w:proofErr w:type="spellStart"/>
            <w:r w:rsidR="001E1068" w:rsidRPr="00B4621C">
              <w:rPr>
                <w:rFonts w:ascii="Times New Roman" w:hAnsi="Times New Roman" w:cs="Times New Roman"/>
                <w:sz w:val="25"/>
                <w:szCs w:val="25"/>
              </w:rPr>
              <w:t>apakšaktiv</w:t>
            </w:r>
            <w:r w:rsidR="00B2246C">
              <w:rPr>
                <w:rFonts w:ascii="Times New Roman" w:hAnsi="Times New Roman" w:cs="Times New Roman"/>
                <w:sz w:val="25"/>
                <w:szCs w:val="25"/>
              </w:rPr>
              <w:t>itātei</w:t>
            </w:r>
            <w:proofErr w:type="spellEnd"/>
            <w:r w:rsidR="00B2246C">
              <w:rPr>
                <w:rFonts w:ascii="Times New Roman" w:hAnsi="Times New Roman" w:cs="Times New Roman"/>
                <w:sz w:val="25"/>
                <w:szCs w:val="25"/>
              </w:rPr>
              <w:t xml:space="preserve"> kopējo finansējumu uz 13</w:t>
            </w:r>
            <w:r w:rsidR="00100EFC" w:rsidRPr="00B4621C">
              <w:rPr>
                <w:rFonts w:ascii="Times New Roman" w:hAnsi="Times New Roman" w:cs="Times New Roman"/>
                <w:sz w:val="25"/>
                <w:szCs w:val="25"/>
              </w:rPr>
              <w:t> 759 576 </w:t>
            </w:r>
            <w:r w:rsidR="001E1068" w:rsidRPr="00B4621C">
              <w:rPr>
                <w:rFonts w:ascii="Times New Roman" w:hAnsi="Times New Roman" w:cs="Times New Roman"/>
                <w:sz w:val="25"/>
                <w:szCs w:val="25"/>
              </w:rPr>
              <w:t xml:space="preserve"> </w:t>
            </w:r>
            <w:r w:rsidR="001E1068" w:rsidRPr="00B4621C">
              <w:rPr>
                <w:rFonts w:ascii="Times New Roman" w:hAnsi="Times New Roman" w:cs="Times New Roman"/>
                <w:i/>
                <w:sz w:val="25"/>
                <w:szCs w:val="25"/>
              </w:rPr>
              <w:t>euro;</w:t>
            </w:r>
          </w:p>
          <w:p w:rsidR="00634A43" w:rsidRPr="00B4621C" w:rsidRDefault="001E1068" w:rsidP="00B274F5">
            <w:pPr>
              <w:pStyle w:val="ListParagraph"/>
              <w:tabs>
                <w:tab w:val="left" w:pos="199"/>
              </w:tabs>
              <w:spacing w:after="0"/>
              <w:ind w:left="0"/>
              <w:jc w:val="both"/>
              <w:rPr>
                <w:rFonts w:ascii="Times New Roman" w:hAnsi="Times New Roman" w:cs="Times New Roman"/>
                <w:sz w:val="25"/>
                <w:szCs w:val="25"/>
              </w:rPr>
            </w:pPr>
            <w:r w:rsidRPr="00B4621C">
              <w:rPr>
                <w:rFonts w:ascii="Times New Roman" w:hAnsi="Times New Roman" w:cs="Times New Roman"/>
                <w:sz w:val="25"/>
                <w:szCs w:val="25"/>
              </w:rPr>
              <w:t xml:space="preserve">3. </w:t>
            </w:r>
            <w:r w:rsidR="000B1C0D" w:rsidRPr="00B4621C">
              <w:rPr>
                <w:rFonts w:ascii="Times New Roman" w:hAnsi="Times New Roman" w:cs="Times New Roman"/>
                <w:sz w:val="25"/>
                <w:szCs w:val="25"/>
              </w:rPr>
              <w:t xml:space="preserve">aizstājot Komisijas 2006.gada 15.decembra Regulu (EK) </w:t>
            </w:r>
            <w:proofErr w:type="spellStart"/>
            <w:r w:rsidR="000B1C0D" w:rsidRPr="00B4621C">
              <w:rPr>
                <w:rFonts w:ascii="Times New Roman" w:hAnsi="Times New Roman" w:cs="Times New Roman"/>
                <w:sz w:val="25"/>
                <w:szCs w:val="25"/>
              </w:rPr>
              <w:t>Nr</w:t>
            </w:r>
            <w:proofErr w:type="spellEnd"/>
            <w:r w:rsidR="000B1C0D" w:rsidRPr="00B4621C">
              <w:rPr>
                <w:rFonts w:ascii="Times New Roman" w:hAnsi="Times New Roman" w:cs="Times New Roman"/>
                <w:sz w:val="25"/>
                <w:szCs w:val="25"/>
              </w:rPr>
              <w:t xml:space="preserve">. 1998/2006 par Līguma 87. un 88.panta piemērošanu </w:t>
            </w:r>
            <w:r w:rsidR="000B1C0D" w:rsidRPr="00B4621C">
              <w:rPr>
                <w:rFonts w:ascii="Times New Roman" w:hAnsi="Times New Roman" w:cs="Times New Roman"/>
                <w:i/>
                <w:sz w:val="25"/>
                <w:szCs w:val="25"/>
              </w:rPr>
              <w:t>de minimis</w:t>
            </w:r>
            <w:r w:rsidR="000B1C0D" w:rsidRPr="00B4621C">
              <w:rPr>
                <w:rFonts w:ascii="Times New Roman" w:hAnsi="Times New Roman" w:cs="Times New Roman"/>
                <w:sz w:val="25"/>
                <w:szCs w:val="25"/>
              </w:rPr>
              <w:t xml:space="preserve"> atbalstam (Eiropas Savienības Oficiālais Vēstnesis, </w:t>
            </w:r>
            <w:r w:rsidR="000B1C0D" w:rsidRPr="00B4621C">
              <w:rPr>
                <w:rFonts w:ascii="Times New Roman" w:hAnsi="Times New Roman" w:cs="Times New Roman"/>
                <w:sz w:val="25"/>
                <w:szCs w:val="25"/>
              </w:rPr>
              <w:lastRenderedPageBreak/>
              <w:t xml:space="preserve">2006.gada 28.decembris, </w:t>
            </w:r>
            <w:proofErr w:type="spellStart"/>
            <w:r w:rsidR="000B1C0D" w:rsidRPr="00B4621C">
              <w:rPr>
                <w:rFonts w:ascii="Times New Roman" w:hAnsi="Times New Roman" w:cs="Times New Roman"/>
                <w:sz w:val="25"/>
                <w:szCs w:val="25"/>
              </w:rPr>
              <w:t>Nr</w:t>
            </w:r>
            <w:proofErr w:type="spellEnd"/>
            <w:r w:rsidR="000B1C0D" w:rsidRPr="00B4621C">
              <w:rPr>
                <w:rFonts w:ascii="Times New Roman" w:hAnsi="Times New Roman" w:cs="Times New Roman"/>
                <w:sz w:val="25"/>
                <w:szCs w:val="25"/>
              </w:rPr>
              <w:t>. L 379) ar</w:t>
            </w:r>
            <w:r w:rsidR="000B1C0D" w:rsidRPr="00B4621C">
              <w:rPr>
                <w:rFonts w:ascii="Times New Roman" w:hAnsi="Times New Roman" w:cs="Times New Roman"/>
                <w:b/>
                <w:sz w:val="25"/>
                <w:szCs w:val="25"/>
              </w:rPr>
              <w:t xml:space="preserve"> </w:t>
            </w:r>
            <w:r w:rsidR="000B1C0D" w:rsidRPr="00B4621C">
              <w:rPr>
                <w:rFonts w:ascii="Times New Roman" w:hAnsi="Times New Roman" w:cs="Times New Roman"/>
                <w:sz w:val="25"/>
                <w:szCs w:val="25"/>
              </w:rPr>
              <w:t xml:space="preserve">Komisijas 2013.gada 18.decembra Regulu (EK) Nr.1407/2013 par Līguma par Eiropas Savienības darbību 107. un 108. panta piemērošanu </w:t>
            </w:r>
            <w:r w:rsidR="000B1C0D" w:rsidRPr="00B4621C">
              <w:rPr>
                <w:rFonts w:ascii="Times New Roman" w:hAnsi="Times New Roman" w:cs="Times New Roman"/>
                <w:i/>
                <w:sz w:val="25"/>
                <w:szCs w:val="25"/>
              </w:rPr>
              <w:t>de minimis</w:t>
            </w:r>
            <w:r w:rsidR="000B1C0D" w:rsidRPr="00B4621C">
              <w:rPr>
                <w:rFonts w:ascii="Times New Roman" w:hAnsi="Times New Roman" w:cs="Times New Roman"/>
                <w:sz w:val="25"/>
                <w:szCs w:val="25"/>
              </w:rPr>
              <w:t xml:space="preserve"> atbalstam (Eiropas Savienības Oficiālais Vēstnesis, 2013.gada 24.decembris, </w:t>
            </w:r>
            <w:proofErr w:type="spellStart"/>
            <w:r w:rsidR="000B1C0D" w:rsidRPr="00B4621C">
              <w:rPr>
                <w:rFonts w:ascii="Times New Roman" w:hAnsi="Times New Roman" w:cs="Times New Roman"/>
                <w:sz w:val="25"/>
                <w:szCs w:val="25"/>
              </w:rPr>
              <w:t>Nr</w:t>
            </w:r>
            <w:proofErr w:type="spellEnd"/>
            <w:r w:rsidR="000B1C0D" w:rsidRPr="00B4621C">
              <w:rPr>
                <w:rFonts w:ascii="Times New Roman" w:hAnsi="Times New Roman" w:cs="Times New Roman"/>
                <w:sz w:val="25"/>
                <w:szCs w:val="25"/>
              </w:rPr>
              <w:t>. L 352)</w:t>
            </w:r>
            <w:r w:rsidR="00634A43" w:rsidRPr="00B4621C">
              <w:rPr>
                <w:rFonts w:ascii="Times New Roman" w:hAnsi="Times New Roman" w:cs="Times New Roman"/>
                <w:sz w:val="25"/>
                <w:szCs w:val="25"/>
              </w:rPr>
              <w:t>;</w:t>
            </w:r>
          </w:p>
          <w:p w:rsidR="00C9729A" w:rsidRPr="00B4621C" w:rsidRDefault="00634A43" w:rsidP="00B274F5">
            <w:pPr>
              <w:pStyle w:val="ListParagraph"/>
              <w:tabs>
                <w:tab w:val="left" w:pos="199"/>
              </w:tabs>
              <w:spacing w:after="0"/>
              <w:ind w:left="0"/>
              <w:jc w:val="both"/>
              <w:rPr>
                <w:rFonts w:ascii="Times New Roman" w:hAnsi="Times New Roman" w:cs="Times New Roman"/>
                <w:sz w:val="25"/>
                <w:szCs w:val="25"/>
              </w:rPr>
            </w:pPr>
            <w:r w:rsidRPr="00B4621C">
              <w:rPr>
                <w:rFonts w:ascii="Times New Roman" w:hAnsi="Times New Roman" w:cs="Times New Roman"/>
                <w:sz w:val="25"/>
                <w:szCs w:val="25"/>
              </w:rPr>
              <w:t>3. precizējot MK noteikumu Nr.582 5.3.punktā iekļauto „tirdzniecības misiju” definīciju</w:t>
            </w:r>
            <w:r w:rsidR="00C9729A" w:rsidRPr="00B4621C">
              <w:rPr>
                <w:rFonts w:ascii="Times New Roman" w:hAnsi="Times New Roman" w:cs="Times New Roman"/>
                <w:sz w:val="25"/>
                <w:szCs w:val="25"/>
              </w:rPr>
              <w:t>;</w:t>
            </w:r>
          </w:p>
          <w:p w:rsidR="00C9729A" w:rsidRPr="00B4621C" w:rsidRDefault="00C9729A" w:rsidP="00B274F5">
            <w:pPr>
              <w:pStyle w:val="ListParagraph"/>
              <w:tabs>
                <w:tab w:val="left" w:pos="199"/>
              </w:tabs>
              <w:spacing w:after="0"/>
              <w:ind w:left="0"/>
              <w:jc w:val="both"/>
              <w:rPr>
                <w:rFonts w:ascii="Times New Roman" w:hAnsi="Times New Roman" w:cs="Times New Roman"/>
                <w:sz w:val="25"/>
                <w:szCs w:val="25"/>
              </w:rPr>
            </w:pPr>
            <w:r w:rsidRPr="00B4621C">
              <w:rPr>
                <w:rFonts w:ascii="Times New Roman" w:hAnsi="Times New Roman" w:cs="Times New Roman"/>
                <w:sz w:val="25"/>
                <w:szCs w:val="25"/>
              </w:rPr>
              <w:t xml:space="preserve">4. </w:t>
            </w:r>
            <w:r w:rsidR="00980464" w:rsidRPr="00B4621C">
              <w:rPr>
                <w:rFonts w:ascii="Times New Roman" w:hAnsi="Times New Roman" w:cs="Times New Roman"/>
                <w:sz w:val="25"/>
                <w:szCs w:val="25"/>
              </w:rPr>
              <w:t>dzēšot</w:t>
            </w:r>
            <w:r w:rsidRPr="00B4621C">
              <w:rPr>
                <w:rFonts w:ascii="Times New Roman" w:hAnsi="Times New Roman" w:cs="Times New Roman"/>
                <w:sz w:val="25"/>
                <w:szCs w:val="25"/>
              </w:rPr>
              <w:t xml:space="preserve"> prasības izvērtēt atbalsta pretendentus atbilstībai grūtībās nonākuša komersanta pazīmēm.</w:t>
            </w:r>
          </w:p>
        </w:tc>
      </w:tr>
      <w:tr w:rsidR="00956521" w:rsidRPr="00B4621C" w:rsidTr="00833979">
        <w:trPr>
          <w:trHeight w:val="360"/>
        </w:trPr>
        <w:tc>
          <w:tcPr>
            <w:tcW w:w="2268"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B4621C" w:rsidRDefault="00956521" w:rsidP="003105D9">
            <w:pPr>
              <w:spacing w:after="0" w:line="240" w:lineRule="auto"/>
              <w:rPr>
                <w:rFonts w:ascii="Times New Roman" w:eastAsia="Times New Roman" w:hAnsi="Times New Roman" w:cs="Times New Roman"/>
                <w:sz w:val="25"/>
                <w:szCs w:val="25"/>
                <w:lang w:eastAsia="lv-LV"/>
              </w:rPr>
            </w:pPr>
            <w:r w:rsidRPr="00B4621C">
              <w:rPr>
                <w:rFonts w:ascii="Times New Roman" w:eastAsia="Times New Roman" w:hAnsi="Times New Roman" w:cs="Times New Roman"/>
                <w:sz w:val="25"/>
                <w:szCs w:val="25"/>
                <w:lang w:eastAsia="lv-LV"/>
              </w:rPr>
              <w:lastRenderedPageBreak/>
              <w:t xml:space="preserve">3. </w:t>
            </w:r>
            <w:r w:rsidR="00EE419A" w:rsidRPr="00B4621C">
              <w:rPr>
                <w:rFonts w:ascii="Times New Roman" w:eastAsia="Times New Roman" w:hAnsi="Times New Roman" w:cs="Times New Roman"/>
                <w:sz w:val="25"/>
                <w:szCs w:val="25"/>
                <w:lang w:eastAsia="lv-LV"/>
              </w:rPr>
              <w:t>Projekta izstrādē iesaistītās institūcijas</w:t>
            </w:r>
          </w:p>
        </w:tc>
        <w:tc>
          <w:tcPr>
            <w:tcW w:w="6096"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B4621C" w:rsidRDefault="00415FB0" w:rsidP="000B1C0D">
            <w:pPr>
              <w:spacing w:after="0" w:line="240" w:lineRule="auto"/>
              <w:jc w:val="both"/>
              <w:rPr>
                <w:rFonts w:ascii="Times New Roman" w:eastAsia="Calibri" w:hAnsi="Times New Roman" w:cs="Times New Roman"/>
                <w:color w:val="000000"/>
                <w:sz w:val="25"/>
                <w:szCs w:val="25"/>
              </w:rPr>
            </w:pPr>
            <w:r w:rsidRPr="00B4621C">
              <w:rPr>
                <w:rFonts w:ascii="Times New Roman" w:eastAsia="Calibri" w:hAnsi="Times New Roman" w:cs="Times New Roman"/>
                <w:color w:val="000000"/>
                <w:sz w:val="25"/>
                <w:szCs w:val="25"/>
              </w:rPr>
              <w:t>Ekonomikas ministrija</w:t>
            </w:r>
          </w:p>
        </w:tc>
      </w:tr>
      <w:tr w:rsidR="00956521" w:rsidRPr="00B4621C" w:rsidTr="00833979">
        <w:tc>
          <w:tcPr>
            <w:tcW w:w="2268"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B4621C" w:rsidRDefault="00EE419A" w:rsidP="003105D9">
            <w:pPr>
              <w:spacing w:after="0" w:line="240" w:lineRule="auto"/>
              <w:rPr>
                <w:rFonts w:ascii="Times New Roman" w:eastAsia="Times New Roman" w:hAnsi="Times New Roman" w:cs="Times New Roman"/>
                <w:sz w:val="25"/>
                <w:szCs w:val="25"/>
                <w:lang w:eastAsia="lv-LV"/>
              </w:rPr>
            </w:pPr>
            <w:r w:rsidRPr="00B4621C">
              <w:rPr>
                <w:rFonts w:ascii="Times New Roman" w:eastAsia="Times New Roman" w:hAnsi="Times New Roman" w:cs="Times New Roman"/>
                <w:sz w:val="25"/>
                <w:szCs w:val="25"/>
                <w:lang w:eastAsia="lv-LV"/>
              </w:rPr>
              <w:t> 4</w:t>
            </w:r>
            <w:r w:rsidR="00956521" w:rsidRPr="00B4621C">
              <w:rPr>
                <w:rFonts w:ascii="Times New Roman" w:eastAsia="Times New Roman" w:hAnsi="Times New Roman" w:cs="Times New Roman"/>
                <w:sz w:val="25"/>
                <w:szCs w:val="25"/>
                <w:lang w:eastAsia="lv-LV"/>
              </w:rPr>
              <w:t>. Cita informācija</w:t>
            </w:r>
          </w:p>
        </w:tc>
        <w:tc>
          <w:tcPr>
            <w:tcW w:w="6096" w:type="dxa"/>
            <w:tcBorders>
              <w:top w:val="thickThinLargeGap" w:sz="6" w:space="0" w:color="C0C0C0"/>
              <w:left w:val="thickThinLargeGap" w:sz="6" w:space="0" w:color="C0C0C0"/>
              <w:bottom w:val="thickThinLargeGap" w:sz="6" w:space="0" w:color="C0C0C0"/>
              <w:right w:val="thickThinLargeGap" w:sz="6" w:space="0" w:color="C0C0C0"/>
            </w:tcBorders>
            <w:hideMark/>
          </w:tcPr>
          <w:p w:rsidR="008A1411" w:rsidRPr="00B4621C" w:rsidRDefault="003105D9" w:rsidP="003105D9">
            <w:pPr>
              <w:pStyle w:val="ListParagraph"/>
              <w:tabs>
                <w:tab w:val="left" w:pos="199"/>
              </w:tabs>
              <w:spacing w:after="0" w:line="240" w:lineRule="auto"/>
              <w:ind w:left="0"/>
              <w:jc w:val="both"/>
              <w:rPr>
                <w:rFonts w:ascii="Times New Roman" w:hAnsi="Times New Roman" w:cs="Times New Roman"/>
                <w:sz w:val="25"/>
                <w:szCs w:val="25"/>
              </w:rPr>
            </w:pPr>
            <w:r w:rsidRPr="00B4621C">
              <w:rPr>
                <w:rFonts w:ascii="Times New Roman" w:hAnsi="Times New Roman" w:cs="Times New Roman"/>
                <w:sz w:val="25"/>
                <w:szCs w:val="25"/>
              </w:rPr>
              <w:t>Nav</w:t>
            </w:r>
          </w:p>
        </w:tc>
      </w:tr>
    </w:tbl>
    <w:p w:rsidR="00956521" w:rsidRPr="00B4621C" w:rsidRDefault="00956521" w:rsidP="003105D9">
      <w:pPr>
        <w:spacing w:after="0" w:line="240" w:lineRule="auto"/>
        <w:rPr>
          <w:rFonts w:ascii="Times New Roman" w:eastAsia="Arial Unicode MS" w:hAnsi="Times New Roman" w:cs="Times New Roman"/>
          <w:b/>
          <w:sz w:val="25"/>
          <w:szCs w:val="25"/>
        </w:rPr>
      </w:pPr>
    </w:p>
    <w:tbl>
      <w:tblPr>
        <w:tblpPr w:leftFromText="180" w:rightFromText="180" w:bottomFromText="200" w:vertAnchor="text" w:horzAnchor="margin" w:tblpXSpec="center" w:tblpY="149"/>
        <w:tblW w:w="8414"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456"/>
        <w:gridCol w:w="3847"/>
        <w:gridCol w:w="4111"/>
      </w:tblGrid>
      <w:tr w:rsidR="00956521" w:rsidRPr="00B4621C" w:rsidTr="00221970">
        <w:tc>
          <w:tcPr>
            <w:tcW w:w="8414"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956521" w:rsidRPr="00B4621C" w:rsidRDefault="00EE419A" w:rsidP="00F46334">
            <w:pPr>
              <w:spacing w:after="0" w:line="240" w:lineRule="auto"/>
              <w:jc w:val="center"/>
              <w:rPr>
                <w:rFonts w:ascii="Times New Roman" w:eastAsia="Times New Roman" w:hAnsi="Times New Roman" w:cs="Times New Roman"/>
                <w:b/>
                <w:bCs/>
                <w:sz w:val="25"/>
                <w:szCs w:val="25"/>
                <w:lang w:eastAsia="lv-LV"/>
              </w:rPr>
            </w:pPr>
            <w:r w:rsidRPr="00B4621C">
              <w:rPr>
                <w:rFonts w:ascii="Times New Roman" w:eastAsia="Times New Roman" w:hAnsi="Times New Roman" w:cs="Times New Roman"/>
                <w:b/>
                <w:bCs/>
                <w:sz w:val="25"/>
                <w:szCs w:val="25"/>
                <w:lang w:eastAsia="lv-LV"/>
              </w:rPr>
              <w:t>II. Tiesību akta projekta ietekme uz sabiedrību, tautsaimniecības attīstību un administratīvo slogu</w:t>
            </w:r>
          </w:p>
        </w:tc>
      </w:tr>
      <w:tr w:rsidR="00956521" w:rsidRPr="00B4621C" w:rsidTr="00221970">
        <w:trPr>
          <w:trHeight w:val="46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B4621C" w:rsidRDefault="00956521" w:rsidP="00F46334">
            <w:pPr>
              <w:spacing w:after="0" w:line="240" w:lineRule="auto"/>
              <w:rPr>
                <w:rFonts w:ascii="Times New Roman" w:eastAsia="Times New Roman" w:hAnsi="Times New Roman" w:cs="Times New Roman"/>
                <w:sz w:val="25"/>
                <w:szCs w:val="25"/>
                <w:lang w:eastAsia="lv-LV"/>
              </w:rPr>
            </w:pPr>
            <w:r w:rsidRPr="00B4621C">
              <w:rPr>
                <w:rFonts w:ascii="Times New Roman" w:eastAsia="Times New Roman" w:hAnsi="Times New Roman" w:cs="Times New Roman"/>
                <w:sz w:val="25"/>
                <w:szCs w:val="25"/>
                <w:lang w:eastAsia="lv-LV"/>
              </w:rPr>
              <w:t>1.</w:t>
            </w:r>
          </w:p>
        </w:tc>
        <w:tc>
          <w:tcPr>
            <w:tcW w:w="3847"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B4621C" w:rsidRDefault="00EE419A" w:rsidP="00F46334">
            <w:pPr>
              <w:spacing w:after="0" w:line="240" w:lineRule="auto"/>
              <w:rPr>
                <w:rFonts w:ascii="Times New Roman" w:eastAsia="Times New Roman" w:hAnsi="Times New Roman" w:cs="Times New Roman"/>
                <w:sz w:val="25"/>
                <w:szCs w:val="25"/>
                <w:lang w:eastAsia="lv-LV"/>
              </w:rPr>
            </w:pPr>
            <w:r w:rsidRPr="00B4621C">
              <w:rPr>
                <w:rFonts w:ascii="Times New Roman" w:eastAsia="Times New Roman" w:hAnsi="Times New Roman" w:cs="Times New Roman"/>
                <w:sz w:val="25"/>
                <w:szCs w:val="25"/>
                <w:lang w:eastAsia="lv-LV"/>
              </w:rPr>
              <w:t xml:space="preserve">Sabiedrības </w:t>
            </w:r>
            <w:proofErr w:type="spellStart"/>
            <w:r w:rsidRPr="00B4621C">
              <w:rPr>
                <w:rFonts w:ascii="Times New Roman" w:eastAsia="Times New Roman" w:hAnsi="Times New Roman" w:cs="Times New Roman"/>
                <w:sz w:val="25"/>
                <w:szCs w:val="25"/>
                <w:lang w:eastAsia="lv-LV"/>
              </w:rPr>
              <w:t>mērķgrupas</w:t>
            </w:r>
            <w:proofErr w:type="spellEnd"/>
            <w:r w:rsidRPr="00B4621C">
              <w:rPr>
                <w:rFonts w:ascii="Times New Roman" w:eastAsia="Times New Roman" w:hAnsi="Times New Roman" w:cs="Times New Roman"/>
                <w:sz w:val="25"/>
                <w:szCs w:val="25"/>
                <w:lang w:eastAsia="lv-LV"/>
              </w:rPr>
              <w:t>, kuras tiesiskais regulējums ietekmē vai varētu ietekmēt</w:t>
            </w:r>
          </w:p>
        </w:tc>
        <w:tc>
          <w:tcPr>
            <w:tcW w:w="411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B4621C" w:rsidRDefault="003105D9" w:rsidP="00F46334">
            <w:pPr>
              <w:spacing w:before="75" w:after="75" w:line="240" w:lineRule="auto"/>
              <w:ind w:firstLine="450"/>
              <w:jc w:val="both"/>
              <w:rPr>
                <w:rFonts w:ascii="Times New Roman" w:eastAsia="Times New Roman" w:hAnsi="Times New Roman" w:cs="Times New Roman"/>
                <w:iCs/>
                <w:sz w:val="25"/>
                <w:szCs w:val="25"/>
                <w:lang w:eastAsia="lv-LV"/>
              </w:rPr>
            </w:pPr>
            <w:r w:rsidRPr="00B4621C">
              <w:rPr>
                <w:rFonts w:ascii="Times New Roman" w:eastAsia="Times New Roman" w:hAnsi="Times New Roman" w:cs="Times New Roman"/>
                <w:iCs/>
                <w:sz w:val="25"/>
                <w:szCs w:val="25"/>
                <w:lang w:eastAsia="lv-LV"/>
              </w:rPr>
              <w:t xml:space="preserve">Komersanti, biedrības, nodibinājumi, kooperatīvās sabiedrības, ostu pārvaldes un </w:t>
            </w:r>
            <w:r w:rsidR="000B1C0D" w:rsidRPr="00B4621C">
              <w:rPr>
                <w:rFonts w:ascii="Times New Roman" w:eastAsia="Times New Roman" w:hAnsi="Times New Roman" w:cs="Times New Roman"/>
                <w:iCs/>
                <w:sz w:val="25"/>
                <w:szCs w:val="25"/>
                <w:lang w:eastAsia="lv-LV"/>
              </w:rPr>
              <w:t xml:space="preserve">valsts vai </w:t>
            </w:r>
            <w:r w:rsidRPr="00B4621C">
              <w:rPr>
                <w:rFonts w:ascii="Times New Roman" w:eastAsia="Times New Roman" w:hAnsi="Times New Roman" w:cs="Times New Roman"/>
                <w:iCs/>
                <w:sz w:val="25"/>
                <w:szCs w:val="25"/>
                <w:lang w:eastAsia="lv-LV"/>
              </w:rPr>
              <w:t>pašvaldības</w:t>
            </w:r>
            <w:r w:rsidR="000B1C0D" w:rsidRPr="00B4621C">
              <w:rPr>
                <w:rFonts w:ascii="Times New Roman" w:eastAsia="Times New Roman" w:hAnsi="Times New Roman" w:cs="Times New Roman"/>
                <w:iCs/>
                <w:sz w:val="25"/>
                <w:szCs w:val="25"/>
                <w:lang w:eastAsia="lv-LV"/>
              </w:rPr>
              <w:t xml:space="preserve"> iestādes</w:t>
            </w:r>
            <w:r w:rsidRPr="00B4621C">
              <w:rPr>
                <w:rFonts w:ascii="Times New Roman" w:eastAsia="Times New Roman" w:hAnsi="Times New Roman" w:cs="Times New Roman"/>
                <w:iCs/>
                <w:sz w:val="25"/>
                <w:szCs w:val="25"/>
                <w:lang w:eastAsia="lv-LV"/>
              </w:rPr>
              <w:t xml:space="preserve">. </w:t>
            </w:r>
          </w:p>
        </w:tc>
      </w:tr>
      <w:tr w:rsidR="00956521" w:rsidRPr="00B4621C" w:rsidTr="00221970">
        <w:trPr>
          <w:trHeight w:val="523"/>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B4621C" w:rsidRDefault="00956521" w:rsidP="00F46334">
            <w:pPr>
              <w:spacing w:after="0" w:line="240" w:lineRule="auto"/>
              <w:rPr>
                <w:rFonts w:ascii="Times New Roman" w:eastAsia="Times New Roman" w:hAnsi="Times New Roman" w:cs="Times New Roman"/>
                <w:sz w:val="25"/>
                <w:szCs w:val="25"/>
                <w:lang w:eastAsia="lv-LV"/>
              </w:rPr>
            </w:pPr>
            <w:r w:rsidRPr="00B4621C">
              <w:rPr>
                <w:rFonts w:ascii="Times New Roman" w:eastAsia="Times New Roman" w:hAnsi="Times New Roman" w:cs="Times New Roman"/>
                <w:sz w:val="25"/>
                <w:szCs w:val="25"/>
                <w:lang w:eastAsia="lv-LV"/>
              </w:rPr>
              <w:t>2.</w:t>
            </w:r>
          </w:p>
        </w:tc>
        <w:tc>
          <w:tcPr>
            <w:tcW w:w="3847"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B4621C" w:rsidRDefault="00EE419A" w:rsidP="00F46334">
            <w:pPr>
              <w:spacing w:after="0" w:line="240" w:lineRule="auto"/>
              <w:rPr>
                <w:rFonts w:ascii="Times New Roman" w:eastAsia="Times New Roman" w:hAnsi="Times New Roman" w:cs="Times New Roman"/>
                <w:sz w:val="25"/>
                <w:szCs w:val="25"/>
                <w:lang w:eastAsia="lv-LV"/>
              </w:rPr>
            </w:pPr>
            <w:r w:rsidRPr="00B4621C">
              <w:rPr>
                <w:rFonts w:ascii="Times New Roman" w:eastAsia="Times New Roman" w:hAnsi="Times New Roman" w:cs="Times New Roman"/>
                <w:sz w:val="25"/>
                <w:szCs w:val="25"/>
                <w:lang w:eastAsia="lv-LV"/>
              </w:rPr>
              <w:t>Tiesiskā regulējuma ietekme uz tautsaimniecību un administratīvo slogu</w:t>
            </w:r>
          </w:p>
        </w:tc>
        <w:tc>
          <w:tcPr>
            <w:tcW w:w="411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B4621C" w:rsidRDefault="00956521" w:rsidP="00F46334">
            <w:pPr>
              <w:spacing w:after="0" w:line="240" w:lineRule="auto"/>
              <w:ind w:firstLine="450"/>
              <w:jc w:val="both"/>
              <w:rPr>
                <w:rFonts w:ascii="Times New Roman" w:eastAsia="Times New Roman" w:hAnsi="Times New Roman" w:cs="Times New Roman"/>
                <w:sz w:val="25"/>
                <w:szCs w:val="25"/>
                <w:lang w:eastAsia="lv-LV"/>
              </w:rPr>
            </w:pPr>
            <w:r w:rsidRPr="00B4621C">
              <w:rPr>
                <w:rFonts w:ascii="Times New Roman" w:eastAsia="Times New Roman" w:hAnsi="Times New Roman" w:cs="Times New Roman"/>
                <w:iCs/>
                <w:sz w:val="25"/>
                <w:szCs w:val="25"/>
                <w:lang w:eastAsia="lv-LV"/>
              </w:rPr>
              <w:t>Projekts šo jomu neskar.</w:t>
            </w:r>
          </w:p>
        </w:tc>
      </w:tr>
      <w:tr w:rsidR="00956521" w:rsidRPr="00B4621C" w:rsidTr="00221970">
        <w:trPr>
          <w:trHeight w:val="51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B4621C" w:rsidRDefault="00956521" w:rsidP="00F46334">
            <w:pPr>
              <w:spacing w:after="0" w:line="240" w:lineRule="auto"/>
              <w:rPr>
                <w:rFonts w:ascii="Times New Roman" w:eastAsia="Times New Roman" w:hAnsi="Times New Roman" w:cs="Times New Roman"/>
                <w:sz w:val="25"/>
                <w:szCs w:val="25"/>
                <w:lang w:eastAsia="lv-LV"/>
              </w:rPr>
            </w:pPr>
            <w:r w:rsidRPr="00B4621C">
              <w:rPr>
                <w:rFonts w:ascii="Times New Roman" w:eastAsia="Times New Roman" w:hAnsi="Times New Roman" w:cs="Times New Roman"/>
                <w:sz w:val="25"/>
                <w:szCs w:val="25"/>
                <w:lang w:eastAsia="lv-LV"/>
              </w:rPr>
              <w:t>3.</w:t>
            </w:r>
          </w:p>
        </w:tc>
        <w:tc>
          <w:tcPr>
            <w:tcW w:w="3847"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B4621C" w:rsidRDefault="00EE419A" w:rsidP="00F46334">
            <w:pPr>
              <w:spacing w:after="0" w:line="240" w:lineRule="auto"/>
              <w:rPr>
                <w:rFonts w:ascii="Times New Roman" w:eastAsia="Times New Roman" w:hAnsi="Times New Roman" w:cs="Times New Roman"/>
                <w:sz w:val="25"/>
                <w:szCs w:val="25"/>
                <w:lang w:eastAsia="lv-LV"/>
              </w:rPr>
            </w:pPr>
            <w:r w:rsidRPr="00B4621C">
              <w:rPr>
                <w:rFonts w:ascii="Times New Roman" w:eastAsia="Times New Roman" w:hAnsi="Times New Roman" w:cs="Times New Roman"/>
                <w:sz w:val="25"/>
                <w:szCs w:val="25"/>
                <w:lang w:eastAsia="lv-LV"/>
              </w:rPr>
              <w:t>Administratīvo izmaksu monetārs novērtējums</w:t>
            </w:r>
          </w:p>
        </w:tc>
        <w:tc>
          <w:tcPr>
            <w:tcW w:w="411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B4621C" w:rsidRDefault="00415FB0" w:rsidP="00F46334">
            <w:pPr>
              <w:spacing w:after="0" w:line="240" w:lineRule="auto"/>
              <w:ind w:firstLine="450"/>
              <w:jc w:val="both"/>
              <w:rPr>
                <w:rFonts w:ascii="Times New Roman" w:eastAsia="Times New Roman" w:hAnsi="Times New Roman" w:cs="Times New Roman"/>
                <w:sz w:val="25"/>
                <w:szCs w:val="25"/>
                <w:lang w:eastAsia="lv-LV"/>
              </w:rPr>
            </w:pPr>
            <w:r w:rsidRPr="00B4621C">
              <w:rPr>
                <w:rFonts w:ascii="Times New Roman" w:eastAsia="Times New Roman" w:hAnsi="Times New Roman" w:cs="Times New Roman"/>
                <w:color w:val="000000"/>
                <w:sz w:val="25"/>
                <w:szCs w:val="25"/>
                <w:lang w:eastAsia="lv-LV"/>
              </w:rPr>
              <w:t>Projekts šo jomu neskar.</w:t>
            </w:r>
          </w:p>
        </w:tc>
      </w:tr>
      <w:tr w:rsidR="00956521" w:rsidRPr="00B4621C" w:rsidTr="00221970">
        <w:trPr>
          <w:trHeight w:val="381"/>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B4621C" w:rsidRDefault="00956521" w:rsidP="00F46334">
            <w:pPr>
              <w:spacing w:after="0" w:line="240" w:lineRule="auto"/>
              <w:rPr>
                <w:rFonts w:ascii="Times New Roman" w:eastAsia="Times New Roman" w:hAnsi="Times New Roman" w:cs="Times New Roman"/>
                <w:sz w:val="25"/>
                <w:szCs w:val="25"/>
                <w:lang w:eastAsia="lv-LV"/>
              </w:rPr>
            </w:pPr>
            <w:r w:rsidRPr="00B4621C">
              <w:rPr>
                <w:rFonts w:ascii="Times New Roman" w:eastAsia="Times New Roman" w:hAnsi="Times New Roman" w:cs="Times New Roman"/>
                <w:sz w:val="25"/>
                <w:szCs w:val="25"/>
                <w:lang w:eastAsia="lv-LV"/>
              </w:rPr>
              <w:t>4.</w:t>
            </w:r>
          </w:p>
        </w:tc>
        <w:tc>
          <w:tcPr>
            <w:tcW w:w="3847"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B4621C" w:rsidRDefault="00EE419A" w:rsidP="00F46334">
            <w:pPr>
              <w:spacing w:after="0" w:line="240" w:lineRule="auto"/>
              <w:rPr>
                <w:rFonts w:ascii="Times New Roman" w:eastAsia="Times New Roman" w:hAnsi="Times New Roman" w:cs="Times New Roman"/>
                <w:sz w:val="25"/>
                <w:szCs w:val="25"/>
                <w:lang w:eastAsia="lv-LV"/>
              </w:rPr>
            </w:pPr>
            <w:r w:rsidRPr="00B4621C">
              <w:rPr>
                <w:rFonts w:ascii="Times New Roman" w:eastAsia="Times New Roman" w:hAnsi="Times New Roman" w:cs="Times New Roman"/>
                <w:sz w:val="25"/>
                <w:szCs w:val="25"/>
                <w:lang w:eastAsia="lv-LV"/>
              </w:rPr>
              <w:t>Cita informācija</w:t>
            </w:r>
          </w:p>
        </w:tc>
        <w:tc>
          <w:tcPr>
            <w:tcW w:w="411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B4621C" w:rsidRDefault="00EE419A" w:rsidP="00F46334">
            <w:pPr>
              <w:spacing w:after="0" w:line="240" w:lineRule="auto"/>
              <w:ind w:firstLine="450"/>
              <w:jc w:val="both"/>
              <w:rPr>
                <w:rFonts w:ascii="Times New Roman" w:eastAsia="Times New Roman" w:hAnsi="Times New Roman" w:cs="Times New Roman"/>
                <w:iCs/>
                <w:sz w:val="25"/>
                <w:szCs w:val="25"/>
                <w:lang w:eastAsia="lv-LV"/>
              </w:rPr>
            </w:pPr>
            <w:r w:rsidRPr="00B4621C">
              <w:rPr>
                <w:rFonts w:ascii="Times New Roman" w:eastAsia="Times New Roman" w:hAnsi="Times New Roman" w:cs="Times New Roman"/>
                <w:color w:val="000000"/>
                <w:sz w:val="25"/>
                <w:szCs w:val="25"/>
                <w:lang w:eastAsia="lv-LV"/>
              </w:rPr>
              <w:t>Nav</w:t>
            </w:r>
          </w:p>
        </w:tc>
      </w:tr>
    </w:tbl>
    <w:tbl>
      <w:tblPr>
        <w:tblW w:w="4916" w:type="pct"/>
        <w:tblCellSpacing w:w="15" w:type="dxa"/>
        <w:tblInd w:w="7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347"/>
        <w:gridCol w:w="1136"/>
        <w:gridCol w:w="852"/>
        <w:gridCol w:w="836"/>
        <w:gridCol w:w="61"/>
        <w:gridCol w:w="1843"/>
        <w:gridCol w:w="3239"/>
      </w:tblGrid>
      <w:tr w:rsidR="00956521" w:rsidRPr="00B4621C" w:rsidTr="00C172FA">
        <w:trPr>
          <w:trHeight w:val="445"/>
          <w:tblCellSpacing w:w="15" w:type="dxa"/>
        </w:trPr>
        <w:tc>
          <w:tcPr>
            <w:tcW w:w="4964" w:type="pct"/>
            <w:gridSpan w:val="7"/>
            <w:tcBorders>
              <w:top w:val="outset" w:sz="6" w:space="0" w:color="auto"/>
              <w:left w:val="outset" w:sz="6" w:space="0" w:color="auto"/>
              <w:bottom w:val="outset" w:sz="6" w:space="0" w:color="auto"/>
              <w:right w:val="outset" w:sz="6" w:space="0" w:color="auto"/>
            </w:tcBorders>
            <w:hideMark/>
          </w:tcPr>
          <w:p w:rsidR="00956521" w:rsidRPr="00B4621C" w:rsidRDefault="00956521" w:rsidP="00F46334">
            <w:pPr>
              <w:spacing w:line="240" w:lineRule="auto"/>
              <w:jc w:val="center"/>
              <w:rPr>
                <w:rFonts w:ascii="Times New Roman" w:eastAsia="Times New Roman" w:hAnsi="Times New Roman" w:cs="Times New Roman"/>
                <w:b/>
                <w:bCs/>
                <w:sz w:val="25"/>
                <w:szCs w:val="25"/>
                <w:lang w:eastAsia="lv-LV"/>
              </w:rPr>
            </w:pPr>
            <w:r w:rsidRPr="00B4621C">
              <w:rPr>
                <w:rFonts w:ascii="Times New Roman" w:eastAsia="Times New Roman" w:hAnsi="Times New Roman" w:cs="Times New Roman"/>
                <w:b/>
                <w:bCs/>
                <w:sz w:val="25"/>
                <w:szCs w:val="25"/>
                <w:lang w:eastAsia="lv-LV"/>
              </w:rPr>
              <w:t>V. Tiesību akta projekta atbilstība Latvijas Republikas starptautiskajām saistībām</w:t>
            </w:r>
          </w:p>
        </w:tc>
      </w:tr>
      <w:tr w:rsidR="00D5213A" w:rsidRPr="00B4621C" w:rsidTr="00F05142">
        <w:trPr>
          <w:tblCellSpacing w:w="15" w:type="dxa"/>
        </w:trPr>
        <w:tc>
          <w:tcPr>
            <w:tcW w:w="182" w:type="pct"/>
            <w:tcBorders>
              <w:top w:val="outset" w:sz="6" w:space="0" w:color="auto"/>
              <w:left w:val="outset" w:sz="6" w:space="0" w:color="auto"/>
              <w:bottom w:val="outset" w:sz="6" w:space="0" w:color="auto"/>
              <w:right w:val="outset" w:sz="6" w:space="0" w:color="auto"/>
            </w:tcBorders>
            <w:hideMark/>
          </w:tcPr>
          <w:p w:rsidR="00956521" w:rsidRPr="00B4621C" w:rsidRDefault="00956521" w:rsidP="00F46334">
            <w:pPr>
              <w:spacing w:line="240" w:lineRule="auto"/>
              <w:rPr>
                <w:rFonts w:ascii="Times New Roman" w:eastAsia="Times New Roman" w:hAnsi="Times New Roman" w:cs="Times New Roman"/>
                <w:sz w:val="25"/>
                <w:szCs w:val="25"/>
                <w:lang w:eastAsia="lv-LV"/>
              </w:rPr>
            </w:pPr>
            <w:r w:rsidRPr="00B4621C">
              <w:rPr>
                <w:rFonts w:ascii="Times New Roman" w:eastAsia="Times New Roman" w:hAnsi="Times New Roman" w:cs="Times New Roman"/>
                <w:sz w:val="25"/>
                <w:szCs w:val="25"/>
                <w:lang w:eastAsia="lv-LV"/>
              </w:rPr>
              <w:t>1.</w:t>
            </w:r>
          </w:p>
        </w:tc>
        <w:tc>
          <w:tcPr>
            <w:tcW w:w="1175" w:type="pct"/>
            <w:gridSpan w:val="2"/>
            <w:tcBorders>
              <w:top w:val="outset" w:sz="6" w:space="0" w:color="auto"/>
              <w:left w:val="outset" w:sz="6" w:space="0" w:color="auto"/>
              <w:bottom w:val="outset" w:sz="6" w:space="0" w:color="auto"/>
              <w:right w:val="outset" w:sz="6" w:space="0" w:color="auto"/>
            </w:tcBorders>
            <w:hideMark/>
          </w:tcPr>
          <w:p w:rsidR="00956521" w:rsidRPr="00B4621C" w:rsidRDefault="00956521" w:rsidP="00F46334">
            <w:pPr>
              <w:spacing w:line="240" w:lineRule="auto"/>
              <w:jc w:val="both"/>
              <w:rPr>
                <w:rFonts w:ascii="Times New Roman" w:eastAsia="Times New Roman" w:hAnsi="Times New Roman" w:cs="Times New Roman"/>
                <w:sz w:val="25"/>
                <w:szCs w:val="25"/>
                <w:lang w:eastAsia="lv-LV"/>
              </w:rPr>
            </w:pPr>
            <w:r w:rsidRPr="00B4621C">
              <w:rPr>
                <w:rFonts w:ascii="Times New Roman" w:eastAsia="Times New Roman" w:hAnsi="Times New Roman" w:cs="Times New Roman"/>
                <w:sz w:val="25"/>
                <w:szCs w:val="25"/>
                <w:lang w:eastAsia="lv-LV"/>
              </w:rPr>
              <w:t>Saistības pret Eiropas Savienību</w:t>
            </w:r>
          </w:p>
        </w:tc>
        <w:tc>
          <w:tcPr>
            <w:tcW w:w="3571" w:type="pct"/>
            <w:gridSpan w:val="4"/>
            <w:tcBorders>
              <w:top w:val="outset" w:sz="6" w:space="0" w:color="auto"/>
              <w:left w:val="outset" w:sz="6" w:space="0" w:color="auto"/>
              <w:bottom w:val="outset" w:sz="6" w:space="0" w:color="auto"/>
              <w:right w:val="outset" w:sz="6" w:space="0" w:color="auto"/>
            </w:tcBorders>
            <w:hideMark/>
          </w:tcPr>
          <w:p w:rsidR="0086083A" w:rsidRPr="00B4621C" w:rsidRDefault="00CB3AED" w:rsidP="00427E31">
            <w:pPr>
              <w:pStyle w:val="naiskr"/>
              <w:spacing w:before="0" w:after="0"/>
              <w:jc w:val="both"/>
              <w:rPr>
                <w:sz w:val="25"/>
                <w:szCs w:val="25"/>
                <w:lang w:eastAsia="en-US"/>
              </w:rPr>
            </w:pPr>
            <w:r w:rsidRPr="00B4621C">
              <w:rPr>
                <w:sz w:val="25"/>
                <w:szCs w:val="25"/>
              </w:rPr>
              <w:t>Komisijas 2013.gada 18.decembra Regul</w:t>
            </w:r>
            <w:r w:rsidR="001D1765" w:rsidRPr="00B4621C">
              <w:rPr>
                <w:sz w:val="25"/>
                <w:szCs w:val="25"/>
              </w:rPr>
              <w:t>a</w:t>
            </w:r>
            <w:r w:rsidRPr="00B4621C">
              <w:rPr>
                <w:sz w:val="25"/>
                <w:szCs w:val="25"/>
              </w:rPr>
              <w:t xml:space="preserve"> (EK) </w:t>
            </w:r>
            <w:proofErr w:type="spellStart"/>
            <w:r w:rsidRPr="00B4621C">
              <w:rPr>
                <w:sz w:val="25"/>
                <w:szCs w:val="25"/>
              </w:rPr>
              <w:t>Nr</w:t>
            </w:r>
            <w:proofErr w:type="spellEnd"/>
            <w:r w:rsidRPr="00B4621C">
              <w:rPr>
                <w:sz w:val="25"/>
                <w:szCs w:val="25"/>
              </w:rPr>
              <w:t>. 140</w:t>
            </w:r>
            <w:r w:rsidR="007F749B" w:rsidRPr="00B4621C">
              <w:rPr>
                <w:sz w:val="25"/>
                <w:szCs w:val="25"/>
              </w:rPr>
              <w:t>7</w:t>
            </w:r>
            <w:r w:rsidRPr="00B4621C">
              <w:rPr>
                <w:sz w:val="25"/>
                <w:szCs w:val="25"/>
              </w:rPr>
              <w:t xml:space="preserve">/2013 par Līguma </w:t>
            </w:r>
            <w:r w:rsidR="00427E31" w:rsidRPr="00B4621C">
              <w:rPr>
                <w:sz w:val="25"/>
                <w:szCs w:val="25"/>
              </w:rPr>
              <w:t>107</w:t>
            </w:r>
            <w:r w:rsidRPr="00B4621C">
              <w:rPr>
                <w:sz w:val="25"/>
                <w:szCs w:val="25"/>
              </w:rPr>
              <w:t xml:space="preserve">. un </w:t>
            </w:r>
            <w:r w:rsidR="00427E31" w:rsidRPr="00B4621C">
              <w:rPr>
                <w:sz w:val="25"/>
                <w:szCs w:val="25"/>
              </w:rPr>
              <w:t>108</w:t>
            </w:r>
            <w:r w:rsidRPr="00B4621C">
              <w:rPr>
                <w:sz w:val="25"/>
                <w:szCs w:val="25"/>
              </w:rPr>
              <w:t xml:space="preserve">.panta piemērošanu </w:t>
            </w:r>
            <w:r w:rsidRPr="00B4621C">
              <w:rPr>
                <w:i/>
                <w:sz w:val="25"/>
                <w:szCs w:val="25"/>
              </w:rPr>
              <w:t>de minimis</w:t>
            </w:r>
            <w:r w:rsidRPr="00B4621C">
              <w:rPr>
                <w:sz w:val="25"/>
                <w:szCs w:val="25"/>
              </w:rPr>
              <w:t xml:space="preserve"> atbalstam (Eiropas Savienības Oficiālais Vēstnesis, 2013.gada 24.decembris, L 352) (turpmāk – K</w:t>
            </w:r>
            <w:r w:rsidR="00F5373C" w:rsidRPr="00B4621C">
              <w:rPr>
                <w:sz w:val="25"/>
                <w:szCs w:val="25"/>
              </w:rPr>
              <w:t xml:space="preserve">omisijas regula </w:t>
            </w:r>
            <w:proofErr w:type="spellStart"/>
            <w:r w:rsidR="00F5373C" w:rsidRPr="00B4621C">
              <w:rPr>
                <w:sz w:val="25"/>
                <w:szCs w:val="25"/>
              </w:rPr>
              <w:t>Nr</w:t>
            </w:r>
            <w:proofErr w:type="spellEnd"/>
            <w:r w:rsidR="00F5373C" w:rsidRPr="00B4621C">
              <w:rPr>
                <w:sz w:val="25"/>
                <w:szCs w:val="25"/>
              </w:rPr>
              <w:t>. 140</w:t>
            </w:r>
            <w:r w:rsidR="007F749B" w:rsidRPr="00B4621C">
              <w:rPr>
                <w:sz w:val="25"/>
                <w:szCs w:val="25"/>
              </w:rPr>
              <w:t>7</w:t>
            </w:r>
            <w:r w:rsidRPr="00B4621C">
              <w:rPr>
                <w:sz w:val="25"/>
                <w:szCs w:val="25"/>
              </w:rPr>
              <w:t>/2013).</w:t>
            </w:r>
          </w:p>
        </w:tc>
      </w:tr>
      <w:tr w:rsidR="00D5213A" w:rsidRPr="00B4621C" w:rsidTr="00F05142">
        <w:trPr>
          <w:tblCellSpacing w:w="15" w:type="dxa"/>
        </w:trPr>
        <w:tc>
          <w:tcPr>
            <w:tcW w:w="182" w:type="pct"/>
            <w:tcBorders>
              <w:top w:val="outset" w:sz="6" w:space="0" w:color="auto"/>
              <w:left w:val="outset" w:sz="6" w:space="0" w:color="auto"/>
              <w:bottom w:val="outset" w:sz="6" w:space="0" w:color="auto"/>
              <w:right w:val="outset" w:sz="6" w:space="0" w:color="auto"/>
            </w:tcBorders>
            <w:hideMark/>
          </w:tcPr>
          <w:p w:rsidR="00956521" w:rsidRPr="00B4621C" w:rsidRDefault="00956521" w:rsidP="00F46334">
            <w:pPr>
              <w:spacing w:line="240" w:lineRule="auto"/>
              <w:rPr>
                <w:rFonts w:ascii="Times New Roman" w:eastAsia="Times New Roman" w:hAnsi="Times New Roman" w:cs="Times New Roman"/>
                <w:sz w:val="25"/>
                <w:szCs w:val="25"/>
                <w:lang w:eastAsia="lv-LV"/>
              </w:rPr>
            </w:pPr>
            <w:r w:rsidRPr="00B4621C">
              <w:rPr>
                <w:rFonts w:ascii="Times New Roman" w:eastAsia="Times New Roman" w:hAnsi="Times New Roman" w:cs="Times New Roman"/>
                <w:sz w:val="25"/>
                <w:szCs w:val="25"/>
                <w:lang w:eastAsia="lv-LV"/>
              </w:rPr>
              <w:t>2.</w:t>
            </w:r>
          </w:p>
        </w:tc>
        <w:tc>
          <w:tcPr>
            <w:tcW w:w="1175" w:type="pct"/>
            <w:gridSpan w:val="2"/>
            <w:tcBorders>
              <w:top w:val="outset" w:sz="6" w:space="0" w:color="auto"/>
              <w:left w:val="outset" w:sz="6" w:space="0" w:color="auto"/>
              <w:bottom w:val="outset" w:sz="6" w:space="0" w:color="auto"/>
              <w:right w:val="outset" w:sz="6" w:space="0" w:color="auto"/>
            </w:tcBorders>
            <w:hideMark/>
          </w:tcPr>
          <w:p w:rsidR="00956521" w:rsidRPr="00B4621C" w:rsidRDefault="00956521" w:rsidP="00F46334">
            <w:pPr>
              <w:spacing w:line="240" w:lineRule="auto"/>
              <w:jc w:val="both"/>
              <w:rPr>
                <w:rFonts w:ascii="Times New Roman" w:eastAsia="Times New Roman" w:hAnsi="Times New Roman" w:cs="Times New Roman"/>
                <w:sz w:val="25"/>
                <w:szCs w:val="25"/>
                <w:lang w:eastAsia="lv-LV"/>
              </w:rPr>
            </w:pPr>
            <w:r w:rsidRPr="00B4621C">
              <w:rPr>
                <w:rFonts w:ascii="Times New Roman" w:eastAsia="Times New Roman" w:hAnsi="Times New Roman" w:cs="Times New Roman"/>
                <w:sz w:val="25"/>
                <w:szCs w:val="25"/>
                <w:lang w:eastAsia="lv-LV"/>
              </w:rPr>
              <w:t>Citas starptautiskās saistības</w:t>
            </w:r>
          </w:p>
        </w:tc>
        <w:tc>
          <w:tcPr>
            <w:tcW w:w="3571" w:type="pct"/>
            <w:gridSpan w:val="4"/>
            <w:tcBorders>
              <w:top w:val="outset" w:sz="6" w:space="0" w:color="auto"/>
              <w:left w:val="outset" w:sz="6" w:space="0" w:color="auto"/>
              <w:bottom w:val="outset" w:sz="6" w:space="0" w:color="auto"/>
              <w:right w:val="outset" w:sz="6" w:space="0" w:color="auto"/>
            </w:tcBorders>
            <w:hideMark/>
          </w:tcPr>
          <w:p w:rsidR="00956521" w:rsidRPr="00B4621C" w:rsidRDefault="00956521" w:rsidP="00F46334">
            <w:pPr>
              <w:spacing w:line="240" w:lineRule="auto"/>
              <w:jc w:val="both"/>
              <w:rPr>
                <w:rFonts w:ascii="Times New Roman" w:eastAsia="Times New Roman" w:hAnsi="Times New Roman" w:cs="Times New Roman"/>
                <w:sz w:val="25"/>
                <w:szCs w:val="25"/>
                <w:lang w:eastAsia="lv-LV"/>
              </w:rPr>
            </w:pPr>
            <w:r w:rsidRPr="00B4621C">
              <w:rPr>
                <w:rFonts w:ascii="Times New Roman" w:eastAsia="Times New Roman" w:hAnsi="Times New Roman" w:cs="Times New Roman"/>
                <w:sz w:val="25"/>
                <w:szCs w:val="25"/>
                <w:lang w:eastAsia="lv-LV"/>
              </w:rPr>
              <w:t>Noteikumu projekts šo jomu neskar.</w:t>
            </w:r>
          </w:p>
        </w:tc>
      </w:tr>
      <w:tr w:rsidR="00D5213A" w:rsidRPr="00B4621C" w:rsidTr="00F05142">
        <w:trPr>
          <w:tblCellSpacing w:w="15" w:type="dxa"/>
        </w:trPr>
        <w:tc>
          <w:tcPr>
            <w:tcW w:w="182" w:type="pct"/>
            <w:tcBorders>
              <w:top w:val="outset" w:sz="6" w:space="0" w:color="auto"/>
              <w:left w:val="outset" w:sz="6" w:space="0" w:color="auto"/>
              <w:bottom w:val="outset" w:sz="6" w:space="0" w:color="auto"/>
              <w:right w:val="outset" w:sz="6" w:space="0" w:color="auto"/>
            </w:tcBorders>
            <w:hideMark/>
          </w:tcPr>
          <w:p w:rsidR="00956521" w:rsidRPr="00B4621C" w:rsidRDefault="00956521" w:rsidP="00F46334">
            <w:pPr>
              <w:spacing w:line="240" w:lineRule="auto"/>
              <w:rPr>
                <w:rFonts w:ascii="Times New Roman" w:eastAsia="Times New Roman" w:hAnsi="Times New Roman" w:cs="Times New Roman"/>
                <w:sz w:val="25"/>
                <w:szCs w:val="25"/>
                <w:lang w:eastAsia="lv-LV"/>
              </w:rPr>
            </w:pPr>
            <w:r w:rsidRPr="00B4621C">
              <w:rPr>
                <w:rFonts w:ascii="Times New Roman" w:eastAsia="Times New Roman" w:hAnsi="Times New Roman" w:cs="Times New Roman"/>
                <w:sz w:val="25"/>
                <w:szCs w:val="25"/>
                <w:lang w:eastAsia="lv-LV"/>
              </w:rPr>
              <w:t>3.</w:t>
            </w:r>
          </w:p>
        </w:tc>
        <w:tc>
          <w:tcPr>
            <w:tcW w:w="1175" w:type="pct"/>
            <w:gridSpan w:val="2"/>
            <w:tcBorders>
              <w:top w:val="outset" w:sz="6" w:space="0" w:color="auto"/>
              <w:left w:val="outset" w:sz="6" w:space="0" w:color="auto"/>
              <w:bottom w:val="outset" w:sz="6" w:space="0" w:color="auto"/>
              <w:right w:val="outset" w:sz="6" w:space="0" w:color="auto"/>
            </w:tcBorders>
            <w:hideMark/>
          </w:tcPr>
          <w:p w:rsidR="00956521" w:rsidRPr="00B4621C" w:rsidRDefault="00956521" w:rsidP="00F46334">
            <w:pPr>
              <w:spacing w:line="240" w:lineRule="auto"/>
              <w:jc w:val="both"/>
              <w:rPr>
                <w:rFonts w:ascii="Times New Roman" w:eastAsia="Times New Roman" w:hAnsi="Times New Roman" w:cs="Times New Roman"/>
                <w:sz w:val="25"/>
                <w:szCs w:val="25"/>
                <w:lang w:eastAsia="lv-LV"/>
              </w:rPr>
            </w:pPr>
            <w:r w:rsidRPr="00B4621C">
              <w:rPr>
                <w:rFonts w:ascii="Times New Roman" w:eastAsia="Times New Roman" w:hAnsi="Times New Roman" w:cs="Times New Roman"/>
                <w:sz w:val="25"/>
                <w:szCs w:val="25"/>
                <w:lang w:eastAsia="lv-LV"/>
              </w:rPr>
              <w:t>Cita informācija</w:t>
            </w:r>
          </w:p>
        </w:tc>
        <w:tc>
          <w:tcPr>
            <w:tcW w:w="3571" w:type="pct"/>
            <w:gridSpan w:val="4"/>
            <w:tcBorders>
              <w:top w:val="outset" w:sz="6" w:space="0" w:color="auto"/>
              <w:left w:val="outset" w:sz="6" w:space="0" w:color="auto"/>
              <w:bottom w:val="outset" w:sz="6" w:space="0" w:color="auto"/>
              <w:right w:val="outset" w:sz="6" w:space="0" w:color="auto"/>
            </w:tcBorders>
            <w:hideMark/>
          </w:tcPr>
          <w:p w:rsidR="00956521" w:rsidRPr="00B4621C" w:rsidRDefault="00E70ADF" w:rsidP="00F46334">
            <w:pPr>
              <w:spacing w:after="0" w:line="240" w:lineRule="auto"/>
              <w:rPr>
                <w:rFonts w:ascii="Times New Roman" w:hAnsi="Times New Roman" w:cs="Times New Roman"/>
                <w:sz w:val="25"/>
                <w:szCs w:val="25"/>
              </w:rPr>
            </w:pPr>
            <w:r w:rsidRPr="00B4621C">
              <w:rPr>
                <w:rFonts w:ascii="Times New Roman" w:hAnsi="Times New Roman" w:cs="Times New Roman"/>
                <w:sz w:val="25"/>
                <w:szCs w:val="25"/>
              </w:rPr>
              <w:t>N</w:t>
            </w:r>
            <w:r w:rsidR="0055170F" w:rsidRPr="00B4621C">
              <w:rPr>
                <w:rFonts w:ascii="Times New Roman" w:hAnsi="Times New Roman" w:cs="Times New Roman"/>
                <w:sz w:val="25"/>
                <w:szCs w:val="25"/>
              </w:rPr>
              <w:t>av</w:t>
            </w:r>
          </w:p>
        </w:tc>
      </w:tr>
      <w:tr w:rsidR="00956521" w:rsidRPr="00B4621C" w:rsidTr="00C172FA">
        <w:tblPrEx>
          <w:tblBorders>
            <w:insideH w:val="none" w:sz="0" w:space="0" w:color="auto"/>
            <w:insideV w:val="none" w:sz="0" w:space="0" w:color="auto"/>
          </w:tblBorders>
        </w:tblPrEx>
        <w:trPr>
          <w:tblCellSpacing w:w="15" w:type="dxa"/>
        </w:trPr>
        <w:tc>
          <w:tcPr>
            <w:tcW w:w="4964" w:type="pct"/>
            <w:gridSpan w:val="7"/>
            <w:tcBorders>
              <w:top w:val="outset" w:sz="6" w:space="0" w:color="auto"/>
              <w:left w:val="outset" w:sz="6" w:space="0" w:color="auto"/>
              <w:bottom w:val="outset" w:sz="6" w:space="0" w:color="auto"/>
              <w:right w:val="outset" w:sz="6" w:space="0" w:color="auto"/>
            </w:tcBorders>
            <w:vAlign w:val="center"/>
            <w:hideMark/>
          </w:tcPr>
          <w:p w:rsidR="00956521" w:rsidRPr="00B4621C" w:rsidRDefault="00956521" w:rsidP="00F46334">
            <w:pPr>
              <w:spacing w:line="240" w:lineRule="auto"/>
              <w:jc w:val="center"/>
              <w:rPr>
                <w:rFonts w:ascii="Times New Roman" w:eastAsia="Times New Roman" w:hAnsi="Times New Roman" w:cs="Times New Roman"/>
                <w:b/>
                <w:bCs/>
                <w:sz w:val="25"/>
                <w:szCs w:val="25"/>
                <w:lang w:eastAsia="lv-LV"/>
              </w:rPr>
            </w:pPr>
            <w:r w:rsidRPr="00B4621C">
              <w:rPr>
                <w:rFonts w:ascii="Times New Roman" w:eastAsia="Times New Roman" w:hAnsi="Times New Roman" w:cs="Times New Roman"/>
                <w:sz w:val="25"/>
                <w:szCs w:val="25"/>
                <w:lang w:eastAsia="lv-LV"/>
              </w:rPr>
              <w:t> </w:t>
            </w:r>
            <w:r w:rsidRPr="00B4621C">
              <w:rPr>
                <w:rFonts w:ascii="Times New Roman" w:eastAsia="Times New Roman" w:hAnsi="Times New Roman" w:cs="Times New Roman"/>
                <w:b/>
                <w:bCs/>
                <w:sz w:val="25"/>
                <w:szCs w:val="25"/>
                <w:lang w:eastAsia="lv-LV"/>
              </w:rPr>
              <w:t>1.tabula</w:t>
            </w:r>
            <w:r w:rsidRPr="00B4621C">
              <w:rPr>
                <w:rFonts w:ascii="Times New Roman" w:eastAsia="Times New Roman" w:hAnsi="Times New Roman" w:cs="Times New Roman"/>
                <w:b/>
                <w:bCs/>
                <w:sz w:val="25"/>
                <w:szCs w:val="25"/>
                <w:lang w:eastAsia="lv-LV"/>
              </w:rPr>
              <w:br/>
            </w:r>
            <w:r w:rsidRPr="00B4621C">
              <w:rPr>
                <w:rFonts w:ascii="Times New Roman" w:eastAsia="Times New Roman" w:hAnsi="Times New Roman" w:cs="Times New Roman"/>
                <w:b/>
                <w:bCs/>
                <w:sz w:val="25"/>
                <w:szCs w:val="25"/>
                <w:lang w:eastAsia="lv-LV"/>
              </w:rPr>
              <w:lastRenderedPageBreak/>
              <w:t>Tiesību akta projekta atbilstība ES tiesību aktiem</w:t>
            </w:r>
          </w:p>
        </w:tc>
      </w:tr>
      <w:tr w:rsidR="00956521" w:rsidRPr="00B4621C" w:rsidTr="00C85C6A">
        <w:tblPrEx>
          <w:tblBorders>
            <w:insideH w:val="none" w:sz="0" w:space="0" w:color="auto"/>
            <w:insideV w:val="none" w:sz="0" w:space="0" w:color="auto"/>
          </w:tblBorders>
        </w:tblPrEx>
        <w:trPr>
          <w:tblCellSpacing w:w="15" w:type="dxa"/>
        </w:trPr>
        <w:tc>
          <w:tcPr>
            <w:tcW w:w="848" w:type="pct"/>
            <w:gridSpan w:val="2"/>
            <w:tcBorders>
              <w:top w:val="outset" w:sz="6" w:space="0" w:color="auto"/>
              <w:left w:val="outset" w:sz="6" w:space="0" w:color="auto"/>
              <w:bottom w:val="outset" w:sz="6" w:space="0" w:color="auto"/>
              <w:right w:val="outset" w:sz="6" w:space="0" w:color="auto"/>
            </w:tcBorders>
            <w:vAlign w:val="center"/>
            <w:hideMark/>
          </w:tcPr>
          <w:p w:rsidR="00956521" w:rsidRPr="00B4621C" w:rsidRDefault="00956521" w:rsidP="00F46334">
            <w:pPr>
              <w:spacing w:line="240" w:lineRule="auto"/>
              <w:jc w:val="both"/>
              <w:rPr>
                <w:rFonts w:ascii="Times New Roman" w:eastAsia="Times New Roman" w:hAnsi="Times New Roman" w:cs="Times New Roman"/>
                <w:sz w:val="25"/>
                <w:szCs w:val="25"/>
                <w:lang w:eastAsia="lv-LV"/>
              </w:rPr>
            </w:pPr>
            <w:r w:rsidRPr="00B4621C">
              <w:rPr>
                <w:rFonts w:ascii="Times New Roman" w:eastAsia="Times New Roman" w:hAnsi="Times New Roman" w:cs="Times New Roman"/>
                <w:sz w:val="25"/>
                <w:szCs w:val="25"/>
                <w:lang w:eastAsia="lv-LV"/>
              </w:rPr>
              <w:lastRenderedPageBreak/>
              <w:t>Attiecīgā ES tiesību akta datums, numurs un nosaukums</w:t>
            </w:r>
          </w:p>
        </w:tc>
        <w:tc>
          <w:tcPr>
            <w:tcW w:w="4098" w:type="pct"/>
            <w:gridSpan w:val="5"/>
            <w:tcBorders>
              <w:top w:val="outset" w:sz="6" w:space="0" w:color="auto"/>
              <w:left w:val="outset" w:sz="6" w:space="0" w:color="auto"/>
              <w:bottom w:val="outset" w:sz="6" w:space="0" w:color="auto"/>
              <w:right w:val="outset" w:sz="6" w:space="0" w:color="auto"/>
            </w:tcBorders>
            <w:vAlign w:val="center"/>
            <w:hideMark/>
          </w:tcPr>
          <w:p w:rsidR="00956521" w:rsidRPr="00B4621C" w:rsidRDefault="00885AB9" w:rsidP="00582BFF">
            <w:pPr>
              <w:pStyle w:val="naiskr"/>
              <w:spacing w:before="0" w:after="0"/>
              <w:jc w:val="both"/>
              <w:rPr>
                <w:sz w:val="25"/>
                <w:szCs w:val="25"/>
                <w:lang w:eastAsia="en-US"/>
              </w:rPr>
            </w:pPr>
            <w:r w:rsidRPr="00B4621C">
              <w:rPr>
                <w:sz w:val="25"/>
                <w:szCs w:val="25"/>
              </w:rPr>
              <w:t xml:space="preserve">Komisijas 2013.gada 18.decembra Regulu (EK) </w:t>
            </w:r>
            <w:proofErr w:type="spellStart"/>
            <w:r w:rsidRPr="00B4621C">
              <w:rPr>
                <w:sz w:val="25"/>
                <w:szCs w:val="25"/>
              </w:rPr>
              <w:t>Nr</w:t>
            </w:r>
            <w:proofErr w:type="spellEnd"/>
            <w:r w:rsidRPr="00B4621C">
              <w:rPr>
                <w:sz w:val="25"/>
                <w:szCs w:val="25"/>
              </w:rPr>
              <w:t>. 140</w:t>
            </w:r>
            <w:r w:rsidR="007F749B" w:rsidRPr="00B4621C">
              <w:rPr>
                <w:sz w:val="25"/>
                <w:szCs w:val="25"/>
              </w:rPr>
              <w:t>7</w:t>
            </w:r>
            <w:r w:rsidRPr="00B4621C">
              <w:rPr>
                <w:sz w:val="25"/>
                <w:szCs w:val="25"/>
              </w:rPr>
              <w:t xml:space="preserve">/2013 par Līguma </w:t>
            </w:r>
            <w:r w:rsidR="00582BFF" w:rsidRPr="00B4621C">
              <w:rPr>
                <w:sz w:val="25"/>
                <w:szCs w:val="25"/>
              </w:rPr>
              <w:t>107</w:t>
            </w:r>
            <w:r w:rsidRPr="00B4621C">
              <w:rPr>
                <w:sz w:val="25"/>
                <w:szCs w:val="25"/>
              </w:rPr>
              <w:t xml:space="preserve">. un </w:t>
            </w:r>
            <w:r w:rsidR="00582BFF" w:rsidRPr="00B4621C">
              <w:rPr>
                <w:sz w:val="25"/>
                <w:szCs w:val="25"/>
              </w:rPr>
              <w:t>108</w:t>
            </w:r>
            <w:r w:rsidRPr="00B4621C">
              <w:rPr>
                <w:sz w:val="25"/>
                <w:szCs w:val="25"/>
              </w:rPr>
              <w:t xml:space="preserve">.panta piemērošanu </w:t>
            </w:r>
            <w:r w:rsidRPr="00B4621C">
              <w:rPr>
                <w:i/>
                <w:sz w:val="25"/>
                <w:szCs w:val="25"/>
              </w:rPr>
              <w:t>de minimis</w:t>
            </w:r>
            <w:r w:rsidRPr="00B4621C">
              <w:rPr>
                <w:sz w:val="25"/>
                <w:szCs w:val="25"/>
              </w:rPr>
              <w:t xml:space="preserve"> atbalstam (Eiropas Savienības Oficiālais Vēstnesis, 2013.gada 24.decembris, L 352) (turpmāk – Komisijas regula </w:t>
            </w:r>
            <w:proofErr w:type="spellStart"/>
            <w:r w:rsidRPr="00B4621C">
              <w:rPr>
                <w:sz w:val="25"/>
                <w:szCs w:val="25"/>
              </w:rPr>
              <w:t>Nr</w:t>
            </w:r>
            <w:proofErr w:type="spellEnd"/>
            <w:r w:rsidRPr="00B4621C">
              <w:rPr>
                <w:sz w:val="25"/>
                <w:szCs w:val="25"/>
              </w:rPr>
              <w:t xml:space="preserve">. </w:t>
            </w:r>
            <w:r w:rsidR="00F5373C" w:rsidRPr="00B4621C">
              <w:rPr>
                <w:sz w:val="25"/>
                <w:szCs w:val="25"/>
              </w:rPr>
              <w:t>140</w:t>
            </w:r>
            <w:r w:rsidR="007F749B" w:rsidRPr="00B4621C">
              <w:rPr>
                <w:sz w:val="25"/>
                <w:szCs w:val="25"/>
              </w:rPr>
              <w:t>7</w:t>
            </w:r>
            <w:r w:rsidRPr="00B4621C">
              <w:rPr>
                <w:sz w:val="25"/>
                <w:szCs w:val="25"/>
              </w:rPr>
              <w:t>/2013).</w:t>
            </w:r>
          </w:p>
        </w:tc>
      </w:tr>
      <w:tr w:rsidR="00D5213A" w:rsidRPr="00B4621C" w:rsidTr="00F05142">
        <w:tblPrEx>
          <w:tblBorders>
            <w:insideH w:val="none" w:sz="0" w:space="0" w:color="auto"/>
            <w:insideV w:val="none" w:sz="0" w:space="0" w:color="auto"/>
          </w:tblBorders>
        </w:tblPrEx>
        <w:trPr>
          <w:tblCellSpacing w:w="15" w:type="dxa"/>
        </w:trPr>
        <w:tc>
          <w:tcPr>
            <w:tcW w:w="848" w:type="pct"/>
            <w:gridSpan w:val="2"/>
            <w:tcBorders>
              <w:top w:val="outset" w:sz="6" w:space="0" w:color="auto"/>
              <w:left w:val="outset" w:sz="6" w:space="0" w:color="auto"/>
              <w:bottom w:val="outset" w:sz="6" w:space="0" w:color="auto"/>
              <w:right w:val="outset" w:sz="6" w:space="0" w:color="auto"/>
            </w:tcBorders>
            <w:vAlign w:val="center"/>
            <w:hideMark/>
          </w:tcPr>
          <w:p w:rsidR="00956521" w:rsidRPr="00B4621C" w:rsidRDefault="00956521" w:rsidP="00F46334">
            <w:pPr>
              <w:spacing w:line="240" w:lineRule="auto"/>
              <w:jc w:val="center"/>
              <w:rPr>
                <w:rFonts w:ascii="Times New Roman" w:eastAsia="Times New Roman" w:hAnsi="Times New Roman" w:cs="Times New Roman"/>
                <w:sz w:val="25"/>
                <w:szCs w:val="25"/>
                <w:lang w:eastAsia="lv-LV"/>
              </w:rPr>
            </w:pPr>
            <w:r w:rsidRPr="00B4621C">
              <w:rPr>
                <w:rFonts w:ascii="Times New Roman" w:eastAsia="Times New Roman" w:hAnsi="Times New Roman" w:cs="Times New Roman"/>
                <w:sz w:val="25"/>
                <w:szCs w:val="25"/>
                <w:lang w:eastAsia="lv-LV"/>
              </w:rPr>
              <w:t>A</w:t>
            </w:r>
          </w:p>
        </w:tc>
        <w:tc>
          <w:tcPr>
            <w:tcW w:w="1031" w:type="pct"/>
            <w:gridSpan w:val="3"/>
            <w:tcBorders>
              <w:top w:val="outset" w:sz="6" w:space="0" w:color="auto"/>
              <w:left w:val="outset" w:sz="6" w:space="0" w:color="auto"/>
              <w:bottom w:val="outset" w:sz="6" w:space="0" w:color="auto"/>
              <w:right w:val="outset" w:sz="6" w:space="0" w:color="auto"/>
            </w:tcBorders>
            <w:vAlign w:val="center"/>
            <w:hideMark/>
          </w:tcPr>
          <w:p w:rsidR="00956521" w:rsidRPr="00B4621C" w:rsidRDefault="00956521" w:rsidP="00F46334">
            <w:pPr>
              <w:spacing w:line="240" w:lineRule="auto"/>
              <w:jc w:val="center"/>
              <w:rPr>
                <w:rFonts w:ascii="Times New Roman" w:eastAsia="Times New Roman" w:hAnsi="Times New Roman" w:cs="Times New Roman"/>
                <w:sz w:val="25"/>
                <w:szCs w:val="25"/>
                <w:lang w:eastAsia="lv-LV"/>
              </w:rPr>
            </w:pPr>
            <w:r w:rsidRPr="00B4621C">
              <w:rPr>
                <w:rFonts w:ascii="Times New Roman" w:eastAsia="Times New Roman" w:hAnsi="Times New Roman" w:cs="Times New Roman"/>
                <w:sz w:val="25"/>
                <w:szCs w:val="25"/>
                <w:lang w:eastAsia="lv-LV"/>
              </w:rPr>
              <w:t>B</w:t>
            </w:r>
          </w:p>
        </w:tc>
        <w:tc>
          <w:tcPr>
            <w:tcW w:w="1118" w:type="pct"/>
            <w:tcBorders>
              <w:top w:val="outset" w:sz="6" w:space="0" w:color="auto"/>
              <w:left w:val="outset" w:sz="6" w:space="0" w:color="auto"/>
              <w:bottom w:val="outset" w:sz="6" w:space="0" w:color="auto"/>
              <w:right w:val="outset" w:sz="6" w:space="0" w:color="auto"/>
            </w:tcBorders>
            <w:vAlign w:val="center"/>
            <w:hideMark/>
          </w:tcPr>
          <w:p w:rsidR="00956521" w:rsidRPr="00B4621C" w:rsidRDefault="00956521" w:rsidP="00F46334">
            <w:pPr>
              <w:spacing w:line="240" w:lineRule="auto"/>
              <w:jc w:val="center"/>
              <w:rPr>
                <w:rFonts w:ascii="Times New Roman" w:eastAsia="Times New Roman" w:hAnsi="Times New Roman" w:cs="Times New Roman"/>
                <w:sz w:val="25"/>
                <w:szCs w:val="25"/>
                <w:lang w:eastAsia="lv-LV"/>
              </w:rPr>
            </w:pPr>
            <w:r w:rsidRPr="00B4621C">
              <w:rPr>
                <w:rFonts w:ascii="Times New Roman" w:eastAsia="Times New Roman" w:hAnsi="Times New Roman" w:cs="Times New Roman"/>
                <w:sz w:val="25"/>
                <w:szCs w:val="25"/>
                <w:lang w:eastAsia="lv-LV"/>
              </w:rPr>
              <w:t>C</w:t>
            </w:r>
          </w:p>
        </w:tc>
        <w:tc>
          <w:tcPr>
            <w:tcW w:w="1912" w:type="pct"/>
            <w:tcBorders>
              <w:top w:val="outset" w:sz="6" w:space="0" w:color="auto"/>
              <w:left w:val="outset" w:sz="6" w:space="0" w:color="auto"/>
              <w:bottom w:val="outset" w:sz="6" w:space="0" w:color="auto"/>
              <w:right w:val="outset" w:sz="6" w:space="0" w:color="auto"/>
            </w:tcBorders>
            <w:vAlign w:val="center"/>
            <w:hideMark/>
          </w:tcPr>
          <w:p w:rsidR="00956521" w:rsidRPr="00B4621C" w:rsidRDefault="00956521" w:rsidP="00F46334">
            <w:pPr>
              <w:spacing w:line="240" w:lineRule="auto"/>
              <w:jc w:val="center"/>
              <w:rPr>
                <w:rFonts w:ascii="Times New Roman" w:eastAsia="Times New Roman" w:hAnsi="Times New Roman" w:cs="Times New Roman"/>
                <w:sz w:val="25"/>
                <w:szCs w:val="25"/>
                <w:lang w:eastAsia="lv-LV"/>
              </w:rPr>
            </w:pPr>
            <w:r w:rsidRPr="00B4621C">
              <w:rPr>
                <w:rFonts w:ascii="Times New Roman" w:eastAsia="Times New Roman" w:hAnsi="Times New Roman" w:cs="Times New Roman"/>
                <w:sz w:val="25"/>
                <w:szCs w:val="25"/>
                <w:lang w:eastAsia="lv-LV"/>
              </w:rPr>
              <w:t>D</w:t>
            </w:r>
          </w:p>
        </w:tc>
      </w:tr>
      <w:tr w:rsidR="00D5213A" w:rsidRPr="00B4621C" w:rsidTr="00F05142">
        <w:tblPrEx>
          <w:tblBorders>
            <w:insideH w:val="none" w:sz="0" w:space="0" w:color="auto"/>
            <w:insideV w:val="none" w:sz="0" w:space="0" w:color="auto"/>
          </w:tblBorders>
        </w:tblPrEx>
        <w:trPr>
          <w:tblCellSpacing w:w="15" w:type="dxa"/>
        </w:trPr>
        <w:tc>
          <w:tcPr>
            <w:tcW w:w="848" w:type="pct"/>
            <w:gridSpan w:val="2"/>
            <w:tcBorders>
              <w:top w:val="outset" w:sz="6" w:space="0" w:color="auto"/>
              <w:left w:val="outset" w:sz="6" w:space="0" w:color="auto"/>
              <w:bottom w:val="outset" w:sz="6" w:space="0" w:color="auto"/>
              <w:right w:val="outset" w:sz="6" w:space="0" w:color="auto"/>
            </w:tcBorders>
            <w:hideMark/>
          </w:tcPr>
          <w:p w:rsidR="00956521" w:rsidRPr="00B4621C" w:rsidRDefault="00956521" w:rsidP="00F46334">
            <w:pPr>
              <w:pStyle w:val="naiskr"/>
              <w:spacing w:before="0" w:after="0"/>
              <w:jc w:val="both"/>
              <w:rPr>
                <w:sz w:val="25"/>
                <w:szCs w:val="25"/>
                <w:lang w:eastAsia="en-US"/>
              </w:rPr>
            </w:pPr>
            <w:r w:rsidRPr="00B4621C">
              <w:rPr>
                <w:sz w:val="25"/>
                <w:szCs w:val="25"/>
                <w:lang w:eastAsia="en-US"/>
              </w:rPr>
              <w:t xml:space="preserve">Attiecīgā ES tiesību akta panta numurs (uzskaitot katru tiesību akta </w:t>
            </w:r>
            <w:r w:rsidRPr="00B4621C">
              <w:rPr>
                <w:sz w:val="25"/>
                <w:szCs w:val="25"/>
                <w:lang w:eastAsia="en-US"/>
              </w:rPr>
              <w:br/>
              <w:t>vienību – pantu, daļu, punktu, apakšpunktu)</w:t>
            </w:r>
          </w:p>
        </w:tc>
        <w:tc>
          <w:tcPr>
            <w:tcW w:w="1031" w:type="pct"/>
            <w:gridSpan w:val="3"/>
            <w:tcBorders>
              <w:top w:val="outset" w:sz="6" w:space="0" w:color="auto"/>
              <w:left w:val="outset" w:sz="6" w:space="0" w:color="auto"/>
              <w:bottom w:val="outset" w:sz="6" w:space="0" w:color="auto"/>
              <w:right w:val="outset" w:sz="6" w:space="0" w:color="auto"/>
            </w:tcBorders>
            <w:hideMark/>
          </w:tcPr>
          <w:p w:rsidR="00956521" w:rsidRPr="00B4621C" w:rsidRDefault="00956521" w:rsidP="00F46334">
            <w:pPr>
              <w:pStyle w:val="naiskr"/>
              <w:spacing w:before="0" w:after="0"/>
              <w:jc w:val="both"/>
              <w:rPr>
                <w:sz w:val="25"/>
                <w:szCs w:val="25"/>
                <w:lang w:eastAsia="en-US"/>
              </w:rPr>
            </w:pPr>
            <w:r w:rsidRPr="00B4621C">
              <w:rPr>
                <w:sz w:val="25"/>
                <w:szCs w:val="25"/>
                <w:lang w:eastAsia="en-US"/>
              </w:rPr>
              <w:t>Projekta vienība, kas pārņem vai ievieš katru šīs tabulas A ailē minēto ES tiesību akta vienību</w:t>
            </w:r>
          </w:p>
        </w:tc>
        <w:tc>
          <w:tcPr>
            <w:tcW w:w="1118" w:type="pct"/>
            <w:tcBorders>
              <w:top w:val="outset" w:sz="6" w:space="0" w:color="auto"/>
              <w:left w:val="outset" w:sz="6" w:space="0" w:color="auto"/>
              <w:bottom w:val="outset" w:sz="6" w:space="0" w:color="auto"/>
              <w:right w:val="outset" w:sz="6" w:space="0" w:color="auto"/>
            </w:tcBorders>
            <w:hideMark/>
          </w:tcPr>
          <w:p w:rsidR="00956521" w:rsidRPr="00B4621C" w:rsidRDefault="00956521" w:rsidP="00F46334">
            <w:pPr>
              <w:pStyle w:val="naiskr"/>
              <w:spacing w:before="0" w:after="0"/>
              <w:jc w:val="both"/>
              <w:rPr>
                <w:sz w:val="25"/>
                <w:szCs w:val="25"/>
                <w:lang w:eastAsia="en-US"/>
              </w:rPr>
            </w:pPr>
            <w:r w:rsidRPr="00B4621C">
              <w:rPr>
                <w:sz w:val="25"/>
                <w:szCs w:val="25"/>
                <w:lang w:eastAsia="en-US"/>
              </w:rPr>
              <w:t>Informācija par to, vai šīs tabulas A ailē minētās ES tiesību akta vienības tiek pārņemtas vai ieviestas pilnībā vai daļēji.</w:t>
            </w:r>
          </w:p>
          <w:p w:rsidR="00956521" w:rsidRPr="00B4621C" w:rsidRDefault="00956521" w:rsidP="00F46334">
            <w:pPr>
              <w:pStyle w:val="naiskr"/>
              <w:spacing w:before="0" w:after="0"/>
              <w:jc w:val="both"/>
              <w:rPr>
                <w:sz w:val="25"/>
                <w:szCs w:val="25"/>
                <w:lang w:eastAsia="en-US"/>
              </w:rPr>
            </w:pPr>
            <w:r w:rsidRPr="00B4621C">
              <w:rPr>
                <w:sz w:val="25"/>
                <w:szCs w:val="25"/>
                <w:lang w:eastAsia="en-US"/>
              </w:rPr>
              <w:t>Ja attiecīgā ES tiesību akta vienība tiek pārņemta vai ieviesta daļēji, – sniedz attiecīgu skaidrojumu, kā arī precīzi norāda, kad un kādā veidā ES tiesību akta vienība tiks pārņemta vai ieviesta pilnībā.</w:t>
            </w:r>
          </w:p>
          <w:p w:rsidR="00956521" w:rsidRPr="00B4621C" w:rsidRDefault="00956521" w:rsidP="00F46334">
            <w:pPr>
              <w:pStyle w:val="naiskr"/>
              <w:spacing w:before="0" w:after="0"/>
              <w:jc w:val="both"/>
              <w:rPr>
                <w:sz w:val="25"/>
                <w:szCs w:val="25"/>
                <w:lang w:eastAsia="en-US"/>
              </w:rPr>
            </w:pPr>
            <w:r w:rsidRPr="00B4621C">
              <w:rPr>
                <w:sz w:val="25"/>
                <w:szCs w:val="25"/>
                <w:lang w:eastAsia="en-US"/>
              </w:rPr>
              <w:t>Norāda institūciju, kas ir atbildīga par šo saistību izpildi pilnībā</w:t>
            </w:r>
          </w:p>
        </w:tc>
        <w:tc>
          <w:tcPr>
            <w:tcW w:w="1912" w:type="pct"/>
            <w:tcBorders>
              <w:top w:val="outset" w:sz="6" w:space="0" w:color="auto"/>
              <w:left w:val="outset" w:sz="6" w:space="0" w:color="auto"/>
              <w:bottom w:val="outset" w:sz="6" w:space="0" w:color="auto"/>
              <w:right w:val="outset" w:sz="6" w:space="0" w:color="auto"/>
            </w:tcBorders>
            <w:hideMark/>
          </w:tcPr>
          <w:p w:rsidR="00956521" w:rsidRPr="00B4621C" w:rsidRDefault="00956521" w:rsidP="00F46334">
            <w:pPr>
              <w:pStyle w:val="naiskr"/>
              <w:spacing w:before="0" w:after="0"/>
              <w:jc w:val="both"/>
              <w:rPr>
                <w:sz w:val="25"/>
                <w:szCs w:val="25"/>
                <w:lang w:eastAsia="en-US"/>
              </w:rPr>
            </w:pPr>
            <w:r w:rsidRPr="00B4621C">
              <w:rPr>
                <w:sz w:val="25"/>
                <w:szCs w:val="25"/>
                <w:lang w:eastAsia="en-US"/>
              </w:rPr>
              <w:t>Informācija par to, vai šīs tabulas B ailē minētās projekta vienības paredz stingrākas prasības nekā šīs tabulas A ailē minētās ES tiesību akta vienības.</w:t>
            </w:r>
          </w:p>
          <w:p w:rsidR="00956521" w:rsidRPr="00B4621C" w:rsidRDefault="00956521" w:rsidP="00F46334">
            <w:pPr>
              <w:pStyle w:val="naiskr"/>
              <w:spacing w:before="0" w:after="0"/>
              <w:jc w:val="both"/>
              <w:rPr>
                <w:sz w:val="25"/>
                <w:szCs w:val="25"/>
                <w:lang w:eastAsia="en-US"/>
              </w:rPr>
            </w:pPr>
            <w:r w:rsidRPr="00B4621C">
              <w:rPr>
                <w:sz w:val="25"/>
                <w:szCs w:val="25"/>
                <w:lang w:eastAsia="en-US"/>
              </w:rPr>
              <w:t>Ja projekts satur stingrākas prasības nekā attiecīgais ES tiesību akts, – norāda pamatojumu un samērīgumu.</w:t>
            </w:r>
          </w:p>
          <w:p w:rsidR="00956521" w:rsidRPr="00B4621C" w:rsidRDefault="00956521" w:rsidP="00F46334">
            <w:pPr>
              <w:pStyle w:val="naiskr"/>
              <w:spacing w:before="0" w:after="0"/>
              <w:jc w:val="both"/>
              <w:rPr>
                <w:sz w:val="25"/>
                <w:szCs w:val="25"/>
                <w:lang w:eastAsia="en-US"/>
              </w:rPr>
            </w:pPr>
            <w:r w:rsidRPr="00B4621C">
              <w:rPr>
                <w:sz w:val="25"/>
                <w:szCs w:val="25"/>
                <w:lang w:eastAsia="en-US"/>
              </w:rPr>
              <w:t>Norāda iespējamās alternatīvas (</w:t>
            </w:r>
            <w:proofErr w:type="spellStart"/>
            <w:r w:rsidRPr="00B4621C">
              <w:rPr>
                <w:sz w:val="25"/>
                <w:szCs w:val="25"/>
                <w:lang w:eastAsia="en-US"/>
              </w:rPr>
              <w:t>t.sk</w:t>
            </w:r>
            <w:proofErr w:type="spellEnd"/>
            <w:r w:rsidRPr="00B4621C">
              <w:rPr>
                <w:sz w:val="25"/>
                <w:szCs w:val="25"/>
                <w:lang w:eastAsia="en-US"/>
              </w:rPr>
              <w:t>. alternatīvas, kas neparedz tiesiskā regulējuma izstrādi) – kādos gadījumos būtu iespējams izvairīties no stingrāku prasību noteikšanas, nekā paredzēts attiecīgajos ES tiesību aktos.</w:t>
            </w:r>
          </w:p>
        </w:tc>
      </w:tr>
      <w:tr w:rsidR="00D5213A" w:rsidRPr="00B4621C" w:rsidTr="00F05142">
        <w:tblPrEx>
          <w:tblBorders>
            <w:insideH w:val="none" w:sz="0" w:space="0" w:color="auto"/>
            <w:insideV w:val="none" w:sz="0" w:space="0" w:color="auto"/>
          </w:tblBorders>
        </w:tblPrEx>
        <w:trPr>
          <w:tblCellSpacing w:w="15" w:type="dxa"/>
        </w:trPr>
        <w:tc>
          <w:tcPr>
            <w:tcW w:w="848" w:type="pct"/>
            <w:gridSpan w:val="2"/>
            <w:tcBorders>
              <w:top w:val="outset" w:sz="6" w:space="0" w:color="auto"/>
              <w:left w:val="outset" w:sz="6" w:space="0" w:color="auto"/>
              <w:bottom w:val="outset" w:sz="6" w:space="0" w:color="auto"/>
              <w:right w:val="outset" w:sz="6" w:space="0" w:color="auto"/>
            </w:tcBorders>
            <w:vAlign w:val="center"/>
            <w:hideMark/>
          </w:tcPr>
          <w:p w:rsidR="00D323E4" w:rsidRPr="00B4621C" w:rsidRDefault="000B1C0D" w:rsidP="00D5213A">
            <w:pPr>
              <w:pStyle w:val="naiskr"/>
              <w:spacing w:before="0" w:after="0"/>
              <w:jc w:val="both"/>
              <w:rPr>
                <w:i/>
                <w:sz w:val="25"/>
                <w:szCs w:val="25"/>
                <w:lang w:eastAsia="en-US"/>
              </w:rPr>
            </w:pPr>
            <w:r w:rsidRPr="00B4621C">
              <w:rPr>
                <w:i/>
                <w:sz w:val="25"/>
                <w:szCs w:val="25"/>
                <w:lang w:eastAsia="en-US"/>
              </w:rPr>
              <w:t>Komisijas Regula</w:t>
            </w:r>
            <w:r w:rsidR="00D323E4" w:rsidRPr="00B4621C">
              <w:rPr>
                <w:i/>
                <w:sz w:val="25"/>
                <w:szCs w:val="25"/>
                <w:lang w:eastAsia="en-US"/>
              </w:rPr>
              <w:t xml:space="preserve"> </w:t>
            </w:r>
            <w:proofErr w:type="spellStart"/>
            <w:r w:rsidR="00D323E4" w:rsidRPr="00B4621C">
              <w:rPr>
                <w:i/>
                <w:sz w:val="25"/>
                <w:szCs w:val="25"/>
                <w:lang w:eastAsia="en-US"/>
              </w:rPr>
              <w:t>Nr</w:t>
            </w:r>
            <w:proofErr w:type="spellEnd"/>
            <w:r w:rsidR="00D323E4" w:rsidRPr="00B4621C">
              <w:rPr>
                <w:i/>
                <w:sz w:val="25"/>
                <w:szCs w:val="25"/>
                <w:lang w:eastAsia="en-US"/>
              </w:rPr>
              <w:t>.</w:t>
            </w:r>
            <w:r w:rsidR="00D323E4" w:rsidRPr="00B4621C">
              <w:rPr>
                <w:sz w:val="25"/>
                <w:szCs w:val="25"/>
              </w:rPr>
              <w:t xml:space="preserve"> 140</w:t>
            </w:r>
            <w:r w:rsidR="007F749B" w:rsidRPr="00B4621C">
              <w:rPr>
                <w:sz w:val="25"/>
                <w:szCs w:val="25"/>
              </w:rPr>
              <w:t>7</w:t>
            </w:r>
            <w:r w:rsidR="00D323E4" w:rsidRPr="00B4621C">
              <w:rPr>
                <w:sz w:val="25"/>
                <w:szCs w:val="25"/>
              </w:rPr>
              <w:t>/2013</w:t>
            </w:r>
          </w:p>
        </w:tc>
        <w:tc>
          <w:tcPr>
            <w:tcW w:w="1031" w:type="pct"/>
            <w:gridSpan w:val="3"/>
            <w:tcBorders>
              <w:top w:val="outset" w:sz="6" w:space="0" w:color="auto"/>
              <w:left w:val="outset" w:sz="6" w:space="0" w:color="auto"/>
              <w:bottom w:val="outset" w:sz="6" w:space="0" w:color="auto"/>
              <w:right w:val="outset" w:sz="6" w:space="0" w:color="auto"/>
            </w:tcBorders>
            <w:vAlign w:val="center"/>
            <w:hideMark/>
          </w:tcPr>
          <w:p w:rsidR="00D323E4" w:rsidRPr="00B4621C" w:rsidRDefault="000B1C0D" w:rsidP="00F05142">
            <w:pPr>
              <w:pStyle w:val="naiskr"/>
              <w:spacing w:before="0" w:after="0"/>
              <w:jc w:val="both"/>
              <w:rPr>
                <w:i/>
                <w:sz w:val="25"/>
                <w:szCs w:val="25"/>
                <w:lang w:eastAsia="en-US"/>
              </w:rPr>
            </w:pPr>
            <w:r w:rsidRPr="00B4621C">
              <w:rPr>
                <w:b/>
                <w:i/>
                <w:sz w:val="25"/>
                <w:szCs w:val="25"/>
                <w:lang w:eastAsia="en-US"/>
              </w:rPr>
              <w:t xml:space="preserve">Noteikumu </w:t>
            </w:r>
            <w:r w:rsidR="00F05142" w:rsidRPr="00B4621C">
              <w:rPr>
                <w:b/>
                <w:i/>
                <w:sz w:val="25"/>
                <w:szCs w:val="25"/>
                <w:lang w:eastAsia="en-US"/>
              </w:rPr>
              <w:t>projekta 1</w:t>
            </w:r>
            <w:r w:rsidRPr="00B4621C">
              <w:rPr>
                <w:b/>
                <w:i/>
                <w:sz w:val="25"/>
                <w:szCs w:val="25"/>
                <w:lang w:eastAsia="en-US"/>
              </w:rPr>
              <w:t>.</w:t>
            </w:r>
            <w:r w:rsidR="00D323E4" w:rsidRPr="00B4621C">
              <w:rPr>
                <w:b/>
                <w:i/>
                <w:sz w:val="25"/>
                <w:szCs w:val="25"/>
                <w:lang w:eastAsia="en-US"/>
              </w:rPr>
              <w:t xml:space="preserve">punkts </w:t>
            </w:r>
          </w:p>
        </w:tc>
        <w:tc>
          <w:tcPr>
            <w:tcW w:w="1118" w:type="pct"/>
            <w:tcBorders>
              <w:top w:val="outset" w:sz="6" w:space="0" w:color="auto"/>
              <w:left w:val="outset" w:sz="6" w:space="0" w:color="auto"/>
              <w:bottom w:val="outset" w:sz="6" w:space="0" w:color="auto"/>
              <w:right w:val="outset" w:sz="6" w:space="0" w:color="auto"/>
            </w:tcBorders>
            <w:vAlign w:val="center"/>
            <w:hideMark/>
          </w:tcPr>
          <w:p w:rsidR="00D323E4" w:rsidRPr="00B4621C" w:rsidRDefault="00D323E4" w:rsidP="00F46334">
            <w:pPr>
              <w:pStyle w:val="naiskr"/>
              <w:spacing w:before="0" w:after="0"/>
              <w:jc w:val="both"/>
              <w:rPr>
                <w:i/>
                <w:sz w:val="25"/>
                <w:szCs w:val="25"/>
                <w:lang w:eastAsia="en-US"/>
              </w:rPr>
            </w:pPr>
            <w:r w:rsidRPr="00B4621C">
              <w:rPr>
                <w:i/>
                <w:sz w:val="25"/>
                <w:szCs w:val="25"/>
                <w:lang w:eastAsia="en-US"/>
              </w:rPr>
              <w:t>ieviesta pilnībā</w:t>
            </w:r>
          </w:p>
        </w:tc>
        <w:tc>
          <w:tcPr>
            <w:tcW w:w="1912" w:type="pct"/>
            <w:tcBorders>
              <w:top w:val="outset" w:sz="6" w:space="0" w:color="auto"/>
              <w:left w:val="outset" w:sz="6" w:space="0" w:color="auto"/>
              <w:bottom w:val="outset" w:sz="6" w:space="0" w:color="auto"/>
              <w:right w:val="outset" w:sz="6" w:space="0" w:color="auto"/>
            </w:tcBorders>
            <w:vAlign w:val="center"/>
            <w:hideMark/>
          </w:tcPr>
          <w:p w:rsidR="00D5213A" w:rsidRPr="00B4621C" w:rsidRDefault="00D323E4" w:rsidP="00F46334">
            <w:pPr>
              <w:pStyle w:val="naiskr"/>
              <w:spacing w:before="0" w:after="0"/>
              <w:jc w:val="both"/>
              <w:rPr>
                <w:i/>
                <w:sz w:val="25"/>
                <w:szCs w:val="25"/>
                <w:lang w:eastAsia="en-US"/>
              </w:rPr>
            </w:pPr>
            <w:r w:rsidRPr="00B4621C">
              <w:rPr>
                <w:i/>
                <w:sz w:val="25"/>
                <w:szCs w:val="25"/>
                <w:lang w:eastAsia="en-US"/>
              </w:rPr>
              <w:t>neparedz stingrākas prasības</w:t>
            </w:r>
          </w:p>
        </w:tc>
      </w:tr>
      <w:tr w:rsidR="00F05142" w:rsidRPr="00B4621C" w:rsidTr="00F05142">
        <w:tblPrEx>
          <w:tblBorders>
            <w:insideH w:val="none" w:sz="0" w:space="0" w:color="auto"/>
            <w:insideV w:val="none" w:sz="0" w:space="0" w:color="auto"/>
          </w:tblBorders>
        </w:tblPrEx>
        <w:trPr>
          <w:tblCellSpacing w:w="15" w:type="dxa"/>
        </w:trPr>
        <w:tc>
          <w:tcPr>
            <w:tcW w:w="848" w:type="pct"/>
            <w:gridSpan w:val="2"/>
            <w:tcBorders>
              <w:top w:val="outset" w:sz="6" w:space="0" w:color="auto"/>
              <w:left w:val="outset" w:sz="6" w:space="0" w:color="auto"/>
              <w:bottom w:val="outset" w:sz="6" w:space="0" w:color="auto"/>
              <w:right w:val="outset" w:sz="6" w:space="0" w:color="auto"/>
            </w:tcBorders>
            <w:vAlign w:val="center"/>
          </w:tcPr>
          <w:p w:rsidR="00F05142" w:rsidRPr="00B4621C" w:rsidRDefault="00F05142" w:rsidP="009C3271">
            <w:pPr>
              <w:pStyle w:val="naiskr"/>
              <w:spacing w:before="0" w:after="0"/>
              <w:jc w:val="both"/>
              <w:rPr>
                <w:sz w:val="25"/>
                <w:szCs w:val="25"/>
                <w:lang w:eastAsia="en-US"/>
              </w:rPr>
            </w:pPr>
            <w:r w:rsidRPr="00B4621C">
              <w:rPr>
                <w:i/>
                <w:sz w:val="25"/>
                <w:szCs w:val="25"/>
                <w:lang w:eastAsia="en-US"/>
              </w:rPr>
              <w:t xml:space="preserve">Komisijas Regulas </w:t>
            </w:r>
            <w:proofErr w:type="spellStart"/>
            <w:r w:rsidRPr="00B4621C">
              <w:rPr>
                <w:i/>
                <w:sz w:val="25"/>
                <w:szCs w:val="25"/>
                <w:lang w:eastAsia="en-US"/>
              </w:rPr>
              <w:t>Nr</w:t>
            </w:r>
            <w:proofErr w:type="spellEnd"/>
            <w:r w:rsidRPr="00B4621C">
              <w:rPr>
                <w:i/>
                <w:sz w:val="25"/>
                <w:szCs w:val="25"/>
                <w:lang w:eastAsia="en-US"/>
              </w:rPr>
              <w:t>.</w:t>
            </w:r>
            <w:r w:rsidRPr="00B4621C">
              <w:rPr>
                <w:sz w:val="25"/>
                <w:szCs w:val="25"/>
              </w:rPr>
              <w:t xml:space="preserve"> 1407/2013 2.panta 2.punkts</w:t>
            </w:r>
          </w:p>
        </w:tc>
        <w:tc>
          <w:tcPr>
            <w:tcW w:w="1031" w:type="pct"/>
            <w:gridSpan w:val="3"/>
            <w:tcBorders>
              <w:top w:val="outset" w:sz="6" w:space="0" w:color="auto"/>
              <w:left w:val="outset" w:sz="6" w:space="0" w:color="auto"/>
              <w:bottom w:val="outset" w:sz="6" w:space="0" w:color="auto"/>
              <w:right w:val="outset" w:sz="6" w:space="0" w:color="auto"/>
            </w:tcBorders>
            <w:vAlign w:val="center"/>
          </w:tcPr>
          <w:p w:rsidR="00F05142" w:rsidRPr="00B4621C" w:rsidRDefault="00F05142" w:rsidP="00D8634A">
            <w:pPr>
              <w:pStyle w:val="naiskr"/>
              <w:spacing w:before="0" w:after="0"/>
              <w:jc w:val="both"/>
              <w:rPr>
                <w:b/>
                <w:sz w:val="25"/>
                <w:szCs w:val="25"/>
                <w:lang w:eastAsia="en-US"/>
              </w:rPr>
            </w:pPr>
            <w:r w:rsidRPr="00B4621C">
              <w:rPr>
                <w:b/>
                <w:i/>
                <w:sz w:val="25"/>
                <w:szCs w:val="25"/>
                <w:lang w:eastAsia="en-US"/>
              </w:rPr>
              <w:t xml:space="preserve">Noteikumu projekta </w:t>
            </w:r>
            <w:r w:rsidR="00D8634A" w:rsidRPr="00B4621C">
              <w:rPr>
                <w:b/>
                <w:i/>
                <w:sz w:val="25"/>
                <w:szCs w:val="25"/>
                <w:lang w:eastAsia="en-US"/>
              </w:rPr>
              <w:t>5</w:t>
            </w:r>
            <w:r w:rsidRPr="00B4621C">
              <w:rPr>
                <w:b/>
                <w:i/>
                <w:sz w:val="25"/>
                <w:szCs w:val="25"/>
                <w:lang w:eastAsia="en-US"/>
              </w:rPr>
              <w:t>.punkts</w:t>
            </w:r>
          </w:p>
        </w:tc>
        <w:tc>
          <w:tcPr>
            <w:tcW w:w="1118" w:type="pct"/>
            <w:tcBorders>
              <w:top w:val="outset" w:sz="6" w:space="0" w:color="auto"/>
              <w:left w:val="outset" w:sz="6" w:space="0" w:color="auto"/>
              <w:bottom w:val="outset" w:sz="6" w:space="0" w:color="auto"/>
              <w:right w:val="outset" w:sz="6" w:space="0" w:color="auto"/>
            </w:tcBorders>
            <w:vAlign w:val="center"/>
          </w:tcPr>
          <w:p w:rsidR="00F05142" w:rsidRPr="00B4621C" w:rsidRDefault="00F05142" w:rsidP="009C3271">
            <w:pPr>
              <w:pStyle w:val="naiskr"/>
              <w:spacing w:before="0" w:after="0"/>
              <w:jc w:val="both"/>
              <w:rPr>
                <w:sz w:val="25"/>
                <w:szCs w:val="25"/>
                <w:lang w:eastAsia="en-US"/>
              </w:rPr>
            </w:pPr>
            <w:r w:rsidRPr="00B4621C">
              <w:rPr>
                <w:i/>
                <w:sz w:val="25"/>
                <w:szCs w:val="25"/>
                <w:lang w:eastAsia="en-US"/>
              </w:rPr>
              <w:t>ieviesta pilnībā</w:t>
            </w:r>
          </w:p>
        </w:tc>
        <w:tc>
          <w:tcPr>
            <w:tcW w:w="1912" w:type="pct"/>
            <w:tcBorders>
              <w:top w:val="outset" w:sz="6" w:space="0" w:color="auto"/>
              <w:left w:val="outset" w:sz="6" w:space="0" w:color="auto"/>
              <w:bottom w:val="outset" w:sz="6" w:space="0" w:color="auto"/>
              <w:right w:val="outset" w:sz="6" w:space="0" w:color="auto"/>
            </w:tcBorders>
            <w:vAlign w:val="center"/>
          </w:tcPr>
          <w:p w:rsidR="00F05142" w:rsidRPr="00B4621C" w:rsidRDefault="00F05142" w:rsidP="009C3271">
            <w:pPr>
              <w:pStyle w:val="naiskr"/>
              <w:spacing w:before="0" w:after="0"/>
              <w:jc w:val="both"/>
              <w:rPr>
                <w:sz w:val="25"/>
                <w:szCs w:val="25"/>
                <w:lang w:eastAsia="en-US"/>
              </w:rPr>
            </w:pPr>
            <w:r w:rsidRPr="00B4621C">
              <w:rPr>
                <w:i/>
                <w:sz w:val="25"/>
                <w:szCs w:val="25"/>
                <w:lang w:eastAsia="en-US"/>
              </w:rPr>
              <w:t>neparedz stingrākas prasības</w:t>
            </w:r>
          </w:p>
        </w:tc>
      </w:tr>
      <w:tr w:rsidR="00F05142" w:rsidRPr="00B4621C" w:rsidTr="00F05142">
        <w:tblPrEx>
          <w:tblBorders>
            <w:insideH w:val="none" w:sz="0" w:space="0" w:color="auto"/>
            <w:insideV w:val="none" w:sz="0" w:space="0" w:color="auto"/>
          </w:tblBorders>
        </w:tblPrEx>
        <w:trPr>
          <w:tblCellSpacing w:w="15" w:type="dxa"/>
        </w:trPr>
        <w:tc>
          <w:tcPr>
            <w:tcW w:w="848" w:type="pct"/>
            <w:gridSpan w:val="2"/>
            <w:tcBorders>
              <w:top w:val="outset" w:sz="6" w:space="0" w:color="auto"/>
              <w:left w:val="outset" w:sz="6" w:space="0" w:color="auto"/>
              <w:bottom w:val="outset" w:sz="6" w:space="0" w:color="auto"/>
              <w:right w:val="outset" w:sz="6" w:space="0" w:color="auto"/>
            </w:tcBorders>
            <w:vAlign w:val="center"/>
          </w:tcPr>
          <w:p w:rsidR="00F05142" w:rsidRPr="00B4621C" w:rsidRDefault="00F05142" w:rsidP="00D5213A">
            <w:pPr>
              <w:pStyle w:val="naiskr"/>
              <w:spacing w:before="0" w:after="0"/>
              <w:jc w:val="both"/>
              <w:rPr>
                <w:sz w:val="25"/>
                <w:szCs w:val="25"/>
                <w:lang w:eastAsia="en-US"/>
              </w:rPr>
            </w:pPr>
            <w:r w:rsidRPr="00B4621C">
              <w:rPr>
                <w:i/>
                <w:sz w:val="25"/>
                <w:szCs w:val="25"/>
                <w:lang w:eastAsia="en-US"/>
              </w:rPr>
              <w:lastRenderedPageBreak/>
              <w:t xml:space="preserve">Komisijas Regulas </w:t>
            </w:r>
            <w:proofErr w:type="spellStart"/>
            <w:r w:rsidRPr="00B4621C">
              <w:rPr>
                <w:i/>
                <w:sz w:val="25"/>
                <w:szCs w:val="25"/>
                <w:lang w:eastAsia="en-US"/>
              </w:rPr>
              <w:t>Nr</w:t>
            </w:r>
            <w:proofErr w:type="spellEnd"/>
            <w:r w:rsidRPr="00B4621C">
              <w:rPr>
                <w:i/>
                <w:sz w:val="25"/>
                <w:szCs w:val="25"/>
                <w:lang w:eastAsia="en-US"/>
              </w:rPr>
              <w:t>.</w:t>
            </w:r>
            <w:r w:rsidRPr="00B4621C">
              <w:rPr>
                <w:sz w:val="25"/>
                <w:szCs w:val="25"/>
              </w:rPr>
              <w:t xml:space="preserve"> 1407/2013 3.panta 2.punkts</w:t>
            </w:r>
          </w:p>
        </w:tc>
        <w:tc>
          <w:tcPr>
            <w:tcW w:w="1031" w:type="pct"/>
            <w:gridSpan w:val="3"/>
            <w:tcBorders>
              <w:top w:val="outset" w:sz="6" w:space="0" w:color="auto"/>
              <w:left w:val="outset" w:sz="6" w:space="0" w:color="auto"/>
              <w:bottom w:val="outset" w:sz="6" w:space="0" w:color="auto"/>
              <w:right w:val="outset" w:sz="6" w:space="0" w:color="auto"/>
            </w:tcBorders>
            <w:vAlign w:val="center"/>
          </w:tcPr>
          <w:p w:rsidR="00F05142" w:rsidRPr="00B4621C" w:rsidRDefault="00F05142" w:rsidP="00F05142">
            <w:pPr>
              <w:pStyle w:val="naiskr"/>
              <w:spacing w:before="0" w:after="0"/>
              <w:jc w:val="both"/>
              <w:rPr>
                <w:b/>
                <w:sz w:val="25"/>
                <w:szCs w:val="25"/>
                <w:lang w:eastAsia="en-US"/>
              </w:rPr>
            </w:pPr>
            <w:r w:rsidRPr="00B4621C">
              <w:rPr>
                <w:b/>
                <w:i/>
                <w:sz w:val="25"/>
                <w:szCs w:val="25"/>
                <w:lang w:eastAsia="en-US"/>
              </w:rPr>
              <w:t>Noteikumu projekta 3.punkts</w:t>
            </w:r>
          </w:p>
        </w:tc>
        <w:tc>
          <w:tcPr>
            <w:tcW w:w="1118" w:type="pct"/>
            <w:tcBorders>
              <w:top w:val="outset" w:sz="6" w:space="0" w:color="auto"/>
              <w:left w:val="outset" w:sz="6" w:space="0" w:color="auto"/>
              <w:bottom w:val="outset" w:sz="6" w:space="0" w:color="auto"/>
              <w:right w:val="outset" w:sz="6" w:space="0" w:color="auto"/>
            </w:tcBorders>
            <w:vAlign w:val="center"/>
          </w:tcPr>
          <w:p w:rsidR="00F05142" w:rsidRPr="00B4621C" w:rsidRDefault="00F05142" w:rsidP="00F46334">
            <w:pPr>
              <w:pStyle w:val="naiskr"/>
              <w:spacing w:before="0" w:after="0"/>
              <w:jc w:val="both"/>
              <w:rPr>
                <w:sz w:val="25"/>
                <w:szCs w:val="25"/>
                <w:lang w:eastAsia="en-US"/>
              </w:rPr>
            </w:pPr>
            <w:r w:rsidRPr="00B4621C">
              <w:rPr>
                <w:i/>
                <w:sz w:val="25"/>
                <w:szCs w:val="25"/>
                <w:lang w:eastAsia="en-US"/>
              </w:rPr>
              <w:t>ieviesta pilnībā</w:t>
            </w:r>
          </w:p>
        </w:tc>
        <w:tc>
          <w:tcPr>
            <w:tcW w:w="1912" w:type="pct"/>
            <w:tcBorders>
              <w:top w:val="outset" w:sz="6" w:space="0" w:color="auto"/>
              <w:left w:val="outset" w:sz="6" w:space="0" w:color="auto"/>
              <w:bottom w:val="outset" w:sz="6" w:space="0" w:color="auto"/>
              <w:right w:val="outset" w:sz="6" w:space="0" w:color="auto"/>
            </w:tcBorders>
            <w:vAlign w:val="center"/>
          </w:tcPr>
          <w:p w:rsidR="00F05142" w:rsidRPr="00B4621C" w:rsidRDefault="00F05142" w:rsidP="00F46334">
            <w:pPr>
              <w:pStyle w:val="naiskr"/>
              <w:spacing w:before="0" w:after="0"/>
              <w:jc w:val="both"/>
              <w:rPr>
                <w:sz w:val="25"/>
                <w:szCs w:val="25"/>
                <w:lang w:eastAsia="en-US"/>
              </w:rPr>
            </w:pPr>
            <w:r w:rsidRPr="00B4621C">
              <w:rPr>
                <w:i/>
                <w:sz w:val="25"/>
                <w:szCs w:val="25"/>
                <w:lang w:eastAsia="en-US"/>
              </w:rPr>
              <w:t>neparedz stingrākas prasības</w:t>
            </w:r>
          </w:p>
        </w:tc>
      </w:tr>
      <w:tr w:rsidR="00F05142" w:rsidRPr="00B4621C" w:rsidTr="00F05142">
        <w:tblPrEx>
          <w:tblBorders>
            <w:insideH w:val="none" w:sz="0" w:space="0" w:color="auto"/>
            <w:insideV w:val="none" w:sz="0" w:space="0" w:color="auto"/>
          </w:tblBorders>
        </w:tblPrEx>
        <w:trPr>
          <w:tblCellSpacing w:w="15" w:type="dxa"/>
        </w:trPr>
        <w:tc>
          <w:tcPr>
            <w:tcW w:w="1856" w:type="pct"/>
            <w:gridSpan w:val="4"/>
            <w:tcBorders>
              <w:top w:val="outset" w:sz="6" w:space="0" w:color="auto"/>
              <w:left w:val="outset" w:sz="6" w:space="0" w:color="auto"/>
              <w:bottom w:val="outset" w:sz="6" w:space="0" w:color="auto"/>
              <w:right w:val="outset" w:sz="6" w:space="0" w:color="auto"/>
            </w:tcBorders>
            <w:vAlign w:val="center"/>
            <w:hideMark/>
          </w:tcPr>
          <w:p w:rsidR="00F05142" w:rsidRPr="00B4621C" w:rsidRDefault="00F05142" w:rsidP="00F46334">
            <w:pPr>
              <w:spacing w:line="240" w:lineRule="auto"/>
              <w:jc w:val="both"/>
              <w:rPr>
                <w:rFonts w:ascii="Times New Roman" w:eastAsia="Times New Roman" w:hAnsi="Times New Roman" w:cs="Times New Roman"/>
                <w:sz w:val="25"/>
                <w:szCs w:val="25"/>
                <w:lang w:eastAsia="lv-LV"/>
              </w:rPr>
            </w:pPr>
            <w:r w:rsidRPr="00B4621C">
              <w:rPr>
                <w:rFonts w:ascii="Times New Roman" w:eastAsia="Times New Roman" w:hAnsi="Times New Roman" w:cs="Times New Roman"/>
                <w:sz w:val="25"/>
                <w:szCs w:val="25"/>
                <w:lang w:eastAsia="lv-LV"/>
              </w:rPr>
              <w:t>Kā ir izmantota ES tiesību aktā paredzētā rīcības brīvība dalībvalstij pārņemt vai ieviest noteiktas ES tiesību akta normas.</w:t>
            </w:r>
          </w:p>
        </w:tc>
        <w:tc>
          <w:tcPr>
            <w:tcW w:w="3090" w:type="pct"/>
            <w:gridSpan w:val="3"/>
            <w:tcBorders>
              <w:top w:val="outset" w:sz="6" w:space="0" w:color="auto"/>
              <w:left w:val="outset" w:sz="6" w:space="0" w:color="auto"/>
              <w:bottom w:val="outset" w:sz="6" w:space="0" w:color="auto"/>
              <w:right w:val="outset" w:sz="6" w:space="0" w:color="auto"/>
            </w:tcBorders>
            <w:hideMark/>
          </w:tcPr>
          <w:p w:rsidR="00F05142" w:rsidRPr="00B4621C" w:rsidRDefault="00F05142" w:rsidP="00F46334">
            <w:pPr>
              <w:spacing w:line="240" w:lineRule="auto"/>
              <w:jc w:val="both"/>
              <w:rPr>
                <w:rFonts w:ascii="Times New Roman" w:eastAsia="Times New Roman" w:hAnsi="Times New Roman" w:cs="Times New Roman"/>
                <w:sz w:val="25"/>
                <w:szCs w:val="25"/>
                <w:lang w:eastAsia="lv-LV"/>
              </w:rPr>
            </w:pPr>
            <w:r w:rsidRPr="00B4621C">
              <w:rPr>
                <w:rFonts w:ascii="Times New Roman" w:eastAsia="Times New Roman" w:hAnsi="Times New Roman" w:cs="Times New Roman"/>
                <w:sz w:val="25"/>
                <w:szCs w:val="25"/>
                <w:lang w:eastAsia="lv-LV"/>
              </w:rPr>
              <w:t>Nav attiecināms.</w:t>
            </w:r>
          </w:p>
        </w:tc>
      </w:tr>
      <w:tr w:rsidR="00F05142" w:rsidRPr="00B4621C" w:rsidTr="00F05142">
        <w:tblPrEx>
          <w:tblBorders>
            <w:insideH w:val="none" w:sz="0" w:space="0" w:color="auto"/>
            <w:insideV w:val="none" w:sz="0" w:space="0" w:color="auto"/>
          </w:tblBorders>
        </w:tblPrEx>
        <w:trPr>
          <w:tblCellSpacing w:w="15" w:type="dxa"/>
        </w:trPr>
        <w:tc>
          <w:tcPr>
            <w:tcW w:w="1856" w:type="pct"/>
            <w:gridSpan w:val="4"/>
            <w:tcBorders>
              <w:top w:val="outset" w:sz="6" w:space="0" w:color="auto"/>
              <w:left w:val="outset" w:sz="6" w:space="0" w:color="auto"/>
              <w:bottom w:val="outset" w:sz="6" w:space="0" w:color="auto"/>
              <w:right w:val="outset" w:sz="6" w:space="0" w:color="auto"/>
            </w:tcBorders>
            <w:vAlign w:val="center"/>
            <w:hideMark/>
          </w:tcPr>
          <w:p w:rsidR="00F05142" w:rsidRPr="00B4621C" w:rsidRDefault="00F05142" w:rsidP="00F46334">
            <w:pPr>
              <w:spacing w:line="240" w:lineRule="auto"/>
              <w:jc w:val="both"/>
              <w:rPr>
                <w:rFonts w:ascii="Times New Roman" w:eastAsia="Times New Roman" w:hAnsi="Times New Roman" w:cs="Times New Roman"/>
                <w:sz w:val="25"/>
                <w:szCs w:val="25"/>
                <w:lang w:eastAsia="lv-LV"/>
              </w:rPr>
            </w:pPr>
            <w:r w:rsidRPr="00B4621C">
              <w:rPr>
                <w:rFonts w:ascii="Times New Roman" w:eastAsia="Times New Roman" w:hAnsi="Times New Roman" w:cs="Times New Roman"/>
                <w:sz w:val="25"/>
                <w:szCs w:val="25"/>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090" w:type="pct"/>
            <w:gridSpan w:val="3"/>
            <w:tcBorders>
              <w:top w:val="outset" w:sz="6" w:space="0" w:color="auto"/>
              <w:left w:val="outset" w:sz="6" w:space="0" w:color="auto"/>
              <w:bottom w:val="outset" w:sz="6" w:space="0" w:color="auto"/>
              <w:right w:val="outset" w:sz="6" w:space="0" w:color="auto"/>
            </w:tcBorders>
            <w:hideMark/>
          </w:tcPr>
          <w:p w:rsidR="00F05142" w:rsidRPr="00B4621C" w:rsidRDefault="00F05142" w:rsidP="00F46334">
            <w:pPr>
              <w:spacing w:line="240" w:lineRule="auto"/>
              <w:jc w:val="both"/>
              <w:rPr>
                <w:rFonts w:ascii="Times New Roman" w:eastAsia="Times New Roman" w:hAnsi="Times New Roman" w:cs="Times New Roman"/>
                <w:sz w:val="25"/>
                <w:szCs w:val="25"/>
                <w:lang w:eastAsia="lv-LV"/>
              </w:rPr>
            </w:pPr>
            <w:r w:rsidRPr="00B4621C">
              <w:rPr>
                <w:rFonts w:ascii="Times New Roman" w:hAnsi="Times New Roman" w:cs="Times New Roman"/>
                <w:sz w:val="25"/>
                <w:szCs w:val="25"/>
              </w:rPr>
              <w:t>Nav attiecināms.</w:t>
            </w:r>
          </w:p>
        </w:tc>
      </w:tr>
      <w:tr w:rsidR="00F05142" w:rsidRPr="00B4621C" w:rsidTr="00F05142">
        <w:tblPrEx>
          <w:tblBorders>
            <w:insideH w:val="none" w:sz="0" w:space="0" w:color="auto"/>
            <w:insideV w:val="none" w:sz="0" w:space="0" w:color="auto"/>
          </w:tblBorders>
        </w:tblPrEx>
        <w:trPr>
          <w:tblCellSpacing w:w="15" w:type="dxa"/>
        </w:trPr>
        <w:tc>
          <w:tcPr>
            <w:tcW w:w="1856" w:type="pct"/>
            <w:gridSpan w:val="4"/>
            <w:tcBorders>
              <w:top w:val="outset" w:sz="6" w:space="0" w:color="auto"/>
              <w:left w:val="outset" w:sz="6" w:space="0" w:color="auto"/>
              <w:bottom w:val="outset" w:sz="6" w:space="0" w:color="auto"/>
              <w:right w:val="outset" w:sz="6" w:space="0" w:color="auto"/>
            </w:tcBorders>
            <w:hideMark/>
          </w:tcPr>
          <w:p w:rsidR="00F05142" w:rsidRPr="00B4621C" w:rsidRDefault="00F05142" w:rsidP="00F46334">
            <w:pPr>
              <w:spacing w:line="240" w:lineRule="auto"/>
              <w:jc w:val="both"/>
              <w:rPr>
                <w:rFonts w:ascii="Times New Roman" w:eastAsia="Times New Roman" w:hAnsi="Times New Roman" w:cs="Times New Roman"/>
                <w:sz w:val="25"/>
                <w:szCs w:val="25"/>
                <w:lang w:eastAsia="lv-LV"/>
              </w:rPr>
            </w:pPr>
            <w:r w:rsidRPr="00B4621C">
              <w:rPr>
                <w:rFonts w:ascii="Times New Roman" w:eastAsia="Times New Roman" w:hAnsi="Times New Roman" w:cs="Times New Roman"/>
                <w:sz w:val="25"/>
                <w:szCs w:val="25"/>
                <w:lang w:eastAsia="lv-LV"/>
              </w:rPr>
              <w:t>Cita informācija</w:t>
            </w:r>
          </w:p>
        </w:tc>
        <w:tc>
          <w:tcPr>
            <w:tcW w:w="3090" w:type="pct"/>
            <w:gridSpan w:val="3"/>
            <w:tcBorders>
              <w:top w:val="outset" w:sz="6" w:space="0" w:color="auto"/>
              <w:left w:val="outset" w:sz="6" w:space="0" w:color="auto"/>
              <w:bottom w:val="outset" w:sz="6" w:space="0" w:color="auto"/>
              <w:right w:val="outset" w:sz="6" w:space="0" w:color="auto"/>
            </w:tcBorders>
            <w:hideMark/>
          </w:tcPr>
          <w:p w:rsidR="00F05142" w:rsidRPr="00B4621C" w:rsidRDefault="00F05142" w:rsidP="00F46334">
            <w:pPr>
              <w:spacing w:line="240" w:lineRule="auto"/>
              <w:jc w:val="both"/>
              <w:rPr>
                <w:rFonts w:ascii="Times New Roman" w:eastAsia="Times New Roman" w:hAnsi="Times New Roman" w:cs="Times New Roman"/>
                <w:sz w:val="25"/>
                <w:szCs w:val="25"/>
                <w:lang w:eastAsia="lv-LV"/>
              </w:rPr>
            </w:pPr>
            <w:r w:rsidRPr="00B4621C">
              <w:rPr>
                <w:rFonts w:ascii="Times New Roman" w:eastAsia="Times New Roman" w:hAnsi="Times New Roman" w:cs="Times New Roman"/>
                <w:sz w:val="25"/>
                <w:szCs w:val="25"/>
                <w:lang w:eastAsia="lv-LV"/>
              </w:rPr>
              <w:t>Nav</w:t>
            </w:r>
          </w:p>
        </w:tc>
      </w:tr>
    </w:tbl>
    <w:p w:rsidR="00956521" w:rsidRPr="00B4621C" w:rsidRDefault="00956521" w:rsidP="00F46334">
      <w:pPr>
        <w:tabs>
          <w:tab w:val="left" w:pos="7655"/>
        </w:tabs>
        <w:spacing w:line="240" w:lineRule="auto"/>
        <w:jc w:val="both"/>
        <w:rPr>
          <w:rFonts w:ascii="Times New Roman" w:hAnsi="Times New Roman" w:cs="Times New Roman"/>
          <w:bCs/>
          <w:sz w:val="25"/>
          <w:szCs w:val="25"/>
        </w:rPr>
      </w:pPr>
      <w:r w:rsidRPr="00B4621C">
        <w:rPr>
          <w:rFonts w:ascii="Times New Roman" w:hAnsi="Times New Roman" w:cs="Times New Roman"/>
          <w:bCs/>
          <w:sz w:val="25"/>
          <w:szCs w:val="25"/>
        </w:rPr>
        <w:t xml:space="preserve"> </w:t>
      </w:r>
    </w:p>
    <w:tbl>
      <w:tblPr>
        <w:tblW w:w="8364" w:type="dxa"/>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709"/>
        <w:gridCol w:w="2268"/>
        <w:gridCol w:w="5387"/>
      </w:tblGrid>
      <w:tr w:rsidR="00956521" w:rsidRPr="00B4621C" w:rsidTr="003105D9">
        <w:tc>
          <w:tcPr>
            <w:tcW w:w="8364"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B4621C" w:rsidRDefault="00E70ADF" w:rsidP="00221970">
            <w:pPr>
              <w:spacing w:after="0" w:line="240" w:lineRule="auto"/>
              <w:jc w:val="center"/>
              <w:rPr>
                <w:rFonts w:ascii="Times New Roman" w:eastAsia="Times New Roman" w:hAnsi="Times New Roman" w:cs="Times New Roman"/>
                <w:b/>
                <w:sz w:val="25"/>
                <w:szCs w:val="25"/>
                <w:lang w:eastAsia="lv-LV"/>
              </w:rPr>
            </w:pPr>
            <w:r w:rsidRPr="00B4621C">
              <w:rPr>
                <w:rFonts w:ascii="Times New Roman" w:hAnsi="Times New Roman" w:cs="Times New Roman"/>
                <w:b/>
                <w:bCs/>
                <w:sz w:val="25"/>
                <w:szCs w:val="25"/>
              </w:rPr>
              <w:t>VI. Sabiedrības līdzdalība un komunikācijas aktivitātes</w:t>
            </w:r>
          </w:p>
        </w:tc>
      </w:tr>
      <w:tr w:rsidR="00956521" w:rsidRPr="00B4621C" w:rsidTr="00D5213A">
        <w:tc>
          <w:tcPr>
            <w:tcW w:w="709"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B4621C" w:rsidRDefault="00956521" w:rsidP="00221970">
            <w:pPr>
              <w:spacing w:after="0" w:line="240" w:lineRule="auto"/>
              <w:rPr>
                <w:rFonts w:ascii="Times New Roman" w:eastAsia="Times New Roman" w:hAnsi="Times New Roman" w:cs="Times New Roman"/>
                <w:sz w:val="25"/>
                <w:szCs w:val="25"/>
                <w:lang w:eastAsia="lv-LV"/>
              </w:rPr>
            </w:pPr>
            <w:r w:rsidRPr="00B4621C">
              <w:rPr>
                <w:rFonts w:ascii="Times New Roman" w:eastAsia="Times New Roman" w:hAnsi="Times New Roman" w:cs="Times New Roman"/>
                <w:sz w:val="25"/>
                <w:szCs w:val="25"/>
                <w:lang w:eastAsia="lv-LV"/>
              </w:rPr>
              <w:t>1.</w:t>
            </w:r>
          </w:p>
        </w:tc>
        <w:tc>
          <w:tcPr>
            <w:tcW w:w="2268"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B4621C" w:rsidRDefault="00E70ADF" w:rsidP="00221970">
            <w:pPr>
              <w:spacing w:after="0" w:line="240" w:lineRule="auto"/>
              <w:rPr>
                <w:rFonts w:ascii="Times New Roman" w:eastAsia="Times New Roman" w:hAnsi="Times New Roman" w:cs="Times New Roman"/>
                <w:sz w:val="25"/>
                <w:szCs w:val="25"/>
                <w:lang w:eastAsia="lv-LV"/>
              </w:rPr>
            </w:pPr>
            <w:r w:rsidRPr="00B4621C">
              <w:rPr>
                <w:rFonts w:ascii="Times New Roman" w:hAnsi="Times New Roman" w:cs="Times New Roman"/>
                <w:sz w:val="25"/>
                <w:szCs w:val="25"/>
              </w:rPr>
              <w:t>Plānotās sabiedrības līdzdalības un komunikācijas aktivitātes saistībā ar projektu</w:t>
            </w:r>
          </w:p>
        </w:tc>
        <w:tc>
          <w:tcPr>
            <w:tcW w:w="5387"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B4621C" w:rsidRDefault="00D677E3" w:rsidP="00221970">
            <w:pPr>
              <w:spacing w:after="0" w:line="240" w:lineRule="auto"/>
              <w:ind w:left="124"/>
              <w:jc w:val="both"/>
              <w:rPr>
                <w:rFonts w:ascii="Times New Roman" w:eastAsia="Times New Roman" w:hAnsi="Times New Roman" w:cs="Times New Roman"/>
                <w:sz w:val="25"/>
                <w:szCs w:val="25"/>
                <w:lang w:eastAsia="lv-LV"/>
              </w:rPr>
            </w:pPr>
            <w:r w:rsidRPr="00B4621C">
              <w:rPr>
                <w:rFonts w:ascii="Times New Roman" w:eastAsia="Times New Roman" w:hAnsi="Times New Roman" w:cs="Times New Roman"/>
                <w:iCs/>
                <w:sz w:val="25"/>
                <w:szCs w:val="25"/>
                <w:lang w:eastAsia="lv-LV"/>
              </w:rPr>
              <w:t>Grozījumi ir labvēlīgāki potenciālajiem projektu iesniedzējiem salīdzinājumā ar spēkā esošajiem noteikumiem, tāpēc konsultācijas nebija nepieciešams rīkot.</w:t>
            </w:r>
          </w:p>
        </w:tc>
      </w:tr>
      <w:tr w:rsidR="00956521" w:rsidRPr="00B4621C" w:rsidTr="00D5213A">
        <w:tc>
          <w:tcPr>
            <w:tcW w:w="709"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B4621C" w:rsidRDefault="00956521" w:rsidP="00221970">
            <w:pPr>
              <w:spacing w:after="0" w:line="240" w:lineRule="auto"/>
              <w:rPr>
                <w:rFonts w:ascii="Times New Roman" w:eastAsia="Times New Roman" w:hAnsi="Times New Roman" w:cs="Times New Roman"/>
                <w:sz w:val="25"/>
                <w:szCs w:val="25"/>
                <w:lang w:eastAsia="lv-LV"/>
              </w:rPr>
            </w:pPr>
            <w:r w:rsidRPr="00B4621C">
              <w:rPr>
                <w:rFonts w:ascii="Times New Roman" w:eastAsia="Times New Roman" w:hAnsi="Times New Roman" w:cs="Times New Roman"/>
                <w:sz w:val="25"/>
                <w:szCs w:val="25"/>
                <w:lang w:eastAsia="lv-LV"/>
              </w:rPr>
              <w:t>2.</w:t>
            </w:r>
          </w:p>
        </w:tc>
        <w:tc>
          <w:tcPr>
            <w:tcW w:w="2268"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B4621C" w:rsidRDefault="00E70ADF" w:rsidP="00221970">
            <w:pPr>
              <w:spacing w:after="0" w:line="240" w:lineRule="auto"/>
              <w:rPr>
                <w:rFonts w:ascii="Times New Roman" w:eastAsia="Times New Roman" w:hAnsi="Times New Roman" w:cs="Times New Roman"/>
                <w:sz w:val="25"/>
                <w:szCs w:val="25"/>
                <w:lang w:eastAsia="lv-LV"/>
              </w:rPr>
            </w:pPr>
            <w:r w:rsidRPr="00B4621C">
              <w:rPr>
                <w:rFonts w:ascii="Times New Roman" w:hAnsi="Times New Roman" w:cs="Times New Roman"/>
                <w:sz w:val="25"/>
                <w:szCs w:val="25"/>
              </w:rPr>
              <w:t>Sabiedrības līdzdalība projekta izstrādē</w:t>
            </w:r>
          </w:p>
        </w:tc>
        <w:tc>
          <w:tcPr>
            <w:tcW w:w="5387"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B4621C" w:rsidRDefault="00D677E3" w:rsidP="00221970">
            <w:pPr>
              <w:spacing w:after="0" w:line="240" w:lineRule="auto"/>
              <w:ind w:left="124"/>
              <w:jc w:val="both"/>
              <w:rPr>
                <w:rFonts w:ascii="Times New Roman" w:eastAsia="Times New Roman" w:hAnsi="Times New Roman" w:cs="Times New Roman"/>
                <w:iCs/>
                <w:sz w:val="25"/>
                <w:szCs w:val="25"/>
                <w:lang w:eastAsia="lv-LV"/>
              </w:rPr>
            </w:pPr>
            <w:r w:rsidRPr="00B4621C">
              <w:rPr>
                <w:rFonts w:ascii="Times New Roman" w:eastAsia="Times New Roman" w:hAnsi="Times New Roman" w:cs="Times New Roman"/>
                <w:iCs/>
                <w:sz w:val="25"/>
                <w:szCs w:val="25"/>
                <w:lang w:eastAsia="lv-LV"/>
              </w:rPr>
              <w:t>Grozījumi ir labvēlīgāki potenciālajiem projektu iesniedzējiem salīdzinājumā ar spēkā esošajiem noteikumiem, tāpēc konsultācijas nebija nepieciešams rīkot.</w:t>
            </w:r>
          </w:p>
        </w:tc>
      </w:tr>
      <w:tr w:rsidR="00956521" w:rsidRPr="00B4621C" w:rsidTr="00D5213A">
        <w:trPr>
          <w:trHeight w:val="930"/>
        </w:trPr>
        <w:tc>
          <w:tcPr>
            <w:tcW w:w="709"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B4621C" w:rsidRDefault="00956521" w:rsidP="00221970">
            <w:pPr>
              <w:spacing w:after="0" w:line="240" w:lineRule="auto"/>
              <w:rPr>
                <w:rFonts w:ascii="Times New Roman" w:eastAsia="Times New Roman" w:hAnsi="Times New Roman" w:cs="Times New Roman"/>
                <w:sz w:val="25"/>
                <w:szCs w:val="25"/>
                <w:lang w:eastAsia="lv-LV"/>
              </w:rPr>
            </w:pPr>
            <w:r w:rsidRPr="00B4621C">
              <w:rPr>
                <w:rFonts w:ascii="Times New Roman" w:eastAsia="Times New Roman" w:hAnsi="Times New Roman" w:cs="Times New Roman"/>
                <w:sz w:val="25"/>
                <w:szCs w:val="25"/>
                <w:lang w:eastAsia="lv-LV"/>
              </w:rPr>
              <w:t>3.</w:t>
            </w:r>
          </w:p>
        </w:tc>
        <w:tc>
          <w:tcPr>
            <w:tcW w:w="2268"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B4621C" w:rsidRDefault="00956521" w:rsidP="00221970">
            <w:pPr>
              <w:spacing w:after="0" w:line="240" w:lineRule="auto"/>
              <w:rPr>
                <w:rFonts w:ascii="Times New Roman" w:eastAsia="Times New Roman" w:hAnsi="Times New Roman" w:cs="Times New Roman"/>
                <w:sz w:val="25"/>
                <w:szCs w:val="25"/>
                <w:lang w:eastAsia="lv-LV"/>
              </w:rPr>
            </w:pPr>
            <w:r w:rsidRPr="00B4621C">
              <w:rPr>
                <w:rFonts w:ascii="Times New Roman" w:hAnsi="Times New Roman" w:cs="Times New Roman"/>
                <w:sz w:val="25"/>
                <w:szCs w:val="25"/>
              </w:rPr>
              <w:t>Sabiedrības līdzdalības rezultāti</w:t>
            </w:r>
          </w:p>
        </w:tc>
        <w:tc>
          <w:tcPr>
            <w:tcW w:w="5387"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B4621C" w:rsidRDefault="00D677E3" w:rsidP="00221970">
            <w:pPr>
              <w:spacing w:after="0" w:line="240" w:lineRule="auto"/>
              <w:ind w:left="124"/>
              <w:jc w:val="both"/>
              <w:rPr>
                <w:rFonts w:ascii="Times New Roman" w:eastAsia="Times New Roman" w:hAnsi="Times New Roman" w:cs="Times New Roman"/>
                <w:b/>
                <w:sz w:val="25"/>
                <w:szCs w:val="25"/>
                <w:lang w:eastAsia="lv-LV"/>
              </w:rPr>
            </w:pPr>
            <w:r w:rsidRPr="00B4621C">
              <w:rPr>
                <w:rFonts w:ascii="Times New Roman" w:eastAsia="Times New Roman" w:hAnsi="Times New Roman" w:cs="Times New Roman"/>
                <w:iCs/>
                <w:sz w:val="25"/>
                <w:szCs w:val="25"/>
                <w:lang w:eastAsia="lv-LV"/>
              </w:rPr>
              <w:t>Grozījumi ir labvēlīgāki potenciālajiem projektu iesniedzējiem salīdzinājumā ar spēkā esošajiem noteikumiem, tāpēc konsultācijas nebija nepieciešams rīkot.</w:t>
            </w:r>
          </w:p>
        </w:tc>
      </w:tr>
      <w:tr w:rsidR="00956521" w:rsidRPr="00B4621C" w:rsidTr="00D5213A">
        <w:trPr>
          <w:trHeight w:val="912"/>
        </w:trPr>
        <w:tc>
          <w:tcPr>
            <w:tcW w:w="709"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B4621C" w:rsidRDefault="00E70ADF" w:rsidP="00221970">
            <w:pPr>
              <w:spacing w:after="0" w:line="240" w:lineRule="auto"/>
              <w:rPr>
                <w:rFonts w:ascii="Times New Roman" w:eastAsia="Times New Roman" w:hAnsi="Times New Roman" w:cs="Times New Roman"/>
                <w:sz w:val="25"/>
                <w:szCs w:val="25"/>
                <w:lang w:eastAsia="lv-LV"/>
              </w:rPr>
            </w:pPr>
            <w:r w:rsidRPr="00B4621C">
              <w:rPr>
                <w:rFonts w:ascii="Times New Roman" w:eastAsia="Times New Roman" w:hAnsi="Times New Roman" w:cs="Times New Roman"/>
                <w:sz w:val="25"/>
                <w:szCs w:val="25"/>
                <w:lang w:eastAsia="lv-LV"/>
              </w:rPr>
              <w:t>4</w:t>
            </w:r>
            <w:r w:rsidR="00956521" w:rsidRPr="00B4621C">
              <w:rPr>
                <w:rFonts w:ascii="Times New Roman" w:eastAsia="Times New Roman" w:hAnsi="Times New Roman" w:cs="Times New Roman"/>
                <w:sz w:val="25"/>
                <w:szCs w:val="25"/>
                <w:lang w:eastAsia="lv-LV"/>
              </w:rPr>
              <w:t>.</w:t>
            </w:r>
          </w:p>
        </w:tc>
        <w:tc>
          <w:tcPr>
            <w:tcW w:w="2268"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B4621C" w:rsidRDefault="00956521" w:rsidP="00221970">
            <w:pPr>
              <w:spacing w:after="0" w:line="240" w:lineRule="auto"/>
              <w:rPr>
                <w:rFonts w:ascii="Times New Roman" w:eastAsia="Times New Roman" w:hAnsi="Times New Roman" w:cs="Times New Roman"/>
                <w:sz w:val="25"/>
                <w:szCs w:val="25"/>
                <w:lang w:eastAsia="lv-LV"/>
              </w:rPr>
            </w:pPr>
            <w:r w:rsidRPr="00B4621C">
              <w:rPr>
                <w:rFonts w:ascii="Times New Roman" w:hAnsi="Times New Roman" w:cs="Times New Roman"/>
                <w:sz w:val="25"/>
                <w:szCs w:val="25"/>
              </w:rPr>
              <w:t>Cita informācija</w:t>
            </w:r>
          </w:p>
        </w:tc>
        <w:tc>
          <w:tcPr>
            <w:tcW w:w="5387"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B4621C" w:rsidRDefault="00E70ADF" w:rsidP="00221970">
            <w:pPr>
              <w:spacing w:after="0" w:line="240" w:lineRule="auto"/>
              <w:ind w:firstLine="284"/>
              <w:jc w:val="both"/>
              <w:rPr>
                <w:rFonts w:ascii="Times New Roman" w:eastAsia="Times New Roman" w:hAnsi="Times New Roman" w:cs="Times New Roman"/>
                <w:sz w:val="25"/>
                <w:szCs w:val="25"/>
                <w:lang w:eastAsia="lv-LV"/>
              </w:rPr>
            </w:pPr>
            <w:r w:rsidRPr="00B4621C">
              <w:rPr>
                <w:rFonts w:ascii="Times New Roman" w:eastAsia="Times New Roman" w:hAnsi="Times New Roman" w:cs="Times New Roman"/>
                <w:iCs/>
                <w:sz w:val="25"/>
                <w:szCs w:val="25"/>
                <w:lang w:eastAsia="lv-LV"/>
              </w:rPr>
              <w:t>Nav</w:t>
            </w:r>
          </w:p>
        </w:tc>
      </w:tr>
    </w:tbl>
    <w:p w:rsidR="00956521" w:rsidRPr="00B4621C" w:rsidRDefault="00956521" w:rsidP="00F46334">
      <w:pPr>
        <w:tabs>
          <w:tab w:val="left" w:pos="7655"/>
        </w:tabs>
        <w:spacing w:line="240" w:lineRule="auto"/>
        <w:jc w:val="both"/>
        <w:rPr>
          <w:rFonts w:ascii="Times New Roman" w:hAnsi="Times New Roman" w:cs="Times New Roman"/>
          <w:bCs/>
          <w:sz w:val="25"/>
          <w:szCs w:val="25"/>
        </w:rPr>
      </w:pPr>
    </w:p>
    <w:tbl>
      <w:tblPr>
        <w:tblW w:w="8364" w:type="dxa"/>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709"/>
        <w:gridCol w:w="4111"/>
        <w:gridCol w:w="3544"/>
      </w:tblGrid>
      <w:tr w:rsidR="00956521" w:rsidRPr="00B4621C" w:rsidTr="00D5213A">
        <w:tc>
          <w:tcPr>
            <w:tcW w:w="8364"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B4621C" w:rsidRDefault="00956521" w:rsidP="00F46334">
            <w:pPr>
              <w:spacing w:line="240" w:lineRule="auto"/>
              <w:jc w:val="center"/>
              <w:rPr>
                <w:rFonts w:ascii="Times New Roman" w:eastAsia="Times New Roman" w:hAnsi="Times New Roman" w:cs="Times New Roman"/>
                <w:b/>
                <w:sz w:val="25"/>
                <w:szCs w:val="25"/>
                <w:lang w:eastAsia="lv-LV"/>
              </w:rPr>
            </w:pPr>
            <w:r w:rsidRPr="00B4621C">
              <w:rPr>
                <w:rFonts w:ascii="Times New Roman" w:eastAsia="Times New Roman" w:hAnsi="Times New Roman" w:cs="Times New Roman"/>
                <w:b/>
                <w:sz w:val="25"/>
                <w:szCs w:val="25"/>
                <w:lang w:eastAsia="lv-LV"/>
              </w:rPr>
              <w:lastRenderedPageBreak/>
              <w:t>VII. Tiesību akta projekta izpildes nodrošināšana un tās ietekme uz institūcijām</w:t>
            </w:r>
          </w:p>
        </w:tc>
      </w:tr>
      <w:tr w:rsidR="00956521" w:rsidRPr="00B4621C" w:rsidTr="00221970">
        <w:tc>
          <w:tcPr>
            <w:tcW w:w="709"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B4621C" w:rsidRDefault="00956521" w:rsidP="00F46334">
            <w:pPr>
              <w:spacing w:line="240" w:lineRule="auto"/>
              <w:rPr>
                <w:rFonts w:ascii="Times New Roman" w:eastAsia="Times New Roman" w:hAnsi="Times New Roman" w:cs="Times New Roman"/>
                <w:sz w:val="25"/>
                <w:szCs w:val="25"/>
                <w:lang w:eastAsia="lv-LV"/>
              </w:rPr>
            </w:pPr>
            <w:r w:rsidRPr="00B4621C">
              <w:rPr>
                <w:rFonts w:ascii="Times New Roman" w:eastAsia="Times New Roman" w:hAnsi="Times New Roman" w:cs="Times New Roman"/>
                <w:sz w:val="25"/>
                <w:szCs w:val="25"/>
                <w:lang w:eastAsia="lv-LV"/>
              </w:rPr>
              <w:t>1.</w:t>
            </w:r>
          </w:p>
        </w:tc>
        <w:tc>
          <w:tcPr>
            <w:tcW w:w="411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B4621C" w:rsidRDefault="00956521" w:rsidP="00F46334">
            <w:pPr>
              <w:spacing w:line="240" w:lineRule="auto"/>
              <w:rPr>
                <w:rFonts w:ascii="Times New Roman" w:eastAsia="Times New Roman" w:hAnsi="Times New Roman" w:cs="Times New Roman"/>
                <w:sz w:val="25"/>
                <w:szCs w:val="25"/>
                <w:lang w:eastAsia="lv-LV"/>
              </w:rPr>
            </w:pPr>
            <w:r w:rsidRPr="00B4621C">
              <w:rPr>
                <w:rFonts w:ascii="Times New Roman" w:eastAsia="Times New Roman" w:hAnsi="Times New Roman" w:cs="Times New Roman"/>
                <w:sz w:val="25"/>
                <w:szCs w:val="25"/>
                <w:lang w:eastAsia="lv-LV"/>
              </w:rPr>
              <w:t>Projekta izpildē iesaistītās institūcijas</w:t>
            </w:r>
          </w:p>
        </w:tc>
        <w:tc>
          <w:tcPr>
            <w:tcW w:w="3544"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B4621C" w:rsidRDefault="00956521" w:rsidP="00C85C6A">
            <w:pPr>
              <w:spacing w:line="240" w:lineRule="auto"/>
              <w:ind w:left="142"/>
              <w:jc w:val="both"/>
              <w:rPr>
                <w:rFonts w:ascii="Times New Roman" w:hAnsi="Times New Roman" w:cs="Times New Roman"/>
                <w:sz w:val="25"/>
                <w:szCs w:val="25"/>
                <w:lang w:eastAsia="lv-LV"/>
              </w:rPr>
            </w:pPr>
            <w:r w:rsidRPr="00B4621C">
              <w:rPr>
                <w:rFonts w:ascii="Times New Roman" w:hAnsi="Times New Roman" w:cs="Times New Roman"/>
                <w:sz w:val="25"/>
                <w:szCs w:val="25"/>
              </w:rPr>
              <w:t>Noteikumu projekta izpildē ir iesaistīta</w:t>
            </w:r>
            <w:r w:rsidR="00C85C6A" w:rsidRPr="00B4621C">
              <w:rPr>
                <w:rFonts w:ascii="Times New Roman" w:hAnsi="Times New Roman" w:cs="Times New Roman"/>
                <w:sz w:val="25"/>
                <w:szCs w:val="25"/>
              </w:rPr>
              <w:t xml:space="preserve"> Latvijas Investīcijas un attīstības aģentūra</w:t>
            </w:r>
            <w:r w:rsidRPr="00B4621C">
              <w:rPr>
                <w:rFonts w:ascii="Times New Roman" w:hAnsi="Times New Roman" w:cs="Times New Roman"/>
                <w:sz w:val="25"/>
                <w:szCs w:val="25"/>
              </w:rPr>
              <w:t>.</w:t>
            </w:r>
          </w:p>
        </w:tc>
      </w:tr>
      <w:tr w:rsidR="00956521" w:rsidRPr="00B4621C" w:rsidTr="00221970">
        <w:tc>
          <w:tcPr>
            <w:tcW w:w="709"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B4621C" w:rsidRDefault="00956521" w:rsidP="00F46334">
            <w:pPr>
              <w:spacing w:line="240" w:lineRule="auto"/>
              <w:rPr>
                <w:rFonts w:ascii="Times New Roman" w:eastAsia="Times New Roman" w:hAnsi="Times New Roman" w:cs="Times New Roman"/>
                <w:sz w:val="25"/>
                <w:szCs w:val="25"/>
                <w:lang w:eastAsia="lv-LV"/>
              </w:rPr>
            </w:pPr>
            <w:r w:rsidRPr="00B4621C">
              <w:rPr>
                <w:rFonts w:ascii="Times New Roman" w:eastAsia="Times New Roman" w:hAnsi="Times New Roman" w:cs="Times New Roman"/>
                <w:sz w:val="25"/>
                <w:szCs w:val="25"/>
                <w:lang w:eastAsia="lv-LV"/>
              </w:rPr>
              <w:t>2.</w:t>
            </w:r>
          </w:p>
        </w:tc>
        <w:tc>
          <w:tcPr>
            <w:tcW w:w="4111" w:type="dxa"/>
            <w:tcBorders>
              <w:top w:val="thickThinLargeGap" w:sz="6" w:space="0" w:color="C0C0C0"/>
              <w:left w:val="thickThinLargeGap" w:sz="6" w:space="0" w:color="C0C0C0"/>
              <w:bottom w:val="thickThinLargeGap" w:sz="6" w:space="0" w:color="C0C0C0"/>
              <w:right w:val="thickThinLargeGap" w:sz="6" w:space="0" w:color="C0C0C0"/>
            </w:tcBorders>
            <w:hideMark/>
          </w:tcPr>
          <w:p w:rsidR="009C2393" w:rsidRPr="00B4621C" w:rsidRDefault="009C2393" w:rsidP="00F46334">
            <w:pPr>
              <w:spacing w:after="0" w:line="240" w:lineRule="auto"/>
              <w:rPr>
                <w:rFonts w:ascii="Times New Roman" w:eastAsia="Times New Roman" w:hAnsi="Times New Roman" w:cs="Times New Roman"/>
                <w:sz w:val="25"/>
                <w:szCs w:val="25"/>
                <w:lang w:eastAsia="lv-LV"/>
              </w:rPr>
            </w:pPr>
            <w:r w:rsidRPr="00B4621C">
              <w:rPr>
                <w:rFonts w:ascii="Times New Roman" w:eastAsia="Times New Roman" w:hAnsi="Times New Roman" w:cs="Times New Roman"/>
                <w:sz w:val="25"/>
                <w:szCs w:val="25"/>
                <w:lang w:eastAsia="lv-LV"/>
              </w:rPr>
              <w:t>Projekta izpildes ietekme uz pārvaldes funkcijām un institucionālo struktūru.</w:t>
            </w:r>
          </w:p>
          <w:p w:rsidR="00956521" w:rsidRPr="00B4621C" w:rsidRDefault="009C2393" w:rsidP="00F46334">
            <w:pPr>
              <w:spacing w:after="0" w:line="240" w:lineRule="auto"/>
              <w:rPr>
                <w:rFonts w:ascii="Times New Roman" w:eastAsia="Times New Roman" w:hAnsi="Times New Roman" w:cs="Times New Roman"/>
                <w:sz w:val="25"/>
                <w:szCs w:val="25"/>
                <w:lang w:eastAsia="lv-LV"/>
              </w:rPr>
            </w:pPr>
            <w:r w:rsidRPr="00B4621C">
              <w:rPr>
                <w:rFonts w:ascii="Times New Roman" w:eastAsia="Times New Roman" w:hAnsi="Times New Roman" w:cs="Times New Roman"/>
                <w:sz w:val="25"/>
                <w:szCs w:val="25"/>
                <w:lang w:eastAsia="lv-LV"/>
              </w:rPr>
              <w:t>Jaunu institūciju izveide, esošu institūciju likvidācija vai reorganizācija, to ietekme uz institūcijas cilvēkresursiem</w:t>
            </w:r>
          </w:p>
        </w:tc>
        <w:tc>
          <w:tcPr>
            <w:tcW w:w="3544"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B4621C" w:rsidRDefault="00956521" w:rsidP="00F46334">
            <w:pPr>
              <w:spacing w:line="240" w:lineRule="auto"/>
              <w:ind w:left="142"/>
              <w:jc w:val="both"/>
              <w:rPr>
                <w:rFonts w:ascii="Times New Roman" w:hAnsi="Times New Roman" w:cs="Times New Roman"/>
                <w:sz w:val="25"/>
                <w:szCs w:val="25"/>
              </w:rPr>
            </w:pPr>
            <w:r w:rsidRPr="00B4621C">
              <w:rPr>
                <w:rFonts w:ascii="Times New Roman" w:hAnsi="Times New Roman" w:cs="Times New Roman"/>
                <w:sz w:val="25"/>
                <w:szCs w:val="25"/>
              </w:rPr>
              <w:t xml:space="preserve">Noteikumu projekta izpildi nodrošinās </w:t>
            </w:r>
            <w:r w:rsidR="00C85C6A" w:rsidRPr="00B4621C">
              <w:rPr>
                <w:rFonts w:ascii="Times New Roman" w:hAnsi="Times New Roman" w:cs="Times New Roman"/>
                <w:sz w:val="25"/>
                <w:szCs w:val="25"/>
              </w:rPr>
              <w:t>Latvijas Investīcijas un attīstības aģentūra</w:t>
            </w:r>
            <w:r w:rsidRPr="00B4621C">
              <w:rPr>
                <w:rFonts w:ascii="Times New Roman" w:hAnsi="Times New Roman" w:cs="Times New Roman"/>
                <w:sz w:val="25"/>
                <w:szCs w:val="25"/>
              </w:rPr>
              <w:t xml:space="preserve"> darbības ietvaros.</w:t>
            </w:r>
          </w:p>
        </w:tc>
      </w:tr>
      <w:tr w:rsidR="00956521" w:rsidRPr="00B4621C" w:rsidTr="00221970">
        <w:tc>
          <w:tcPr>
            <w:tcW w:w="709"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B4621C" w:rsidRDefault="009C2393" w:rsidP="00F46334">
            <w:pPr>
              <w:spacing w:line="240" w:lineRule="auto"/>
              <w:rPr>
                <w:rFonts w:ascii="Times New Roman" w:eastAsia="Times New Roman" w:hAnsi="Times New Roman" w:cs="Times New Roman"/>
                <w:sz w:val="25"/>
                <w:szCs w:val="25"/>
                <w:lang w:eastAsia="lv-LV"/>
              </w:rPr>
            </w:pPr>
            <w:r w:rsidRPr="00B4621C">
              <w:rPr>
                <w:rFonts w:ascii="Times New Roman" w:eastAsia="Times New Roman" w:hAnsi="Times New Roman" w:cs="Times New Roman"/>
                <w:sz w:val="25"/>
                <w:szCs w:val="25"/>
                <w:lang w:eastAsia="lv-LV"/>
              </w:rPr>
              <w:t>3</w:t>
            </w:r>
            <w:r w:rsidR="00956521" w:rsidRPr="00B4621C">
              <w:rPr>
                <w:rFonts w:ascii="Times New Roman" w:eastAsia="Times New Roman" w:hAnsi="Times New Roman" w:cs="Times New Roman"/>
                <w:sz w:val="25"/>
                <w:szCs w:val="25"/>
                <w:lang w:eastAsia="lv-LV"/>
              </w:rPr>
              <w:t>.</w:t>
            </w:r>
          </w:p>
        </w:tc>
        <w:tc>
          <w:tcPr>
            <w:tcW w:w="411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B4621C" w:rsidRDefault="00956521" w:rsidP="00F46334">
            <w:pPr>
              <w:spacing w:line="240" w:lineRule="auto"/>
              <w:rPr>
                <w:rFonts w:ascii="Times New Roman" w:eastAsia="Times New Roman" w:hAnsi="Times New Roman" w:cs="Times New Roman"/>
                <w:sz w:val="25"/>
                <w:szCs w:val="25"/>
                <w:lang w:eastAsia="lv-LV"/>
              </w:rPr>
            </w:pPr>
            <w:r w:rsidRPr="00B4621C">
              <w:rPr>
                <w:rFonts w:ascii="Times New Roman" w:eastAsia="Times New Roman" w:hAnsi="Times New Roman" w:cs="Times New Roman"/>
                <w:sz w:val="25"/>
                <w:szCs w:val="25"/>
                <w:lang w:eastAsia="lv-LV"/>
              </w:rPr>
              <w:t>Cita informācija</w:t>
            </w:r>
          </w:p>
        </w:tc>
        <w:tc>
          <w:tcPr>
            <w:tcW w:w="3544"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B4621C" w:rsidRDefault="009C2393" w:rsidP="00F46334">
            <w:pPr>
              <w:spacing w:line="240" w:lineRule="auto"/>
              <w:ind w:firstLine="284"/>
              <w:rPr>
                <w:rFonts w:ascii="Times New Roman" w:eastAsia="Times New Roman" w:hAnsi="Times New Roman" w:cs="Times New Roman"/>
                <w:sz w:val="25"/>
                <w:szCs w:val="25"/>
                <w:lang w:eastAsia="lv-LV"/>
              </w:rPr>
            </w:pPr>
            <w:r w:rsidRPr="00B4621C">
              <w:rPr>
                <w:rFonts w:ascii="Times New Roman" w:eastAsia="Times New Roman" w:hAnsi="Times New Roman" w:cs="Times New Roman"/>
                <w:sz w:val="25"/>
                <w:szCs w:val="25"/>
                <w:lang w:eastAsia="lv-LV"/>
              </w:rPr>
              <w:t>Nav</w:t>
            </w:r>
          </w:p>
        </w:tc>
      </w:tr>
    </w:tbl>
    <w:p w:rsidR="006E5DAC" w:rsidRPr="00B4621C" w:rsidRDefault="006E5DAC" w:rsidP="00F46334">
      <w:pPr>
        <w:tabs>
          <w:tab w:val="left" w:pos="6710"/>
        </w:tabs>
        <w:spacing w:after="0" w:line="240" w:lineRule="auto"/>
        <w:rPr>
          <w:rFonts w:ascii="Times New Roman" w:eastAsia="Times New Roman" w:hAnsi="Times New Roman" w:cs="Times New Roman"/>
          <w:b/>
          <w:sz w:val="25"/>
          <w:szCs w:val="25"/>
          <w:lang w:eastAsia="lv-LV"/>
        </w:rPr>
      </w:pPr>
      <w:r w:rsidRPr="00B4621C">
        <w:rPr>
          <w:rFonts w:ascii="Times New Roman" w:eastAsia="Times New Roman" w:hAnsi="Times New Roman" w:cs="Times New Roman"/>
          <w:b/>
          <w:sz w:val="25"/>
          <w:szCs w:val="25"/>
          <w:lang w:eastAsia="lv-LV"/>
        </w:rPr>
        <w:t>Anotācijas III.</w:t>
      </w:r>
      <w:r w:rsidR="000B1C0D" w:rsidRPr="00B4621C">
        <w:rPr>
          <w:rFonts w:ascii="Times New Roman" w:eastAsia="Times New Roman" w:hAnsi="Times New Roman" w:cs="Times New Roman"/>
          <w:b/>
          <w:sz w:val="25"/>
          <w:szCs w:val="25"/>
          <w:lang w:eastAsia="lv-LV"/>
        </w:rPr>
        <w:t>, IV</w:t>
      </w:r>
      <w:r w:rsidRPr="00B4621C">
        <w:rPr>
          <w:rFonts w:ascii="Times New Roman" w:eastAsia="Times New Roman" w:hAnsi="Times New Roman" w:cs="Times New Roman"/>
          <w:b/>
          <w:sz w:val="25"/>
          <w:szCs w:val="25"/>
          <w:lang w:eastAsia="lv-LV"/>
        </w:rPr>
        <w:t xml:space="preserve"> sadaļa - projekts šīs jomas neskar.</w:t>
      </w:r>
    </w:p>
    <w:p w:rsidR="00956521" w:rsidRPr="00B274F5" w:rsidRDefault="00956521" w:rsidP="00F46334">
      <w:pPr>
        <w:tabs>
          <w:tab w:val="right" w:pos="9071"/>
        </w:tabs>
        <w:spacing w:after="0" w:line="240" w:lineRule="auto"/>
        <w:jc w:val="both"/>
        <w:rPr>
          <w:rFonts w:ascii="Times New Roman" w:eastAsia="Times New Roman" w:hAnsi="Times New Roman" w:cs="Times New Roman"/>
          <w:sz w:val="26"/>
          <w:szCs w:val="26"/>
          <w:lang w:eastAsia="lv-LV"/>
        </w:rPr>
      </w:pPr>
    </w:p>
    <w:p w:rsidR="00956521" w:rsidRPr="00B274F5" w:rsidRDefault="00956521" w:rsidP="00F46334">
      <w:pPr>
        <w:tabs>
          <w:tab w:val="right" w:pos="9071"/>
        </w:tabs>
        <w:spacing w:after="0" w:line="240" w:lineRule="auto"/>
        <w:jc w:val="both"/>
        <w:rPr>
          <w:rFonts w:ascii="Times New Roman" w:eastAsia="Times New Roman" w:hAnsi="Times New Roman" w:cs="Times New Roman"/>
          <w:sz w:val="26"/>
          <w:szCs w:val="26"/>
          <w:lang w:eastAsia="lv-LV"/>
        </w:rPr>
      </w:pPr>
    </w:p>
    <w:p w:rsidR="00C85C6A" w:rsidRPr="00B274F5" w:rsidRDefault="00C85C6A" w:rsidP="00F46334">
      <w:pPr>
        <w:tabs>
          <w:tab w:val="right" w:pos="9071"/>
        </w:tabs>
        <w:spacing w:after="0" w:line="240" w:lineRule="auto"/>
        <w:jc w:val="both"/>
        <w:rPr>
          <w:rFonts w:ascii="Times New Roman" w:hAnsi="Times New Roman" w:cs="Times New Roman"/>
          <w:color w:val="000000" w:themeColor="text1"/>
          <w:sz w:val="26"/>
          <w:szCs w:val="26"/>
        </w:rPr>
      </w:pPr>
    </w:p>
    <w:p w:rsidR="00B37073" w:rsidRPr="00B274F5" w:rsidRDefault="00B37073" w:rsidP="00833979">
      <w:pPr>
        <w:tabs>
          <w:tab w:val="left" w:pos="6521"/>
        </w:tabs>
        <w:spacing w:after="0" w:line="240" w:lineRule="auto"/>
        <w:jc w:val="both"/>
        <w:rPr>
          <w:rFonts w:ascii="Times New Roman" w:hAnsi="Times New Roman" w:cs="Times New Roman"/>
          <w:color w:val="000000" w:themeColor="text1"/>
          <w:sz w:val="26"/>
          <w:szCs w:val="26"/>
        </w:rPr>
      </w:pPr>
      <w:r w:rsidRPr="00B274F5">
        <w:rPr>
          <w:rFonts w:ascii="Times New Roman" w:hAnsi="Times New Roman" w:cs="Times New Roman"/>
          <w:color w:val="000000" w:themeColor="text1"/>
          <w:sz w:val="26"/>
          <w:szCs w:val="26"/>
        </w:rPr>
        <w:t xml:space="preserve">Ekonomikas ministrs </w:t>
      </w:r>
      <w:r w:rsidRPr="00B274F5">
        <w:rPr>
          <w:rFonts w:ascii="Times New Roman" w:hAnsi="Times New Roman" w:cs="Times New Roman"/>
          <w:color w:val="000000" w:themeColor="text1"/>
          <w:sz w:val="26"/>
          <w:szCs w:val="26"/>
        </w:rPr>
        <w:tab/>
      </w:r>
      <w:proofErr w:type="spellStart"/>
      <w:r w:rsidR="00E73C53" w:rsidRPr="00B274F5">
        <w:rPr>
          <w:rFonts w:ascii="Times New Roman" w:hAnsi="Times New Roman" w:cs="Times New Roman"/>
          <w:color w:val="000000" w:themeColor="text1"/>
          <w:sz w:val="26"/>
          <w:szCs w:val="26"/>
        </w:rPr>
        <w:t>V.Dombrovskis</w:t>
      </w:r>
      <w:proofErr w:type="spellEnd"/>
    </w:p>
    <w:p w:rsidR="00956521" w:rsidRPr="00B274F5" w:rsidRDefault="00956521" w:rsidP="00F46334">
      <w:pPr>
        <w:keepLines/>
        <w:widowControl w:val="0"/>
        <w:tabs>
          <w:tab w:val="right" w:pos="9071"/>
        </w:tabs>
        <w:spacing w:after="0" w:line="240" w:lineRule="auto"/>
        <w:rPr>
          <w:rFonts w:ascii="Times New Roman" w:eastAsia="Times New Roman" w:hAnsi="Times New Roman" w:cs="Times New Roman"/>
          <w:color w:val="000000" w:themeColor="text1"/>
          <w:sz w:val="26"/>
          <w:szCs w:val="26"/>
          <w:lang w:eastAsia="lv-LV"/>
        </w:rPr>
      </w:pPr>
    </w:p>
    <w:p w:rsidR="00956521" w:rsidRPr="00B274F5" w:rsidRDefault="00956521" w:rsidP="00F46334">
      <w:pPr>
        <w:keepLines/>
        <w:widowControl w:val="0"/>
        <w:tabs>
          <w:tab w:val="right" w:pos="9071"/>
        </w:tabs>
        <w:spacing w:after="0" w:line="240" w:lineRule="auto"/>
        <w:rPr>
          <w:rFonts w:ascii="Times New Roman" w:eastAsia="Times New Roman" w:hAnsi="Times New Roman" w:cs="Times New Roman"/>
          <w:color w:val="000000" w:themeColor="text1"/>
          <w:sz w:val="26"/>
          <w:szCs w:val="26"/>
          <w:lang w:eastAsia="lv-LV"/>
        </w:rPr>
      </w:pPr>
    </w:p>
    <w:p w:rsidR="00C85C6A" w:rsidRPr="00B274F5" w:rsidRDefault="00C85C6A" w:rsidP="00F46334">
      <w:pPr>
        <w:tabs>
          <w:tab w:val="right" w:pos="9071"/>
        </w:tabs>
        <w:spacing w:after="0" w:line="240" w:lineRule="auto"/>
        <w:jc w:val="both"/>
        <w:rPr>
          <w:rFonts w:ascii="Times New Roman" w:hAnsi="Times New Roman" w:cs="Times New Roman"/>
          <w:color w:val="000000" w:themeColor="text1"/>
          <w:sz w:val="26"/>
          <w:szCs w:val="26"/>
        </w:rPr>
      </w:pPr>
    </w:p>
    <w:p w:rsidR="00833979" w:rsidRPr="00B274F5" w:rsidRDefault="00833979" w:rsidP="00833979">
      <w:pPr>
        <w:tabs>
          <w:tab w:val="left" w:pos="6521"/>
        </w:tabs>
        <w:spacing w:after="0" w:line="240" w:lineRule="auto"/>
        <w:jc w:val="both"/>
        <w:rPr>
          <w:rFonts w:ascii="Times New Roman" w:hAnsi="Times New Roman" w:cs="Times New Roman"/>
          <w:color w:val="000000" w:themeColor="text1"/>
          <w:sz w:val="26"/>
          <w:szCs w:val="26"/>
        </w:rPr>
      </w:pPr>
    </w:p>
    <w:p w:rsidR="00B37073" w:rsidRPr="00B274F5" w:rsidRDefault="00B37073" w:rsidP="00833979">
      <w:pPr>
        <w:tabs>
          <w:tab w:val="left" w:pos="6521"/>
        </w:tabs>
        <w:spacing w:after="0" w:line="240" w:lineRule="auto"/>
        <w:jc w:val="both"/>
        <w:rPr>
          <w:rFonts w:ascii="Times New Roman" w:hAnsi="Times New Roman" w:cs="Times New Roman"/>
          <w:color w:val="000000" w:themeColor="text1"/>
          <w:sz w:val="26"/>
          <w:szCs w:val="26"/>
        </w:rPr>
      </w:pPr>
      <w:r w:rsidRPr="00B274F5">
        <w:rPr>
          <w:rFonts w:ascii="Times New Roman" w:hAnsi="Times New Roman" w:cs="Times New Roman"/>
          <w:color w:val="000000" w:themeColor="text1"/>
          <w:sz w:val="26"/>
          <w:szCs w:val="26"/>
        </w:rPr>
        <w:t>Vīza: Valsts sekretār</w:t>
      </w:r>
      <w:r w:rsidR="001E1068" w:rsidRPr="00B274F5">
        <w:rPr>
          <w:rFonts w:ascii="Times New Roman" w:hAnsi="Times New Roman" w:cs="Times New Roman"/>
          <w:color w:val="000000" w:themeColor="text1"/>
          <w:sz w:val="26"/>
          <w:szCs w:val="26"/>
        </w:rPr>
        <w:t>s</w:t>
      </w:r>
      <w:r w:rsidR="002D7BE6" w:rsidRPr="00B274F5">
        <w:rPr>
          <w:rFonts w:ascii="Times New Roman" w:hAnsi="Times New Roman" w:cs="Times New Roman"/>
          <w:color w:val="000000" w:themeColor="text1"/>
          <w:sz w:val="26"/>
          <w:szCs w:val="26"/>
        </w:rPr>
        <w:tab/>
      </w:r>
      <w:proofErr w:type="spellStart"/>
      <w:r w:rsidR="001E1068" w:rsidRPr="00B274F5">
        <w:rPr>
          <w:rFonts w:ascii="Times New Roman" w:hAnsi="Times New Roman" w:cs="Times New Roman"/>
          <w:color w:val="000000" w:themeColor="text1"/>
          <w:sz w:val="26"/>
          <w:szCs w:val="26"/>
        </w:rPr>
        <w:t>M.Lazdovskis</w:t>
      </w:r>
      <w:proofErr w:type="spellEnd"/>
    </w:p>
    <w:p w:rsidR="00956521" w:rsidRPr="00B274F5" w:rsidRDefault="00956521" w:rsidP="00F46334">
      <w:pPr>
        <w:keepLines/>
        <w:widowControl w:val="0"/>
        <w:tabs>
          <w:tab w:val="right" w:pos="9071"/>
        </w:tabs>
        <w:spacing w:after="0" w:line="240" w:lineRule="auto"/>
        <w:rPr>
          <w:rFonts w:ascii="Times New Roman" w:eastAsia="Times New Roman" w:hAnsi="Times New Roman" w:cs="Times New Roman"/>
          <w:sz w:val="24"/>
          <w:szCs w:val="24"/>
          <w:lang w:eastAsia="lv-LV"/>
        </w:rPr>
      </w:pPr>
      <w:r w:rsidRPr="00B274F5">
        <w:rPr>
          <w:rFonts w:ascii="Times New Roman" w:eastAsia="Times New Roman" w:hAnsi="Times New Roman" w:cs="Times New Roman"/>
          <w:sz w:val="24"/>
          <w:szCs w:val="24"/>
          <w:lang w:eastAsia="lv-LV"/>
        </w:rPr>
        <w:tab/>
      </w:r>
    </w:p>
    <w:p w:rsidR="00C85C6A" w:rsidRPr="00B274F5" w:rsidRDefault="00C85C6A" w:rsidP="00F46334">
      <w:pPr>
        <w:widowControl w:val="0"/>
        <w:spacing w:after="0" w:line="240" w:lineRule="auto"/>
        <w:jc w:val="both"/>
        <w:rPr>
          <w:rFonts w:ascii="Times New Roman" w:eastAsia="Times New Roman" w:hAnsi="Times New Roman" w:cs="Times New Roman"/>
          <w:sz w:val="20"/>
          <w:szCs w:val="20"/>
        </w:rPr>
      </w:pPr>
    </w:p>
    <w:p w:rsidR="00833979" w:rsidRPr="00B274F5" w:rsidRDefault="00833979" w:rsidP="00F46334">
      <w:pPr>
        <w:widowControl w:val="0"/>
        <w:spacing w:after="0" w:line="240" w:lineRule="auto"/>
        <w:jc w:val="both"/>
        <w:rPr>
          <w:rFonts w:ascii="Times New Roman" w:eastAsia="Times New Roman" w:hAnsi="Times New Roman" w:cs="Times New Roman"/>
          <w:sz w:val="20"/>
          <w:szCs w:val="20"/>
        </w:rPr>
      </w:pPr>
    </w:p>
    <w:p w:rsidR="006C0BE8" w:rsidRPr="00B274F5" w:rsidRDefault="00CC0DC2" w:rsidP="00F46334">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24.04.2014 08:35</w:t>
      </w:r>
      <w:bookmarkStart w:id="12" w:name="_GoBack"/>
      <w:bookmarkEnd w:id="12"/>
    </w:p>
    <w:p w:rsidR="00956521" w:rsidRPr="00B274F5" w:rsidRDefault="0015497B" w:rsidP="00F46334">
      <w:pPr>
        <w:widowControl w:val="0"/>
        <w:spacing w:after="0" w:line="240" w:lineRule="auto"/>
        <w:jc w:val="both"/>
        <w:rPr>
          <w:rFonts w:ascii="Times New Roman" w:eastAsia="Times New Roman" w:hAnsi="Times New Roman" w:cs="Times New Roman"/>
          <w:sz w:val="20"/>
          <w:szCs w:val="20"/>
        </w:rPr>
      </w:pPr>
      <w:r>
        <w:fldChar w:fldCharType="begin"/>
      </w:r>
      <w:r>
        <w:instrText xml:space="preserve"> NUMWORDS   \* MERGEFORMAT </w:instrText>
      </w:r>
      <w:r>
        <w:fldChar w:fldCharType="separate"/>
      </w:r>
      <w:r w:rsidR="00CC0DC2" w:rsidRPr="00CC0DC2">
        <w:rPr>
          <w:rFonts w:ascii="Times New Roman" w:eastAsia="Times New Roman" w:hAnsi="Times New Roman" w:cs="Times New Roman"/>
          <w:noProof/>
          <w:sz w:val="20"/>
          <w:szCs w:val="20"/>
        </w:rPr>
        <w:t>1418</w:t>
      </w:r>
      <w:r>
        <w:rPr>
          <w:rFonts w:ascii="Times New Roman" w:eastAsia="Times New Roman" w:hAnsi="Times New Roman" w:cs="Times New Roman"/>
          <w:noProof/>
          <w:sz w:val="20"/>
          <w:szCs w:val="20"/>
        </w:rPr>
        <w:fldChar w:fldCharType="end"/>
      </w:r>
    </w:p>
    <w:p w:rsidR="00956521" w:rsidRPr="00B274F5" w:rsidRDefault="00AD565F" w:rsidP="00F46334">
      <w:pPr>
        <w:widowControl w:val="0"/>
        <w:spacing w:after="0" w:line="240" w:lineRule="auto"/>
        <w:jc w:val="both"/>
        <w:rPr>
          <w:rFonts w:ascii="Times New Roman" w:eastAsia="Times New Roman" w:hAnsi="Times New Roman" w:cs="Times New Roman"/>
          <w:sz w:val="20"/>
          <w:szCs w:val="20"/>
        </w:rPr>
      </w:pPr>
      <w:r w:rsidRPr="00B274F5">
        <w:rPr>
          <w:rFonts w:ascii="Times New Roman" w:eastAsia="Times New Roman" w:hAnsi="Times New Roman" w:cs="Times New Roman"/>
          <w:sz w:val="20"/>
          <w:szCs w:val="20"/>
        </w:rPr>
        <w:t>Māris Krūmiņš</w:t>
      </w:r>
    </w:p>
    <w:p w:rsidR="004F0FF7" w:rsidRDefault="00956521" w:rsidP="003D5573">
      <w:pPr>
        <w:widowControl w:val="0"/>
        <w:spacing w:after="0" w:line="240" w:lineRule="auto"/>
        <w:jc w:val="both"/>
      </w:pPr>
      <w:r w:rsidRPr="00B274F5">
        <w:rPr>
          <w:rFonts w:ascii="Times New Roman" w:eastAsia="Times New Roman" w:hAnsi="Times New Roman" w:cs="Times New Roman"/>
          <w:sz w:val="20"/>
          <w:szCs w:val="20"/>
        </w:rPr>
        <w:t>67013</w:t>
      </w:r>
      <w:r w:rsidR="00AD565F" w:rsidRPr="00B274F5">
        <w:rPr>
          <w:rFonts w:ascii="Times New Roman" w:eastAsia="Times New Roman" w:hAnsi="Times New Roman" w:cs="Times New Roman"/>
          <w:sz w:val="20"/>
          <w:szCs w:val="20"/>
        </w:rPr>
        <w:t>126</w:t>
      </w:r>
      <w:r w:rsidRPr="00B274F5">
        <w:rPr>
          <w:rFonts w:ascii="Times New Roman" w:eastAsia="Times New Roman" w:hAnsi="Times New Roman" w:cs="Times New Roman"/>
          <w:sz w:val="20"/>
          <w:szCs w:val="20"/>
        </w:rPr>
        <w:t xml:space="preserve">, </w:t>
      </w:r>
      <w:r w:rsidR="00AD565F" w:rsidRPr="00B274F5">
        <w:rPr>
          <w:rFonts w:ascii="Times New Roman" w:eastAsia="Times New Roman" w:hAnsi="Times New Roman" w:cs="Times New Roman"/>
          <w:sz w:val="20"/>
          <w:szCs w:val="20"/>
        </w:rPr>
        <w:t>Maris.Krumins</w:t>
      </w:r>
      <w:r w:rsidRPr="00B274F5">
        <w:rPr>
          <w:rFonts w:ascii="Times New Roman" w:eastAsia="Times New Roman" w:hAnsi="Times New Roman" w:cs="Times New Roman"/>
          <w:sz w:val="20"/>
          <w:szCs w:val="20"/>
        </w:rPr>
        <w:t>@em.gov.lv</w:t>
      </w:r>
    </w:p>
    <w:sectPr w:rsidR="004F0FF7" w:rsidSect="00761BA7">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97B" w:rsidRDefault="0015497B" w:rsidP="00F06DFF">
      <w:pPr>
        <w:spacing w:after="0" w:line="240" w:lineRule="auto"/>
      </w:pPr>
      <w:r>
        <w:separator/>
      </w:r>
    </w:p>
  </w:endnote>
  <w:endnote w:type="continuationSeparator" w:id="0">
    <w:p w:rsidR="0015497B" w:rsidRDefault="0015497B" w:rsidP="00F06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FF" w:rsidRPr="00CC59E7" w:rsidRDefault="00CB051A" w:rsidP="00221970">
    <w:pPr>
      <w:pStyle w:val="Footer"/>
      <w:jc w:val="both"/>
      <w:rPr>
        <w:rFonts w:ascii="Times New Roman" w:hAnsi="Times New Roman" w:cs="Times New Roman"/>
        <w:sz w:val="20"/>
        <w:szCs w:val="20"/>
      </w:rPr>
    </w:pPr>
    <w:r w:rsidRPr="00CC59E7">
      <w:rPr>
        <w:rFonts w:ascii="Times New Roman" w:hAnsi="Times New Roman" w:cs="Times New Roman"/>
        <w:sz w:val="20"/>
        <w:szCs w:val="20"/>
      </w:rPr>
      <w:t>EMAnot_</w:t>
    </w:r>
    <w:r w:rsidR="006858A9" w:rsidRPr="00CC59E7">
      <w:rPr>
        <w:rFonts w:ascii="Times New Roman" w:hAnsi="Times New Roman" w:cs="Times New Roman"/>
        <w:sz w:val="20"/>
        <w:szCs w:val="20"/>
      </w:rPr>
      <w:t>2</w:t>
    </w:r>
    <w:r w:rsidR="00B4621C">
      <w:rPr>
        <w:rFonts w:ascii="Times New Roman" w:hAnsi="Times New Roman" w:cs="Times New Roman"/>
        <w:sz w:val="20"/>
        <w:szCs w:val="20"/>
      </w:rPr>
      <w:t>4</w:t>
    </w:r>
    <w:r w:rsidR="006858A9" w:rsidRPr="00CC59E7">
      <w:rPr>
        <w:rFonts w:ascii="Times New Roman" w:hAnsi="Times New Roman" w:cs="Times New Roman"/>
        <w:sz w:val="20"/>
        <w:szCs w:val="20"/>
      </w:rPr>
      <w:t>042014</w:t>
    </w:r>
    <w:r w:rsidR="00221970" w:rsidRPr="00CC59E7">
      <w:rPr>
        <w:rFonts w:ascii="Times New Roman" w:hAnsi="Times New Roman" w:cs="Times New Roman"/>
        <w:sz w:val="20"/>
        <w:szCs w:val="20"/>
      </w:rPr>
      <w:t>_groz887; Ministru kabineta noteikumu projekta „</w:t>
    </w:r>
    <w:r w:rsidR="00C85C6A" w:rsidRPr="00CC59E7">
      <w:rPr>
        <w:rFonts w:ascii="Times New Roman" w:hAnsi="Times New Roman" w:cs="Times New Roman"/>
        <w:bCs/>
        <w:sz w:val="20"/>
        <w:szCs w:val="20"/>
      </w:rPr>
      <w:t xml:space="preserve">Grozījumi Ministru kabineta 2009.gada 17.jūnija noteikumos Nr.582 </w:t>
    </w:r>
    <w:r w:rsidR="00C85C6A" w:rsidRPr="00CC59E7">
      <w:rPr>
        <w:rFonts w:ascii="Times New Roman" w:hAnsi="Times New Roman" w:cs="Times New Roman"/>
        <w:sz w:val="20"/>
        <w:szCs w:val="20"/>
      </w:rPr>
      <w:t xml:space="preserve">„Noteikumi par darbības programmas </w:t>
    </w:r>
    <w:r w:rsidR="001B2CAC" w:rsidRPr="00CC59E7">
      <w:rPr>
        <w:rFonts w:ascii="Times New Roman" w:hAnsi="Times New Roman" w:cs="Times New Roman"/>
        <w:sz w:val="20"/>
        <w:szCs w:val="20"/>
      </w:rPr>
      <w:t>„</w:t>
    </w:r>
    <w:r w:rsidR="00C85C6A" w:rsidRPr="00CC59E7">
      <w:rPr>
        <w:rFonts w:ascii="Times New Roman" w:hAnsi="Times New Roman" w:cs="Times New Roman"/>
        <w:sz w:val="20"/>
        <w:szCs w:val="20"/>
      </w:rPr>
      <w:t xml:space="preserve">Uzņēmējdarbība un inovācijas” papildinājuma 2.3.1.1.1.apakšaktivitātes </w:t>
    </w:r>
    <w:r w:rsidR="001B2CAC" w:rsidRPr="00CC59E7">
      <w:rPr>
        <w:rFonts w:ascii="Times New Roman" w:hAnsi="Times New Roman" w:cs="Times New Roman"/>
        <w:sz w:val="20"/>
        <w:szCs w:val="20"/>
      </w:rPr>
      <w:t>„</w:t>
    </w:r>
    <w:r w:rsidR="00C85C6A" w:rsidRPr="00CC59E7">
      <w:rPr>
        <w:rFonts w:ascii="Times New Roman" w:hAnsi="Times New Roman" w:cs="Times New Roman"/>
        <w:sz w:val="20"/>
        <w:szCs w:val="20"/>
      </w:rPr>
      <w:t>Ārējo tirgu apgūšana – ārējais mārketings” sesto un turpmākajām kārtām””</w:t>
    </w:r>
    <w:r w:rsidR="00221970" w:rsidRPr="00CC59E7">
      <w:rPr>
        <w:rFonts w:ascii="Times New Roman" w:hAnsi="Times New Roman" w:cs="Times New Roman"/>
        <w:bCs/>
        <w:sz w:val="20"/>
        <w:szCs w:val="20"/>
      </w:rPr>
      <w:t xml:space="preserve"> </w:t>
    </w:r>
    <w:r w:rsidR="00221970" w:rsidRPr="00CC59E7">
      <w:rPr>
        <w:rFonts w:ascii="Times New Roman" w:hAnsi="Times New Roman" w:cs="Times New Roman"/>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B91" w:rsidRPr="00CC59E7" w:rsidRDefault="00C85C6A" w:rsidP="00C85C6A">
    <w:pPr>
      <w:pStyle w:val="Footer"/>
      <w:jc w:val="both"/>
      <w:rPr>
        <w:rFonts w:ascii="Times New Roman" w:hAnsi="Times New Roman" w:cs="Times New Roman"/>
        <w:sz w:val="20"/>
        <w:szCs w:val="20"/>
      </w:rPr>
    </w:pPr>
    <w:r w:rsidRPr="00CC59E7">
      <w:rPr>
        <w:rFonts w:ascii="Times New Roman" w:hAnsi="Times New Roman" w:cs="Times New Roman"/>
        <w:sz w:val="20"/>
        <w:szCs w:val="20"/>
      </w:rPr>
      <w:t>EMAnot_</w:t>
    </w:r>
    <w:r w:rsidR="006858A9" w:rsidRPr="00CC59E7">
      <w:rPr>
        <w:rFonts w:ascii="Times New Roman" w:hAnsi="Times New Roman" w:cs="Times New Roman"/>
        <w:sz w:val="20"/>
        <w:szCs w:val="20"/>
      </w:rPr>
      <w:t>2</w:t>
    </w:r>
    <w:r w:rsidR="00B4621C">
      <w:rPr>
        <w:rFonts w:ascii="Times New Roman" w:hAnsi="Times New Roman" w:cs="Times New Roman"/>
        <w:sz w:val="20"/>
        <w:szCs w:val="20"/>
      </w:rPr>
      <w:t>4</w:t>
    </w:r>
    <w:r w:rsidR="006858A9" w:rsidRPr="00CC59E7">
      <w:rPr>
        <w:rFonts w:ascii="Times New Roman" w:hAnsi="Times New Roman" w:cs="Times New Roman"/>
        <w:sz w:val="20"/>
        <w:szCs w:val="20"/>
      </w:rPr>
      <w:t>042014</w:t>
    </w:r>
    <w:r w:rsidRPr="00CC59E7">
      <w:rPr>
        <w:rFonts w:ascii="Times New Roman" w:hAnsi="Times New Roman" w:cs="Times New Roman"/>
        <w:sz w:val="20"/>
        <w:szCs w:val="20"/>
      </w:rPr>
      <w:t>_groz887; Ministru kabineta noteikumu projekta „</w:t>
    </w:r>
    <w:r w:rsidRPr="00CC59E7">
      <w:rPr>
        <w:rFonts w:ascii="Times New Roman" w:hAnsi="Times New Roman" w:cs="Times New Roman"/>
        <w:bCs/>
        <w:sz w:val="20"/>
        <w:szCs w:val="20"/>
      </w:rPr>
      <w:t xml:space="preserve">Grozījumi Ministru kabineta 2009.gada 17.jūnija noteikumos Nr.582 </w:t>
    </w:r>
    <w:r w:rsidRPr="00CC59E7">
      <w:rPr>
        <w:rFonts w:ascii="Times New Roman" w:hAnsi="Times New Roman" w:cs="Times New Roman"/>
        <w:sz w:val="20"/>
        <w:szCs w:val="20"/>
      </w:rPr>
      <w:t xml:space="preserve">„Noteikumi par darbības programmas </w:t>
    </w:r>
    <w:r w:rsidR="001B2CAC" w:rsidRPr="00CC59E7">
      <w:rPr>
        <w:rFonts w:ascii="Times New Roman" w:hAnsi="Times New Roman" w:cs="Times New Roman"/>
        <w:sz w:val="20"/>
        <w:szCs w:val="20"/>
      </w:rPr>
      <w:t>„</w:t>
    </w:r>
    <w:r w:rsidRPr="00CC59E7">
      <w:rPr>
        <w:rFonts w:ascii="Times New Roman" w:hAnsi="Times New Roman" w:cs="Times New Roman"/>
        <w:sz w:val="20"/>
        <w:szCs w:val="20"/>
      </w:rPr>
      <w:t xml:space="preserve">Uzņēmējdarbība un inovācijas” papildinājuma 2.3.1.1.1.apakšaktivitātes </w:t>
    </w:r>
    <w:r w:rsidR="001B2CAC" w:rsidRPr="00CC59E7">
      <w:rPr>
        <w:rFonts w:ascii="Times New Roman" w:hAnsi="Times New Roman" w:cs="Times New Roman"/>
        <w:sz w:val="20"/>
        <w:szCs w:val="20"/>
      </w:rPr>
      <w:t>„</w:t>
    </w:r>
    <w:r w:rsidRPr="00CC59E7">
      <w:rPr>
        <w:rFonts w:ascii="Times New Roman" w:hAnsi="Times New Roman" w:cs="Times New Roman"/>
        <w:sz w:val="20"/>
        <w:szCs w:val="20"/>
      </w:rPr>
      <w:t>Ārējo tirgu apgūšana – ārējais mārketing</w:t>
    </w:r>
    <w:r w:rsidR="00514558">
      <w:rPr>
        <w:rFonts w:ascii="Times New Roman" w:hAnsi="Times New Roman" w:cs="Times New Roman"/>
        <w:sz w:val="20"/>
        <w:szCs w:val="20"/>
      </w:rPr>
      <w:t>s” sesto un turpmākajām kārtām”</w:t>
    </w:r>
    <w:r w:rsidRPr="00CC59E7">
      <w:rPr>
        <w:rFonts w:ascii="Times New Roman" w:hAnsi="Times New Roman" w:cs="Times New Roman"/>
        <w:bCs/>
        <w:sz w:val="20"/>
        <w:szCs w:val="20"/>
      </w:rPr>
      <w:t xml:space="preserve">” </w:t>
    </w:r>
    <w:r w:rsidRPr="00CC59E7">
      <w:rPr>
        <w:rFonts w:ascii="Times New Roman" w:hAnsi="Times New Roman" w:cs="Times New Roman"/>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97B" w:rsidRDefault="0015497B" w:rsidP="00F06DFF">
      <w:pPr>
        <w:spacing w:after="0" w:line="240" w:lineRule="auto"/>
      </w:pPr>
      <w:r>
        <w:separator/>
      </w:r>
    </w:p>
  </w:footnote>
  <w:footnote w:type="continuationSeparator" w:id="0">
    <w:p w:rsidR="0015497B" w:rsidRDefault="0015497B" w:rsidP="00F06D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832169"/>
      <w:docPartObj>
        <w:docPartGallery w:val="Page Numbers (Top of Page)"/>
        <w:docPartUnique/>
      </w:docPartObj>
    </w:sdtPr>
    <w:sdtEndPr>
      <w:rPr>
        <w:noProof/>
      </w:rPr>
    </w:sdtEndPr>
    <w:sdtContent>
      <w:p w:rsidR="00761BA7" w:rsidRDefault="00FD0C76">
        <w:pPr>
          <w:pStyle w:val="Header"/>
          <w:jc w:val="center"/>
        </w:pPr>
        <w:r>
          <w:fldChar w:fldCharType="begin"/>
        </w:r>
        <w:r w:rsidR="00761BA7">
          <w:instrText xml:space="preserve"> PAGE   \* MERGEFORMAT </w:instrText>
        </w:r>
        <w:r>
          <w:fldChar w:fldCharType="separate"/>
        </w:r>
        <w:r w:rsidR="00CC0DC2">
          <w:rPr>
            <w:noProof/>
          </w:rPr>
          <w:t>7</w:t>
        </w:r>
        <w:r>
          <w:rPr>
            <w:noProof/>
          </w:rPr>
          <w:fldChar w:fldCharType="end"/>
        </w:r>
      </w:p>
    </w:sdtContent>
  </w:sdt>
  <w:p w:rsidR="00761BA7" w:rsidRDefault="00761B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42B2E"/>
    <w:multiLevelType w:val="hybridMultilevel"/>
    <w:tmpl w:val="881E5F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D714C19"/>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12C625F"/>
    <w:multiLevelType w:val="hybridMultilevel"/>
    <w:tmpl w:val="C55E3054"/>
    <w:lvl w:ilvl="0" w:tplc="EACE7F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21"/>
    <w:rsid w:val="000175C5"/>
    <w:rsid w:val="00022856"/>
    <w:rsid w:val="00027B9F"/>
    <w:rsid w:val="000434E1"/>
    <w:rsid w:val="000445BA"/>
    <w:rsid w:val="00045E63"/>
    <w:rsid w:val="00063A17"/>
    <w:rsid w:val="00082E21"/>
    <w:rsid w:val="00084109"/>
    <w:rsid w:val="00084905"/>
    <w:rsid w:val="00090F37"/>
    <w:rsid w:val="00095AD1"/>
    <w:rsid w:val="000A0BB3"/>
    <w:rsid w:val="000B1C0D"/>
    <w:rsid w:val="000B76FC"/>
    <w:rsid w:val="000C356C"/>
    <w:rsid w:val="000D79AB"/>
    <w:rsid w:val="000E4428"/>
    <w:rsid w:val="000E6C07"/>
    <w:rsid w:val="00100EFC"/>
    <w:rsid w:val="00125585"/>
    <w:rsid w:val="00126F59"/>
    <w:rsid w:val="001302CD"/>
    <w:rsid w:val="001375EB"/>
    <w:rsid w:val="00144724"/>
    <w:rsid w:val="001453FF"/>
    <w:rsid w:val="00145869"/>
    <w:rsid w:val="001531AE"/>
    <w:rsid w:val="0015497B"/>
    <w:rsid w:val="00161F61"/>
    <w:rsid w:val="0016272F"/>
    <w:rsid w:val="00164000"/>
    <w:rsid w:val="00180103"/>
    <w:rsid w:val="00183287"/>
    <w:rsid w:val="001856E3"/>
    <w:rsid w:val="00185915"/>
    <w:rsid w:val="00185C5D"/>
    <w:rsid w:val="0019293D"/>
    <w:rsid w:val="001B2CAC"/>
    <w:rsid w:val="001B5798"/>
    <w:rsid w:val="001B674B"/>
    <w:rsid w:val="001C24F2"/>
    <w:rsid w:val="001C2F5E"/>
    <w:rsid w:val="001C7116"/>
    <w:rsid w:val="001D1765"/>
    <w:rsid w:val="001E1068"/>
    <w:rsid w:val="001E23D0"/>
    <w:rsid w:val="001F3E3C"/>
    <w:rsid w:val="001F6FB8"/>
    <w:rsid w:val="001F75FE"/>
    <w:rsid w:val="00212A9E"/>
    <w:rsid w:val="00214E8F"/>
    <w:rsid w:val="00221970"/>
    <w:rsid w:val="00222C2B"/>
    <w:rsid w:val="00223353"/>
    <w:rsid w:val="0023148C"/>
    <w:rsid w:val="002330B6"/>
    <w:rsid w:val="00237BB9"/>
    <w:rsid w:val="002502FC"/>
    <w:rsid w:val="00250694"/>
    <w:rsid w:val="00252AAE"/>
    <w:rsid w:val="00256C46"/>
    <w:rsid w:val="00257B31"/>
    <w:rsid w:val="0027473F"/>
    <w:rsid w:val="00274A3B"/>
    <w:rsid w:val="00274DD7"/>
    <w:rsid w:val="002766CF"/>
    <w:rsid w:val="00282649"/>
    <w:rsid w:val="00283957"/>
    <w:rsid w:val="002850CE"/>
    <w:rsid w:val="00285E59"/>
    <w:rsid w:val="00291089"/>
    <w:rsid w:val="00293CD1"/>
    <w:rsid w:val="00297F3D"/>
    <w:rsid w:val="002A33E2"/>
    <w:rsid w:val="002A3CAA"/>
    <w:rsid w:val="002A7578"/>
    <w:rsid w:val="002C0402"/>
    <w:rsid w:val="002C6A8C"/>
    <w:rsid w:val="002D08E4"/>
    <w:rsid w:val="002D23B2"/>
    <w:rsid w:val="002D7BE6"/>
    <w:rsid w:val="002E1E47"/>
    <w:rsid w:val="002F0410"/>
    <w:rsid w:val="002F1B49"/>
    <w:rsid w:val="002F3E86"/>
    <w:rsid w:val="00301499"/>
    <w:rsid w:val="00301E76"/>
    <w:rsid w:val="00302AED"/>
    <w:rsid w:val="00304113"/>
    <w:rsid w:val="003105D9"/>
    <w:rsid w:val="003126E5"/>
    <w:rsid w:val="003148C8"/>
    <w:rsid w:val="00315BE2"/>
    <w:rsid w:val="00316DE3"/>
    <w:rsid w:val="00332A03"/>
    <w:rsid w:val="00344C9F"/>
    <w:rsid w:val="00346784"/>
    <w:rsid w:val="00353329"/>
    <w:rsid w:val="00357A5B"/>
    <w:rsid w:val="003628F4"/>
    <w:rsid w:val="00362C01"/>
    <w:rsid w:val="00364D19"/>
    <w:rsid w:val="0036603C"/>
    <w:rsid w:val="00370687"/>
    <w:rsid w:val="00375DE8"/>
    <w:rsid w:val="00381402"/>
    <w:rsid w:val="00382E2E"/>
    <w:rsid w:val="003862D1"/>
    <w:rsid w:val="00387417"/>
    <w:rsid w:val="003B4D59"/>
    <w:rsid w:val="003D1E09"/>
    <w:rsid w:val="003D5573"/>
    <w:rsid w:val="003D7CB6"/>
    <w:rsid w:val="003E0121"/>
    <w:rsid w:val="003E0E54"/>
    <w:rsid w:val="003E7629"/>
    <w:rsid w:val="003F117F"/>
    <w:rsid w:val="003F13EA"/>
    <w:rsid w:val="003F2794"/>
    <w:rsid w:val="003F2A4E"/>
    <w:rsid w:val="003F5419"/>
    <w:rsid w:val="00405A42"/>
    <w:rsid w:val="00407CB4"/>
    <w:rsid w:val="00410655"/>
    <w:rsid w:val="00415FB0"/>
    <w:rsid w:val="0042526D"/>
    <w:rsid w:val="00427E31"/>
    <w:rsid w:val="00431BAA"/>
    <w:rsid w:val="00432CC5"/>
    <w:rsid w:val="00434CB4"/>
    <w:rsid w:val="00434CCA"/>
    <w:rsid w:val="004352DB"/>
    <w:rsid w:val="00441805"/>
    <w:rsid w:val="00443EBE"/>
    <w:rsid w:val="004504CB"/>
    <w:rsid w:val="004620BE"/>
    <w:rsid w:val="004642C2"/>
    <w:rsid w:val="00465C1F"/>
    <w:rsid w:val="00472F17"/>
    <w:rsid w:val="004901C4"/>
    <w:rsid w:val="00491FDB"/>
    <w:rsid w:val="004973F4"/>
    <w:rsid w:val="004A7562"/>
    <w:rsid w:val="004B50C9"/>
    <w:rsid w:val="004C1EE7"/>
    <w:rsid w:val="004C3B91"/>
    <w:rsid w:val="004C5A10"/>
    <w:rsid w:val="004E16CF"/>
    <w:rsid w:val="004F0FF7"/>
    <w:rsid w:val="004F1699"/>
    <w:rsid w:val="004F429C"/>
    <w:rsid w:val="004F5172"/>
    <w:rsid w:val="004F7686"/>
    <w:rsid w:val="0050657E"/>
    <w:rsid w:val="00507B8A"/>
    <w:rsid w:val="00507F17"/>
    <w:rsid w:val="00510E8A"/>
    <w:rsid w:val="00514558"/>
    <w:rsid w:val="005172FE"/>
    <w:rsid w:val="005173F5"/>
    <w:rsid w:val="005174D6"/>
    <w:rsid w:val="00517FAC"/>
    <w:rsid w:val="005204C4"/>
    <w:rsid w:val="005208CF"/>
    <w:rsid w:val="00532A80"/>
    <w:rsid w:val="00534C99"/>
    <w:rsid w:val="00542985"/>
    <w:rsid w:val="0055170F"/>
    <w:rsid w:val="00554480"/>
    <w:rsid w:val="005559C6"/>
    <w:rsid w:val="00561EED"/>
    <w:rsid w:val="0056352C"/>
    <w:rsid w:val="00564F8D"/>
    <w:rsid w:val="0056686B"/>
    <w:rsid w:val="00566D1E"/>
    <w:rsid w:val="00573B04"/>
    <w:rsid w:val="00582BFF"/>
    <w:rsid w:val="005878A6"/>
    <w:rsid w:val="00593807"/>
    <w:rsid w:val="005963AB"/>
    <w:rsid w:val="005A38F9"/>
    <w:rsid w:val="005A6FC9"/>
    <w:rsid w:val="005A7558"/>
    <w:rsid w:val="005B6C90"/>
    <w:rsid w:val="005C00CE"/>
    <w:rsid w:val="005C0EF0"/>
    <w:rsid w:val="005C2BA7"/>
    <w:rsid w:val="005C3A11"/>
    <w:rsid w:val="005D1322"/>
    <w:rsid w:val="005E25FB"/>
    <w:rsid w:val="005E5990"/>
    <w:rsid w:val="005F1EA0"/>
    <w:rsid w:val="00616A7E"/>
    <w:rsid w:val="00621E2E"/>
    <w:rsid w:val="00622B88"/>
    <w:rsid w:val="00630DBD"/>
    <w:rsid w:val="00632014"/>
    <w:rsid w:val="00634A43"/>
    <w:rsid w:val="006354F3"/>
    <w:rsid w:val="006378A4"/>
    <w:rsid w:val="00641C3C"/>
    <w:rsid w:val="00644FDB"/>
    <w:rsid w:val="00645ADA"/>
    <w:rsid w:val="006516B3"/>
    <w:rsid w:val="00675544"/>
    <w:rsid w:val="00677123"/>
    <w:rsid w:val="006858A9"/>
    <w:rsid w:val="00685A1B"/>
    <w:rsid w:val="0068644B"/>
    <w:rsid w:val="0069147A"/>
    <w:rsid w:val="006A25F4"/>
    <w:rsid w:val="006A34A8"/>
    <w:rsid w:val="006A478F"/>
    <w:rsid w:val="006B2006"/>
    <w:rsid w:val="006B4925"/>
    <w:rsid w:val="006B6A56"/>
    <w:rsid w:val="006B7130"/>
    <w:rsid w:val="006C0BE8"/>
    <w:rsid w:val="006C524B"/>
    <w:rsid w:val="006C59C2"/>
    <w:rsid w:val="006C6AF8"/>
    <w:rsid w:val="006D0708"/>
    <w:rsid w:val="006D1F0B"/>
    <w:rsid w:val="006D340D"/>
    <w:rsid w:val="006E11E0"/>
    <w:rsid w:val="006E18CE"/>
    <w:rsid w:val="006E5DAC"/>
    <w:rsid w:val="006F0947"/>
    <w:rsid w:val="006F0EDD"/>
    <w:rsid w:val="006F4E6B"/>
    <w:rsid w:val="00702713"/>
    <w:rsid w:val="00707449"/>
    <w:rsid w:val="007075BA"/>
    <w:rsid w:val="00716194"/>
    <w:rsid w:val="0072351A"/>
    <w:rsid w:val="007328AC"/>
    <w:rsid w:val="00733A40"/>
    <w:rsid w:val="00735121"/>
    <w:rsid w:val="00761BA7"/>
    <w:rsid w:val="007621AF"/>
    <w:rsid w:val="00762B97"/>
    <w:rsid w:val="00766382"/>
    <w:rsid w:val="00772951"/>
    <w:rsid w:val="007745FB"/>
    <w:rsid w:val="00777791"/>
    <w:rsid w:val="0078003C"/>
    <w:rsid w:val="007815DB"/>
    <w:rsid w:val="0079114E"/>
    <w:rsid w:val="0079464E"/>
    <w:rsid w:val="007950AF"/>
    <w:rsid w:val="00797CD2"/>
    <w:rsid w:val="007A0D2B"/>
    <w:rsid w:val="007A0E08"/>
    <w:rsid w:val="007B5144"/>
    <w:rsid w:val="007B66D4"/>
    <w:rsid w:val="007C20C9"/>
    <w:rsid w:val="007C4AAF"/>
    <w:rsid w:val="007C6BD2"/>
    <w:rsid w:val="007C74A9"/>
    <w:rsid w:val="007C76EA"/>
    <w:rsid w:val="007F0F10"/>
    <w:rsid w:val="007F5613"/>
    <w:rsid w:val="007F749B"/>
    <w:rsid w:val="00800DFD"/>
    <w:rsid w:val="0080373A"/>
    <w:rsid w:val="00815533"/>
    <w:rsid w:val="008223C1"/>
    <w:rsid w:val="00825AC0"/>
    <w:rsid w:val="00833979"/>
    <w:rsid w:val="00842E1E"/>
    <w:rsid w:val="0084639A"/>
    <w:rsid w:val="00847F41"/>
    <w:rsid w:val="0086083A"/>
    <w:rsid w:val="00874597"/>
    <w:rsid w:val="00874F39"/>
    <w:rsid w:val="00877CC0"/>
    <w:rsid w:val="00882A85"/>
    <w:rsid w:val="00885AB9"/>
    <w:rsid w:val="00892CAF"/>
    <w:rsid w:val="00897236"/>
    <w:rsid w:val="008A1411"/>
    <w:rsid w:val="008A4D73"/>
    <w:rsid w:val="008B1C88"/>
    <w:rsid w:val="008B356F"/>
    <w:rsid w:val="008B39B9"/>
    <w:rsid w:val="008B7481"/>
    <w:rsid w:val="008C3106"/>
    <w:rsid w:val="008D4725"/>
    <w:rsid w:val="008D5D28"/>
    <w:rsid w:val="008E56DF"/>
    <w:rsid w:val="008E5A17"/>
    <w:rsid w:val="008E5CB2"/>
    <w:rsid w:val="008F6379"/>
    <w:rsid w:val="008F73BC"/>
    <w:rsid w:val="00901963"/>
    <w:rsid w:val="009025D3"/>
    <w:rsid w:val="00906FB3"/>
    <w:rsid w:val="00907FD4"/>
    <w:rsid w:val="009105D1"/>
    <w:rsid w:val="00911681"/>
    <w:rsid w:val="009159B7"/>
    <w:rsid w:val="009171A9"/>
    <w:rsid w:val="009178FB"/>
    <w:rsid w:val="00931ABE"/>
    <w:rsid w:val="00932826"/>
    <w:rsid w:val="0093309D"/>
    <w:rsid w:val="00934CE6"/>
    <w:rsid w:val="00941F56"/>
    <w:rsid w:val="00952597"/>
    <w:rsid w:val="009538ED"/>
    <w:rsid w:val="00954A12"/>
    <w:rsid w:val="00956521"/>
    <w:rsid w:val="00960458"/>
    <w:rsid w:val="00971C09"/>
    <w:rsid w:val="00980464"/>
    <w:rsid w:val="00984978"/>
    <w:rsid w:val="00991DD8"/>
    <w:rsid w:val="00995660"/>
    <w:rsid w:val="009B21BC"/>
    <w:rsid w:val="009B57BC"/>
    <w:rsid w:val="009C201E"/>
    <w:rsid w:val="009C2393"/>
    <w:rsid w:val="009D0B8E"/>
    <w:rsid w:val="009D7BC2"/>
    <w:rsid w:val="009E334E"/>
    <w:rsid w:val="009F34F1"/>
    <w:rsid w:val="009F7B5F"/>
    <w:rsid w:val="00A07E67"/>
    <w:rsid w:val="00A15ADB"/>
    <w:rsid w:val="00A41781"/>
    <w:rsid w:val="00A41BF2"/>
    <w:rsid w:val="00A42985"/>
    <w:rsid w:val="00A50CD6"/>
    <w:rsid w:val="00A5346D"/>
    <w:rsid w:val="00A57342"/>
    <w:rsid w:val="00A57451"/>
    <w:rsid w:val="00A75212"/>
    <w:rsid w:val="00A761A1"/>
    <w:rsid w:val="00A7789E"/>
    <w:rsid w:val="00A81F61"/>
    <w:rsid w:val="00A9225E"/>
    <w:rsid w:val="00AA7858"/>
    <w:rsid w:val="00AC008D"/>
    <w:rsid w:val="00AD24E8"/>
    <w:rsid w:val="00AD565F"/>
    <w:rsid w:val="00AD5AF5"/>
    <w:rsid w:val="00AE7A4D"/>
    <w:rsid w:val="00AF482E"/>
    <w:rsid w:val="00AF68C3"/>
    <w:rsid w:val="00B03E6E"/>
    <w:rsid w:val="00B07A66"/>
    <w:rsid w:val="00B17CE3"/>
    <w:rsid w:val="00B2246C"/>
    <w:rsid w:val="00B23652"/>
    <w:rsid w:val="00B24D42"/>
    <w:rsid w:val="00B259F4"/>
    <w:rsid w:val="00B2719B"/>
    <w:rsid w:val="00B274F5"/>
    <w:rsid w:val="00B31D53"/>
    <w:rsid w:val="00B353A8"/>
    <w:rsid w:val="00B37073"/>
    <w:rsid w:val="00B40B66"/>
    <w:rsid w:val="00B4621C"/>
    <w:rsid w:val="00B558DD"/>
    <w:rsid w:val="00B634CE"/>
    <w:rsid w:val="00B64500"/>
    <w:rsid w:val="00B71C0C"/>
    <w:rsid w:val="00B71C69"/>
    <w:rsid w:val="00B73307"/>
    <w:rsid w:val="00B73ED6"/>
    <w:rsid w:val="00B90F3C"/>
    <w:rsid w:val="00B9489F"/>
    <w:rsid w:val="00B964F3"/>
    <w:rsid w:val="00BA115E"/>
    <w:rsid w:val="00BA345C"/>
    <w:rsid w:val="00BA52B5"/>
    <w:rsid w:val="00BA62C4"/>
    <w:rsid w:val="00BA7F94"/>
    <w:rsid w:val="00BC1DBC"/>
    <w:rsid w:val="00BC5E9B"/>
    <w:rsid w:val="00BE5EB7"/>
    <w:rsid w:val="00BE7B79"/>
    <w:rsid w:val="00BF6D15"/>
    <w:rsid w:val="00BF6E65"/>
    <w:rsid w:val="00C11456"/>
    <w:rsid w:val="00C172FA"/>
    <w:rsid w:val="00C31E5D"/>
    <w:rsid w:val="00C34A77"/>
    <w:rsid w:val="00C51FC9"/>
    <w:rsid w:val="00C54652"/>
    <w:rsid w:val="00C67403"/>
    <w:rsid w:val="00C733A8"/>
    <w:rsid w:val="00C74B27"/>
    <w:rsid w:val="00C7776C"/>
    <w:rsid w:val="00C81846"/>
    <w:rsid w:val="00C85C6A"/>
    <w:rsid w:val="00C863A5"/>
    <w:rsid w:val="00C9049E"/>
    <w:rsid w:val="00C9729A"/>
    <w:rsid w:val="00CA105E"/>
    <w:rsid w:val="00CA11C6"/>
    <w:rsid w:val="00CA14D1"/>
    <w:rsid w:val="00CA6DB5"/>
    <w:rsid w:val="00CA731C"/>
    <w:rsid w:val="00CB051A"/>
    <w:rsid w:val="00CB3AED"/>
    <w:rsid w:val="00CC0DC2"/>
    <w:rsid w:val="00CC1123"/>
    <w:rsid w:val="00CC30A6"/>
    <w:rsid w:val="00CC59E7"/>
    <w:rsid w:val="00CC605C"/>
    <w:rsid w:val="00CE759F"/>
    <w:rsid w:val="00CF3514"/>
    <w:rsid w:val="00CF4B1B"/>
    <w:rsid w:val="00D0643B"/>
    <w:rsid w:val="00D10A55"/>
    <w:rsid w:val="00D22C9B"/>
    <w:rsid w:val="00D323E4"/>
    <w:rsid w:val="00D36FE6"/>
    <w:rsid w:val="00D404CD"/>
    <w:rsid w:val="00D468CB"/>
    <w:rsid w:val="00D5213A"/>
    <w:rsid w:val="00D57DCD"/>
    <w:rsid w:val="00D62115"/>
    <w:rsid w:val="00D677E3"/>
    <w:rsid w:val="00D67C0B"/>
    <w:rsid w:val="00D737CC"/>
    <w:rsid w:val="00D73B05"/>
    <w:rsid w:val="00D8348C"/>
    <w:rsid w:val="00D8634A"/>
    <w:rsid w:val="00D87A45"/>
    <w:rsid w:val="00D94EFC"/>
    <w:rsid w:val="00D95010"/>
    <w:rsid w:val="00D96B21"/>
    <w:rsid w:val="00DB2453"/>
    <w:rsid w:val="00DC0357"/>
    <w:rsid w:val="00DD4904"/>
    <w:rsid w:val="00DF76A3"/>
    <w:rsid w:val="00E004F4"/>
    <w:rsid w:val="00E12437"/>
    <w:rsid w:val="00E15026"/>
    <w:rsid w:val="00E22C60"/>
    <w:rsid w:val="00E36E30"/>
    <w:rsid w:val="00E40CD4"/>
    <w:rsid w:val="00E43F8D"/>
    <w:rsid w:val="00E47DAD"/>
    <w:rsid w:val="00E51558"/>
    <w:rsid w:val="00E61BF4"/>
    <w:rsid w:val="00E70ADF"/>
    <w:rsid w:val="00E70DCB"/>
    <w:rsid w:val="00E73C53"/>
    <w:rsid w:val="00E753B6"/>
    <w:rsid w:val="00E76D44"/>
    <w:rsid w:val="00E774EE"/>
    <w:rsid w:val="00E83CAB"/>
    <w:rsid w:val="00E97415"/>
    <w:rsid w:val="00EB5CDD"/>
    <w:rsid w:val="00EB751B"/>
    <w:rsid w:val="00EC067B"/>
    <w:rsid w:val="00EC34C0"/>
    <w:rsid w:val="00EC4491"/>
    <w:rsid w:val="00EC4700"/>
    <w:rsid w:val="00EC4D12"/>
    <w:rsid w:val="00EC4F85"/>
    <w:rsid w:val="00EC6C68"/>
    <w:rsid w:val="00ED3419"/>
    <w:rsid w:val="00EE419A"/>
    <w:rsid w:val="00EE59D4"/>
    <w:rsid w:val="00EF036F"/>
    <w:rsid w:val="00EF0941"/>
    <w:rsid w:val="00EF70EC"/>
    <w:rsid w:val="00F01574"/>
    <w:rsid w:val="00F05142"/>
    <w:rsid w:val="00F06DFF"/>
    <w:rsid w:val="00F21A5D"/>
    <w:rsid w:val="00F273A2"/>
    <w:rsid w:val="00F34277"/>
    <w:rsid w:val="00F46334"/>
    <w:rsid w:val="00F5037D"/>
    <w:rsid w:val="00F51733"/>
    <w:rsid w:val="00F5373C"/>
    <w:rsid w:val="00F574FC"/>
    <w:rsid w:val="00F6391A"/>
    <w:rsid w:val="00F652D0"/>
    <w:rsid w:val="00F7432E"/>
    <w:rsid w:val="00F77CD6"/>
    <w:rsid w:val="00F81245"/>
    <w:rsid w:val="00F973CB"/>
    <w:rsid w:val="00F979BE"/>
    <w:rsid w:val="00FA2E55"/>
    <w:rsid w:val="00FB0EF8"/>
    <w:rsid w:val="00FB44A6"/>
    <w:rsid w:val="00FD0C76"/>
    <w:rsid w:val="00FD5A6C"/>
    <w:rsid w:val="00FD61B5"/>
    <w:rsid w:val="00FE4C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unhideWhenUsed/>
    <w:rsid w:val="00956521"/>
    <w:pPr>
      <w:keepLines/>
      <w:widowControl w:val="0"/>
      <w:spacing w:before="600" w:after="0" w:line="240" w:lineRule="auto"/>
    </w:pPr>
    <w:rPr>
      <w:rFonts w:ascii="Times New Roman" w:eastAsia="Times New Roman" w:hAnsi="Times New Roman" w:cs="Times New Roman"/>
      <w:sz w:val="26"/>
      <w:szCs w:val="20"/>
      <w:lang w:val="en-AU"/>
    </w:rPr>
  </w:style>
  <w:style w:type="paragraph" w:styleId="ListParagraph">
    <w:name w:val="List Paragraph"/>
    <w:basedOn w:val="Normal"/>
    <w:uiPriority w:val="34"/>
    <w:qFormat/>
    <w:rsid w:val="00956521"/>
    <w:pPr>
      <w:ind w:left="720"/>
      <w:contextualSpacing/>
    </w:pPr>
  </w:style>
  <w:style w:type="paragraph" w:customStyle="1" w:styleId="naiskr">
    <w:name w:val="naiskr"/>
    <w:basedOn w:val="Normal"/>
    <w:rsid w:val="00956521"/>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F06D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6DFF"/>
  </w:style>
  <w:style w:type="paragraph" w:styleId="Footer">
    <w:name w:val="footer"/>
    <w:basedOn w:val="Normal"/>
    <w:link w:val="FooterChar"/>
    <w:uiPriority w:val="99"/>
    <w:unhideWhenUsed/>
    <w:rsid w:val="00F06D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6DFF"/>
  </w:style>
  <w:style w:type="paragraph" w:styleId="BodyText">
    <w:name w:val="Body Text"/>
    <w:basedOn w:val="Normal"/>
    <w:link w:val="BodyTextChar"/>
    <w:unhideWhenUsed/>
    <w:rsid w:val="00F06DFF"/>
    <w:pPr>
      <w:spacing w:after="0" w:line="240" w:lineRule="auto"/>
      <w:jc w:val="both"/>
    </w:pPr>
    <w:rPr>
      <w:rFonts w:ascii="Times New Roman" w:eastAsia="Times New Roman" w:hAnsi="Times New Roman" w:cs="Times New Roman"/>
      <w:sz w:val="28"/>
      <w:szCs w:val="20"/>
      <w:lang w:eastAsia="lv-LV"/>
    </w:rPr>
  </w:style>
  <w:style w:type="character" w:customStyle="1" w:styleId="BodyTextChar">
    <w:name w:val="Body Text Char"/>
    <w:basedOn w:val="DefaultParagraphFont"/>
    <w:link w:val="BodyText"/>
    <w:rsid w:val="00F06DFF"/>
    <w:rPr>
      <w:rFonts w:ascii="Times New Roman" w:eastAsia="Times New Roman" w:hAnsi="Times New Roman" w:cs="Times New Roman"/>
      <w:sz w:val="28"/>
      <w:szCs w:val="20"/>
      <w:lang w:eastAsia="lv-LV"/>
    </w:rPr>
  </w:style>
  <w:style w:type="paragraph" w:styleId="FootnoteText">
    <w:name w:val="footnote text"/>
    <w:aliases w:val="Char10,Footnote,Fußnote Char,Fußnote Char Char,Fußnote Char Char Char Char Char Char,Fußnote,-E Fußnotentext,footnote text,Fußnotentext Ursprung,single space,FOOTNOTES,fn,Footnote Text Char2 Char,Footnote Text Char Char1 Char,f"/>
    <w:basedOn w:val="Normal"/>
    <w:link w:val="FootnoteTextChar"/>
    <w:uiPriority w:val="99"/>
    <w:rsid w:val="006B2006"/>
    <w:pPr>
      <w:widowControl w:val="0"/>
      <w:spacing w:after="0" w:line="240" w:lineRule="auto"/>
      <w:ind w:firstLine="720"/>
      <w:jc w:val="both"/>
    </w:pPr>
    <w:rPr>
      <w:rFonts w:ascii="Times New Roman" w:eastAsia="Times New Roman" w:hAnsi="Times New Roman" w:cs="Times New Roman"/>
      <w:sz w:val="20"/>
      <w:szCs w:val="20"/>
      <w:lang w:val="en-AU"/>
    </w:rPr>
  </w:style>
  <w:style w:type="character" w:customStyle="1" w:styleId="FootnoteTextChar">
    <w:name w:val="Footnote Text Char"/>
    <w:aliases w:val="Char10 Char,Footnote Char,Fußnote Char Char1,Fußnote Char Char Char,Fußnote Char Char Char Char Char Char Char,Fußnote Char1,-E Fußnotentext Char,footnote text Char,Fußnotentext Ursprung Char,single space Char,FOOTNOTES Char,fn Char"/>
    <w:basedOn w:val="DefaultParagraphFont"/>
    <w:link w:val="FootnoteText"/>
    <w:uiPriority w:val="99"/>
    <w:rsid w:val="006B2006"/>
    <w:rPr>
      <w:rFonts w:ascii="Times New Roman" w:eastAsia="Times New Roman" w:hAnsi="Times New Roman" w:cs="Times New Roman"/>
      <w:sz w:val="20"/>
      <w:szCs w:val="20"/>
      <w:lang w:val="en-AU"/>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6B2006"/>
    <w:rPr>
      <w:vertAlign w:val="superscript"/>
    </w:rPr>
  </w:style>
  <w:style w:type="paragraph" w:styleId="BalloonText">
    <w:name w:val="Balloon Text"/>
    <w:basedOn w:val="Normal"/>
    <w:link w:val="BalloonTextChar"/>
    <w:uiPriority w:val="99"/>
    <w:semiHidden/>
    <w:unhideWhenUsed/>
    <w:rsid w:val="004C1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EE7"/>
    <w:rPr>
      <w:rFonts w:ascii="Tahoma" w:hAnsi="Tahoma" w:cs="Tahoma"/>
      <w:sz w:val="16"/>
      <w:szCs w:val="16"/>
    </w:rPr>
  </w:style>
  <w:style w:type="character" w:styleId="CommentReference">
    <w:name w:val="annotation reference"/>
    <w:basedOn w:val="DefaultParagraphFont"/>
    <w:uiPriority w:val="99"/>
    <w:semiHidden/>
    <w:unhideWhenUsed/>
    <w:rsid w:val="00B03E6E"/>
    <w:rPr>
      <w:sz w:val="16"/>
      <w:szCs w:val="16"/>
    </w:rPr>
  </w:style>
  <w:style w:type="paragraph" w:styleId="CommentText">
    <w:name w:val="annotation text"/>
    <w:basedOn w:val="Normal"/>
    <w:link w:val="CommentTextChar"/>
    <w:uiPriority w:val="99"/>
    <w:unhideWhenUsed/>
    <w:rsid w:val="00B03E6E"/>
    <w:pPr>
      <w:spacing w:line="240" w:lineRule="auto"/>
    </w:pPr>
    <w:rPr>
      <w:sz w:val="20"/>
      <w:szCs w:val="20"/>
    </w:rPr>
  </w:style>
  <w:style w:type="character" w:customStyle="1" w:styleId="CommentTextChar">
    <w:name w:val="Comment Text Char"/>
    <w:basedOn w:val="DefaultParagraphFont"/>
    <w:link w:val="CommentText"/>
    <w:uiPriority w:val="99"/>
    <w:rsid w:val="00B03E6E"/>
    <w:rPr>
      <w:sz w:val="20"/>
      <w:szCs w:val="20"/>
    </w:rPr>
  </w:style>
  <w:style w:type="paragraph" w:styleId="CommentSubject">
    <w:name w:val="annotation subject"/>
    <w:basedOn w:val="CommentText"/>
    <w:next w:val="CommentText"/>
    <w:link w:val="CommentSubjectChar"/>
    <w:uiPriority w:val="99"/>
    <w:semiHidden/>
    <w:unhideWhenUsed/>
    <w:rsid w:val="00B03E6E"/>
    <w:rPr>
      <w:b/>
      <w:bCs/>
    </w:rPr>
  </w:style>
  <w:style w:type="character" w:customStyle="1" w:styleId="CommentSubjectChar">
    <w:name w:val="Comment Subject Char"/>
    <w:basedOn w:val="CommentTextChar"/>
    <w:link w:val="CommentSubject"/>
    <w:uiPriority w:val="99"/>
    <w:semiHidden/>
    <w:rsid w:val="00B03E6E"/>
    <w:rPr>
      <w:b/>
      <w:bCs/>
      <w:sz w:val="20"/>
      <w:szCs w:val="20"/>
    </w:rPr>
  </w:style>
  <w:style w:type="character" w:styleId="Hyperlink">
    <w:name w:val="Hyperlink"/>
    <w:basedOn w:val="DefaultParagraphFont"/>
    <w:uiPriority w:val="99"/>
    <w:unhideWhenUsed/>
    <w:rsid w:val="00593807"/>
    <w:rPr>
      <w:color w:val="0000FF" w:themeColor="hyperlink"/>
      <w:u w:val="single"/>
    </w:rPr>
  </w:style>
  <w:style w:type="paragraph" w:customStyle="1" w:styleId="naisc">
    <w:name w:val="naisc"/>
    <w:basedOn w:val="Normal"/>
    <w:rsid w:val="00405A42"/>
    <w:pPr>
      <w:spacing w:before="75" w:after="75" w:line="240" w:lineRule="auto"/>
      <w:jc w:val="center"/>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407CB4"/>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unhideWhenUsed/>
    <w:rsid w:val="00956521"/>
    <w:pPr>
      <w:keepLines/>
      <w:widowControl w:val="0"/>
      <w:spacing w:before="600" w:after="0" w:line="240" w:lineRule="auto"/>
    </w:pPr>
    <w:rPr>
      <w:rFonts w:ascii="Times New Roman" w:eastAsia="Times New Roman" w:hAnsi="Times New Roman" w:cs="Times New Roman"/>
      <w:sz w:val="26"/>
      <w:szCs w:val="20"/>
      <w:lang w:val="en-AU"/>
    </w:rPr>
  </w:style>
  <w:style w:type="paragraph" w:styleId="ListParagraph">
    <w:name w:val="List Paragraph"/>
    <w:basedOn w:val="Normal"/>
    <w:uiPriority w:val="34"/>
    <w:qFormat/>
    <w:rsid w:val="00956521"/>
    <w:pPr>
      <w:ind w:left="720"/>
      <w:contextualSpacing/>
    </w:pPr>
  </w:style>
  <w:style w:type="paragraph" w:customStyle="1" w:styleId="naiskr">
    <w:name w:val="naiskr"/>
    <w:basedOn w:val="Normal"/>
    <w:rsid w:val="00956521"/>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F06D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6DFF"/>
  </w:style>
  <w:style w:type="paragraph" w:styleId="Footer">
    <w:name w:val="footer"/>
    <w:basedOn w:val="Normal"/>
    <w:link w:val="FooterChar"/>
    <w:uiPriority w:val="99"/>
    <w:unhideWhenUsed/>
    <w:rsid w:val="00F06D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6DFF"/>
  </w:style>
  <w:style w:type="paragraph" w:styleId="BodyText">
    <w:name w:val="Body Text"/>
    <w:basedOn w:val="Normal"/>
    <w:link w:val="BodyTextChar"/>
    <w:unhideWhenUsed/>
    <w:rsid w:val="00F06DFF"/>
    <w:pPr>
      <w:spacing w:after="0" w:line="240" w:lineRule="auto"/>
      <w:jc w:val="both"/>
    </w:pPr>
    <w:rPr>
      <w:rFonts w:ascii="Times New Roman" w:eastAsia="Times New Roman" w:hAnsi="Times New Roman" w:cs="Times New Roman"/>
      <w:sz w:val="28"/>
      <w:szCs w:val="20"/>
      <w:lang w:eastAsia="lv-LV"/>
    </w:rPr>
  </w:style>
  <w:style w:type="character" w:customStyle="1" w:styleId="BodyTextChar">
    <w:name w:val="Body Text Char"/>
    <w:basedOn w:val="DefaultParagraphFont"/>
    <w:link w:val="BodyText"/>
    <w:rsid w:val="00F06DFF"/>
    <w:rPr>
      <w:rFonts w:ascii="Times New Roman" w:eastAsia="Times New Roman" w:hAnsi="Times New Roman" w:cs="Times New Roman"/>
      <w:sz w:val="28"/>
      <w:szCs w:val="20"/>
      <w:lang w:eastAsia="lv-LV"/>
    </w:rPr>
  </w:style>
  <w:style w:type="paragraph" w:styleId="FootnoteText">
    <w:name w:val="footnote text"/>
    <w:aliases w:val="Char10,Footnote,Fußnote Char,Fußnote Char Char,Fußnote Char Char Char Char Char Char,Fußnote,-E Fußnotentext,footnote text,Fußnotentext Ursprung,single space,FOOTNOTES,fn,Footnote Text Char2 Char,Footnote Text Char Char1 Char,f"/>
    <w:basedOn w:val="Normal"/>
    <w:link w:val="FootnoteTextChar"/>
    <w:uiPriority w:val="99"/>
    <w:rsid w:val="006B2006"/>
    <w:pPr>
      <w:widowControl w:val="0"/>
      <w:spacing w:after="0" w:line="240" w:lineRule="auto"/>
      <w:ind w:firstLine="720"/>
      <w:jc w:val="both"/>
    </w:pPr>
    <w:rPr>
      <w:rFonts w:ascii="Times New Roman" w:eastAsia="Times New Roman" w:hAnsi="Times New Roman" w:cs="Times New Roman"/>
      <w:sz w:val="20"/>
      <w:szCs w:val="20"/>
      <w:lang w:val="en-AU"/>
    </w:rPr>
  </w:style>
  <w:style w:type="character" w:customStyle="1" w:styleId="FootnoteTextChar">
    <w:name w:val="Footnote Text Char"/>
    <w:aliases w:val="Char10 Char,Footnote Char,Fußnote Char Char1,Fußnote Char Char Char,Fußnote Char Char Char Char Char Char Char,Fußnote Char1,-E Fußnotentext Char,footnote text Char,Fußnotentext Ursprung Char,single space Char,FOOTNOTES Char,fn Char"/>
    <w:basedOn w:val="DefaultParagraphFont"/>
    <w:link w:val="FootnoteText"/>
    <w:uiPriority w:val="99"/>
    <w:rsid w:val="006B2006"/>
    <w:rPr>
      <w:rFonts w:ascii="Times New Roman" w:eastAsia="Times New Roman" w:hAnsi="Times New Roman" w:cs="Times New Roman"/>
      <w:sz w:val="20"/>
      <w:szCs w:val="20"/>
      <w:lang w:val="en-AU"/>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6B2006"/>
    <w:rPr>
      <w:vertAlign w:val="superscript"/>
    </w:rPr>
  </w:style>
  <w:style w:type="paragraph" w:styleId="BalloonText">
    <w:name w:val="Balloon Text"/>
    <w:basedOn w:val="Normal"/>
    <w:link w:val="BalloonTextChar"/>
    <w:uiPriority w:val="99"/>
    <w:semiHidden/>
    <w:unhideWhenUsed/>
    <w:rsid w:val="004C1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EE7"/>
    <w:rPr>
      <w:rFonts w:ascii="Tahoma" w:hAnsi="Tahoma" w:cs="Tahoma"/>
      <w:sz w:val="16"/>
      <w:szCs w:val="16"/>
    </w:rPr>
  </w:style>
  <w:style w:type="character" w:styleId="CommentReference">
    <w:name w:val="annotation reference"/>
    <w:basedOn w:val="DefaultParagraphFont"/>
    <w:uiPriority w:val="99"/>
    <w:semiHidden/>
    <w:unhideWhenUsed/>
    <w:rsid w:val="00B03E6E"/>
    <w:rPr>
      <w:sz w:val="16"/>
      <w:szCs w:val="16"/>
    </w:rPr>
  </w:style>
  <w:style w:type="paragraph" w:styleId="CommentText">
    <w:name w:val="annotation text"/>
    <w:basedOn w:val="Normal"/>
    <w:link w:val="CommentTextChar"/>
    <w:uiPriority w:val="99"/>
    <w:unhideWhenUsed/>
    <w:rsid w:val="00B03E6E"/>
    <w:pPr>
      <w:spacing w:line="240" w:lineRule="auto"/>
    </w:pPr>
    <w:rPr>
      <w:sz w:val="20"/>
      <w:szCs w:val="20"/>
    </w:rPr>
  </w:style>
  <w:style w:type="character" w:customStyle="1" w:styleId="CommentTextChar">
    <w:name w:val="Comment Text Char"/>
    <w:basedOn w:val="DefaultParagraphFont"/>
    <w:link w:val="CommentText"/>
    <w:uiPriority w:val="99"/>
    <w:rsid w:val="00B03E6E"/>
    <w:rPr>
      <w:sz w:val="20"/>
      <w:szCs w:val="20"/>
    </w:rPr>
  </w:style>
  <w:style w:type="paragraph" w:styleId="CommentSubject">
    <w:name w:val="annotation subject"/>
    <w:basedOn w:val="CommentText"/>
    <w:next w:val="CommentText"/>
    <w:link w:val="CommentSubjectChar"/>
    <w:uiPriority w:val="99"/>
    <w:semiHidden/>
    <w:unhideWhenUsed/>
    <w:rsid w:val="00B03E6E"/>
    <w:rPr>
      <w:b/>
      <w:bCs/>
    </w:rPr>
  </w:style>
  <w:style w:type="character" w:customStyle="1" w:styleId="CommentSubjectChar">
    <w:name w:val="Comment Subject Char"/>
    <w:basedOn w:val="CommentTextChar"/>
    <w:link w:val="CommentSubject"/>
    <w:uiPriority w:val="99"/>
    <w:semiHidden/>
    <w:rsid w:val="00B03E6E"/>
    <w:rPr>
      <w:b/>
      <w:bCs/>
      <w:sz w:val="20"/>
      <w:szCs w:val="20"/>
    </w:rPr>
  </w:style>
  <w:style w:type="character" w:styleId="Hyperlink">
    <w:name w:val="Hyperlink"/>
    <w:basedOn w:val="DefaultParagraphFont"/>
    <w:uiPriority w:val="99"/>
    <w:unhideWhenUsed/>
    <w:rsid w:val="00593807"/>
    <w:rPr>
      <w:color w:val="0000FF" w:themeColor="hyperlink"/>
      <w:u w:val="single"/>
    </w:rPr>
  </w:style>
  <w:style w:type="paragraph" w:customStyle="1" w:styleId="naisc">
    <w:name w:val="naisc"/>
    <w:basedOn w:val="Normal"/>
    <w:rsid w:val="00405A42"/>
    <w:pPr>
      <w:spacing w:before="75" w:after="75" w:line="240" w:lineRule="auto"/>
      <w:jc w:val="center"/>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407CB4"/>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5072">
      <w:bodyDiv w:val="1"/>
      <w:marLeft w:val="0"/>
      <w:marRight w:val="0"/>
      <w:marTop w:val="0"/>
      <w:marBottom w:val="0"/>
      <w:divBdr>
        <w:top w:val="none" w:sz="0" w:space="0" w:color="auto"/>
        <w:left w:val="none" w:sz="0" w:space="0" w:color="auto"/>
        <w:bottom w:val="none" w:sz="0" w:space="0" w:color="auto"/>
        <w:right w:val="none" w:sz="0" w:space="0" w:color="auto"/>
      </w:divBdr>
    </w:div>
    <w:div w:id="1270702045">
      <w:bodyDiv w:val="1"/>
      <w:marLeft w:val="0"/>
      <w:marRight w:val="0"/>
      <w:marTop w:val="0"/>
      <w:marBottom w:val="0"/>
      <w:divBdr>
        <w:top w:val="none" w:sz="0" w:space="0" w:color="auto"/>
        <w:left w:val="none" w:sz="0" w:space="0" w:color="auto"/>
        <w:bottom w:val="none" w:sz="0" w:space="0" w:color="auto"/>
        <w:right w:val="none" w:sz="0" w:space="0" w:color="auto"/>
      </w:divBdr>
    </w:div>
    <w:div w:id="1774128832">
      <w:bodyDiv w:val="1"/>
      <w:marLeft w:val="0"/>
      <w:marRight w:val="0"/>
      <w:marTop w:val="0"/>
      <w:marBottom w:val="0"/>
      <w:divBdr>
        <w:top w:val="none" w:sz="0" w:space="0" w:color="auto"/>
        <w:left w:val="none" w:sz="0" w:space="0" w:color="auto"/>
        <w:bottom w:val="none" w:sz="0" w:space="0" w:color="auto"/>
        <w:right w:val="none" w:sz="0" w:space="0" w:color="auto"/>
      </w:divBdr>
    </w:div>
    <w:div w:id="209331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1147F-83DF-40E8-AADA-916863BB7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1434</Words>
  <Characters>10273</Characters>
  <Application>Microsoft Office Word</Application>
  <DocSecurity>0</DocSecurity>
  <Lines>395</Lines>
  <Paragraphs>125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21.septembra noteikumos Nr.887 „Noteikumi par darbības programmas „Uzņēmējdarbība un inovācijas””” papildinājuma 2.3.1.1.aktivitātes „Ārējo tirgu apgūšana” 2.3.1.1.2.apakšaktivitā</vt:lpstr>
    </vt:vector>
  </TitlesOfParts>
  <Company/>
  <LinksUpToDate>false</LinksUpToDate>
  <CharactersWithSpaces>11582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21.septembra noteikumos Nr.887 „Noteikumi par darbības programmas „Uzņēmējdarbība un inovācijas””” papildinājuma 2.3.1.1.aktivitātes „Ārējo tirgu apgūšana” 2.3.1.1.2.apakšaktivitāti „Ārējo tirgu apgūšana – nozaru starptautiskās konkurētspējas stiprināšana””” sākotnējās ietekmes novērtējuma ziņojums (anotācija)</dc:title>
  <dc:subject>Ministru kabineta noteikumu projekta sākotnējās ietekmes novērtējuma ziņojums (anotācija</dc:subject>
  <dc:creator>Māris Krūmiņš</dc:creator>
  <dc:description>67013126, Maris.Krumins@em.gov.lv</dc:description>
  <cp:lastModifiedBy>Māris Krūmiņš</cp:lastModifiedBy>
  <cp:revision>20</cp:revision>
  <cp:lastPrinted>2014-02-11T16:24:00Z</cp:lastPrinted>
  <dcterms:created xsi:type="dcterms:W3CDTF">2014-04-22T08:30:00Z</dcterms:created>
  <dcterms:modified xsi:type="dcterms:W3CDTF">2014-04-24T05:35:00Z</dcterms:modified>
</cp:coreProperties>
</file>