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61" w:rsidRPr="00DD04FC" w:rsidRDefault="006259B0" w:rsidP="00DD04FC">
      <w:pPr>
        <w:jc w:val="center"/>
        <w:rPr>
          <w:bCs/>
          <w:i/>
          <w:szCs w:val="28"/>
        </w:rPr>
      </w:pPr>
      <w:r w:rsidRPr="003A30BE">
        <w:rPr>
          <w:bCs/>
          <w:i/>
          <w:szCs w:val="28"/>
        </w:rPr>
        <w:t xml:space="preserve">Informatīvais ziņojums </w:t>
      </w:r>
    </w:p>
    <w:p w:rsidR="00EB0361" w:rsidRPr="00EB0361" w:rsidRDefault="00EB0361" w:rsidP="0039560A">
      <w:pPr>
        <w:jc w:val="center"/>
        <w:rPr>
          <w:b/>
        </w:rPr>
      </w:pPr>
      <w:r>
        <w:rPr>
          <w:b/>
        </w:rPr>
        <w:t>p</w:t>
      </w:r>
      <w:r w:rsidRPr="00EB0361">
        <w:rPr>
          <w:b/>
        </w:rPr>
        <w:t>ar AS „Latvenergo” līdzdalīb</w:t>
      </w:r>
      <w:r w:rsidR="0039560A">
        <w:rPr>
          <w:b/>
        </w:rPr>
        <w:t xml:space="preserve">u </w:t>
      </w:r>
      <w:r w:rsidRPr="00EB0361">
        <w:rPr>
          <w:b/>
        </w:rPr>
        <w:t>SIA „Liepājas enerģija”</w:t>
      </w:r>
    </w:p>
    <w:p w:rsidR="00FC5A56" w:rsidRDefault="00FC5A56" w:rsidP="00EA046E">
      <w:pPr>
        <w:pStyle w:val="Heading1"/>
        <w:spacing w:after="0" w:afterAutospacing="0"/>
      </w:pPr>
    </w:p>
    <w:p w:rsidR="008D3642" w:rsidRDefault="008D3642" w:rsidP="00EA046E">
      <w:pPr>
        <w:spacing w:after="0"/>
      </w:pPr>
      <w:r>
        <w:t xml:space="preserve">Lai nodrošinātu valsts kapitālsabiedrību pārvaldības reformas kopējo virzību un izvērtētu nepieciešamību saglabāt valsts līdzdalību kapitālsabiedrībās atbilstoši Publisko personu komercdarbības koncepcijai (atbalstīta ar MK 2012.gada 4.jūnija rīkojumu </w:t>
      </w:r>
      <w:proofErr w:type="spellStart"/>
      <w:r>
        <w:t>Nr</w:t>
      </w:r>
      <w:proofErr w:type="spellEnd"/>
      <w:r>
        <w:t xml:space="preserve">. 245 „Par publisko personu komercdarbības koncepciju”) un Valsts </w:t>
      </w:r>
      <w:proofErr w:type="spellStart"/>
      <w:r>
        <w:t>kapitāldaļu</w:t>
      </w:r>
      <w:proofErr w:type="spellEnd"/>
      <w:r>
        <w:t xml:space="preserve"> pārvaldības koncepcijai (atbalstīta ar MK 2012.gada 4.jūnija rīkojumu </w:t>
      </w:r>
      <w:proofErr w:type="spellStart"/>
      <w:r>
        <w:t>Nr</w:t>
      </w:r>
      <w:proofErr w:type="spellEnd"/>
      <w:r>
        <w:t xml:space="preserve">. 246 „Par Valsts kapitāla daļu pārvaldības koncepciju”), ar Ministru </w:t>
      </w:r>
      <w:r w:rsidRPr="00DC0AA4">
        <w:t xml:space="preserve">prezidenta 2012.gada 19.jūnija rīkojumu </w:t>
      </w:r>
      <w:proofErr w:type="spellStart"/>
      <w:r w:rsidRPr="00DC0AA4">
        <w:t>Nr</w:t>
      </w:r>
      <w:proofErr w:type="spellEnd"/>
      <w:r w:rsidRPr="00DC0AA4">
        <w:t xml:space="preserve">. 233 „Par darba grupu”, tika izveidota </w:t>
      </w:r>
      <w:r w:rsidR="002B30BC" w:rsidRPr="00DC0AA4">
        <w:t xml:space="preserve">attiecīga </w:t>
      </w:r>
      <w:r w:rsidRPr="00DC0AA4">
        <w:t>starpinstitūciju darba grupa.</w:t>
      </w:r>
      <w:r w:rsidR="0063772C" w:rsidRPr="00DC0AA4">
        <w:t xml:space="preserve"> </w:t>
      </w:r>
      <w:r w:rsidRPr="00DC0AA4">
        <w:t>Darba grupa izstrādāja informatīvu ziņojumu</w:t>
      </w:r>
      <w:r>
        <w:t xml:space="preserve"> „Par valsts līdzdalības kapitālsabiedrībās izvērtēšanu un ar Ministru prezidenta 2012.gada 19.jūnija rīkojumu izveidotās darba grupas priekšlikumiem turpmākai rīcībai”, kas tiks skatīts un atbalstīts 2012.gada 11.jūnija sēdē (</w:t>
      </w:r>
      <w:proofErr w:type="spellStart"/>
      <w:r>
        <w:t>prot</w:t>
      </w:r>
      <w:proofErr w:type="spellEnd"/>
      <w:r>
        <w:t xml:space="preserve">. </w:t>
      </w:r>
      <w:proofErr w:type="spellStart"/>
      <w:r>
        <w:t>Nr</w:t>
      </w:r>
      <w:proofErr w:type="spellEnd"/>
      <w:r>
        <w:t xml:space="preserve">. 34 37§). Vienlaikus atbildīgajām ministrijām tika uzdots izvērtēt informatīvā ziņojuma 5.pielikumā ietverto darba grupas ieteikumu finansiālos un tiesiskos riskus, un iesniegt Ministru kabinetā </w:t>
      </w:r>
      <w:proofErr w:type="spellStart"/>
      <w:r>
        <w:t>priekšlikum</w:t>
      </w:r>
      <w:proofErr w:type="spellEnd"/>
      <w:r w:rsidR="00374B1F">
        <w:t xml:space="preserve"> </w:t>
      </w:r>
      <w:proofErr w:type="spellStart"/>
      <w:r>
        <w:t>us</w:t>
      </w:r>
      <w:proofErr w:type="spellEnd"/>
      <w:r>
        <w:t xml:space="preserve"> turpmākai rīcībai. </w:t>
      </w:r>
    </w:p>
    <w:p w:rsidR="008D3642" w:rsidRDefault="00C5739A" w:rsidP="008D3642">
      <w:r w:rsidRPr="00DC0AA4">
        <w:t>Atsaucoties uz augstāk minēto, Ekonomikas ministrija</w:t>
      </w:r>
      <w:r w:rsidR="00105C1E" w:rsidRPr="00DC0AA4">
        <w:t xml:space="preserve"> (turpmāk – Ministrija)</w:t>
      </w:r>
      <w:r w:rsidR="008D3642" w:rsidRPr="00DC0AA4">
        <w:t xml:space="preserve">, </w:t>
      </w:r>
      <w:r w:rsidRPr="00DC0AA4">
        <w:t xml:space="preserve">sniedz viedokli par </w:t>
      </w:r>
      <w:r w:rsidR="004E579C" w:rsidRPr="00DC0AA4">
        <w:t>i</w:t>
      </w:r>
      <w:r w:rsidRPr="00DC0AA4">
        <w:t>nformatīvā ziņojuma</w:t>
      </w:r>
      <w:r w:rsidR="008D3642" w:rsidRPr="00DC0AA4">
        <w:t xml:space="preserve"> 5. pielikumā ietvert</w:t>
      </w:r>
      <w:r w:rsidR="004E579C" w:rsidRPr="00DC0AA4">
        <w:t>o</w:t>
      </w:r>
      <w:r w:rsidR="008D3642" w:rsidRPr="00DC0AA4">
        <w:t xml:space="preserve"> priekšlikum</w:t>
      </w:r>
      <w:r w:rsidR="004E579C" w:rsidRPr="00DC0AA4">
        <w:t>u</w:t>
      </w:r>
      <w:r w:rsidR="008D3642" w:rsidRPr="00DC0AA4">
        <w:t xml:space="preserve"> attiecībā uz  AS „Latvenergo” līdzdalības izbeigšanu SIA „Liepājas enerģija”</w:t>
      </w:r>
      <w:r w:rsidR="00BE5C98" w:rsidRPr="00DC0AA4">
        <w:t>.</w:t>
      </w:r>
      <w:r w:rsidR="008D3642">
        <w:t xml:space="preserve"> </w:t>
      </w:r>
    </w:p>
    <w:p w:rsidR="008D3642" w:rsidRDefault="008D3642" w:rsidP="008D3642"/>
    <w:p w:rsidR="0063772C" w:rsidRPr="006C4580" w:rsidRDefault="008D3642" w:rsidP="00895D32">
      <w:pPr>
        <w:pStyle w:val="ListParagraph"/>
        <w:spacing w:after="0"/>
        <w:ind w:firstLine="0"/>
        <w:jc w:val="left"/>
        <w:rPr>
          <w:b/>
        </w:rPr>
      </w:pPr>
      <w:r w:rsidRPr="001459DF">
        <w:rPr>
          <w:b/>
        </w:rPr>
        <w:t>Intereses izbeigšanas atbilstība „La</w:t>
      </w:r>
      <w:r w:rsidR="0063772C">
        <w:rPr>
          <w:b/>
        </w:rPr>
        <w:t>tvenergo”  koncerna stratēģijai</w:t>
      </w:r>
    </w:p>
    <w:p w:rsidR="002004A1" w:rsidRDefault="002004A1" w:rsidP="008D3642"/>
    <w:p w:rsidR="008D3642" w:rsidRDefault="008D3642" w:rsidP="008D3642">
      <w:r w:rsidRPr="000B2ED1">
        <w:t xml:space="preserve">Tā kā </w:t>
      </w:r>
      <w:r>
        <w:t xml:space="preserve">akciju sabiedrībai </w:t>
      </w:r>
      <w:r w:rsidRPr="000B2ED1">
        <w:t xml:space="preserve">„Latvenergo”  (turpmāk – </w:t>
      </w:r>
      <w:r>
        <w:t>AS „Latvenergo”</w:t>
      </w:r>
      <w:r w:rsidRPr="000B2ED1">
        <w:t>)</w:t>
      </w:r>
      <w:r w:rsidRPr="001459DF">
        <w:rPr>
          <w:b/>
        </w:rPr>
        <w:t xml:space="preserve"> </w:t>
      </w:r>
      <w:r>
        <w:t xml:space="preserve"> pieder 51% SIA „Liepājas enerģija” kapitāla daļu, tā uzskatāma par „Latvenergo” koncernā ietilpstošu atkarīgu sabiedrību, un neatņemamu „Latvenergo” koncerna sastāvdaļu.  </w:t>
      </w:r>
    </w:p>
    <w:p w:rsidR="008D3642" w:rsidRDefault="008D3642" w:rsidP="008D3642">
      <w:r>
        <w:t>„Latvenergo” koncerns ir lielākais energoapgādes komersants Baltijas valstīs, kura darbības sfērā ietilpst tādi virzieni kā elektroenerģijas un siltumenerģijas ražošana un realizācija, elektroenerģijas sadales pakalpojumi un pārvades aktīvu pārvaldība. Tā stratēģiskā virzība ir vērsta uz pozīcijas nostiprināšanu Baltijas enerģijas tirgū, ģenerācijas avotu dažādošanu un koncerna vērtības palielināšanu.</w:t>
      </w:r>
    </w:p>
    <w:p w:rsidR="008D3642" w:rsidRDefault="008D3642" w:rsidP="008D3642">
      <w:r>
        <w:t xml:space="preserve">„Latvenergo” koncernā ietilpstošās SIA „Liepājas enerģija” darbības pamatvirzieni ir siltumenerģijas un elektroenerģijas ražošana un piegāde, kas pilnībā atbilst </w:t>
      </w:r>
      <w:r w:rsidR="007021D7">
        <w:t>„Latvenergo” k</w:t>
      </w:r>
      <w:r>
        <w:t xml:space="preserve">oncerna pamatdarbības jomām un tā attīstības stratēģiskajiem virzieniem. Pamatojoties uz to, ka Baltijas enerģijas tirgus ir mazs un ar ierobežotu investīciju piesaistes kapacitāti, tā izšķirošā līdzdalība </w:t>
      </w:r>
      <w:r>
        <w:lastRenderedPageBreak/>
        <w:t xml:space="preserve">SIA „Liepājas enerģija” – trešajā lielākajā Latvijas siltumapgādes komersantā – arī no ieguldījumu viedokļa atbilst „Latvenergo” koncerna stratēģijai. </w:t>
      </w:r>
    </w:p>
    <w:p w:rsidR="008D3642" w:rsidRDefault="008D3642" w:rsidP="008D3642"/>
    <w:p w:rsidR="0063772C" w:rsidRPr="006C4580" w:rsidRDefault="008D3642" w:rsidP="00895D32">
      <w:pPr>
        <w:pStyle w:val="ListParagraph"/>
        <w:spacing w:after="0"/>
        <w:ind w:firstLine="0"/>
        <w:rPr>
          <w:b/>
        </w:rPr>
      </w:pPr>
      <w:r w:rsidRPr="001459DF">
        <w:rPr>
          <w:b/>
        </w:rPr>
        <w:t>S</w:t>
      </w:r>
      <w:r>
        <w:rPr>
          <w:b/>
        </w:rPr>
        <w:t>aimnieciskās darbības</w:t>
      </w:r>
      <w:r w:rsidRPr="001459DF">
        <w:rPr>
          <w:b/>
        </w:rPr>
        <w:t xml:space="preserve"> rādītāji un </w:t>
      </w:r>
      <w:r w:rsidR="00AB5E8A">
        <w:rPr>
          <w:b/>
        </w:rPr>
        <w:t>k</w:t>
      </w:r>
      <w:r w:rsidRPr="001459DF">
        <w:rPr>
          <w:b/>
        </w:rPr>
        <w:t>oncerna ieguldījumu atdeve</w:t>
      </w:r>
    </w:p>
    <w:p w:rsidR="002004A1" w:rsidRDefault="002004A1" w:rsidP="008D3642"/>
    <w:p w:rsidR="008D3642" w:rsidRDefault="008D3642" w:rsidP="008D3642">
      <w:r>
        <w:t xml:space="preserve">SIA „Liepājas enerģija” laika periodā no 2009.˗ 2013.gadam ir ievērojami palielinājusi savu aktīvu vērtību, kā arī paaugstinājusi darbības efektivitātes rādītājus. Šajā laika posmā kapitāla daļu īpašnieki SIA „Liepājas enerģija” peļņu nedalīja dividendēs, bet gan pilnībā novirzīja uzņēmuma attīstībai. </w:t>
      </w:r>
    </w:p>
    <w:p w:rsidR="008D3642" w:rsidRDefault="008D3642" w:rsidP="008D3642">
      <w:r>
        <w:t>2013.gadā tika pabeigta galvenā SIA „Liepājas enerģija” ģenerējošā avota TEC Kaiju ielā rekonstrukcija. Investīcijas uzņēmumā tādā apjomā kā laika periodā no 2009.˗ 2013.gadam tuvākajā laikā nav paredzamas, un ir sagaidāma stabila SIA „Liepājas enerģija” darbība ar optimāliem efektivitātes rādītājiem, kas nodrošinās kapitāla daļu turētājiem adekvātu atdevi no ieguldītā kapitāla.</w:t>
      </w:r>
    </w:p>
    <w:p w:rsidR="008D3642" w:rsidRDefault="008D3642" w:rsidP="008D3642">
      <w:r>
        <w:t>SIA „Liepājas enerģija” saimnieciskās darbības rādītāji liecina, ka AS „Latvenergo” kā akciju kontrolpaketes turētājs, ir sekmīgi pārvaldījusi sev piederošās kapitāla daļas, kas sniegusi adekvātu pienesumu  arī tā vērtības pieaugumā un stratēģisko mērķu izpildē.</w:t>
      </w:r>
    </w:p>
    <w:p w:rsidR="008D3642" w:rsidRDefault="008D3642" w:rsidP="008D3642"/>
    <w:p w:rsidR="0063772C" w:rsidRPr="006C4580" w:rsidRDefault="008D3642" w:rsidP="00895D32">
      <w:pPr>
        <w:pStyle w:val="ListParagraph"/>
        <w:spacing w:after="0"/>
        <w:ind w:firstLine="0"/>
        <w:rPr>
          <w:b/>
        </w:rPr>
      </w:pPr>
      <w:r w:rsidRPr="001459DF">
        <w:rPr>
          <w:b/>
        </w:rPr>
        <w:t>Finanšu riski</w:t>
      </w:r>
    </w:p>
    <w:p w:rsidR="002004A1" w:rsidRDefault="002004A1" w:rsidP="008D3642"/>
    <w:p w:rsidR="008D3642" w:rsidRDefault="008D3642" w:rsidP="008D3642">
      <w:r>
        <w:t>Lemjot par tālāko rīcību attiecībā uz AS „Latvenergo” piederošajām SIA „Liepājas enerģija” kapitāla daļām, jāņem vērā šo kapitāla daļu atsavināšanas sagaidāmo ietekmi uz AS „Latvenergo”</w:t>
      </w:r>
      <w:r w:rsidR="00806618">
        <w:t xml:space="preserve"> un SIA „Liepājas enerģija”</w:t>
      </w:r>
      <w:r>
        <w:t xml:space="preserve"> saimniecisko darbību un finansēšanas nosacījumiem. </w:t>
      </w:r>
    </w:p>
    <w:p w:rsidR="008D3642" w:rsidRDefault="008D3642" w:rsidP="008D3642">
      <w:r>
        <w:t>SIA „Liepājas enerģija” ar aizdevējiem noslēgtajos līgumos ir iekļauti nosacījumi, kas paredz, ka tikai saņemot aizdevēja iepriekšēju rakstisku piekrišanu, SIA „Liepājas enerģija”  var tikt reorganizēta, vai var tikt veiktas izmaiņas sabiedrības kapitāla daļu un kapitāla turētāju sastāvā.</w:t>
      </w:r>
    </w:p>
    <w:p w:rsidR="008D3642" w:rsidRDefault="008D3642" w:rsidP="008D3642">
      <w:r>
        <w:t>Ja aizdevējam iepriekšēja rakstiska piekrišana šādu darbību veikšanai netiek lūgta un tā arī netiek sniegta, aizdevējam rodas saistību neizpildes tiesības, līdz ar kurām, aizdevējs, bez jebkādu papildus procedūru veikšanas un aizņēmēja piekrišanas, ir tiesīgs:</w:t>
      </w:r>
    </w:p>
    <w:p w:rsidR="008D3642" w:rsidRDefault="008D3642" w:rsidP="008D3642">
      <w:pPr>
        <w:pStyle w:val="ListParagraph"/>
        <w:numPr>
          <w:ilvl w:val="0"/>
          <w:numId w:val="20"/>
        </w:numPr>
        <w:spacing w:after="0"/>
      </w:pPr>
      <w:r>
        <w:t>pieprasīt nekavējoties samaksāt visas naudas summas, kuras aizņēmējs ir parādā, saskaņā ar aizņēmuma līgumu;</w:t>
      </w:r>
    </w:p>
    <w:p w:rsidR="008D3642" w:rsidRDefault="008D3642" w:rsidP="006C4580">
      <w:pPr>
        <w:pStyle w:val="ListParagraph"/>
        <w:numPr>
          <w:ilvl w:val="0"/>
          <w:numId w:val="20"/>
        </w:numPr>
        <w:spacing w:after="0"/>
      </w:pPr>
      <w:r>
        <w:t xml:space="preserve">pārņemt valdījumā, pārdot vai pieprasīt aizņēmējam pārdot ķīlu, bez tiesas un izsoles par brīvu cenu aizdevēja norādītam pircējam. </w:t>
      </w:r>
    </w:p>
    <w:p w:rsidR="008D3642" w:rsidRDefault="008D3642" w:rsidP="006C4580">
      <w:pPr>
        <w:ind w:left="75" w:firstLine="360"/>
      </w:pPr>
      <w:r>
        <w:lastRenderedPageBreak/>
        <w:t>Vienā no aizdevuma līgumiem bez tam ir noteikts, ka rodoties saistību neizpildes tiesībām, aizdevējs brīvi, bez jebkādu papildus procedūru veikšanas un bez aizņēmēja piekrišanas, ir tiesīgs arī norakstīt finan</w:t>
      </w:r>
      <w:r w:rsidR="00D13986">
        <w:t>š</w:t>
      </w:r>
      <w:r>
        <w:t>u līdzekļus no aizņēmēja kontiem tādā apmērā, kāds aizdevējam pienākas no aizņēmēja, lai samazinātu savus prasījumus vai pilnībā dzēstu saistības.</w:t>
      </w:r>
    </w:p>
    <w:p w:rsidR="008D3642" w:rsidRDefault="00435E6B" w:rsidP="008D3642">
      <w:r>
        <w:t>Papildus tam, s</w:t>
      </w:r>
      <w:r w:rsidR="008D3642">
        <w:t xml:space="preserve">ešos AS „Latvenergo” noslēgtos aizdevuma līgumos ar vietējām komercbankām un starptautiskām investīciju bankām ir iekļauti nosacījumi, kas aizliedz AS „Latvenergo” bez attiecīgā </w:t>
      </w:r>
      <w:r w:rsidR="008D3642" w:rsidRPr="009477D7">
        <w:t xml:space="preserve">aizdevēja iepriekšējas rakstiskas piekrišanas saņemšanas veikt izmaiņas </w:t>
      </w:r>
      <w:r w:rsidR="008D3642">
        <w:t>AS „Latvenergo”</w:t>
      </w:r>
      <w:r w:rsidR="008D3642" w:rsidRPr="009477D7">
        <w:t xml:space="preserve"> dalībā meitas sabiedrībās, veicot meitas sabiedrību reorganizāciju, apvienošanu, sadalīšanu vai pārveidošanu.</w:t>
      </w:r>
      <w:r w:rsidR="008D3642">
        <w:t xml:space="preserve"> Tas nozīmē, ka pirms intereses izbe</w:t>
      </w:r>
      <w:r w:rsidR="007021D7">
        <w:t>igšanas SIA „Liepājas enerģija”</w:t>
      </w:r>
      <w:r w:rsidR="008D3642">
        <w:t xml:space="preserve">, AS „Latvenergo” ir rakstiskā formā par to jāinformē sešas kredītiestādes, un jālūdz to piekrišana. </w:t>
      </w:r>
    </w:p>
    <w:p w:rsidR="008D3642" w:rsidRDefault="008D3642" w:rsidP="008D3642">
      <w:r>
        <w:t>Neraugoties uz to, ka SIA „Liepājas enerģija” aktīvu, pasīvu un apgrozījuma īpatsvars AS „Latvenergo” ir neliels, tomēr nevar izslēgt iespēju, ka aizdevēji, pēc darījuma sagaidāmās ietekmes izvērtējuma, izvirza papildus vai neizdevīgākus nosacījumus dažādu AS „Latvenergo” projektu kreditēšanai.</w:t>
      </w:r>
    </w:p>
    <w:p w:rsidR="008D3642" w:rsidRDefault="008D3642" w:rsidP="008D3642">
      <w:r>
        <w:t xml:space="preserve">Lūdzot aizdevējiem piekrišanu AS „Latvenergo” intereses izbeigšanai </w:t>
      </w:r>
      <w:r w:rsidR="007021D7">
        <w:t>SIA „Liepājas enerģija”</w:t>
      </w:r>
      <w:r>
        <w:t>, ir sagaidāmi divi aizdevēju rīcības varianti:</w:t>
      </w:r>
    </w:p>
    <w:p w:rsidR="008D3642" w:rsidRDefault="008D3642" w:rsidP="008D3642">
      <w:pPr>
        <w:pStyle w:val="ListParagraph"/>
        <w:numPr>
          <w:ilvl w:val="0"/>
          <w:numId w:val="20"/>
        </w:numPr>
        <w:spacing w:after="0"/>
      </w:pPr>
      <w:r>
        <w:t xml:space="preserve">piekrišana intereses izbeigšanai un kapitāla daļu atsavināšanai, taču tiek paaugstinātas aizdevuma procentu likmes un pasliktināti kreditēšanas nosacījumi; </w:t>
      </w:r>
    </w:p>
    <w:p w:rsidR="008D3642" w:rsidRDefault="008D3642" w:rsidP="008D3642">
      <w:pPr>
        <w:pStyle w:val="ListParagraph"/>
        <w:numPr>
          <w:ilvl w:val="0"/>
          <w:numId w:val="20"/>
        </w:numPr>
        <w:spacing w:after="0"/>
      </w:pPr>
      <w:r>
        <w:t xml:space="preserve">nevēlēšanās piekrist intereses izbeigšanai un kapitāla daļu atsavināšanai, kas nozīmē, ka attiecīgie aizdevumi ir steidzamības kārtā jāpārfinansē citās kredītiestādēs. Arī pārfinansēšana varētu nozīmēt kreditēšanas nosacījumu pasliktinājumu. </w:t>
      </w:r>
    </w:p>
    <w:p w:rsidR="009A05AE" w:rsidRDefault="009A05AE" w:rsidP="009A05AE">
      <w:pPr>
        <w:ind w:left="75" w:firstLine="645"/>
      </w:pPr>
    </w:p>
    <w:p w:rsidR="009A05AE" w:rsidRDefault="009A05AE" w:rsidP="009A05AE">
      <w:pPr>
        <w:ind w:left="75" w:firstLine="645"/>
      </w:pPr>
      <w:r w:rsidRPr="00DC0AA4">
        <w:t>Papildus tam</w:t>
      </w:r>
      <w:r w:rsidR="00DC0AA4" w:rsidRPr="00DC0AA4">
        <w:t>,</w:t>
      </w:r>
      <w:r w:rsidRPr="00DC0AA4">
        <w:t xml:space="preserve"> Ministrija atgādina, ka dažos AS „Latvenergo” un aizdevēju noslēgtajos aizdevumu līgumos nosacījums par AS „Latvenergo” līdzdalību SIA</w:t>
      </w:r>
      <w:r>
        <w:t xml:space="preserve"> „Liepājas enerģija” iekļauts pat bez atrunas par iespēju mainīt kapitāla daļu turētāju sastāvu ar aizdevēja atļauju. </w:t>
      </w:r>
    </w:p>
    <w:p w:rsidR="008D3642" w:rsidRDefault="001F7147" w:rsidP="001F7147">
      <w:r>
        <w:t>Ņemot vērā strikti noteiktos nosacījumus attiecībā uz</w:t>
      </w:r>
      <w:r w:rsidR="008D3642" w:rsidRPr="009477D7">
        <w:t xml:space="preserve"> izmaiņ</w:t>
      </w:r>
      <w:r>
        <w:t>u veikšanu</w:t>
      </w:r>
      <w:r w:rsidR="008D3642" w:rsidRPr="009477D7">
        <w:t xml:space="preserve"> </w:t>
      </w:r>
      <w:r w:rsidR="008D3642">
        <w:t>AS „Latvenergo”</w:t>
      </w:r>
      <w:r w:rsidR="008D3642" w:rsidRPr="009477D7">
        <w:t xml:space="preserve"> dalībā meitas sabiedrībās, veicot meitas sabiedrību reorganizāciju, apvienošanu, sadalīšanu vai pārveidošanu, var</w:t>
      </w:r>
      <w:r w:rsidR="008D3642">
        <w:t xml:space="preserve"> secināt, ka aizdevēji nopietni rēķinājušies ar AS „Latvenergo” pārstāvniecību SIA „Liepājas enerģija”, un vērtējuši to kā nozīmīgu finanšu risku stabilizācijas faktoru. </w:t>
      </w:r>
    </w:p>
    <w:p w:rsidR="008D3642" w:rsidRDefault="008D3642" w:rsidP="008D3642">
      <w:r>
        <w:t xml:space="preserve">Aizdevumu nosacījumu pasliktināšanās negatīvi ietekmētu SIA „Liepājas enerģija” darbības rādītājus un varētu kļūt par iemeslu pakalpojumu </w:t>
      </w:r>
      <w:r>
        <w:lastRenderedPageBreak/>
        <w:t>cenu pieaugumam, kā arī dažu aizdevēju izvirzītie nosacījumi varētu vispār apdraudēt SIA „Liepājas enerģija” turpmāko saimniecisko darbību.</w:t>
      </w:r>
    </w:p>
    <w:p w:rsidR="008D3642" w:rsidRDefault="008D3642" w:rsidP="008D3642">
      <w:r>
        <w:t xml:space="preserve">Tāpēc, prognozējot aizdevēju rīcību, un ņemot vērā to, ka intereses izbeigšana SIA „Liepājas enerģija” faktiski nozīmētu kapitāla daļu piespiedu atsavināšanu, ir maz ticams, ka kapitāla daļas izdotos pārdot citiem investoriem par cenu, kas būtu atbilstoša uzņēmuma pašreizējiem stabilās darbības rādītājiem un samērojama ar aizvadītajos gados veiktajiem kapitālieguldījumiem. </w:t>
      </w:r>
    </w:p>
    <w:p w:rsidR="00294978" w:rsidRDefault="00294978" w:rsidP="00DC0AA4">
      <w:pPr>
        <w:ind w:firstLine="0"/>
      </w:pPr>
    </w:p>
    <w:p w:rsidR="008D3642" w:rsidRDefault="005C3DA3" w:rsidP="00952D26">
      <w:r>
        <w:t>Ņemot vērā augstāk minēto</w:t>
      </w:r>
      <w:r w:rsidR="008D3642">
        <w:t>, Ministrija uzskata, ka AS „Latvenergo” intereses izbeigšanai SIA „Liepājas enerģija” nav rodams racionāls vai ekonomisks pamatojums. Tāpēc nebūtu lietderīgi mainīt valsts netiešo līdzdalību kapitālsabiedrībā, un turpināt tās darbību esošajā statusā – ar AS „Latvenergo”</w:t>
      </w:r>
      <w:r w:rsidR="00952D26">
        <w:t xml:space="preserve"> kā 51% akciju turētāju. </w:t>
      </w:r>
      <w:r w:rsidR="008D3642" w:rsidRPr="00AF787B">
        <w:t xml:space="preserve">Tāpat Ministrija norāda, ka tās </w:t>
      </w:r>
      <w:r w:rsidR="008D3642">
        <w:t>nostāja</w:t>
      </w:r>
      <w:r w:rsidR="008D3642" w:rsidRPr="00AF787B">
        <w:t xml:space="preserve"> atbilst informatīvā ziņojuma 1.pielikumā paustajam Darba grupas viedoklim, kas balsojot nolēma, ka valsts līdzdalība SIA „Liepājas enerģija” pagaidām saglabājama esošajā statusā, turpinot AS „Latvenergo” līdzdalību tajā. </w:t>
      </w:r>
    </w:p>
    <w:p w:rsidR="008D3642" w:rsidRDefault="008D3642" w:rsidP="008D3642"/>
    <w:p w:rsidR="00952D26" w:rsidRDefault="00952D26" w:rsidP="00A2009C">
      <w:pPr>
        <w:keepNext/>
        <w:shd w:val="clear" w:color="auto" w:fill="FFFFFF"/>
        <w:rPr>
          <w:szCs w:val="28"/>
        </w:rPr>
      </w:pPr>
    </w:p>
    <w:p w:rsidR="00A2009C" w:rsidRPr="00DC22A6" w:rsidRDefault="00A2009C" w:rsidP="00A2009C">
      <w:pPr>
        <w:keepNext/>
        <w:shd w:val="clear" w:color="auto" w:fill="FFFFFF"/>
        <w:rPr>
          <w:szCs w:val="28"/>
        </w:rPr>
      </w:pPr>
      <w:r w:rsidRPr="00DC22A6">
        <w:rPr>
          <w:szCs w:val="28"/>
        </w:rPr>
        <w:t xml:space="preserve">Iesniedzējs: </w:t>
      </w:r>
    </w:p>
    <w:p w:rsidR="00A2009C" w:rsidRPr="00DC22A6" w:rsidRDefault="00171AAA" w:rsidP="00D64D52">
      <w:pPr>
        <w:keepNext/>
        <w:shd w:val="clear" w:color="auto" w:fill="FFFFFF"/>
        <w:tabs>
          <w:tab w:val="left" w:pos="6804"/>
        </w:tabs>
        <w:rPr>
          <w:szCs w:val="28"/>
        </w:rPr>
      </w:pPr>
      <w:r>
        <w:rPr>
          <w:szCs w:val="28"/>
        </w:rPr>
        <w:t>e</w:t>
      </w:r>
      <w:r w:rsidR="00952D26">
        <w:rPr>
          <w:szCs w:val="28"/>
        </w:rPr>
        <w:t>konomikas ministrs</w:t>
      </w:r>
      <w:r w:rsidR="00952D26">
        <w:rPr>
          <w:szCs w:val="28"/>
        </w:rPr>
        <w:tab/>
      </w:r>
      <w:proofErr w:type="spellStart"/>
      <w:r w:rsidR="00AE6E97">
        <w:rPr>
          <w:szCs w:val="28"/>
        </w:rPr>
        <w:t>V.Dombrovskis</w:t>
      </w:r>
      <w:proofErr w:type="spellEnd"/>
    </w:p>
    <w:p w:rsidR="007F326A" w:rsidRPr="00DC22A6" w:rsidRDefault="007F326A" w:rsidP="00952D26">
      <w:pPr>
        <w:ind w:firstLine="0"/>
        <w:rPr>
          <w:szCs w:val="28"/>
        </w:rPr>
      </w:pPr>
    </w:p>
    <w:p w:rsidR="00053FD2" w:rsidRDefault="00A96A3D" w:rsidP="00A96A3D">
      <w:pPr>
        <w:rPr>
          <w:szCs w:val="28"/>
        </w:rPr>
      </w:pPr>
      <w:r>
        <w:rPr>
          <w:szCs w:val="28"/>
        </w:rPr>
        <w:t xml:space="preserve">Vīzē: </w:t>
      </w:r>
    </w:p>
    <w:p w:rsidR="00952D26" w:rsidRDefault="00171AAA" w:rsidP="00952D26">
      <w:pPr>
        <w:rPr>
          <w:szCs w:val="28"/>
        </w:rPr>
      </w:pPr>
      <w:r>
        <w:rPr>
          <w:szCs w:val="28"/>
        </w:rPr>
        <w:t>v</w:t>
      </w:r>
      <w:r w:rsidR="008D3642">
        <w:rPr>
          <w:szCs w:val="28"/>
        </w:rPr>
        <w:t>alsts sekretārs</w:t>
      </w:r>
      <w:r w:rsidR="008D3642">
        <w:rPr>
          <w:szCs w:val="28"/>
        </w:rPr>
        <w:tab/>
      </w:r>
      <w:r w:rsidR="008D3642">
        <w:rPr>
          <w:szCs w:val="28"/>
        </w:rPr>
        <w:tab/>
      </w:r>
      <w:r w:rsidR="008D3642">
        <w:rPr>
          <w:szCs w:val="28"/>
        </w:rPr>
        <w:tab/>
      </w:r>
      <w:r w:rsidR="008D3642">
        <w:rPr>
          <w:szCs w:val="28"/>
        </w:rPr>
        <w:tab/>
      </w:r>
      <w:r w:rsidR="008D3642">
        <w:rPr>
          <w:szCs w:val="28"/>
        </w:rPr>
        <w:tab/>
      </w:r>
      <w:r w:rsidR="008D3642">
        <w:rPr>
          <w:szCs w:val="28"/>
        </w:rPr>
        <w:tab/>
      </w:r>
      <w:r w:rsidR="00657C0E">
        <w:rPr>
          <w:szCs w:val="28"/>
        </w:rPr>
        <w:t xml:space="preserve">     </w:t>
      </w:r>
      <w:bookmarkStart w:id="0" w:name="_GoBack"/>
      <w:bookmarkEnd w:id="0"/>
      <w:proofErr w:type="spellStart"/>
      <w:r w:rsidR="00952D26">
        <w:rPr>
          <w:szCs w:val="28"/>
        </w:rPr>
        <w:t>M.Lazdovski</w:t>
      </w:r>
      <w:r w:rsidR="0045299E">
        <w:rPr>
          <w:szCs w:val="28"/>
        </w:rPr>
        <w:t>s</w:t>
      </w:r>
      <w:proofErr w:type="spellEnd"/>
    </w:p>
    <w:p w:rsidR="00952D26" w:rsidRDefault="00952D26" w:rsidP="00952D26">
      <w:pPr>
        <w:ind w:firstLine="0"/>
        <w:rPr>
          <w:sz w:val="20"/>
          <w:highlight w:val="yellow"/>
        </w:rPr>
      </w:pPr>
    </w:p>
    <w:p w:rsidR="00952D26" w:rsidRDefault="00952D26" w:rsidP="00952D26">
      <w:pPr>
        <w:ind w:firstLine="0"/>
        <w:rPr>
          <w:sz w:val="20"/>
          <w:highlight w:val="yellow"/>
        </w:rPr>
      </w:pPr>
    </w:p>
    <w:p w:rsidR="00952D26" w:rsidRDefault="00952D26" w:rsidP="00952D26">
      <w:pPr>
        <w:ind w:firstLine="0"/>
        <w:rPr>
          <w:sz w:val="20"/>
          <w:highlight w:val="yellow"/>
        </w:rPr>
      </w:pPr>
    </w:p>
    <w:p w:rsidR="00F861E0" w:rsidRDefault="00F861E0" w:rsidP="00952D26">
      <w:pPr>
        <w:ind w:firstLine="0"/>
        <w:rPr>
          <w:sz w:val="20"/>
        </w:rPr>
      </w:pPr>
    </w:p>
    <w:p w:rsidR="006D030A" w:rsidRPr="00952D26" w:rsidRDefault="00D65E96" w:rsidP="00952D26">
      <w:pPr>
        <w:ind w:firstLine="0"/>
        <w:rPr>
          <w:szCs w:val="28"/>
        </w:rPr>
      </w:pPr>
      <w:r w:rsidRPr="00D65E96">
        <w:rPr>
          <w:sz w:val="20"/>
        </w:rPr>
        <w:t>27</w:t>
      </w:r>
      <w:r w:rsidR="006D030A" w:rsidRPr="00D65E96">
        <w:rPr>
          <w:sz w:val="20"/>
        </w:rPr>
        <w:t>.0</w:t>
      </w:r>
      <w:r w:rsidRPr="00D65E96">
        <w:rPr>
          <w:sz w:val="20"/>
        </w:rPr>
        <w:t>3</w:t>
      </w:r>
      <w:r w:rsidR="006D030A" w:rsidRPr="00D65E96">
        <w:rPr>
          <w:sz w:val="20"/>
        </w:rPr>
        <w:t xml:space="preserve">.2014 </w:t>
      </w:r>
      <w:r w:rsidR="00806722">
        <w:rPr>
          <w:sz w:val="20"/>
        </w:rPr>
        <w:t>10</w:t>
      </w:r>
      <w:r w:rsidR="00895D32">
        <w:rPr>
          <w:sz w:val="20"/>
        </w:rPr>
        <w:t>:00</w:t>
      </w:r>
    </w:p>
    <w:p w:rsidR="000E0370" w:rsidRPr="00ED394C" w:rsidRDefault="00DC0AA4" w:rsidP="000E0370">
      <w:pPr>
        <w:pStyle w:val="Footer"/>
        <w:spacing w:after="0"/>
        <w:ind w:firstLine="0"/>
        <w:rPr>
          <w:sz w:val="20"/>
        </w:rPr>
      </w:pPr>
      <w:r>
        <w:rPr>
          <w:sz w:val="20"/>
        </w:rPr>
        <w:t>103</w:t>
      </w:r>
      <w:r w:rsidR="00806722">
        <w:rPr>
          <w:sz w:val="20"/>
        </w:rPr>
        <w:t>2</w:t>
      </w:r>
    </w:p>
    <w:p w:rsidR="000E0370" w:rsidRPr="00FB0F1D" w:rsidRDefault="008D3642" w:rsidP="000E0370">
      <w:pPr>
        <w:spacing w:after="0"/>
        <w:ind w:firstLine="0"/>
        <w:rPr>
          <w:sz w:val="20"/>
          <w:szCs w:val="20"/>
        </w:rPr>
      </w:pPr>
      <w:r>
        <w:rPr>
          <w:sz w:val="20"/>
          <w:szCs w:val="20"/>
        </w:rPr>
        <w:t>L.Jansons</w:t>
      </w:r>
    </w:p>
    <w:p w:rsidR="000E0370" w:rsidRPr="00952D26" w:rsidRDefault="000E0370" w:rsidP="00952D26">
      <w:pPr>
        <w:spacing w:after="0"/>
        <w:ind w:firstLine="0"/>
        <w:rPr>
          <w:sz w:val="20"/>
          <w:szCs w:val="20"/>
        </w:rPr>
      </w:pPr>
      <w:r w:rsidRPr="00FB0F1D">
        <w:rPr>
          <w:sz w:val="20"/>
          <w:szCs w:val="20"/>
        </w:rPr>
        <w:t>67013</w:t>
      </w:r>
      <w:r w:rsidR="008D3642">
        <w:rPr>
          <w:sz w:val="20"/>
          <w:szCs w:val="20"/>
        </w:rPr>
        <w:t>001</w:t>
      </w:r>
      <w:r w:rsidRPr="00FB0F1D">
        <w:rPr>
          <w:sz w:val="20"/>
          <w:szCs w:val="20"/>
        </w:rPr>
        <w:t xml:space="preserve">, </w:t>
      </w:r>
      <w:r w:rsidR="008D3642">
        <w:rPr>
          <w:sz w:val="20"/>
        </w:rPr>
        <w:t>Leo.Jansons</w:t>
      </w:r>
      <w:r>
        <w:rPr>
          <w:sz w:val="20"/>
        </w:rPr>
        <w:t>@em.gov.lv</w:t>
      </w:r>
    </w:p>
    <w:sectPr w:rsidR="000E0370" w:rsidRPr="00952D26" w:rsidSect="007F326A">
      <w:footerReference w:type="default" r:id="rId9"/>
      <w:pgSz w:w="11906" w:h="16838"/>
      <w:pgMar w:top="1276" w:right="1416" w:bottom="1702" w:left="1701" w:header="708"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25" w:rsidRDefault="00415025" w:rsidP="00B63399">
      <w:r>
        <w:separator/>
      </w:r>
    </w:p>
  </w:endnote>
  <w:endnote w:type="continuationSeparator" w:id="0">
    <w:p w:rsidR="00415025" w:rsidRDefault="00415025" w:rsidP="00B6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Nimbus Sans L">
    <w:altName w:val="MS Mincho"/>
    <w:charset w:val="80"/>
    <w:family w:val="auto"/>
    <w:pitch w:val="variable"/>
  </w:font>
  <w:font w:name="font316">
    <w:altName w:val="MS Mincho"/>
    <w:charset w:val="80"/>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03362"/>
      <w:docPartObj>
        <w:docPartGallery w:val="Page Numbers (Bottom of Page)"/>
        <w:docPartUnique/>
      </w:docPartObj>
    </w:sdtPr>
    <w:sdtEndPr>
      <w:rPr>
        <w:noProof/>
      </w:rPr>
    </w:sdtEndPr>
    <w:sdtContent>
      <w:p w:rsidR="00952D26" w:rsidRDefault="00952D26" w:rsidP="008D3642">
        <w:pPr>
          <w:pStyle w:val="Footer"/>
          <w:ind w:firstLine="0"/>
        </w:pPr>
      </w:p>
      <w:p w:rsidR="008D3642" w:rsidRDefault="008D3642" w:rsidP="008D3642">
        <w:pPr>
          <w:pStyle w:val="Footer"/>
          <w:ind w:firstLine="0"/>
        </w:pPr>
        <w:r w:rsidRPr="008D3642">
          <w:rPr>
            <w:sz w:val="20"/>
          </w:rPr>
          <w:t>EMIz_2</w:t>
        </w:r>
        <w:r w:rsidR="00E61B4F">
          <w:rPr>
            <w:sz w:val="20"/>
          </w:rPr>
          <w:t>7</w:t>
        </w:r>
        <w:r w:rsidRPr="008D3642">
          <w:rPr>
            <w:sz w:val="20"/>
          </w:rPr>
          <w:t>032014_Liepajas_Energija</w:t>
        </w:r>
        <w:r w:rsidR="00EC0A8E" w:rsidRPr="00A2009C">
          <w:rPr>
            <w:sz w:val="20"/>
          </w:rPr>
          <w:t xml:space="preserve">; </w:t>
        </w:r>
        <w:r w:rsidR="00EC0A8E" w:rsidRPr="00E07735">
          <w:rPr>
            <w:sz w:val="20"/>
          </w:rPr>
          <w:t>Informatīvais ziņojums</w:t>
        </w:r>
        <w:r w:rsidR="00EC0A8E">
          <w:rPr>
            <w:sz w:val="20"/>
          </w:rPr>
          <w:t xml:space="preserve"> </w:t>
        </w:r>
        <w:r>
          <w:rPr>
            <w:sz w:val="20"/>
          </w:rPr>
          <w:t>„P</w:t>
        </w:r>
        <w:r w:rsidRPr="008D3642">
          <w:rPr>
            <w:sz w:val="20"/>
          </w:rPr>
          <w:t>ar AS „Latv</w:t>
        </w:r>
        <w:r>
          <w:rPr>
            <w:sz w:val="20"/>
          </w:rPr>
          <w:t>energo” līdzda</w:t>
        </w:r>
        <w:r w:rsidR="001529E7">
          <w:rPr>
            <w:sz w:val="20"/>
          </w:rPr>
          <w:t xml:space="preserve">lību </w:t>
        </w:r>
        <w:r w:rsidRPr="008D3642">
          <w:rPr>
            <w:sz w:val="20"/>
          </w:rPr>
          <w:t>SIA „Liepājas enerģija”</w:t>
        </w:r>
      </w:p>
      <w:p w:rsidR="00EC0A8E" w:rsidRPr="008D3642" w:rsidRDefault="008D3642" w:rsidP="008D3642">
        <w:pPr>
          <w:pStyle w:val="Footer"/>
          <w:ind w:firstLine="0"/>
          <w:rPr>
            <w:sz w:val="20"/>
          </w:rPr>
        </w:pPr>
        <w:r>
          <w:rPr>
            <w:noProof/>
          </w:rPr>
          <w:t xml:space="preserve"> </w:t>
        </w:r>
      </w:p>
    </w:sdtContent>
  </w:sdt>
  <w:p w:rsidR="00EC0A8E" w:rsidRDefault="001A36D1" w:rsidP="00FE0CB6">
    <w:pPr>
      <w:pStyle w:val="Header"/>
      <w:tabs>
        <w:tab w:val="clear" w:pos="4153"/>
        <w:tab w:val="center" w:pos="4536"/>
      </w:tabs>
      <w:spacing w:after="0"/>
      <w:ind w:firstLine="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25" w:rsidRDefault="00415025" w:rsidP="00B63399">
      <w:r>
        <w:separator/>
      </w:r>
    </w:p>
  </w:footnote>
  <w:footnote w:type="continuationSeparator" w:id="0">
    <w:p w:rsidR="00415025" w:rsidRDefault="00415025" w:rsidP="00B63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59EE"/>
    <w:multiLevelType w:val="hybridMultilevel"/>
    <w:tmpl w:val="97981522"/>
    <w:lvl w:ilvl="0" w:tplc="042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61AF8"/>
    <w:multiLevelType w:val="hybridMultilevel"/>
    <w:tmpl w:val="557E58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A95DA3"/>
    <w:multiLevelType w:val="hybridMultilevel"/>
    <w:tmpl w:val="6064359E"/>
    <w:lvl w:ilvl="0" w:tplc="41FCD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8D14559"/>
    <w:multiLevelType w:val="hybridMultilevel"/>
    <w:tmpl w:val="1236DE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5E3016"/>
    <w:multiLevelType w:val="hybridMultilevel"/>
    <w:tmpl w:val="20A82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7120C2E"/>
    <w:multiLevelType w:val="hybridMultilevel"/>
    <w:tmpl w:val="5F9A23C4"/>
    <w:lvl w:ilvl="0" w:tplc="D36ED5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E0D63DE"/>
    <w:multiLevelType w:val="hybridMultilevel"/>
    <w:tmpl w:val="6FFA4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44C0241"/>
    <w:multiLevelType w:val="hybridMultilevel"/>
    <w:tmpl w:val="E62EFCFC"/>
    <w:lvl w:ilvl="0" w:tplc="20C0AA68">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423E7A15"/>
    <w:multiLevelType w:val="hybridMultilevel"/>
    <w:tmpl w:val="BA1E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C3A3C"/>
    <w:multiLevelType w:val="hybridMultilevel"/>
    <w:tmpl w:val="5B367D02"/>
    <w:lvl w:ilvl="0" w:tplc="B8089CE4">
      <w:start w:val="2"/>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nsid w:val="46655FF7"/>
    <w:multiLevelType w:val="hybridMultilevel"/>
    <w:tmpl w:val="934A12F4"/>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46C70F8F"/>
    <w:multiLevelType w:val="hybridMultilevel"/>
    <w:tmpl w:val="CE144B16"/>
    <w:lvl w:ilvl="0" w:tplc="55F63378">
      <w:start w:val="3"/>
      <w:numFmt w:val="bullet"/>
      <w:lvlText w:val="-"/>
      <w:lvlJc w:val="left"/>
      <w:pPr>
        <w:ind w:left="435" w:hanging="360"/>
      </w:pPr>
      <w:rPr>
        <w:rFonts w:ascii="Times New Roman" w:eastAsiaTheme="minorHAnsi"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2">
    <w:nsid w:val="5CED280D"/>
    <w:multiLevelType w:val="hybridMultilevel"/>
    <w:tmpl w:val="88F47B3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nsid w:val="661F08A5"/>
    <w:multiLevelType w:val="hybridMultilevel"/>
    <w:tmpl w:val="6FFA4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6D425EA"/>
    <w:multiLevelType w:val="hybridMultilevel"/>
    <w:tmpl w:val="6DC6B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B9D34B5"/>
    <w:multiLevelType w:val="hybridMultilevel"/>
    <w:tmpl w:val="75301566"/>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70DB5111"/>
    <w:multiLevelType w:val="hybridMultilevel"/>
    <w:tmpl w:val="907A387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nsid w:val="717847DB"/>
    <w:multiLevelType w:val="hybridMultilevel"/>
    <w:tmpl w:val="C46CED4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nsid w:val="78535CFB"/>
    <w:multiLevelType w:val="hybridMultilevel"/>
    <w:tmpl w:val="10585272"/>
    <w:lvl w:ilvl="0" w:tplc="144054A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79E40159"/>
    <w:multiLevelType w:val="hybridMultilevel"/>
    <w:tmpl w:val="35742B2A"/>
    <w:lvl w:ilvl="0" w:tplc="630AD36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9"/>
  </w:num>
  <w:num w:numId="2">
    <w:abstractNumId w:val="8"/>
  </w:num>
  <w:num w:numId="3">
    <w:abstractNumId w:val="0"/>
  </w:num>
  <w:num w:numId="4">
    <w:abstractNumId w:val="12"/>
  </w:num>
  <w:num w:numId="5">
    <w:abstractNumId w:val="16"/>
  </w:num>
  <w:num w:numId="6">
    <w:abstractNumId w:val="17"/>
  </w:num>
  <w:num w:numId="7">
    <w:abstractNumId w:val="14"/>
  </w:num>
  <w:num w:numId="8">
    <w:abstractNumId w:val="6"/>
  </w:num>
  <w:num w:numId="9">
    <w:abstractNumId w:val="13"/>
  </w:num>
  <w:num w:numId="10">
    <w:abstractNumId w:val="9"/>
  </w:num>
  <w:num w:numId="11">
    <w:abstractNumId w:val="3"/>
  </w:num>
  <w:num w:numId="12">
    <w:abstractNumId w:val="1"/>
  </w:num>
  <w:num w:numId="13">
    <w:abstractNumId w:val="10"/>
  </w:num>
  <w:num w:numId="14">
    <w:abstractNumId w:val="15"/>
  </w:num>
  <w:num w:numId="15">
    <w:abstractNumId w:val="2"/>
  </w:num>
  <w:num w:numId="16">
    <w:abstractNumId w:val="18"/>
  </w:num>
  <w:num w:numId="17">
    <w:abstractNumId w:val="5"/>
  </w:num>
  <w:num w:numId="18">
    <w:abstractNumId w:val="7"/>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B0"/>
    <w:rsid w:val="00014C87"/>
    <w:rsid w:val="000434A8"/>
    <w:rsid w:val="00053FD2"/>
    <w:rsid w:val="000633FC"/>
    <w:rsid w:val="000674A7"/>
    <w:rsid w:val="000739BA"/>
    <w:rsid w:val="0007653C"/>
    <w:rsid w:val="00080684"/>
    <w:rsid w:val="0008464A"/>
    <w:rsid w:val="00085127"/>
    <w:rsid w:val="00087D5C"/>
    <w:rsid w:val="00090069"/>
    <w:rsid w:val="0009300A"/>
    <w:rsid w:val="00095676"/>
    <w:rsid w:val="000C1C96"/>
    <w:rsid w:val="000C3CBD"/>
    <w:rsid w:val="000D01AD"/>
    <w:rsid w:val="000D6BB7"/>
    <w:rsid w:val="000E0370"/>
    <w:rsid w:val="000F67B9"/>
    <w:rsid w:val="001027C0"/>
    <w:rsid w:val="0010442D"/>
    <w:rsid w:val="00105C1E"/>
    <w:rsid w:val="00116FA1"/>
    <w:rsid w:val="00121961"/>
    <w:rsid w:val="00124369"/>
    <w:rsid w:val="00125218"/>
    <w:rsid w:val="00143692"/>
    <w:rsid w:val="001529E7"/>
    <w:rsid w:val="0016274D"/>
    <w:rsid w:val="00171AAA"/>
    <w:rsid w:val="001772F3"/>
    <w:rsid w:val="001926C1"/>
    <w:rsid w:val="001A36D1"/>
    <w:rsid w:val="001A5F3E"/>
    <w:rsid w:val="001A6EA0"/>
    <w:rsid w:val="001B2610"/>
    <w:rsid w:val="001B3C24"/>
    <w:rsid w:val="001D30A7"/>
    <w:rsid w:val="001F1FC5"/>
    <w:rsid w:val="001F7147"/>
    <w:rsid w:val="002004A1"/>
    <w:rsid w:val="0020304C"/>
    <w:rsid w:val="002263D8"/>
    <w:rsid w:val="00265C5D"/>
    <w:rsid w:val="00274DAE"/>
    <w:rsid w:val="002873F6"/>
    <w:rsid w:val="00294978"/>
    <w:rsid w:val="002A7915"/>
    <w:rsid w:val="002B30BC"/>
    <w:rsid w:val="002C1CD3"/>
    <w:rsid w:val="002C2F7E"/>
    <w:rsid w:val="002D7582"/>
    <w:rsid w:val="002E3EEB"/>
    <w:rsid w:val="002E6E66"/>
    <w:rsid w:val="0030396B"/>
    <w:rsid w:val="00311530"/>
    <w:rsid w:val="003279C6"/>
    <w:rsid w:val="00345272"/>
    <w:rsid w:val="0036701D"/>
    <w:rsid w:val="00374B1F"/>
    <w:rsid w:val="00383D72"/>
    <w:rsid w:val="00393C67"/>
    <w:rsid w:val="0039560A"/>
    <w:rsid w:val="003A30BE"/>
    <w:rsid w:val="003A7B63"/>
    <w:rsid w:val="003B5244"/>
    <w:rsid w:val="003F55CB"/>
    <w:rsid w:val="00414C80"/>
    <w:rsid w:val="00415025"/>
    <w:rsid w:val="00423B1F"/>
    <w:rsid w:val="00435E6B"/>
    <w:rsid w:val="0045299E"/>
    <w:rsid w:val="00464BE9"/>
    <w:rsid w:val="00470C71"/>
    <w:rsid w:val="00480FA8"/>
    <w:rsid w:val="004A3C68"/>
    <w:rsid w:val="004C0531"/>
    <w:rsid w:val="004C6A28"/>
    <w:rsid w:val="004E40A1"/>
    <w:rsid w:val="004E579C"/>
    <w:rsid w:val="004F1497"/>
    <w:rsid w:val="00517737"/>
    <w:rsid w:val="00524490"/>
    <w:rsid w:val="00525FF7"/>
    <w:rsid w:val="00537DA8"/>
    <w:rsid w:val="005539A8"/>
    <w:rsid w:val="0055584E"/>
    <w:rsid w:val="005C32A2"/>
    <w:rsid w:val="005C3B27"/>
    <w:rsid w:val="005C3DA3"/>
    <w:rsid w:val="005E1104"/>
    <w:rsid w:val="005E5758"/>
    <w:rsid w:val="005F4BDD"/>
    <w:rsid w:val="005F5931"/>
    <w:rsid w:val="00614BC8"/>
    <w:rsid w:val="006209A1"/>
    <w:rsid w:val="0062410C"/>
    <w:rsid w:val="006259B0"/>
    <w:rsid w:val="0063364E"/>
    <w:rsid w:val="0063772C"/>
    <w:rsid w:val="00657C0E"/>
    <w:rsid w:val="00681016"/>
    <w:rsid w:val="00683692"/>
    <w:rsid w:val="006A0603"/>
    <w:rsid w:val="006A5680"/>
    <w:rsid w:val="006C4580"/>
    <w:rsid w:val="006C6437"/>
    <w:rsid w:val="006D030A"/>
    <w:rsid w:val="006E0005"/>
    <w:rsid w:val="006E39E3"/>
    <w:rsid w:val="006F7E04"/>
    <w:rsid w:val="007021D7"/>
    <w:rsid w:val="007140D9"/>
    <w:rsid w:val="00715AC2"/>
    <w:rsid w:val="0072290A"/>
    <w:rsid w:val="00722D13"/>
    <w:rsid w:val="00726DF1"/>
    <w:rsid w:val="00737856"/>
    <w:rsid w:val="007401CB"/>
    <w:rsid w:val="0076498A"/>
    <w:rsid w:val="00765636"/>
    <w:rsid w:val="00781824"/>
    <w:rsid w:val="007C0D8C"/>
    <w:rsid w:val="007C37FC"/>
    <w:rsid w:val="007F326A"/>
    <w:rsid w:val="008012BC"/>
    <w:rsid w:val="00806618"/>
    <w:rsid w:val="00806722"/>
    <w:rsid w:val="00816741"/>
    <w:rsid w:val="00827922"/>
    <w:rsid w:val="0083067E"/>
    <w:rsid w:val="0083237C"/>
    <w:rsid w:val="00843306"/>
    <w:rsid w:val="0085625F"/>
    <w:rsid w:val="00862123"/>
    <w:rsid w:val="008936B2"/>
    <w:rsid w:val="00895D32"/>
    <w:rsid w:val="008C0D30"/>
    <w:rsid w:val="008D3642"/>
    <w:rsid w:val="008E1221"/>
    <w:rsid w:val="008E2A4C"/>
    <w:rsid w:val="008E68F1"/>
    <w:rsid w:val="008F1624"/>
    <w:rsid w:val="008F382E"/>
    <w:rsid w:val="009200B0"/>
    <w:rsid w:val="00932A77"/>
    <w:rsid w:val="00936A60"/>
    <w:rsid w:val="009401F3"/>
    <w:rsid w:val="00952D26"/>
    <w:rsid w:val="009A05AE"/>
    <w:rsid w:val="009A3F74"/>
    <w:rsid w:val="009C2C41"/>
    <w:rsid w:val="009C573B"/>
    <w:rsid w:val="009D31AE"/>
    <w:rsid w:val="009D635B"/>
    <w:rsid w:val="009E0CBA"/>
    <w:rsid w:val="009F2B93"/>
    <w:rsid w:val="00A07037"/>
    <w:rsid w:val="00A2009C"/>
    <w:rsid w:val="00A46554"/>
    <w:rsid w:val="00A53655"/>
    <w:rsid w:val="00A7563A"/>
    <w:rsid w:val="00A7770A"/>
    <w:rsid w:val="00A9204D"/>
    <w:rsid w:val="00A96A3D"/>
    <w:rsid w:val="00AB5E8A"/>
    <w:rsid w:val="00AC0DF0"/>
    <w:rsid w:val="00AD0E67"/>
    <w:rsid w:val="00AE1279"/>
    <w:rsid w:val="00AE37B2"/>
    <w:rsid w:val="00AE6E97"/>
    <w:rsid w:val="00B10D59"/>
    <w:rsid w:val="00B43CAE"/>
    <w:rsid w:val="00B63399"/>
    <w:rsid w:val="00B7128F"/>
    <w:rsid w:val="00BC01EF"/>
    <w:rsid w:val="00BC7281"/>
    <w:rsid w:val="00BE07F6"/>
    <w:rsid w:val="00BE54B3"/>
    <w:rsid w:val="00BE5C98"/>
    <w:rsid w:val="00C24410"/>
    <w:rsid w:val="00C24B30"/>
    <w:rsid w:val="00C413DE"/>
    <w:rsid w:val="00C5739A"/>
    <w:rsid w:val="00C6491C"/>
    <w:rsid w:val="00C6625D"/>
    <w:rsid w:val="00C66F5D"/>
    <w:rsid w:val="00C809A5"/>
    <w:rsid w:val="00C903B6"/>
    <w:rsid w:val="00C953EA"/>
    <w:rsid w:val="00CA7FF5"/>
    <w:rsid w:val="00CC5182"/>
    <w:rsid w:val="00CD4955"/>
    <w:rsid w:val="00CE5B90"/>
    <w:rsid w:val="00CF5FFA"/>
    <w:rsid w:val="00CF6973"/>
    <w:rsid w:val="00D13986"/>
    <w:rsid w:val="00D14B6E"/>
    <w:rsid w:val="00D63871"/>
    <w:rsid w:val="00D64D52"/>
    <w:rsid w:val="00D65E96"/>
    <w:rsid w:val="00D91CA8"/>
    <w:rsid w:val="00DA26EC"/>
    <w:rsid w:val="00DA2ECB"/>
    <w:rsid w:val="00DC0AA4"/>
    <w:rsid w:val="00DC22A6"/>
    <w:rsid w:val="00DC2B40"/>
    <w:rsid w:val="00DC501A"/>
    <w:rsid w:val="00DD04FC"/>
    <w:rsid w:val="00DE1805"/>
    <w:rsid w:val="00DF7FDE"/>
    <w:rsid w:val="00E1297A"/>
    <w:rsid w:val="00E15337"/>
    <w:rsid w:val="00E35924"/>
    <w:rsid w:val="00E61B4F"/>
    <w:rsid w:val="00E82955"/>
    <w:rsid w:val="00E8369F"/>
    <w:rsid w:val="00E934F7"/>
    <w:rsid w:val="00E9473B"/>
    <w:rsid w:val="00EA046E"/>
    <w:rsid w:val="00EB0361"/>
    <w:rsid w:val="00EC0A8E"/>
    <w:rsid w:val="00EE5AF5"/>
    <w:rsid w:val="00F0400E"/>
    <w:rsid w:val="00F074B5"/>
    <w:rsid w:val="00F2145A"/>
    <w:rsid w:val="00F27DD6"/>
    <w:rsid w:val="00F35E77"/>
    <w:rsid w:val="00F57C7F"/>
    <w:rsid w:val="00F66B1C"/>
    <w:rsid w:val="00F71CC1"/>
    <w:rsid w:val="00F73AC4"/>
    <w:rsid w:val="00F8130F"/>
    <w:rsid w:val="00F861E0"/>
    <w:rsid w:val="00F90E89"/>
    <w:rsid w:val="00F95475"/>
    <w:rsid w:val="00FA7F07"/>
    <w:rsid w:val="00FC5A56"/>
    <w:rsid w:val="00FD27F4"/>
    <w:rsid w:val="00FE0CB6"/>
    <w:rsid w:val="00FE7E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98A"/>
    <w:pPr>
      <w:spacing w:after="6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BodyText"/>
    <w:link w:val="Heading1Char"/>
    <w:uiPriority w:val="99"/>
    <w:qFormat/>
    <w:rsid w:val="0076498A"/>
    <w:pPr>
      <w:keepNext/>
      <w:keepLines/>
      <w:suppressAutoHyphens/>
      <w:spacing w:before="100" w:beforeAutospacing="1" w:after="100" w:afterAutospacing="1"/>
      <w:ind w:firstLine="0"/>
      <w:outlineLvl w:val="0"/>
    </w:pPr>
    <w:rPr>
      <w:rFonts w:eastAsia="Nimbus Sans L" w:cs="font316"/>
      <w:b/>
      <w:bCs/>
      <w:smallCaps/>
      <w:color w:val="000000"/>
      <w:kern w:val="32"/>
      <w:sz w:val="32"/>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9B0"/>
    <w:pPr>
      <w:ind w:left="720"/>
      <w:contextualSpacing/>
    </w:pPr>
  </w:style>
  <w:style w:type="character" w:customStyle="1" w:styleId="Heading1Char">
    <w:name w:val="Heading 1 Char"/>
    <w:basedOn w:val="DefaultParagraphFont"/>
    <w:link w:val="Heading1"/>
    <w:uiPriority w:val="99"/>
    <w:rsid w:val="0076498A"/>
    <w:rPr>
      <w:rFonts w:ascii="Times New Roman" w:eastAsia="Nimbus Sans L" w:hAnsi="Times New Roman" w:cs="font316"/>
      <w:b/>
      <w:bCs/>
      <w:smallCaps/>
      <w:color w:val="000000"/>
      <w:kern w:val="32"/>
      <w:sz w:val="32"/>
      <w:szCs w:val="28"/>
      <w:lang w:eastAsia="hi-IN" w:bidi="hi-IN"/>
    </w:rPr>
  </w:style>
  <w:style w:type="paragraph" w:styleId="BodyText">
    <w:name w:val="Body Text"/>
    <w:basedOn w:val="Normal"/>
    <w:link w:val="BodyTextChar"/>
    <w:uiPriority w:val="99"/>
    <w:semiHidden/>
    <w:unhideWhenUsed/>
    <w:rsid w:val="006259B0"/>
    <w:pPr>
      <w:spacing w:after="120"/>
    </w:pPr>
  </w:style>
  <w:style w:type="character" w:customStyle="1" w:styleId="BodyTextChar">
    <w:name w:val="Body Text Char"/>
    <w:basedOn w:val="DefaultParagraphFont"/>
    <w:link w:val="BodyText"/>
    <w:uiPriority w:val="99"/>
    <w:semiHidden/>
    <w:rsid w:val="006259B0"/>
    <w:rPr>
      <w:rFonts w:ascii="Times New Roman" w:eastAsia="Times New Roman" w:hAnsi="Times New Roman" w:cs="Times New Roman"/>
      <w:sz w:val="24"/>
      <w:szCs w:val="24"/>
    </w:rPr>
  </w:style>
  <w:style w:type="character" w:styleId="FootnoteReference">
    <w:name w:val="footnote reference"/>
    <w:aliases w:val="Footnote Reference Number,SUPERS"/>
    <w:rsid w:val="00B63399"/>
    <w:rPr>
      <w:rFonts w:ascii="Times New Roman" w:hAnsi="Times New Roman"/>
      <w:sz w:val="20"/>
      <w:vertAlign w:val="superscript"/>
      <w:lang w:val="en-US" w:eastAsia="en-US" w:bidi="ar-SA"/>
    </w:rPr>
  </w:style>
  <w:style w:type="paragraph" w:styleId="FootnoteText">
    <w:name w:val="footnote text"/>
    <w:aliases w:val="Footnote,Fußnote, Char"/>
    <w:basedOn w:val="Normal"/>
    <w:link w:val="FootnoteTextChar"/>
    <w:rsid w:val="00B63399"/>
    <w:pPr>
      <w:spacing w:before="120" w:after="120"/>
    </w:pPr>
    <w:rPr>
      <w:sz w:val="20"/>
      <w:szCs w:val="20"/>
      <w:lang w:val="en-GB"/>
    </w:rPr>
  </w:style>
  <w:style w:type="character" w:customStyle="1" w:styleId="FootnoteTextChar">
    <w:name w:val="Footnote Text Char"/>
    <w:aliases w:val="Footnote Char,Fußnote Char, Char Char"/>
    <w:basedOn w:val="DefaultParagraphFont"/>
    <w:link w:val="FootnoteText"/>
    <w:rsid w:val="00B63399"/>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726DF1"/>
  </w:style>
  <w:style w:type="paragraph" w:styleId="Header">
    <w:name w:val="header"/>
    <w:basedOn w:val="Normal"/>
    <w:link w:val="HeaderChar"/>
    <w:uiPriority w:val="99"/>
    <w:unhideWhenUsed/>
    <w:rsid w:val="007C37FC"/>
    <w:pPr>
      <w:tabs>
        <w:tab w:val="center" w:pos="4153"/>
        <w:tab w:val="right" w:pos="8306"/>
      </w:tabs>
    </w:pPr>
  </w:style>
  <w:style w:type="character" w:customStyle="1" w:styleId="HeaderChar">
    <w:name w:val="Header Char"/>
    <w:basedOn w:val="DefaultParagraphFont"/>
    <w:link w:val="Header"/>
    <w:uiPriority w:val="99"/>
    <w:rsid w:val="007C37FC"/>
    <w:rPr>
      <w:rFonts w:ascii="Times New Roman" w:eastAsia="Times New Roman" w:hAnsi="Times New Roman" w:cs="Times New Roman"/>
      <w:sz w:val="24"/>
      <w:szCs w:val="24"/>
    </w:rPr>
  </w:style>
  <w:style w:type="paragraph" w:styleId="Footer">
    <w:name w:val="footer"/>
    <w:basedOn w:val="Normal"/>
    <w:link w:val="FooterChar"/>
    <w:unhideWhenUsed/>
    <w:rsid w:val="007C37FC"/>
    <w:pPr>
      <w:tabs>
        <w:tab w:val="center" w:pos="4153"/>
        <w:tab w:val="right" w:pos="8306"/>
      </w:tabs>
    </w:pPr>
  </w:style>
  <w:style w:type="character" w:customStyle="1" w:styleId="FooterChar">
    <w:name w:val="Footer Char"/>
    <w:basedOn w:val="DefaultParagraphFont"/>
    <w:link w:val="Footer"/>
    <w:rsid w:val="007C37F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0C71"/>
    <w:rPr>
      <w:sz w:val="16"/>
      <w:szCs w:val="16"/>
    </w:rPr>
  </w:style>
  <w:style w:type="paragraph" w:styleId="CommentText">
    <w:name w:val="annotation text"/>
    <w:basedOn w:val="Normal"/>
    <w:link w:val="CommentTextChar"/>
    <w:uiPriority w:val="99"/>
    <w:semiHidden/>
    <w:unhideWhenUsed/>
    <w:rsid w:val="00470C71"/>
    <w:rPr>
      <w:sz w:val="20"/>
      <w:szCs w:val="20"/>
    </w:rPr>
  </w:style>
  <w:style w:type="character" w:customStyle="1" w:styleId="CommentTextChar">
    <w:name w:val="Comment Text Char"/>
    <w:basedOn w:val="DefaultParagraphFont"/>
    <w:link w:val="CommentText"/>
    <w:uiPriority w:val="99"/>
    <w:semiHidden/>
    <w:rsid w:val="00470C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0C71"/>
    <w:rPr>
      <w:b/>
      <w:bCs/>
    </w:rPr>
  </w:style>
  <w:style w:type="character" w:customStyle="1" w:styleId="CommentSubjectChar">
    <w:name w:val="Comment Subject Char"/>
    <w:basedOn w:val="CommentTextChar"/>
    <w:link w:val="CommentSubject"/>
    <w:uiPriority w:val="99"/>
    <w:semiHidden/>
    <w:rsid w:val="00470C7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0C71"/>
    <w:rPr>
      <w:rFonts w:ascii="Tahoma" w:hAnsi="Tahoma" w:cs="Tahoma"/>
      <w:sz w:val="16"/>
      <w:szCs w:val="16"/>
    </w:rPr>
  </w:style>
  <w:style w:type="character" w:customStyle="1" w:styleId="BalloonTextChar">
    <w:name w:val="Balloon Text Char"/>
    <w:basedOn w:val="DefaultParagraphFont"/>
    <w:link w:val="BalloonText"/>
    <w:uiPriority w:val="99"/>
    <w:semiHidden/>
    <w:rsid w:val="00470C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98A"/>
    <w:pPr>
      <w:spacing w:after="6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BodyText"/>
    <w:link w:val="Heading1Char"/>
    <w:uiPriority w:val="99"/>
    <w:qFormat/>
    <w:rsid w:val="0076498A"/>
    <w:pPr>
      <w:keepNext/>
      <w:keepLines/>
      <w:suppressAutoHyphens/>
      <w:spacing w:before="100" w:beforeAutospacing="1" w:after="100" w:afterAutospacing="1"/>
      <w:ind w:firstLine="0"/>
      <w:outlineLvl w:val="0"/>
    </w:pPr>
    <w:rPr>
      <w:rFonts w:eastAsia="Nimbus Sans L" w:cs="font316"/>
      <w:b/>
      <w:bCs/>
      <w:smallCaps/>
      <w:color w:val="000000"/>
      <w:kern w:val="32"/>
      <w:sz w:val="32"/>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9B0"/>
    <w:pPr>
      <w:ind w:left="720"/>
      <w:contextualSpacing/>
    </w:pPr>
  </w:style>
  <w:style w:type="character" w:customStyle="1" w:styleId="Heading1Char">
    <w:name w:val="Heading 1 Char"/>
    <w:basedOn w:val="DefaultParagraphFont"/>
    <w:link w:val="Heading1"/>
    <w:uiPriority w:val="99"/>
    <w:rsid w:val="0076498A"/>
    <w:rPr>
      <w:rFonts w:ascii="Times New Roman" w:eastAsia="Nimbus Sans L" w:hAnsi="Times New Roman" w:cs="font316"/>
      <w:b/>
      <w:bCs/>
      <w:smallCaps/>
      <w:color w:val="000000"/>
      <w:kern w:val="32"/>
      <w:sz w:val="32"/>
      <w:szCs w:val="28"/>
      <w:lang w:eastAsia="hi-IN" w:bidi="hi-IN"/>
    </w:rPr>
  </w:style>
  <w:style w:type="paragraph" w:styleId="BodyText">
    <w:name w:val="Body Text"/>
    <w:basedOn w:val="Normal"/>
    <w:link w:val="BodyTextChar"/>
    <w:uiPriority w:val="99"/>
    <w:semiHidden/>
    <w:unhideWhenUsed/>
    <w:rsid w:val="006259B0"/>
    <w:pPr>
      <w:spacing w:after="120"/>
    </w:pPr>
  </w:style>
  <w:style w:type="character" w:customStyle="1" w:styleId="BodyTextChar">
    <w:name w:val="Body Text Char"/>
    <w:basedOn w:val="DefaultParagraphFont"/>
    <w:link w:val="BodyText"/>
    <w:uiPriority w:val="99"/>
    <w:semiHidden/>
    <w:rsid w:val="006259B0"/>
    <w:rPr>
      <w:rFonts w:ascii="Times New Roman" w:eastAsia="Times New Roman" w:hAnsi="Times New Roman" w:cs="Times New Roman"/>
      <w:sz w:val="24"/>
      <w:szCs w:val="24"/>
    </w:rPr>
  </w:style>
  <w:style w:type="character" w:styleId="FootnoteReference">
    <w:name w:val="footnote reference"/>
    <w:aliases w:val="Footnote Reference Number,SUPERS"/>
    <w:rsid w:val="00B63399"/>
    <w:rPr>
      <w:rFonts w:ascii="Times New Roman" w:hAnsi="Times New Roman"/>
      <w:sz w:val="20"/>
      <w:vertAlign w:val="superscript"/>
      <w:lang w:val="en-US" w:eastAsia="en-US" w:bidi="ar-SA"/>
    </w:rPr>
  </w:style>
  <w:style w:type="paragraph" w:styleId="FootnoteText">
    <w:name w:val="footnote text"/>
    <w:aliases w:val="Footnote,Fußnote, Char"/>
    <w:basedOn w:val="Normal"/>
    <w:link w:val="FootnoteTextChar"/>
    <w:rsid w:val="00B63399"/>
    <w:pPr>
      <w:spacing w:before="120" w:after="120"/>
    </w:pPr>
    <w:rPr>
      <w:sz w:val="20"/>
      <w:szCs w:val="20"/>
      <w:lang w:val="en-GB"/>
    </w:rPr>
  </w:style>
  <w:style w:type="character" w:customStyle="1" w:styleId="FootnoteTextChar">
    <w:name w:val="Footnote Text Char"/>
    <w:aliases w:val="Footnote Char,Fußnote Char, Char Char"/>
    <w:basedOn w:val="DefaultParagraphFont"/>
    <w:link w:val="FootnoteText"/>
    <w:rsid w:val="00B63399"/>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726DF1"/>
  </w:style>
  <w:style w:type="paragraph" w:styleId="Header">
    <w:name w:val="header"/>
    <w:basedOn w:val="Normal"/>
    <w:link w:val="HeaderChar"/>
    <w:uiPriority w:val="99"/>
    <w:unhideWhenUsed/>
    <w:rsid w:val="007C37FC"/>
    <w:pPr>
      <w:tabs>
        <w:tab w:val="center" w:pos="4153"/>
        <w:tab w:val="right" w:pos="8306"/>
      </w:tabs>
    </w:pPr>
  </w:style>
  <w:style w:type="character" w:customStyle="1" w:styleId="HeaderChar">
    <w:name w:val="Header Char"/>
    <w:basedOn w:val="DefaultParagraphFont"/>
    <w:link w:val="Header"/>
    <w:uiPriority w:val="99"/>
    <w:rsid w:val="007C37FC"/>
    <w:rPr>
      <w:rFonts w:ascii="Times New Roman" w:eastAsia="Times New Roman" w:hAnsi="Times New Roman" w:cs="Times New Roman"/>
      <w:sz w:val="24"/>
      <w:szCs w:val="24"/>
    </w:rPr>
  </w:style>
  <w:style w:type="paragraph" w:styleId="Footer">
    <w:name w:val="footer"/>
    <w:basedOn w:val="Normal"/>
    <w:link w:val="FooterChar"/>
    <w:unhideWhenUsed/>
    <w:rsid w:val="007C37FC"/>
    <w:pPr>
      <w:tabs>
        <w:tab w:val="center" w:pos="4153"/>
        <w:tab w:val="right" w:pos="8306"/>
      </w:tabs>
    </w:pPr>
  </w:style>
  <w:style w:type="character" w:customStyle="1" w:styleId="FooterChar">
    <w:name w:val="Footer Char"/>
    <w:basedOn w:val="DefaultParagraphFont"/>
    <w:link w:val="Footer"/>
    <w:rsid w:val="007C37F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0C71"/>
    <w:rPr>
      <w:sz w:val="16"/>
      <w:szCs w:val="16"/>
    </w:rPr>
  </w:style>
  <w:style w:type="paragraph" w:styleId="CommentText">
    <w:name w:val="annotation text"/>
    <w:basedOn w:val="Normal"/>
    <w:link w:val="CommentTextChar"/>
    <w:uiPriority w:val="99"/>
    <w:semiHidden/>
    <w:unhideWhenUsed/>
    <w:rsid w:val="00470C71"/>
    <w:rPr>
      <w:sz w:val="20"/>
      <w:szCs w:val="20"/>
    </w:rPr>
  </w:style>
  <w:style w:type="character" w:customStyle="1" w:styleId="CommentTextChar">
    <w:name w:val="Comment Text Char"/>
    <w:basedOn w:val="DefaultParagraphFont"/>
    <w:link w:val="CommentText"/>
    <w:uiPriority w:val="99"/>
    <w:semiHidden/>
    <w:rsid w:val="00470C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0C71"/>
    <w:rPr>
      <w:b/>
      <w:bCs/>
    </w:rPr>
  </w:style>
  <w:style w:type="character" w:customStyle="1" w:styleId="CommentSubjectChar">
    <w:name w:val="Comment Subject Char"/>
    <w:basedOn w:val="CommentTextChar"/>
    <w:link w:val="CommentSubject"/>
    <w:uiPriority w:val="99"/>
    <w:semiHidden/>
    <w:rsid w:val="00470C7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0C71"/>
    <w:rPr>
      <w:rFonts w:ascii="Tahoma" w:hAnsi="Tahoma" w:cs="Tahoma"/>
      <w:sz w:val="16"/>
      <w:szCs w:val="16"/>
    </w:rPr>
  </w:style>
  <w:style w:type="character" w:customStyle="1" w:styleId="BalloonTextChar">
    <w:name w:val="Balloon Text Char"/>
    <w:basedOn w:val="DefaultParagraphFont"/>
    <w:link w:val="BalloonText"/>
    <w:uiPriority w:val="99"/>
    <w:semiHidden/>
    <w:rsid w:val="00470C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F292-266F-4184-A620-57ECAB20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1038</Words>
  <Characters>7510</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Inga.Prokofjeva@em.gov.lv</dc:creator>
  <dc:description>67013173, 
inga.prokofjeva@em.gov.lv</dc:description>
  <cp:lastModifiedBy>Leo Jansons</cp:lastModifiedBy>
  <cp:revision>34</cp:revision>
  <cp:lastPrinted>2014-03-27T07:57:00Z</cp:lastPrinted>
  <dcterms:created xsi:type="dcterms:W3CDTF">2014-03-26T13:39:00Z</dcterms:created>
  <dcterms:modified xsi:type="dcterms:W3CDTF">2014-03-27T08:36:00Z</dcterms:modified>
</cp:coreProperties>
</file>