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71" w:rsidRPr="00FA7505" w:rsidRDefault="00530271" w:rsidP="00530271">
      <w:pPr>
        <w:jc w:val="center"/>
        <w:rPr>
          <w:rFonts w:asciiTheme="majorHAnsi" w:hAnsiTheme="majorHAnsi" w:cs="Times New Roman"/>
          <w:b/>
          <w:szCs w:val="24"/>
        </w:rPr>
      </w:pPr>
      <w:r w:rsidRPr="00FA7505">
        <w:rPr>
          <w:rFonts w:asciiTheme="majorHAnsi" w:hAnsiTheme="majorHAnsi" w:cs="Times New Roman"/>
          <w:b/>
          <w:szCs w:val="24"/>
        </w:rPr>
        <w:t>INFORMATĪVAIS ZIŅOJUMS</w:t>
      </w:r>
    </w:p>
    <w:p w:rsidR="00530271" w:rsidRPr="00FA7505" w:rsidRDefault="00530271" w:rsidP="00530271">
      <w:pPr>
        <w:jc w:val="center"/>
        <w:rPr>
          <w:rFonts w:asciiTheme="majorHAnsi" w:hAnsiTheme="majorHAnsi" w:cs="Times New Roman"/>
          <w:b/>
          <w:szCs w:val="24"/>
        </w:rPr>
      </w:pPr>
      <w:r w:rsidRPr="00FA7505">
        <w:rPr>
          <w:rFonts w:asciiTheme="majorHAnsi" w:hAnsiTheme="majorHAnsi" w:cs="Times New Roman"/>
          <w:b/>
          <w:szCs w:val="24"/>
        </w:rPr>
        <w:t>Par 2014.gada 11.-12.maija neformālajā Eiropas Savienības Konkurētspējas ministru padomes sanāksmē izskatāmajiem jautājumiem</w:t>
      </w:r>
    </w:p>
    <w:p w:rsidR="00530271" w:rsidRPr="00FA7505" w:rsidRDefault="00530271" w:rsidP="00530271">
      <w:pPr>
        <w:rPr>
          <w:rFonts w:asciiTheme="majorHAnsi" w:hAnsiTheme="majorHAnsi" w:cs="Times New Roman"/>
          <w:sz w:val="28"/>
          <w:szCs w:val="28"/>
        </w:rPr>
      </w:pPr>
    </w:p>
    <w:p w:rsidR="00530271" w:rsidRPr="00FA7505" w:rsidRDefault="00530271" w:rsidP="00530271">
      <w:pPr>
        <w:pStyle w:val="ListParagraph"/>
        <w:numPr>
          <w:ilvl w:val="0"/>
          <w:numId w:val="2"/>
        </w:numPr>
        <w:ind w:left="284" w:hanging="284"/>
        <w:rPr>
          <w:rFonts w:asciiTheme="majorHAnsi" w:hAnsiTheme="majorHAnsi" w:cs="Times New Roman"/>
          <w:b/>
          <w:szCs w:val="24"/>
        </w:rPr>
      </w:pPr>
      <w:r w:rsidRPr="00FA7505">
        <w:rPr>
          <w:rFonts w:asciiTheme="majorHAnsi" w:hAnsiTheme="majorHAnsi" w:cs="Times New Roman"/>
          <w:b/>
          <w:szCs w:val="24"/>
        </w:rPr>
        <w:t>Neformālās Konkurētspējas ministru padomes sanāksmes darba kārtības jautājumi</w:t>
      </w:r>
    </w:p>
    <w:p w:rsidR="006A77C1" w:rsidRPr="00FA7505" w:rsidRDefault="006A77C1">
      <w:pPr>
        <w:rPr>
          <w:rFonts w:asciiTheme="majorHAnsi" w:hAnsiTheme="majorHAnsi"/>
        </w:rPr>
      </w:pPr>
    </w:p>
    <w:p w:rsidR="00530271" w:rsidRPr="00FA7505" w:rsidRDefault="00530271" w:rsidP="00530271">
      <w:pPr>
        <w:ind w:firstLine="720"/>
        <w:rPr>
          <w:rFonts w:asciiTheme="majorHAnsi" w:hAnsiTheme="majorHAnsi"/>
        </w:rPr>
      </w:pPr>
      <w:r w:rsidRPr="00FA7505">
        <w:rPr>
          <w:rFonts w:asciiTheme="majorHAnsi" w:hAnsiTheme="majorHAnsi"/>
        </w:rPr>
        <w:t xml:space="preserve">Grieķijas Prezidentūra (turpmāk – Prezidentūra) 2014.gada 11.-12.maijā </w:t>
      </w:r>
      <w:r w:rsidRPr="000C3CED">
        <w:rPr>
          <w:rFonts w:asciiTheme="majorHAnsi" w:hAnsiTheme="majorHAnsi"/>
        </w:rPr>
        <w:t>Atēnās,</w:t>
      </w:r>
      <w:r w:rsidRPr="00FA7505">
        <w:rPr>
          <w:rFonts w:asciiTheme="majorHAnsi" w:hAnsiTheme="majorHAnsi"/>
        </w:rPr>
        <w:t xml:space="preserve"> Grieķijā organizē neformālo Eiropas Savienības (turpmāk – ES) Konkurētspējas ministru padomes sanāksmi (turpmāk – sanāksme), kuras galvenais vadmotīvs ir </w:t>
      </w:r>
      <w:r w:rsidR="008E2296" w:rsidRPr="00FA7505">
        <w:rPr>
          <w:rFonts w:asciiTheme="majorHAnsi" w:hAnsiTheme="majorHAnsi"/>
        </w:rPr>
        <w:t>„Rūpniecības konkurētspējas virzītājspēki” (</w:t>
      </w:r>
      <w:proofErr w:type="spellStart"/>
      <w:r w:rsidR="008E2296" w:rsidRPr="00FA7505">
        <w:rPr>
          <w:rFonts w:asciiTheme="majorHAnsi" w:hAnsiTheme="majorHAnsi"/>
        </w:rPr>
        <w:t>Drivers</w:t>
      </w:r>
      <w:proofErr w:type="spellEnd"/>
      <w:r w:rsidR="008E2296" w:rsidRPr="00FA7505">
        <w:rPr>
          <w:rFonts w:asciiTheme="majorHAnsi" w:hAnsiTheme="majorHAnsi"/>
        </w:rPr>
        <w:t xml:space="preserve"> </w:t>
      </w:r>
      <w:proofErr w:type="spellStart"/>
      <w:r w:rsidR="008E2296" w:rsidRPr="00FA7505">
        <w:rPr>
          <w:rFonts w:asciiTheme="majorHAnsi" w:hAnsiTheme="majorHAnsi"/>
        </w:rPr>
        <w:t>for</w:t>
      </w:r>
      <w:proofErr w:type="spellEnd"/>
      <w:r w:rsidR="008E2296" w:rsidRPr="00FA7505">
        <w:rPr>
          <w:rFonts w:asciiTheme="majorHAnsi" w:hAnsiTheme="majorHAnsi"/>
        </w:rPr>
        <w:t xml:space="preserve"> </w:t>
      </w:r>
      <w:proofErr w:type="spellStart"/>
      <w:r w:rsidR="008E2296" w:rsidRPr="00FA7505">
        <w:rPr>
          <w:rFonts w:asciiTheme="majorHAnsi" w:hAnsiTheme="majorHAnsi"/>
        </w:rPr>
        <w:t>Industrial</w:t>
      </w:r>
      <w:proofErr w:type="spellEnd"/>
      <w:r w:rsidR="008E2296" w:rsidRPr="00FA7505">
        <w:rPr>
          <w:rFonts w:asciiTheme="majorHAnsi" w:hAnsiTheme="majorHAnsi"/>
        </w:rPr>
        <w:t xml:space="preserve"> </w:t>
      </w:r>
      <w:proofErr w:type="spellStart"/>
      <w:r w:rsidR="008E2296" w:rsidRPr="00FA7505">
        <w:rPr>
          <w:rFonts w:asciiTheme="majorHAnsi" w:hAnsiTheme="majorHAnsi"/>
        </w:rPr>
        <w:t>Competitivness</w:t>
      </w:r>
      <w:proofErr w:type="spellEnd"/>
      <w:r w:rsidR="008E2296" w:rsidRPr="00FA7505">
        <w:rPr>
          <w:rFonts w:asciiTheme="majorHAnsi" w:hAnsiTheme="majorHAnsi"/>
        </w:rPr>
        <w:t>).</w:t>
      </w:r>
    </w:p>
    <w:p w:rsidR="00A70A01" w:rsidRPr="00FA7505" w:rsidRDefault="000B0E4E" w:rsidP="00A70A01">
      <w:pPr>
        <w:ind w:firstLine="720"/>
        <w:rPr>
          <w:rFonts w:asciiTheme="majorHAnsi" w:hAnsiTheme="majorHAnsi"/>
        </w:rPr>
      </w:pPr>
      <w:r w:rsidRPr="00FA7505">
        <w:rPr>
          <w:rFonts w:asciiTheme="majorHAnsi" w:hAnsiTheme="majorHAnsi"/>
        </w:rPr>
        <w:t xml:space="preserve">Sanāksmes </w:t>
      </w:r>
      <w:proofErr w:type="spellStart"/>
      <w:r w:rsidRPr="00FA7505">
        <w:rPr>
          <w:rFonts w:asciiTheme="majorHAnsi" w:hAnsiTheme="majorHAnsi"/>
        </w:rPr>
        <w:t>plenārsesija</w:t>
      </w:r>
      <w:proofErr w:type="spellEnd"/>
      <w:r w:rsidRPr="00FA7505">
        <w:rPr>
          <w:rFonts w:asciiTheme="majorHAnsi" w:hAnsiTheme="majorHAnsi"/>
        </w:rPr>
        <w:t xml:space="preserve"> paredzēta kā turpinājums pavasara Eiropadomes diskusijām, lai atskatītos uz pēdējiem sasniegumiem, kā arī izvirzītu ietvaru iespējamajam turpmāko rīcību ceļvedim, ņemot vērā pavasara Eiropadomē pieņemtos lēmumus.</w:t>
      </w:r>
    </w:p>
    <w:p w:rsidR="00530271" w:rsidRPr="00FA7505" w:rsidRDefault="00530271" w:rsidP="00A70A01">
      <w:pPr>
        <w:ind w:firstLine="720"/>
        <w:rPr>
          <w:rFonts w:asciiTheme="majorHAnsi" w:hAnsiTheme="majorHAnsi"/>
        </w:rPr>
      </w:pPr>
      <w:r w:rsidRPr="00FA7505">
        <w:rPr>
          <w:rFonts w:asciiTheme="majorHAnsi" w:hAnsiTheme="majorHAnsi"/>
        </w:rPr>
        <w:t xml:space="preserve">Sanāksmes turpinājums plānots </w:t>
      </w:r>
      <w:r w:rsidR="00A70A01" w:rsidRPr="00FA7505">
        <w:rPr>
          <w:rFonts w:asciiTheme="majorHAnsi" w:hAnsiTheme="majorHAnsi"/>
        </w:rPr>
        <w:t xml:space="preserve">divās </w:t>
      </w:r>
      <w:r w:rsidRPr="00FA7505">
        <w:rPr>
          <w:rFonts w:asciiTheme="majorHAnsi" w:hAnsiTheme="majorHAnsi"/>
        </w:rPr>
        <w:t>dažādās paralēlajās sesijās, kuru laikā plānota dalībvalstu delegāciju vadītāju viedokļu apmaiņa par sekojošām diskusiju tēmām:</w:t>
      </w:r>
    </w:p>
    <w:p w:rsidR="00A70A01" w:rsidRPr="00FA7505" w:rsidRDefault="00A70A01" w:rsidP="00A70A01">
      <w:pPr>
        <w:pStyle w:val="ListParagraph"/>
        <w:numPr>
          <w:ilvl w:val="0"/>
          <w:numId w:val="3"/>
        </w:numPr>
        <w:rPr>
          <w:rFonts w:asciiTheme="majorHAnsi" w:hAnsiTheme="majorHAnsi"/>
        </w:rPr>
      </w:pPr>
      <w:r w:rsidRPr="00FA7505">
        <w:rPr>
          <w:rFonts w:asciiTheme="majorHAnsi" w:hAnsiTheme="majorHAnsi"/>
        </w:rPr>
        <w:t>Eiropas rūpniecības virzība nākotnē (</w:t>
      </w:r>
      <w:proofErr w:type="spellStart"/>
      <w:r w:rsidRPr="00FA7505">
        <w:rPr>
          <w:rFonts w:asciiTheme="majorHAnsi" w:hAnsiTheme="majorHAnsi"/>
        </w:rPr>
        <w:t>Driving</w:t>
      </w:r>
      <w:proofErr w:type="spellEnd"/>
      <w:r w:rsidRPr="00FA7505">
        <w:rPr>
          <w:rFonts w:asciiTheme="majorHAnsi" w:hAnsiTheme="majorHAnsi"/>
        </w:rPr>
        <w:t xml:space="preserve"> </w:t>
      </w:r>
      <w:proofErr w:type="spellStart"/>
      <w:r w:rsidRPr="00FA7505">
        <w:rPr>
          <w:rFonts w:asciiTheme="majorHAnsi" w:hAnsiTheme="majorHAnsi"/>
        </w:rPr>
        <w:t>European</w:t>
      </w:r>
      <w:proofErr w:type="spellEnd"/>
      <w:r w:rsidRPr="00FA7505">
        <w:rPr>
          <w:rFonts w:asciiTheme="majorHAnsi" w:hAnsiTheme="majorHAnsi"/>
        </w:rPr>
        <w:t xml:space="preserve"> </w:t>
      </w:r>
      <w:proofErr w:type="spellStart"/>
      <w:r w:rsidRPr="00FA7505">
        <w:rPr>
          <w:rFonts w:asciiTheme="majorHAnsi" w:hAnsiTheme="majorHAnsi"/>
        </w:rPr>
        <w:t>Industry</w:t>
      </w:r>
      <w:proofErr w:type="spellEnd"/>
      <w:r w:rsidRPr="00FA7505">
        <w:rPr>
          <w:rFonts w:asciiTheme="majorHAnsi" w:hAnsiTheme="majorHAnsi"/>
        </w:rPr>
        <w:t xml:space="preserve"> </w:t>
      </w:r>
      <w:proofErr w:type="spellStart"/>
      <w:r w:rsidRPr="00FA7505">
        <w:rPr>
          <w:rFonts w:asciiTheme="majorHAnsi" w:hAnsiTheme="majorHAnsi"/>
        </w:rPr>
        <w:t>into</w:t>
      </w:r>
      <w:proofErr w:type="spellEnd"/>
      <w:r w:rsidRPr="00FA7505">
        <w:rPr>
          <w:rFonts w:asciiTheme="majorHAnsi" w:hAnsiTheme="majorHAnsi"/>
        </w:rPr>
        <w:t xml:space="preserve"> the </w:t>
      </w:r>
      <w:proofErr w:type="spellStart"/>
      <w:r w:rsidRPr="00FA7505">
        <w:rPr>
          <w:rFonts w:asciiTheme="majorHAnsi" w:hAnsiTheme="majorHAnsi"/>
        </w:rPr>
        <w:t>future</w:t>
      </w:r>
      <w:proofErr w:type="spellEnd"/>
      <w:r w:rsidRPr="00FA7505">
        <w:rPr>
          <w:rFonts w:asciiTheme="majorHAnsi" w:hAnsiTheme="majorHAnsi"/>
        </w:rPr>
        <w:t>):</w:t>
      </w:r>
    </w:p>
    <w:p w:rsidR="00A70A01" w:rsidRPr="00FA7505" w:rsidRDefault="00A70A01" w:rsidP="00A70A01">
      <w:pPr>
        <w:pStyle w:val="ListParagraph"/>
        <w:numPr>
          <w:ilvl w:val="0"/>
          <w:numId w:val="4"/>
        </w:numPr>
        <w:rPr>
          <w:rFonts w:asciiTheme="majorHAnsi" w:hAnsiTheme="majorHAnsi"/>
        </w:rPr>
      </w:pPr>
      <w:r w:rsidRPr="00FA7505">
        <w:rPr>
          <w:rFonts w:asciiTheme="majorHAnsi" w:hAnsiTheme="majorHAnsi"/>
        </w:rPr>
        <w:t>Atšķirību novēršana inovācijas sniegumā (</w:t>
      </w:r>
      <w:proofErr w:type="spellStart"/>
      <w:r w:rsidRPr="00FA7505">
        <w:rPr>
          <w:rFonts w:asciiTheme="majorHAnsi" w:hAnsiTheme="majorHAnsi"/>
        </w:rPr>
        <w:t>Closing</w:t>
      </w:r>
      <w:proofErr w:type="spellEnd"/>
      <w:r w:rsidRPr="00FA7505">
        <w:rPr>
          <w:rFonts w:asciiTheme="majorHAnsi" w:hAnsiTheme="majorHAnsi"/>
        </w:rPr>
        <w:t xml:space="preserve"> the </w:t>
      </w:r>
      <w:proofErr w:type="spellStart"/>
      <w:r w:rsidRPr="00FA7505">
        <w:rPr>
          <w:rFonts w:asciiTheme="majorHAnsi" w:hAnsiTheme="majorHAnsi"/>
        </w:rPr>
        <w:t>innovation</w:t>
      </w:r>
      <w:proofErr w:type="spellEnd"/>
      <w:r w:rsidRPr="00FA7505">
        <w:rPr>
          <w:rFonts w:asciiTheme="majorHAnsi" w:hAnsiTheme="majorHAnsi"/>
        </w:rPr>
        <w:t xml:space="preserve"> </w:t>
      </w:r>
      <w:proofErr w:type="spellStart"/>
      <w:r w:rsidRPr="00FA7505">
        <w:rPr>
          <w:rFonts w:asciiTheme="majorHAnsi" w:hAnsiTheme="majorHAnsi"/>
        </w:rPr>
        <w:t>gap</w:t>
      </w:r>
      <w:proofErr w:type="spellEnd"/>
      <w:r w:rsidRPr="00FA7505">
        <w:rPr>
          <w:rFonts w:asciiTheme="majorHAnsi" w:hAnsiTheme="majorHAnsi"/>
        </w:rPr>
        <w:t>);</w:t>
      </w:r>
    </w:p>
    <w:p w:rsidR="00A70A01" w:rsidRPr="00FA7505" w:rsidRDefault="00A70A01" w:rsidP="00A70A01">
      <w:pPr>
        <w:pStyle w:val="ListParagraph"/>
        <w:numPr>
          <w:ilvl w:val="0"/>
          <w:numId w:val="4"/>
        </w:numPr>
        <w:rPr>
          <w:rFonts w:asciiTheme="majorHAnsi" w:hAnsiTheme="majorHAnsi"/>
        </w:rPr>
      </w:pPr>
      <w:r w:rsidRPr="00FA7505">
        <w:rPr>
          <w:rFonts w:asciiTheme="majorHAnsi" w:hAnsiTheme="majorHAnsi"/>
        </w:rPr>
        <w:t>Viedās specializācijas ieguldījums rūpniecības konkurētspējā (</w:t>
      </w:r>
      <w:proofErr w:type="spellStart"/>
      <w:r w:rsidRPr="00FA7505">
        <w:rPr>
          <w:rFonts w:asciiTheme="majorHAnsi" w:hAnsiTheme="majorHAnsi"/>
        </w:rPr>
        <w:t>Contribution</w:t>
      </w:r>
      <w:proofErr w:type="spellEnd"/>
      <w:r w:rsidRPr="00FA7505">
        <w:rPr>
          <w:rFonts w:asciiTheme="majorHAnsi" w:hAnsiTheme="majorHAnsi"/>
        </w:rPr>
        <w:t xml:space="preserve"> of </w:t>
      </w:r>
      <w:proofErr w:type="spellStart"/>
      <w:r w:rsidRPr="00FA7505">
        <w:rPr>
          <w:rFonts w:asciiTheme="majorHAnsi" w:hAnsiTheme="majorHAnsi"/>
        </w:rPr>
        <w:t>smart</w:t>
      </w:r>
      <w:proofErr w:type="spellEnd"/>
      <w:r w:rsidRPr="00FA7505">
        <w:rPr>
          <w:rFonts w:asciiTheme="majorHAnsi" w:hAnsiTheme="majorHAnsi"/>
        </w:rPr>
        <w:t xml:space="preserve"> </w:t>
      </w:r>
      <w:proofErr w:type="spellStart"/>
      <w:r w:rsidRPr="00FA7505">
        <w:rPr>
          <w:rFonts w:asciiTheme="majorHAnsi" w:hAnsiTheme="majorHAnsi"/>
        </w:rPr>
        <w:t>specialisation</w:t>
      </w:r>
      <w:proofErr w:type="spellEnd"/>
      <w:r w:rsidRPr="00FA7505">
        <w:rPr>
          <w:rFonts w:asciiTheme="majorHAnsi" w:hAnsiTheme="majorHAnsi"/>
        </w:rPr>
        <w:t xml:space="preserve"> </w:t>
      </w:r>
      <w:proofErr w:type="spellStart"/>
      <w:r w:rsidRPr="00FA7505">
        <w:rPr>
          <w:rFonts w:asciiTheme="majorHAnsi" w:hAnsiTheme="majorHAnsi"/>
        </w:rPr>
        <w:t>strategy</w:t>
      </w:r>
      <w:proofErr w:type="spellEnd"/>
      <w:r w:rsidRPr="00FA7505">
        <w:rPr>
          <w:rFonts w:asciiTheme="majorHAnsi" w:hAnsiTheme="majorHAnsi"/>
        </w:rPr>
        <w:t xml:space="preserve"> to </w:t>
      </w:r>
      <w:proofErr w:type="spellStart"/>
      <w:r w:rsidRPr="00FA7505">
        <w:rPr>
          <w:rFonts w:asciiTheme="majorHAnsi" w:hAnsiTheme="majorHAnsi"/>
        </w:rPr>
        <w:t>industrial</w:t>
      </w:r>
      <w:proofErr w:type="spellEnd"/>
      <w:r w:rsidRPr="00FA7505">
        <w:rPr>
          <w:rFonts w:asciiTheme="majorHAnsi" w:hAnsiTheme="majorHAnsi"/>
        </w:rPr>
        <w:t xml:space="preserve"> </w:t>
      </w:r>
      <w:proofErr w:type="spellStart"/>
      <w:r w:rsidRPr="00FA7505">
        <w:rPr>
          <w:rFonts w:asciiTheme="majorHAnsi" w:hAnsiTheme="majorHAnsi"/>
        </w:rPr>
        <w:t>competitiveness</w:t>
      </w:r>
      <w:proofErr w:type="spellEnd"/>
      <w:r w:rsidRPr="00FA7505">
        <w:rPr>
          <w:rFonts w:asciiTheme="majorHAnsi" w:hAnsiTheme="majorHAnsi"/>
        </w:rPr>
        <w:t>);</w:t>
      </w:r>
    </w:p>
    <w:p w:rsidR="00A70A01" w:rsidRPr="00FA7505" w:rsidRDefault="00A70A01" w:rsidP="00A70A01">
      <w:pPr>
        <w:pStyle w:val="ListParagraph"/>
        <w:numPr>
          <w:ilvl w:val="0"/>
          <w:numId w:val="4"/>
        </w:numPr>
        <w:rPr>
          <w:rFonts w:asciiTheme="majorHAnsi" w:hAnsiTheme="majorHAnsi"/>
        </w:rPr>
      </w:pPr>
      <w:r w:rsidRPr="00FA7505">
        <w:rPr>
          <w:rFonts w:asciiTheme="majorHAnsi" w:hAnsiTheme="majorHAnsi"/>
        </w:rPr>
        <w:t xml:space="preserve">Kāda ir rūpniecības loma kopīgajos Eiropas līmeņa intereses projektos, īpaši attiecībā uz </w:t>
      </w:r>
      <w:r w:rsidR="001A5B23">
        <w:rPr>
          <w:rFonts w:asciiTheme="majorHAnsi" w:hAnsiTheme="majorHAnsi"/>
        </w:rPr>
        <w:t>svarīgajām</w:t>
      </w:r>
      <w:r w:rsidRPr="00FA7505">
        <w:rPr>
          <w:rFonts w:asciiTheme="majorHAnsi" w:hAnsiTheme="majorHAnsi"/>
        </w:rPr>
        <w:t xml:space="preserve"> pamattehnoloģijām</w:t>
      </w:r>
      <w:r w:rsidR="001A5B23">
        <w:rPr>
          <w:rStyle w:val="FootnoteReference"/>
          <w:rFonts w:asciiTheme="majorHAnsi" w:hAnsiTheme="majorHAnsi"/>
        </w:rPr>
        <w:footnoteReference w:id="1"/>
      </w:r>
      <w:r w:rsidRPr="00FA7505">
        <w:rPr>
          <w:rFonts w:asciiTheme="majorHAnsi" w:hAnsiTheme="majorHAnsi"/>
        </w:rPr>
        <w:t>? (</w:t>
      </w:r>
      <w:proofErr w:type="spellStart"/>
      <w:r w:rsidRPr="00FA7505">
        <w:rPr>
          <w:rFonts w:asciiTheme="majorHAnsi" w:hAnsiTheme="majorHAnsi"/>
        </w:rPr>
        <w:t>What</w:t>
      </w:r>
      <w:proofErr w:type="spellEnd"/>
      <w:r w:rsidRPr="00FA7505">
        <w:rPr>
          <w:rFonts w:asciiTheme="majorHAnsi" w:hAnsiTheme="majorHAnsi"/>
        </w:rPr>
        <w:t xml:space="preserve"> </w:t>
      </w:r>
      <w:proofErr w:type="spellStart"/>
      <w:r w:rsidRPr="00FA7505">
        <w:rPr>
          <w:rFonts w:asciiTheme="majorHAnsi" w:hAnsiTheme="majorHAnsi"/>
        </w:rPr>
        <w:t>industrial</w:t>
      </w:r>
      <w:proofErr w:type="spellEnd"/>
      <w:r w:rsidRPr="00FA7505">
        <w:rPr>
          <w:rFonts w:asciiTheme="majorHAnsi" w:hAnsiTheme="majorHAnsi"/>
        </w:rPr>
        <w:t xml:space="preserve"> </w:t>
      </w:r>
      <w:proofErr w:type="spellStart"/>
      <w:r w:rsidRPr="00FA7505">
        <w:rPr>
          <w:rFonts w:asciiTheme="majorHAnsi" w:hAnsiTheme="majorHAnsi"/>
        </w:rPr>
        <w:t>role</w:t>
      </w:r>
      <w:proofErr w:type="spellEnd"/>
      <w:r w:rsidRPr="00FA7505">
        <w:rPr>
          <w:rFonts w:asciiTheme="majorHAnsi" w:hAnsiTheme="majorHAnsi"/>
        </w:rPr>
        <w:t xml:space="preserve"> </w:t>
      </w:r>
      <w:proofErr w:type="spellStart"/>
      <w:r w:rsidRPr="00FA7505">
        <w:rPr>
          <w:rFonts w:asciiTheme="majorHAnsi" w:hAnsiTheme="majorHAnsi"/>
        </w:rPr>
        <w:t>for</w:t>
      </w:r>
      <w:proofErr w:type="spellEnd"/>
      <w:r w:rsidRPr="00FA7505">
        <w:rPr>
          <w:rFonts w:asciiTheme="majorHAnsi" w:hAnsiTheme="majorHAnsi"/>
        </w:rPr>
        <w:t xml:space="preserve"> </w:t>
      </w:r>
      <w:proofErr w:type="spellStart"/>
      <w:r w:rsidRPr="00FA7505">
        <w:rPr>
          <w:rFonts w:asciiTheme="majorHAnsi" w:hAnsiTheme="majorHAnsi"/>
        </w:rPr>
        <w:t>important</w:t>
      </w:r>
      <w:proofErr w:type="spellEnd"/>
      <w:r w:rsidRPr="00FA7505">
        <w:rPr>
          <w:rFonts w:asciiTheme="majorHAnsi" w:hAnsiTheme="majorHAnsi"/>
        </w:rPr>
        <w:t xml:space="preserve"> </w:t>
      </w:r>
      <w:proofErr w:type="spellStart"/>
      <w:r w:rsidRPr="00FA7505">
        <w:rPr>
          <w:rFonts w:asciiTheme="majorHAnsi" w:hAnsiTheme="majorHAnsi"/>
        </w:rPr>
        <w:t>projects</w:t>
      </w:r>
      <w:proofErr w:type="spellEnd"/>
      <w:r w:rsidRPr="00FA7505">
        <w:rPr>
          <w:rFonts w:asciiTheme="majorHAnsi" w:hAnsiTheme="majorHAnsi"/>
        </w:rPr>
        <w:t xml:space="preserve"> of </w:t>
      </w:r>
      <w:proofErr w:type="spellStart"/>
      <w:r w:rsidRPr="00FA7505">
        <w:rPr>
          <w:rFonts w:asciiTheme="majorHAnsi" w:hAnsiTheme="majorHAnsi"/>
        </w:rPr>
        <w:t>common</w:t>
      </w:r>
      <w:proofErr w:type="spellEnd"/>
      <w:r w:rsidRPr="00FA7505">
        <w:rPr>
          <w:rFonts w:asciiTheme="majorHAnsi" w:hAnsiTheme="majorHAnsi"/>
        </w:rPr>
        <w:t xml:space="preserve"> </w:t>
      </w:r>
      <w:proofErr w:type="spellStart"/>
      <w:r w:rsidRPr="00FA7505">
        <w:rPr>
          <w:rFonts w:asciiTheme="majorHAnsi" w:hAnsiTheme="majorHAnsi"/>
        </w:rPr>
        <w:t>European</w:t>
      </w:r>
      <w:proofErr w:type="spellEnd"/>
      <w:r w:rsidRPr="00FA7505">
        <w:rPr>
          <w:rFonts w:asciiTheme="majorHAnsi" w:hAnsiTheme="majorHAnsi"/>
        </w:rPr>
        <w:t xml:space="preserve"> </w:t>
      </w:r>
      <w:proofErr w:type="spellStart"/>
      <w:r w:rsidRPr="00FA7505">
        <w:rPr>
          <w:rFonts w:asciiTheme="majorHAnsi" w:hAnsiTheme="majorHAnsi"/>
        </w:rPr>
        <w:t>interest</w:t>
      </w:r>
      <w:proofErr w:type="spellEnd"/>
      <w:r w:rsidRPr="00FA7505">
        <w:rPr>
          <w:rFonts w:asciiTheme="majorHAnsi" w:hAnsiTheme="majorHAnsi"/>
        </w:rPr>
        <w:t xml:space="preserve">, </w:t>
      </w:r>
      <w:proofErr w:type="spellStart"/>
      <w:r w:rsidRPr="00FA7505">
        <w:rPr>
          <w:rFonts w:asciiTheme="majorHAnsi" w:hAnsiTheme="majorHAnsi"/>
        </w:rPr>
        <w:t>notably</w:t>
      </w:r>
      <w:proofErr w:type="spellEnd"/>
      <w:r w:rsidRPr="00FA7505">
        <w:rPr>
          <w:rFonts w:asciiTheme="majorHAnsi" w:hAnsiTheme="majorHAnsi"/>
        </w:rPr>
        <w:t xml:space="preserve"> </w:t>
      </w:r>
      <w:proofErr w:type="spellStart"/>
      <w:r w:rsidRPr="00FA7505">
        <w:rPr>
          <w:rFonts w:asciiTheme="majorHAnsi" w:hAnsiTheme="majorHAnsi"/>
        </w:rPr>
        <w:t>for</w:t>
      </w:r>
      <w:proofErr w:type="spellEnd"/>
      <w:r w:rsidRPr="00FA7505">
        <w:rPr>
          <w:rFonts w:asciiTheme="majorHAnsi" w:hAnsiTheme="majorHAnsi"/>
        </w:rPr>
        <w:t xml:space="preserve"> </w:t>
      </w:r>
      <w:proofErr w:type="spellStart"/>
      <w:r w:rsidRPr="00FA7505">
        <w:rPr>
          <w:rFonts w:asciiTheme="majorHAnsi" w:hAnsiTheme="majorHAnsi"/>
        </w:rPr>
        <w:t>Key</w:t>
      </w:r>
      <w:proofErr w:type="spellEnd"/>
      <w:r w:rsidRPr="00FA7505">
        <w:rPr>
          <w:rFonts w:asciiTheme="majorHAnsi" w:hAnsiTheme="majorHAnsi"/>
        </w:rPr>
        <w:t xml:space="preserve"> </w:t>
      </w:r>
      <w:proofErr w:type="spellStart"/>
      <w:r w:rsidRPr="00FA7505">
        <w:rPr>
          <w:rFonts w:asciiTheme="majorHAnsi" w:hAnsiTheme="majorHAnsi"/>
        </w:rPr>
        <w:t>Enabling</w:t>
      </w:r>
      <w:proofErr w:type="spellEnd"/>
      <w:r w:rsidRPr="00FA7505">
        <w:rPr>
          <w:rFonts w:asciiTheme="majorHAnsi" w:hAnsiTheme="majorHAnsi"/>
        </w:rPr>
        <w:t xml:space="preserve"> Technologies?).</w:t>
      </w:r>
    </w:p>
    <w:p w:rsidR="00A70A01" w:rsidRPr="00FA7505" w:rsidRDefault="00A70A01" w:rsidP="00A70A01">
      <w:pPr>
        <w:pStyle w:val="ListParagraph"/>
        <w:numPr>
          <w:ilvl w:val="0"/>
          <w:numId w:val="3"/>
        </w:numPr>
        <w:rPr>
          <w:rFonts w:asciiTheme="majorHAnsi" w:hAnsiTheme="majorHAnsi"/>
        </w:rPr>
      </w:pPr>
      <w:r w:rsidRPr="00FA7505">
        <w:rPr>
          <w:rFonts w:asciiTheme="majorHAnsi" w:hAnsiTheme="majorHAnsi"/>
        </w:rPr>
        <w:t>Energoietilpīgo rūpniecības nozaru izaicinājumi (</w:t>
      </w:r>
      <w:proofErr w:type="spellStart"/>
      <w:r w:rsidRPr="00FA7505">
        <w:rPr>
          <w:rFonts w:asciiTheme="majorHAnsi" w:hAnsiTheme="majorHAnsi"/>
        </w:rPr>
        <w:t>Challenges</w:t>
      </w:r>
      <w:proofErr w:type="spellEnd"/>
      <w:r w:rsidRPr="00FA7505">
        <w:rPr>
          <w:rFonts w:asciiTheme="majorHAnsi" w:hAnsiTheme="majorHAnsi"/>
        </w:rPr>
        <w:t xml:space="preserve"> </w:t>
      </w:r>
      <w:proofErr w:type="spellStart"/>
      <w:r w:rsidRPr="00FA7505">
        <w:rPr>
          <w:rFonts w:asciiTheme="majorHAnsi" w:hAnsiTheme="majorHAnsi"/>
        </w:rPr>
        <w:t>for</w:t>
      </w:r>
      <w:proofErr w:type="spellEnd"/>
      <w:r w:rsidRPr="00FA7505">
        <w:rPr>
          <w:rFonts w:asciiTheme="majorHAnsi" w:hAnsiTheme="majorHAnsi"/>
        </w:rPr>
        <w:t xml:space="preserve"> </w:t>
      </w:r>
      <w:proofErr w:type="spellStart"/>
      <w:r w:rsidRPr="00FA7505">
        <w:rPr>
          <w:rFonts w:asciiTheme="majorHAnsi" w:hAnsiTheme="majorHAnsi"/>
        </w:rPr>
        <w:t>energy</w:t>
      </w:r>
      <w:proofErr w:type="spellEnd"/>
      <w:r w:rsidRPr="00FA7505">
        <w:rPr>
          <w:rFonts w:asciiTheme="majorHAnsi" w:hAnsiTheme="majorHAnsi"/>
        </w:rPr>
        <w:t xml:space="preserve"> </w:t>
      </w:r>
      <w:proofErr w:type="spellStart"/>
      <w:r w:rsidRPr="00FA7505">
        <w:rPr>
          <w:rFonts w:asciiTheme="majorHAnsi" w:hAnsiTheme="majorHAnsi"/>
        </w:rPr>
        <w:t>intensive</w:t>
      </w:r>
      <w:proofErr w:type="spellEnd"/>
      <w:r w:rsidRPr="00FA7505">
        <w:rPr>
          <w:rFonts w:asciiTheme="majorHAnsi" w:hAnsiTheme="majorHAnsi"/>
        </w:rPr>
        <w:t xml:space="preserve"> </w:t>
      </w:r>
      <w:proofErr w:type="spellStart"/>
      <w:r w:rsidRPr="00FA7505">
        <w:rPr>
          <w:rFonts w:asciiTheme="majorHAnsi" w:hAnsiTheme="majorHAnsi"/>
        </w:rPr>
        <w:t>industries</w:t>
      </w:r>
      <w:proofErr w:type="spellEnd"/>
      <w:r w:rsidRPr="00FA7505">
        <w:rPr>
          <w:rFonts w:asciiTheme="majorHAnsi" w:hAnsiTheme="majorHAnsi"/>
        </w:rPr>
        <w:t>):</w:t>
      </w:r>
    </w:p>
    <w:p w:rsidR="00A70A01" w:rsidRPr="00FA7505" w:rsidRDefault="00A70A01" w:rsidP="00A70A01">
      <w:pPr>
        <w:pStyle w:val="ListParagraph"/>
        <w:numPr>
          <w:ilvl w:val="0"/>
          <w:numId w:val="4"/>
        </w:numPr>
        <w:rPr>
          <w:rFonts w:asciiTheme="majorHAnsi" w:hAnsiTheme="majorHAnsi"/>
        </w:rPr>
      </w:pPr>
      <w:r w:rsidRPr="00FA7505">
        <w:rPr>
          <w:rFonts w:asciiTheme="majorHAnsi" w:hAnsiTheme="majorHAnsi"/>
        </w:rPr>
        <w:t>Energoietilpīgās nozares: esošā situācija, izaicinājumi un perspektīvas (</w:t>
      </w:r>
      <w:proofErr w:type="spellStart"/>
      <w:r w:rsidRPr="00FA7505">
        <w:rPr>
          <w:rFonts w:asciiTheme="majorHAnsi" w:hAnsiTheme="majorHAnsi"/>
        </w:rPr>
        <w:t>Energy</w:t>
      </w:r>
      <w:proofErr w:type="spellEnd"/>
      <w:r w:rsidRPr="00FA7505">
        <w:rPr>
          <w:rFonts w:asciiTheme="majorHAnsi" w:hAnsiTheme="majorHAnsi"/>
        </w:rPr>
        <w:t xml:space="preserve"> </w:t>
      </w:r>
      <w:proofErr w:type="spellStart"/>
      <w:r w:rsidRPr="00FA7505">
        <w:rPr>
          <w:rFonts w:asciiTheme="majorHAnsi" w:hAnsiTheme="majorHAnsi"/>
        </w:rPr>
        <w:t>Intensive</w:t>
      </w:r>
      <w:proofErr w:type="spellEnd"/>
      <w:r w:rsidRPr="00FA7505">
        <w:rPr>
          <w:rFonts w:asciiTheme="majorHAnsi" w:hAnsiTheme="majorHAnsi"/>
        </w:rPr>
        <w:t xml:space="preserve"> </w:t>
      </w:r>
      <w:proofErr w:type="spellStart"/>
      <w:r w:rsidRPr="00FA7505">
        <w:rPr>
          <w:rFonts w:asciiTheme="majorHAnsi" w:hAnsiTheme="majorHAnsi"/>
        </w:rPr>
        <w:t>Industries</w:t>
      </w:r>
      <w:proofErr w:type="spellEnd"/>
      <w:r w:rsidRPr="00FA7505">
        <w:rPr>
          <w:rFonts w:asciiTheme="majorHAnsi" w:hAnsiTheme="majorHAnsi"/>
        </w:rPr>
        <w:t xml:space="preserve">: </w:t>
      </w:r>
      <w:proofErr w:type="spellStart"/>
      <w:r w:rsidRPr="00FA7505">
        <w:rPr>
          <w:rFonts w:asciiTheme="majorHAnsi" w:hAnsiTheme="majorHAnsi"/>
        </w:rPr>
        <w:t>state</w:t>
      </w:r>
      <w:proofErr w:type="spellEnd"/>
      <w:r w:rsidRPr="00FA7505">
        <w:rPr>
          <w:rFonts w:asciiTheme="majorHAnsi" w:hAnsiTheme="majorHAnsi"/>
        </w:rPr>
        <w:t xml:space="preserve"> of </w:t>
      </w:r>
      <w:proofErr w:type="spellStart"/>
      <w:r w:rsidRPr="00FA7505">
        <w:rPr>
          <w:rFonts w:asciiTheme="majorHAnsi" w:hAnsiTheme="majorHAnsi"/>
        </w:rPr>
        <w:t>play</w:t>
      </w:r>
      <w:proofErr w:type="spellEnd"/>
      <w:r w:rsidRPr="00FA7505">
        <w:rPr>
          <w:rFonts w:asciiTheme="majorHAnsi" w:hAnsiTheme="majorHAnsi"/>
        </w:rPr>
        <w:t xml:space="preserve">, </w:t>
      </w:r>
      <w:proofErr w:type="spellStart"/>
      <w:r w:rsidRPr="00FA7505">
        <w:rPr>
          <w:rFonts w:asciiTheme="majorHAnsi" w:hAnsiTheme="majorHAnsi"/>
        </w:rPr>
        <w:t>challenges</w:t>
      </w:r>
      <w:proofErr w:type="spellEnd"/>
      <w:r w:rsidRPr="00FA7505">
        <w:rPr>
          <w:rFonts w:asciiTheme="majorHAnsi" w:hAnsiTheme="majorHAnsi"/>
        </w:rPr>
        <w:t xml:space="preserve">, </w:t>
      </w:r>
      <w:proofErr w:type="spellStart"/>
      <w:r w:rsidRPr="00FA7505">
        <w:rPr>
          <w:rFonts w:asciiTheme="majorHAnsi" w:hAnsiTheme="majorHAnsi"/>
        </w:rPr>
        <w:t>perspectives</w:t>
      </w:r>
      <w:proofErr w:type="spellEnd"/>
      <w:r w:rsidRPr="00FA7505">
        <w:rPr>
          <w:rFonts w:asciiTheme="majorHAnsi" w:hAnsiTheme="majorHAnsi"/>
        </w:rPr>
        <w:t>);</w:t>
      </w:r>
    </w:p>
    <w:p w:rsidR="00A70A01" w:rsidRPr="00FA7505" w:rsidRDefault="00A70A01" w:rsidP="00A70A01">
      <w:pPr>
        <w:pStyle w:val="ListParagraph"/>
        <w:numPr>
          <w:ilvl w:val="0"/>
          <w:numId w:val="4"/>
        </w:numPr>
        <w:rPr>
          <w:rFonts w:asciiTheme="majorHAnsi" w:hAnsiTheme="majorHAnsi"/>
        </w:rPr>
      </w:pPr>
      <w:r w:rsidRPr="00FA7505">
        <w:rPr>
          <w:rFonts w:asciiTheme="majorHAnsi" w:hAnsiTheme="majorHAnsi"/>
        </w:rPr>
        <w:t xml:space="preserve">Iespējamās mīkstinošās rīcības Eiropas energoietilpīgajām nozarēm un pasākumi, lai novērstu iespējamo oglekļa </w:t>
      </w:r>
      <w:r w:rsidR="00993C12" w:rsidRPr="00FA7505">
        <w:rPr>
          <w:rFonts w:asciiTheme="majorHAnsi" w:hAnsiTheme="majorHAnsi"/>
        </w:rPr>
        <w:t xml:space="preserve">emisiju </w:t>
      </w:r>
      <w:r w:rsidRPr="00FA7505">
        <w:rPr>
          <w:rFonts w:asciiTheme="majorHAnsi" w:hAnsiTheme="majorHAnsi"/>
        </w:rPr>
        <w:t>pārvirzi (</w:t>
      </w:r>
      <w:proofErr w:type="spellStart"/>
      <w:r w:rsidRPr="00FA7505">
        <w:rPr>
          <w:rFonts w:asciiTheme="majorHAnsi" w:hAnsiTheme="majorHAnsi"/>
        </w:rPr>
        <w:t>Possible</w:t>
      </w:r>
      <w:proofErr w:type="spellEnd"/>
      <w:r w:rsidRPr="00FA7505">
        <w:rPr>
          <w:rFonts w:asciiTheme="majorHAnsi" w:hAnsiTheme="majorHAnsi"/>
        </w:rPr>
        <w:t xml:space="preserve"> </w:t>
      </w:r>
      <w:proofErr w:type="spellStart"/>
      <w:r w:rsidRPr="00FA7505">
        <w:rPr>
          <w:rFonts w:asciiTheme="majorHAnsi" w:hAnsiTheme="majorHAnsi"/>
        </w:rPr>
        <w:t>mitigating</w:t>
      </w:r>
      <w:proofErr w:type="spellEnd"/>
      <w:r w:rsidRPr="00FA7505">
        <w:rPr>
          <w:rFonts w:asciiTheme="majorHAnsi" w:hAnsiTheme="majorHAnsi"/>
        </w:rPr>
        <w:t xml:space="preserve"> </w:t>
      </w:r>
      <w:proofErr w:type="spellStart"/>
      <w:r w:rsidRPr="00FA7505">
        <w:rPr>
          <w:rFonts w:asciiTheme="majorHAnsi" w:hAnsiTheme="majorHAnsi"/>
        </w:rPr>
        <w:t>actions</w:t>
      </w:r>
      <w:proofErr w:type="spellEnd"/>
      <w:r w:rsidRPr="00FA7505">
        <w:rPr>
          <w:rFonts w:asciiTheme="majorHAnsi" w:hAnsiTheme="majorHAnsi"/>
        </w:rPr>
        <w:t xml:space="preserve"> </w:t>
      </w:r>
      <w:proofErr w:type="spellStart"/>
      <w:r w:rsidRPr="00FA7505">
        <w:rPr>
          <w:rFonts w:asciiTheme="majorHAnsi" w:hAnsiTheme="majorHAnsi"/>
        </w:rPr>
        <w:t>for</w:t>
      </w:r>
      <w:proofErr w:type="spellEnd"/>
      <w:r w:rsidRPr="00FA7505">
        <w:rPr>
          <w:rFonts w:asciiTheme="majorHAnsi" w:hAnsiTheme="majorHAnsi"/>
        </w:rPr>
        <w:t xml:space="preserve"> </w:t>
      </w:r>
      <w:proofErr w:type="spellStart"/>
      <w:r w:rsidRPr="00FA7505">
        <w:rPr>
          <w:rFonts w:asciiTheme="majorHAnsi" w:hAnsiTheme="majorHAnsi"/>
        </w:rPr>
        <w:t>Europe’s</w:t>
      </w:r>
      <w:proofErr w:type="spellEnd"/>
      <w:r w:rsidRPr="00FA7505">
        <w:rPr>
          <w:rFonts w:asciiTheme="majorHAnsi" w:hAnsiTheme="majorHAnsi"/>
        </w:rPr>
        <w:t xml:space="preserve"> </w:t>
      </w:r>
      <w:proofErr w:type="spellStart"/>
      <w:r w:rsidRPr="00FA7505">
        <w:rPr>
          <w:rFonts w:asciiTheme="majorHAnsi" w:hAnsiTheme="majorHAnsi"/>
        </w:rPr>
        <w:t>energy-intensive</w:t>
      </w:r>
      <w:proofErr w:type="spellEnd"/>
      <w:r w:rsidRPr="00FA7505">
        <w:rPr>
          <w:rFonts w:asciiTheme="majorHAnsi" w:hAnsiTheme="majorHAnsi"/>
        </w:rPr>
        <w:t xml:space="preserve"> </w:t>
      </w:r>
      <w:proofErr w:type="spellStart"/>
      <w:r w:rsidRPr="00FA7505">
        <w:rPr>
          <w:rFonts w:asciiTheme="majorHAnsi" w:hAnsiTheme="majorHAnsi"/>
        </w:rPr>
        <w:t>industries</w:t>
      </w:r>
      <w:proofErr w:type="spellEnd"/>
      <w:r w:rsidRPr="00FA7505">
        <w:rPr>
          <w:rFonts w:asciiTheme="majorHAnsi" w:hAnsiTheme="majorHAnsi"/>
        </w:rPr>
        <w:t xml:space="preserve"> </w:t>
      </w:r>
      <w:proofErr w:type="spellStart"/>
      <w:r w:rsidRPr="00FA7505">
        <w:rPr>
          <w:rFonts w:asciiTheme="majorHAnsi" w:hAnsiTheme="majorHAnsi"/>
        </w:rPr>
        <w:t>and</w:t>
      </w:r>
      <w:proofErr w:type="spellEnd"/>
      <w:r w:rsidRPr="00FA7505">
        <w:rPr>
          <w:rFonts w:asciiTheme="majorHAnsi" w:hAnsiTheme="majorHAnsi"/>
        </w:rPr>
        <w:t xml:space="preserve"> </w:t>
      </w:r>
      <w:proofErr w:type="spellStart"/>
      <w:r w:rsidRPr="00FA7505">
        <w:rPr>
          <w:rFonts w:asciiTheme="majorHAnsi" w:hAnsiTheme="majorHAnsi"/>
        </w:rPr>
        <w:t>measures</w:t>
      </w:r>
      <w:proofErr w:type="spellEnd"/>
      <w:r w:rsidRPr="00FA7505">
        <w:rPr>
          <w:rFonts w:asciiTheme="majorHAnsi" w:hAnsiTheme="majorHAnsi"/>
        </w:rPr>
        <w:t xml:space="preserve"> to </w:t>
      </w:r>
      <w:proofErr w:type="spellStart"/>
      <w:r w:rsidRPr="00FA7505">
        <w:rPr>
          <w:rFonts w:asciiTheme="majorHAnsi" w:hAnsiTheme="majorHAnsi"/>
        </w:rPr>
        <w:t>prevent</w:t>
      </w:r>
      <w:proofErr w:type="spellEnd"/>
      <w:r w:rsidRPr="00FA7505">
        <w:rPr>
          <w:rFonts w:asciiTheme="majorHAnsi" w:hAnsiTheme="majorHAnsi"/>
        </w:rPr>
        <w:t xml:space="preserve"> </w:t>
      </w:r>
      <w:proofErr w:type="spellStart"/>
      <w:r w:rsidRPr="00FA7505">
        <w:rPr>
          <w:rFonts w:asciiTheme="majorHAnsi" w:hAnsiTheme="majorHAnsi"/>
        </w:rPr>
        <w:t>potential</w:t>
      </w:r>
      <w:proofErr w:type="spellEnd"/>
      <w:r w:rsidRPr="00FA7505">
        <w:rPr>
          <w:rFonts w:asciiTheme="majorHAnsi" w:hAnsiTheme="majorHAnsi"/>
        </w:rPr>
        <w:t xml:space="preserve"> </w:t>
      </w:r>
      <w:proofErr w:type="spellStart"/>
      <w:r w:rsidRPr="00FA7505">
        <w:rPr>
          <w:rFonts w:asciiTheme="majorHAnsi" w:hAnsiTheme="majorHAnsi"/>
        </w:rPr>
        <w:t>carbon-leakage).</w:t>
      </w:r>
      <w:proofErr w:type="spellEnd"/>
    </w:p>
    <w:p w:rsidR="006073BF" w:rsidRPr="00FA7505" w:rsidRDefault="006073BF" w:rsidP="006073BF">
      <w:pPr>
        <w:ind w:firstLine="720"/>
        <w:rPr>
          <w:rFonts w:asciiTheme="majorHAnsi" w:hAnsiTheme="majorHAnsi"/>
        </w:rPr>
      </w:pPr>
      <w:r w:rsidRPr="00FA7505">
        <w:rPr>
          <w:rFonts w:asciiTheme="majorHAnsi" w:hAnsiTheme="majorHAnsi"/>
        </w:rPr>
        <w:t xml:space="preserve">Saskaņā ar Prezidentūras sagatavoto dienas kārtību un ES dalībvalstu delegāciju vadītāju sadalījumu, </w:t>
      </w:r>
      <w:r w:rsidR="00530271" w:rsidRPr="00FA7505">
        <w:rPr>
          <w:rFonts w:asciiTheme="majorHAnsi" w:hAnsiTheme="majorHAnsi"/>
        </w:rPr>
        <w:t xml:space="preserve">Latvijas pārstāvis </w:t>
      </w:r>
      <w:r w:rsidRPr="00FA7505">
        <w:rPr>
          <w:rFonts w:asciiTheme="majorHAnsi" w:hAnsiTheme="majorHAnsi"/>
        </w:rPr>
        <w:t xml:space="preserve">iekļauts dalībai </w:t>
      </w:r>
      <w:r w:rsidR="00530271" w:rsidRPr="00FA7505">
        <w:rPr>
          <w:rFonts w:asciiTheme="majorHAnsi" w:hAnsiTheme="majorHAnsi"/>
        </w:rPr>
        <w:t>paralēlajā sesijā „</w:t>
      </w:r>
      <w:r w:rsidRPr="00FA7505">
        <w:rPr>
          <w:rFonts w:asciiTheme="majorHAnsi" w:hAnsiTheme="majorHAnsi"/>
        </w:rPr>
        <w:t>Energoietilpīgo rūpniecības nozaru izaicinājumi</w:t>
      </w:r>
      <w:r w:rsidR="00530271" w:rsidRPr="00FA7505">
        <w:rPr>
          <w:rFonts w:asciiTheme="majorHAnsi" w:hAnsiTheme="majorHAnsi"/>
        </w:rPr>
        <w:t>”.</w:t>
      </w:r>
    </w:p>
    <w:p w:rsidR="00530271" w:rsidRPr="00FA7505" w:rsidRDefault="00530271" w:rsidP="006073BF">
      <w:pPr>
        <w:ind w:firstLine="720"/>
        <w:rPr>
          <w:rFonts w:asciiTheme="majorHAnsi" w:hAnsiTheme="majorHAnsi"/>
        </w:rPr>
      </w:pPr>
      <w:r w:rsidRPr="00FA7505">
        <w:rPr>
          <w:rFonts w:asciiTheme="majorHAnsi" w:hAnsiTheme="majorHAnsi"/>
        </w:rPr>
        <w:t xml:space="preserve">Sanāksmes </w:t>
      </w:r>
      <w:r w:rsidR="006073BF" w:rsidRPr="00FA7505">
        <w:rPr>
          <w:rFonts w:asciiTheme="majorHAnsi" w:hAnsiTheme="majorHAnsi"/>
        </w:rPr>
        <w:t xml:space="preserve">ietvaros </w:t>
      </w:r>
      <w:r w:rsidRPr="00FA7505">
        <w:rPr>
          <w:rFonts w:asciiTheme="majorHAnsi" w:hAnsiTheme="majorHAnsi"/>
        </w:rPr>
        <w:t xml:space="preserve">tiek organizētas darba pusdienas, kuru </w:t>
      </w:r>
      <w:r w:rsidR="006073BF" w:rsidRPr="00FA7505">
        <w:rPr>
          <w:rFonts w:asciiTheme="majorHAnsi" w:hAnsiTheme="majorHAnsi"/>
        </w:rPr>
        <w:t xml:space="preserve">laikā </w:t>
      </w:r>
      <w:r w:rsidRPr="00FA7505">
        <w:rPr>
          <w:rFonts w:asciiTheme="majorHAnsi" w:hAnsiTheme="majorHAnsi"/>
        </w:rPr>
        <w:t>dalībvalstu pārstāvji aicināti izteikties par tematiku „</w:t>
      </w:r>
      <w:r w:rsidR="006073BF" w:rsidRPr="00FA7505">
        <w:rPr>
          <w:rFonts w:asciiTheme="majorHAnsi" w:hAnsiTheme="majorHAnsi"/>
        </w:rPr>
        <w:t xml:space="preserve">Virzība uz konkurētspējas aspektu integrēšanu Eiropas politikās” (The </w:t>
      </w:r>
      <w:proofErr w:type="spellStart"/>
      <w:r w:rsidR="006073BF" w:rsidRPr="00FA7505">
        <w:rPr>
          <w:rFonts w:asciiTheme="majorHAnsi" w:hAnsiTheme="majorHAnsi"/>
        </w:rPr>
        <w:t>way</w:t>
      </w:r>
      <w:proofErr w:type="spellEnd"/>
      <w:r w:rsidR="006073BF" w:rsidRPr="00FA7505">
        <w:rPr>
          <w:rFonts w:asciiTheme="majorHAnsi" w:hAnsiTheme="majorHAnsi"/>
        </w:rPr>
        <w:t xml:space="preserve"> </w:t>
      </w:r>
      <w:proofErr w:type="spellStart"/>
      <w:r w:rsidR="006073BF" w:rsidRPr="00FA7505">
        <w:rPr>
          <w:rFonts w:asciiTheme="majorHAnsi" w:hAnsiTheme="majorHAnsi"/>
        </w:rPr>
        <w:t>forward</w:t>
      </w:r>
      <w:proofErr w:type="spellEnd"/>
      <w:r w:rsidR="006073BF" w:rsidRPr="00FA7505">
        <w:rPr>
          <w:rFonts w:asciiTheme="majorHAnsi" w:hAnsiTheme="majorHAnsi"/>
        </w:rPr>
        <w:t xml:space="preserve"> </w:t>
      </w:r>
      <w:proofErr w:type="spellStart"/>
      <w:r w:rsidR="006073BF" w:rsidRPr="00FA7505">
        <w:rPr>
          <w:rFonts w:asciiTheme="majorHAnsi" w:hAnsiTheme="majorHAnsi"/>
        </w:rPr>
        <w:t>for</w:t>
      </w:r>
      <w:proofErr w:type="spellEnd"/>
      <w:r w:rsidR="006073BF" w:rsidRPr="00FA7505">
        <w:rPr>
          <w:rFonts w:asciiTheme="majorHAnsi" w:hAnsiTheme="majorHAnsi"/>
        </w:rPr>
        <w:t xml:space="preserve"> the </w:t>
      </w:r>
      <w:proofErr w:type="spellStart"/>
      <w:r w:rsidR="006073BF" w:rsidRPr="00FA7505">
        <w:rPr>
          <w:rFonts w:asciiTheme="majorHAnsi" w:hAnsiTheme="majorHAnsi"/>
        </w:rPr>
        <w:t>mainstreaming</w:t>
      </w:r>
      <w:proofErr w:type="spellEnd"/>
      <w:r w:rsidR="006073BF" w:rsidRPr="00FA7505">
        <w:rPr>
          <w:rFonts w:asciiTheme="majorHAnsi" w:hAnsiTheme="majorHAnsi"/>
        </w:rPr>
        <w:t xml:space="preserve"> of </w:t>
      </w:r>
      <w:proofErr w:type="spellStart"/>
      <w:r w:rsidR="006073BF" w:rsidRPr="00FA7505">
        <w:rPr>
          <w:rFonts w:asciiTheme="majorHAnsi" w:hAnsiTheme="majorHAnsi"/>
        </w:rPr>
        <w:t>competitiveness</w:t>
      </w:r>
      <w:proofErr w:type="spellEnd"/>
      <w:r w:rsidR="006073BF" w:rsidRPr="00FA7505">
        <w:rPr>
          <w:rFonts w:asciiTheme="majorHAnsi" w:hAnsiTheme="majorHAnsi"/>
        </w:rPr>
        <w:t xml:space="preserve"> </w:t>
      </w:r>
      <w:proofErr w:type="spellStart"/>
      <w:r w:rsidR="006073BF" w:rsidRPr="00FA7505">
        <w:rPr>
          <w:rFonts w:asciiTheme="majorHAnsi" w:hAnsiTheme="majorHAnsi"/>
        </w:rPr>
        <w:t>in</w:t>
      </w:r>
      <w:proofErr w:type="spellEnd"/>
      <w:r w:rsidR="006073BF" w:rsidRPr="00FA7505">
        <w:rPr>
          <w:rFonts w:asciiTheme="majorHAnsi" w:hAnsiTheme="majorHAnsi"/>
        </w:rPr>
        <w:t xml:space="preserve"> </w:t>
      </w:r>
      <w:proofErr w:type="spellStart"/>
      <w:r w:rsidR="006073BF" w:rsidRPr="00FA7505">
        <w:rPr>
          <w:rFonts w:asciiTheme="majorHAnsi" w:hAnsiTheme="majorHAnsi"/>
        </w:rPr>
        <w:t>European</w:t>
      </w:r>
      <w:proofErr w:type="spellEnd"/>
      <w:r w:rsidR="006073BF" w:rsidRPr="00FA7505">
        <w:rPr>
          <w:rFonts w:asciiTheme="majorHAnsi" w:hAnsiTheme="majorHAnsi"/>
        </w:rPr>
        <w:t xml:space="preserve"> </w:t>
      </w:r>
      <w:proofErr w:type="spellStart"/>
      <w:r w:rsidR="006073BF" w:rsidRPr="00FA7505">
        <w:rPr>
          <w:rFonts w:asciiTheme="majorHAnsi" w:hAnsiTheme="majorHAnsi"/>
        </w:rPr>
        <w:t>policies</w:t>
      </w:r>
      <w:proofErr w:type="spellEnd"/>
      <w:r w:rsidR="006073BF" w:rsidRPr="00FA7505">
        <w:rPr>
          <w:rFonts w:asciiTheme="majorHAnsi" w:hAnsiTheme="majorHAnsi"/>
        </w:rPr>
        <w:t>)</w:t>
      </w:r>
      <w:r w:rsidRPr="00FA7505">
        <w:rPr>
          <w:rFonts w:asciiTheme="majorHAnsi" w:hAnsiTheme="majorHAnsi"/>
        </w:rPr>
        <w:t>.</w:t>
      </w:r>
    </w:p>
    <w:p w:rsidR="006073BF" w:rsidRPr="00FA7505" w:rsidRDefault="006073BF" w:rsidP="006073BF">
      <w:pPr>
        <w:rPr>
          <w:rFonts w:asciiTheme="majorHAnsi" w:hAnsiTheme="majorHAnsi"/>
        </w:rPr>
      </w:pPr>
    </w:p>
    <w:p w:rsidR="00F878AD" w:rsidRPr="00FA7505" w:rsidRDefault="00F878AD" w:rsidP="00F878AD">
      <w:pPr>
        <w:pStyle w:val="ListParagraph"/>
        <w:numPr>
          <w:ilvl w:val="0"/>
          <w:numId w:val="5"/>
        </w:numPr>
        <w:ind w:left="284" w:hanging="284"/>
        <w:rPr>
          <w:rFonts w:asciiTheme="majorHAnsi" w:hAnsiTheme="majorHAnsi"/>
          <w:b/>
        </w:rPr>
      </w:pPr>
      <w:r w:rsidRPr="00FA7505">
        <w:rPr>
          <w:rFonts w:asciiTheme="majorHAnsi" w:hAnsiTheme="majorHAnsi"/>
          <w:b/>
        </w:rPr>
        <w:t xml:space="preserve">Sanāksmes </w:t>
      </w:r>
      <w:proofErr w:type="spellStart"/>
      <w:r w:rsidRPr="00FA7505">
        <w:rPr>
          <w:rFonts w:asciiTheme="majorHAnsi" w:hAnsiTheme="majorHAnsi"/>
          <w:b/>
        </w:rPr>
        <w:t>plenārsesija</w:t>
      </w:r>
      <w:proofErr w:type="spellEnd"/>
    </w:p>
    <w:p w:rsidR="00F878AD" w:rsidRPr="00FA7505" w:rsidRDefault="00F878AD" w:rsidP="00F878AD">
      <w:pPr>
        <w:rPr>
          <w:rFonts w:asciiTheme="majorHAnsi" w:hAnsiTheme="majorHAnsi"/>
        </w:rPr>
      </w:pPr>
    </w:p>
    <w:p w:rsidR="00F878AD" w:rsidRPr="00FA7505" w:rsidRDefault="00F878AD" w:rsidP="004C52C6">
      <w:pPr>
        <w:ind w:firstLine="720"/>
        <w:rPr>
          <w:rFonts w:asciiTheme="majorHAnsi" w:hAnsiTheme="majorHAnsi"/>
        </w:rPr>
      </w:pPr>
      <w:proofErr w:type="spellStart"/>
      <w:r w:rsidRPr="00FA7505">
        <w:rPr>
          <w:rFonts w:asciiTheme="majorHAnsi" w:hAnsiTheme="majorHAnsi"/>
        </w:rPr>
        <w:t>Plenārsesijas</w:t>
      </w:r>
      <w:proofErr w:type="spellEnd"/>
      <w:r w:rsidRPr="00FA7505">
        <w:rPr>
          <w:rFonts w:asciiTheme="majorHAnsi" w:hAnsiTheme="majorHAnsi"/>
        </w:rPr>
        <w:t xml:space="preserve"> laikā ES dalībvalstu delegāciju vadītāji tiks iepazīstināti ar pavasara Eiropadomes</w:t>
      </w:r>
      <w:r w:rsidR="004C52C6" w:rsidRPr="00FA7505">
        <w:rPr>
          <w:rFonts w:asciiTheme="majorHAnsi" w:hAnsiTheme="majorHAnsi"/>
        </w:rPr>
        <w:t xml:space="preserve"> rezultātiem un pieņemtajiem lēmumiem turpmākajai rīcībai. 2014.gada 20.-21.marta Eiropadomē liela uzmanība tika veltīta jautājumiem, kas saistīti ar ES </w:t>
      </w:r>
      <w:r w:rsidR="004C52C6" w:rsidRPr="00FA7505">
        <w:rPr>
          <w:rFonts w:asciiTheme="majorHAnsi" w:hAnsiTheme="majorHAnsi"/>
        </w:rPr>
        <w:lastRenderedPageBreak/>
        <w:t>rūpniecības konkurētspēju, akcentējot rūpniecības kā ES ekonomikas izaugsmes un nodarbinātības virzītājspēku. Vienlaikus pavasara Eiropadomē tika rīkotas pirmās politikas debates par klimata un enerģētikas politikas ietvaru laikposmam no 2020.-2030.gadam un panākta vienošanās par turpmāko rīcību. Eiropadome uzsvēra nozīmīgo saikni starp stratēģiju „Eiropa 2020”, rūpniecības konkurētspēju un īstenoto politiku klimata un enerģētikas jomā.</w:t>
      </w:r>
    </w:p>
    <w:p w:rsidR="00F878AD" w:rsidRPr="00FA7505" w:rsidRDefault="00F878AD" w:rsidP="00F878AD">
      <w:pPr>
        <w:rPr>
          <w:rFonts w:asciiTheme="majorHAnsi" w:hAnsiTheme="majorHAnsi"/>
        </w:rPr>
      </w:pPr>
    </w:p>
    <w:p w:rsidR="00F878AD" w:rsidRPr="00FA7505" w:rsidRDefault="00993C12" w:rsidP="00993C12">
      <w:pPr>
        <w:pStyle w:val="ListParagraph"/>
        <w:numPr>
          <w:ilvl w:val="0"/>
          <w:numId w:val="5"/>
        </w:numPr>
        <w:ind w:left="284" w:hanging="284"/>
        <w:rPr>
          <w:rFonts w:asciiTheme="majorHAnsi" w:hAnsiTheme="majorHAnsi"/>
          <w:b/>
        </w:rPr>
      </w:pPr>
      <w:r w:rsidRPr="00FA7505">
        <w:rPr>
          <w:rFonts w:asciiTheme="majorHAnsi" w:hAnsiTheme="majorHAnsi"/>
          <w:b/>
        </w:rPr>
        <w:t>Sanāksmes paralēlā darba sesija – Energoietilpīgo rūpniecības nozaru izaicinājumi</w:t>
      </w:r>
    </w:p>
    <w:p w:rsidR="00993C12" w:rsidRPr="00FA7505" w:rsidRDefault="00993C12" w:rsidP="00993C12">
      <w:pPr>
        <w:rPr>
          <w:rFonts w:asciiTheme="majorHAnsi" w:hAnsiTheme="majorHAnsi"/>
        </w:rPr>
      </w:pPr>
    </w:p>
    <w:p w:rsidR="00993C12" w:rsidRPr="00FA7505" w:rsidRDefault="00993C12" w:rsidP="00993C12">
      <w:pPr>
        <w:ind w:firstLine="720"/>
        <w:rPr>
          <w:rFonts w:asciiTheme="majorHAnsi" w:hAnsiTheme="majorHAnsi"/>
        </w:rPr>
      </w:pPr>
      <w:r w:rsidRPr="00FA7505">
        <w:rPr>
          <w:rFonts w:asciiTheme="majorHAnsi" w:hAnsiTheme="majorHAnsi"/>
        </w:rPr>
        <w:t xml:space="preserve">Prezidentūra Latvijas delegācijas vadītāju ir iekļāvusi paralēlajā darba sesijā „Energoietilpīgo rūpniecības nozaru izaicinājumi”, kuras laikā plānotas diskusijas gan par energoietilpīgo Eiropas nozaru </w:t>
      </w:r>
      <w:r w:rsidRPr="00FA7505">
        <w:rPr>
          <w:rFonts w:asciiTheme="majorHAnsi" w:hAnsiTheme="majorHAnsi"/>
          <w:i/>
        </w:rPr>
        <w:t>status-</w:t>
      </w:r>
      <w:proofErr w:type="spellStart"/>
      <w:r w:rsidRPr="00FA7505">
        <w:rPr>
          <w:rFonts w:asciiTheme="majorHAnsi" w:hAnsiTheme="majorHAnsi"/>
          <w:i/>
        </w:rPr>
        <w:t>quo</w:t>
      </w:r>
      <w:proofErr w:type="spellEnd"/>
      <w:r w:rsidRPr="00FA7505">
        <w:rPr>
          <w:rFonts w:asciiTheme="majorHAnsi" w:hAnsiTheme="majorHAnsi"/>
        </w:rPr>
        <w:t>, gan problēmām ar kurām saskaras šīs nozares, gan iespējamajiem risinājumiem energoietilpīgo uzņēmumu konkurētspējas palielināšanai.</w:t>
      </w:r>
      <w:r w:rsidR="000059F4" w:rsidRPr="00FA7505">
        <w:rPr>
          <w:rFonts w:asciiTheme="majorHAnsi" w:hAnsiTheme="majorHAnsi"/>
        </w:rPr>
        <w:t xml:space="preserve"> Paredzēts diskutēt arī par jautājumiem, kā atbalstīt energoietilpīgās nozares un kā novērst iespēju, kad atsevišķas Eiropas energoietilpīgās nozares var izvēlēties savas ražotnes pārvietot ārpus ES (oglekļa emisiju pārvirze).</w:t>
      </w:r>
    </w:p>
    <w:p w:rsidR="00F878AD" w:rsidRPr="00FA7505" w:rsidRDefault="00F878AD" w:rsidP="000059F4">
      <w:pPr>
        <w:rPr>
          <w:rFonts w:asciiTheme="majorHAnsi" w:hAnsiTheme="majorHAnsi"/>
        </w:rPr>
      </w:pPr>
    </w:p>
    <w:p w:rsidR="000059F4" w:rsidRPr="00FA7505" w:rsidRDefault="000059F4" w:rsidP="000059F4">
      <w:pPr>
        <w:rPr>
          <w:rFonts w:asciiTheme="majorHAnsi" w:hAnsiTheme="majorHAnsi"/>
          <w:b/>
          <w:u w:val="single"/>
        </w:rPr>
      </w:pPr>
      <w:r w:rsidRPr="00FA7505">
        <w:rPr>
          <w:rFonts w:asciiTheme="majorHAnsi" w:hAnsiTheme="majorHAnsi"/>
          <w:b/>
          <w:u w:val="single"/>
        </w:rPr>
        <w:t>Latvijas nostāja:</w:t>
      </w:r>
    </w:p>
    <w:p w:rsidR="000059F4" w:rsidRPr="00FA7505" w:rsidRDefault="000059F4" w:rsidP="000059F4">
      <w:pPr>
        <w:rPr>
          <w:rFonts w:asciiTheme="majorHAnsi" w:hAnsiTheme="majorHAnsi"/>
        </w:rPr>
      </w:pPr>
    </w:p>
    <w:p w:rsidR="00FA7505" w:rsidRDefault="00FA7505" w:rsidP="00FA7505">
      <w:pPr>
        <w:ind w:firstLine="720"/>
        <w:rPr>
          <w:rFonts w:asciiTheme="majorHAnsi" w:hAnsiTheme="majorHAnsi"/>
        </w:rPr>
      </w:pPr>
      <w:r w:rsidRPr="00FA7505">
        <w:rPr>
          <w:rFonts w:asciiTheme="majorHAnsi" w:eastAsia="Times New Roman" w:hAnsiTheme="majorHAnsi" w:cs="Times New Roman"/>
          <w:b/>
          <w:szCs w:val="24"/>
          <w:lang w:eastAsia="lv-LV" w:bidi="lo-LA"/>
        </w:rPr>
        <w:t>Latvija uzskata, ka, vienojoties par sasniedzamajiem Klimata un enerģētikas ietvara mērķiem, ir jāskatās ne tikai no ilgtspējas skatu punkta pārejai uz zema oglekļa ekonomiku, bet ir jāņem vērā konkurētspējas aspekti</w:t>
      </w:r>
      <w:r w:rsidRPr="00FA7505">
        <w:rPr>
          <w:rFonts w:asciiTheme="majorHAnsi" w:eastAsia="Times New Roman" w:hAnsiTheme="majorHAnsi" w:cs="Times New Roman"/>
          <w:szCs w:val="24"/>
          <w:lang w:eastAsia="lv-LV" w:bidi="lo-LA"/>
        </w:rPr>
        <w:t xml:space="preserve">, lai nodrošinātu, ka attiecīgās valsts energoietilpīgās rūpniecības nozares nepasliktinātu savas iespējas starptautiskajos tirgos. Tāpēc laikā līdz 2030.gadam ir jāturpina oglekļa pārvirzes novēršanas pasākumi ES energoietilpīgajām nozarēm.  </w:t>
      </w:r>
    </w:p>
    <w:p w:rsidR="00FA7505" w:rsidRDefault="00FA7505" w:rsidP="00FA7505">
      <w:pPr>
        <w:ind w:firstLine="720"/>
        <w:rPr>
          <w:rFonts w:asciiTheme="majorHAnsi" w:hAnsiTheme="majorHAnsi"/>
        </w:rPr>
      </w:pPr>
      <w:r w:rsidRPr="00FA7505">
        <w:rPr>
          <w:rFonts w:asciiTheme="majorHAnsi" w:eastAsia="Times New Roman" w:hAnsiTheme="majorHAnsi" w:cs="Times New Roman"/>
          <w:b/>
          <w:szCs w:val="24"/>
          <w:lang w:eastAsia="lv-LV" w:bidi="lo-LA"/>
        </w:rPr>
        <w:t>Latvija ir pārliecināta, ka, nosakot saistošus mērķus SEG samazinājumam, ir jāņem vērā katras dalībvalsts sasniegtais pagātnē un tie izaicinājumi, kas jau šobrīd izriet no 20/20/20</w:t>
      </w:r>
      <w:r w:rsidR="00951271">
        <w:rPr>
          <w:rFonts w:asciiTheme="majorHAnsi" w:eastAsia="Times New Roman" w:hAnsiTheme="majorHAnsi" w:cs="Times New Roman"/>
          <w:b/>
          <w:szCs w:val="24"/>
          <w:lang w:eastAsia="lv-LV" w:bidi="lo-LA"/>
        </w:rPr>
        <w:t xml:space="preserve"> mērķiem</w:t>
      </w:r>
      <w:r w:rsidRPr="00FA7505">
        <w:rPr>
          <w:rFonts w:asciiTheme="majorHAnsi" w:eastAsia="Times New Roman" w:hAnsiTheme="majorHAnsi" w:cs="Times New Roman"/>
          <w:szCs w:val="24"/>
          <w:lang w:eastAsia="lv-LV" w:bidi="lo-LA"/>
        </w:rPr>
        <w:t xml:space="preserve">. Latvijas energoietilpīgie uzņēmumi pēdējos gados, </w:t>
      </w:r>
      <w:proofErr w:type="spellStart"/>
      <w:r w:rsidRPr="00FA7505">
        <w:rPr>
          <w:rFonts w:asciiTheme="majorHAnsi" w:eastAsia="Times New Roman" w:hAnsiTheme="majorHAnsi" w:cs="Times New Roman"/>
          <w:szCs w:val="24"/>
          <w:lang w:eastAsia="lv-LV" w:bidi="lo-LA"/>
        </w:rPr>
        <w:t>t.sk</w:t>
      </w:r>
      <w:proofErr w:type="spellEnd"/>
      <w:r w:rsidRPr="00FA7505">
        <w:rPr>
          <w:rFonts w:asciiTheme="majorHAnsi" w:eastAsia="Times New Roman" w:hAnsiTheme="majorHAnsi" w:cs="Times New Roman"/>
          <w:szCs w:val="24"/>
          <w:lang w:eastAsia="lv-LV" w:bidi="lo-LA"/>
        </w:rPr>
        <w:t>. ekonomiskās krīzes laikā, ir ieguldījuši lielas investīcijas uzņēmumu attīstībā, lai, veicot modernizāciju, spētu saglabāt savas pozīcijas attiecīgajā tirgū. Tas nozīmē, ka ieviestajām tehnoloģijām šajos uzņēmumos nebūs notecējis paredzētais dzīves cikls. Savukārt jaunāku tehnoloģiju ieviešana izmaksu ziņā nevarētu būt efektīvākais variants, jo katrs jaunākais variants dod arvien zemāku pienesumu SEG samazināšanā vai nelielus ietaupījumus energoefektivitātē.</w:t>
      </w:r>
    </w:p>
    <w:p w:rsidR="00FA7505" w:rsidRDefault="00FA7505" w:rsidP="00FA7505">
      <w:pPr>
        <w:ind w:firstLine="720"/>
        <w:rPr>
          <w:rFonts w:asciiTheme="majorHAnsi" w:hAnsiTheme="majorHAnsi"/>
        </w:rPr>
      </w:pPr>
      <w:r w:rsidRPr="00FA7505">
        <w:rPr>
          <w:rFonts w:asciiTheme="majorHAnsi" w:eastAsia="Times New Roman" w:hAnsiTheme="majorHAnsi" w:cs="Times New Roman"/>
          <w:b/>
          <w:szCs w:val="24"/>
          <w:lang w:eastAsia="lv-LV" w:bidi="lo-LA"/>
        </w:rPr>
        <w:t xml:space="preserve">Latvija </w:t>
      </w:r>
      <w:r w:rsidR="003D20CF">
        <w:rPr>
          <w:rFonts w:asciiTheme="majorHAnsi" w:eastAsia="Times New Roman" w:hAnsiTheme="majorHAnsi" w:cs="Times New Roman"/>
          <w:b/>
          <w:szCs w:val="24"/>
          <w:lang w:eastAsia="lv-LV" w:bidi="lo-LA"/>
        </w:rPr>
        <w:t>uzsver</w:t>
      </w:r>
      <w:r w:rsidRPr="00FA7505">
        <w:rPr>
          <w:rFonts w:asciiTheme="majorHAnsi" w:eastAsia="Times New Roman" w:hAnsiTheme="majorHAnsi" w:cs="Times New Roman"/>
          <w:b/>
          <w:szCs w:val="24"/>
          <w:lang w:eastAsia="lv-LV" w:bidi="lo-LA"/>
        </w:rPr>
        <w:t xml:space="preserve">, ka nepieciešams turpināt iesāktos pasākumus iekšējā tirgus pabeigšanai, pabeidzot </w:t>
      </w:r>
      <w:r w:rsidR="003D20CF">
        <w:rPr>
          <w:rFonts w:asciiTheme="majorHAnsi" w:eastAsia="Times New Roman" w:hAnsiTheme="majorHAnsi" w:cs="Times New Roman"/>
          <w:b/>
          <w:szCs w:val="24"/>
          <w:lang w:eastAsia="lv-LV" w:bidi="lo-LA"/>
        </w:rPr>
        <w:t>elektrības</w:t>
      </w:r>
      <w:r w:rsidRPr="00FA7505">
        <w:rPr>
          <w:rFonts w:asciiTheme="majorHAnsi" w:eastAsia="Times New Roman" w:hAnsiTheme="majorHAnsi" w:cs="Times New Roman"/>
          <w:b/>
          <w:szCs w:val="24"/>
          <w:lang w:eastAsia="lv-LV" w:bidi="lo-LA"/>
        </w:rPr>
        <w:t xml:space="preserve"> un gāzes tirgu liberalizāciju, izbūvējot jaunus pārrobežu infrastruktūras savienojumus</w:t>
      </w:r>
      <w:r w:rsidR="003D20CF">
        <w:rPr>
          <w:rFonts w:asciiTheme="majorHAnsi" w:eastAsia="Times New Roman" w:hAnsiTheme="majorHAnsi" w:cs="Times New Roman"/>
          <w:b/>
          <w:szCs w:val="24"/>
          <w:lang w:eastAsia="lv-LV" w:bidi="lo-LA"/>
        </w:rPr>
        <w:t>, kā arī</w:t>
      </w:r>
      <w:r w:rsidRPr="00FA7505">
        <w:rPr>
          <w:rFonts w:asciiTheme="majorHAnsi" w:eastAsia="Times New Roman" w:hAnsiTheme="majorHAnsi" w:cs="Times New Roman"/>
          <w:b/>
          <w:szCs w:val="24"/>
          <w:lang w:eastAsia="lv-LV" w:bidi="lo-LA"/>
        </w:rPr>
        <w:t xml:space="preserve"> paaugstinot energoefektivitāti</w:t>
      </w:r>
      <w:r w:rsidRPr="00FA7505">
        <w:rPr>
          <w:rFonts w:asciiTheme="majorHAnsi" w:eastAsia="Times New Roman" w:hAnsiTheme="majorHAnsi" w:cs="Times New Roman"/>
          <w:szCs w:val="24"/>
          <w:lang w:eastAsia="lv-LV" w:bidi="lo-LA"/>
        </w:rPr>
        <w:t xml:space="preserve">. </w:t>
      </w:r>
    </w:p>
    <w:p w:rsidR="00FA7505" w:rsidRDefault="00FA7505" w:rsidP="00FA7505">
      <w:pPr>
        <w:ind w:firstLine="720"/>
        <w:rPr>
          <w:rFonts w:asciiTheme="majorHAnsi" w:eastAsia="Times New Roman" w:hAnsiTheme="majorHAnsi" w:cs="Times New Roman"/>
          <w:szCs w:val="24"/>
          <w:lang w:eastAsia="lv-LV" w:bidi="lo-LA"/>
        </w:rPr>
      </w:pPr>
      <w:r w:rsidRPr="00FA7505">
        <w:rPr>
          <w:rFonts w:asciiTheme="majorHAnsi" w:eastAsia="Times New Roman" w:hAnsiTheme="majorHAnsi" w:cs="Times New Roman"/>
          <w:b/>
          <w:szCs w:val="24"/>
          <w:lang w:eastAsia="lv-LV" w:bidi="lo-LA"/>
        </w:rPr>
        <w:t>Latvija vērš uzmanību, ka attiecīgo mērķu sasniegšanai būs nepieciešams atbalsts un tā sniegšanai nepieciešamais finansējums</w:t>
      </w:r>
      <w:r w:rsidRPr="00FA7505">
        <w:rPr>
          <w:rFonts w:asciiTheme="majorHAnsi" w:eastAsia="Times New Roman" w:hAnsiTheme="majorHAnsi" w:cs="Times New Roman"/>
          <w:szCs w:val="24"/>
          <w:lang w:eastAsia="lv-LV" w:bidi="lo-LA"/>
        </w:rPr>
        <w:t>. Pēc Latvijas uzskatiem ir jāsāk diskusija par atjaunojamai enerģijai paredzēto atbalsta mehānismu koordinēšanu ES, lai izvairītos no ES iekšējās konkurences kropļošanas un nodrošinātu vienādus (vai vismaz līdzīgus) nosacījumus vienas nozares uzņēmumiem visā ES.</w:t>
      </w:r>
    </w:p>
    <w:p w:rsidR="00FA7505" w:rsidRDefault="00FA7505" w:rsidP="00FA7505">
      <w:pPr>
        <w:rPr>
          <w:rFonts w:asciiTheme="majorHAnsi" w:hAnsiTheme="majorHAnsi"/>
          <w:u w:val="single"/>
        </w:rPr>
      </w:pPr>
    </w:p>
    <w:p w:rsidR="00F665F0" w:rsidRPr="00F665F0" w:rsidRDefault="00F665F0" w:rsidP="00F665F0">
      <w:pPr>
        <w:pStyle w:val="ListParagraph"/>
        <w:numPr>
          <w:ilvl w:val="0"/>
          <w:numId w:val="5"/>
        </w:numPr>
        <w:ind w:left="284" w:hanging="284"/>
        <w:rPr>
          <w:rFonts w:asciiTheme="majorHAnsi" w:hAnsiTheme="majorHAnsi"/>
          <w:b/>
        </w:rPr>
      </w:pPr>
      <w:r w:rsidRPr="00F665F0">
        <w:rPr>
          <w:rFonts w:asciiTheme="majorHAnsi" w:hAnsiTheme="majorHAnsi"/>
          <w:b/>
        </w:rPr>
        <w:t>Sanāksmes paralēlā darba sesija – Eiropas rūpniecības virzība nākotnē</w:t>
      </w:r>
    </w:p>
    <w:p w:rsidR="00F665F0" w:rsidRDefault="00F665F0" w:rsidP="00F665F0">
      <w:pPr>
        <w:rPr>
          <w:rFonts w:asciiTheme="majorHAnsi" w:hAnsiTheme="majorHAnsi"/>
        </w:rPr>
      </w:pPr>
    </w:p>
    <w:p w:rsidR="00F665F0" w:rsidRDefault="00F665F0" w:rsidP="00F665F0">
      <w:pPr>
        <w:ind w:firstLine="720"/>
        <w:rPr>
          <w:rFonts w:asciiTheme="majorHAnsi" w:hAnsiTheme="majorHAnsi"/>
        </w:rPr>
      </w:pPr>
      <w:r>
        <w:rPr>
          <w:rFonts w:asciiTheme="majorHAnsi" w:hAnsiTheme="majorHAnsi"/>
        </w:rPr>
        <w:t xml:space="preserve">Sanāksmes laikā norisināsies paralēla diskusija par Eiropas rūpniecības nākotnes izaicinājumiem, kuras laikā Prezidentūra ir aicinājusi izteikties par tādiem ES rūpniecībai </w:t>
      </w:r>
      <w:r w:rsidR="00470EB2">
        <w:rPr>
          <w:rFonts w:asciiTheme="majorHAnsi" w:hAnsiTheme="majorHAnsi"/>
        </w:rPr>
        <w:t xml:space="preserve">nozīmīgiem </w:t>
      </w:r>
      <w:r>
        <w:rPr>
          <w:rFonts w:asciiTheme="majorHAnsi" w:hAnsiTheme="majorHAnsi"/>
        </w:rPr>
        <w:t>jautājumiem</w:t>
      </w:r>
      <w:r w:rsidR="00864F70">
        <w:rPr>
          <w:rFonts w:asciiTheme="majorHAnsi" w:hAnsiTheme="majorHAnsi"/>
        </w:rPr>
        <w:t>,</w:t>
      </w:r>
      <w:r>
        <w:rPr>
          <w:rFonts w:asciiTheme="majorHAnsi" w:hAnsiTheme="majorHAnsi"/>
        </w:rPr>
        <w:t xml:space="preserve"> kā inovācija</w:t>
      </w:r>
      <w:r w:rsidR="00470EB2">
        <w:rPr>
          <w:rFonts w:asciiTheme="majorHAnsi" w:hAnsiTheme="majorHAnsi"/>
        </w:rPr>
        <w:t>s</w:t>
      </w:r>
      <w:r>
        <w:rPr>
          <w:rFonts w:asciiTheme="majorHAnsi" w:hAnsiTheme="majorHAnsi"/>
        </w:rPr>
        <w:t>, vied</w:t>
      </w:r>
      <w:r w:rsidR="00470EB2">
        <w:rPr>
          <w:rFonts w:asciiTheme="majorHAnsi" w:hAnsiTheme="majorHAnsi"/>
        </w:rPr>
        <w:t>ās</w:t>
      </w:r>
      <w:r>
        <w:rPr>
          <w:rFonts w:asciiTheme="majorHAnsi" w:hAnsiTheme="majorHAnsi"/>
        </w:rPr>
        <w:t xml:space="preserve"> specializācija</w:t>
      </w:r>
      <w:r w:rsidR="00470EB2">
        <w:rPr>
          <w:rFonts w:asciiTheme="majorHAnsi" w:hAnsiTheme="majorHAnsi"/>
        </w:rPr>
        <w:t>s</w:t>
      </w:r>
      <w:r>
        <w:rPr>
          <w:rFonts w:asciiTheme="majorHAnsi" w:hAnsiTheme="majorHAnsi"/>
        </w:rPr>
        <w:t xml:space="preserve"> un </w:t>
      </w:r>
      <w:r w:rsidR="00470EB2">
        <w:rPr>
          <w:rFonts w:asciiTheme="majorHAnsi" w:hAnsiTheme="majorHAnsi"/>
        </w:rPr>
        <w:t xml:space="preserve">svarīgo </w:t>
      </w:r>
      <w:r>
        <w:rPr>
          <w:rFonts w:asciiTheme="majorHAnsi" w:hAnsiTheme="majorHAnsi"/>
        </w:rPr>
        <w:t>pamattehnoloģiju ietekme uz rūpniecības izaugsmi.</w:t>
      </w:r>
    </w:p>
    <w:p w:rsidR="00F665F0" w:rsidRDefault="00F665F0" w:rsidP="00F665F0">
      <w:pPr>
        <w:rPr>
          <w:rFonts w:asciiTheme="majorHAnsi" w:hAnsiTheme="majorHAnsi"/>
        </w:rPr>
      </w:pPr>
    </w:p>
    <w:p w:rsidR="00F665F0" w:rsidRPr="00F665F0" w:rsidRDefault="00F665F0" w:rsidP="00F665F0">
      <w:pPr>
        <w:rPr>
          <w:rFonts w:asciiTheme="majorHAnsi" w:hAnsiTheme="majorHAnsi"/>
          <w:b/>
          <w:u w:val="single"/>
        </w:rPr>
      </w:pPr>
      <w:r w:rsidRPr="00F665F0">
        <w:rPr>
          <w:rFonts w:asciiTheme="majorHAnsi" w:hAnsiTheme="majorHAnsi"/>
          <w:b/>
          <w:u w:val="single"/>
        </w:rPr>
        <w:t>Latvijas nostāja:</w:t>
      </w:r>
    </w:p>
    <w:p w:rsidR="00F665F0" w:rsidRDefault="00F665F0" w:rsidP="00F665F0">
      <w:pPr>
        <w:rPr>
          <w:rFonts w:asciiTheme="majorHAnsi" w:hAnsiTheme="majorHAnsi"/>
        </w:rPr>
      </w:pPr>
    </w:p>
    <w:p w:rsidR="002F5BDB" w:rsidRDefault="002F5BDB" w:rsidP="002F5BDB">
      <w:pPr>
        <w:ind w:firstLine="720"/>
        <w:rPr>
          <w:rFonts w:asciiTheme="majorHAnsi" w:eastAsia="Times New Roman" w:hAnsiTheme="majorHAnsi" w:cs="Times New Roman"/>
          <w:szCs w:val="24"/>
          <w:lang w:eastAsia="lv-LV" w:bidi="lo-LA"/>
        </w:rPr>
      </w:pPr>
      <w:r w:rsidRPr="002F5BDB">
        <w:rPr>
          <w:rFonts w:asciiTheme="majorHAnsi" w:eastAsia="Times New Roman" w:hAnsiTheme="majorHAnsi" w:cs="Times New Roman"/>
          <w:b/>
          <w:szCs w:val="24"/>
          <w:lang w:eastAsia="lv-LV" w:bidi="lo-LA"/>
        </w:rPr>
        <w:t>Latvija atbalsta nepieciešamību sekmēt visa veida inovāciju un inovatīvu risinājumu (produktu, tehnoloģiju) attīstīšanu, pielietošanu un izplatīšanu ilgtspējīgai un konkurētspējīgai rūpniecībai.</w:t>
      </w:r>
      <w:r w:rsidRPr="002F5BDB">
        <w:rPr>
          <w:rFonts w:asciiTheme="majorHAnsi" w:eastAsia="Times New Roman" w:hAnsiTheme="majorHAnsi" w:cs="Times New Roman"/>
          <w:szCs w:val="24"/>
          <w:lang w:eastAsia="lv-LV" w:bidi="lo-LA"/>
        </w:rPr>
        <w:t xml:space="preserve"> Uzskatām, ka ir jāuzlabo centieni rūpniecisko pētījumu rezultātu </w:t>
      </w:r>
      <w:proofErr w:type="spellStart"/>
      <w:r w:rsidRPr="002F5BDB">
        <w:rPr>
          <w:rFonts w:asciiTheme="majorHAnsi" w:eastAsia="Times New Roman" w:hAnsiTheme="majorHAnsi" w:cs="Times New Roman"/>
          <w:szCs w:val="24"/>
          <w:lang w:eastAsia="lv-LV" w:bidi="lo-LA"/>
        </w:rPr>
        <w:t>komercializācijas</w:t>
      </w:r>
      <w:proofErr w:type="spellEnd"/>
      <w:r w:rsidRPr="002F5BDB">
        <w:rPr>
          <w:rFonts w:asciiTheme="majorHAnsi" w:eastAsia="Times New Roman" w:hAnsiTheme="majorHAnsi" w:cs="Times New Roman"/>
          <w:szCs w:val="24"/>
          <w:lang w:eastAsia="lv-LV" w:bidi="lo-LA"/>
        </w:rPr>
        <w:t xml:space="preserve"> jomā, kas joprojām ir izaicinājums un prioritāte arī Latvijas inovācijas sistēmas ietvarā. Mērķtiecīga ieguldījumu sekmēšana tehnoloģiju pārneses un tuvināšanas tirgum aktivitātēs var dot nozīmīgu ieguldījumu rūpniecības ilgtspējas, kā arī resursu un energoefektivitātes, darba ražīguma pieauguma un jaunu tehnoloģiju un pakalpojumu attīstīšanai.</w:t>
      </w:r>
    </w:p>
    <w:p w:rsidR="00470EB2" w:rsidRPr="00470EB2" w:rsidRDefault="00E039A6" w:rsidP="00470EB2">
      <w:pPr>
        <w:ind w:firstLine="720"/>
        <w:rPr>
          <w:rFonts w:asciiTheme="majorHAnsi" w:eastAsia="Times New Roman" w:hAnsiTheme="majorHAnsi" w:cs="Times New Roman"/>
          <w:szCs w:val="24"/>
          <w:lang w:eastAsia="lv-LV" w:bidi="lo-LA"/>
        </w:rPr>
      </w:pPr>
      <w:r w:rsidRPr="00E039A6">
        <w:rPr>
          <w:rFonts w:asciiTheme="majorHAnsi" w:eastAsia="Times New Roman" w:hAnsiTheme="majorHAnsi" w:cs="Times New Roman"/>
          <w:b/>
          <w:szCs w:val="24"/>
          <w:lang w:eastAsia="lv-LV" w:bidi="lo-LA"/>
        </w:rPr>
        <w:t>Latvija uzskata, ka i</w:t>
      </w:r>
      <w:r w:rsidR="00470EB2" w:rsidRPr="00E039A6">
        <w:rPr>
          <w:rFonts w:asciiTheme="majorHAnsi" w:eastAsia="Times New Roman" w:hAnsiTheme="majorHAnsi" w:cs="Times New Roman"/>
          <w:b/>
          <w:szCs w:val="24"/>
          <w:lang w:eastAsia="lv-LV" w:bidi="lo-LA"/>
        </w:rPr>
        <w:t xml:space="preserve">eguldījumi svarīgajās pamattehnoloģijās (KET) var būt nozīmīgs inovācijas avots, jo īpaši ņemot vērā </w:t>
      </w:r>
      <w:r w:rsidRPr="00E039A6">
        <w:rPr>
          <w:rFonts w:asciiTheme="majorHAnsi" w:eastAsia="Times New Roman" w:hAnsiTheme="majorHAnsi" w:cs="Times New Roman"/>
          <w:b/>
          <w:szCs w:val="24"/>
          <w:lang w:eastAsia="lv-LV" w:bidi="lo-LA"/>
        </w:rPr>
        <w:t>KET</w:t>
      </w:r>
      <w:r w:rsidR="00470EB2" w:rsidRPr="00E039A6">
        <w:rPr>
          <w:rFonts w:asciiTheme="majorHAnsi" w:eastAsia="Times New Roman" w:hAnsiTheme="majorHAnsi" w:cs="Times New Roman"/>
          <w:b/>
          <w:szCs w:val="24"/>
          <w:lang w:eastAsia="lv-LV" w:bidi="lo-LA"/>
        </w:rPr>
        <w:t xml:space="preserve"> sniegto efektu uz produktu, tehnoloģiju vai pakalpojumu attīstību citās nozarēs</w:t>
      </w:r>
      <w:r w:rsidR="00470EB2" w:rsidRPr="00470EB2">
        <w:rPr>
          <w:rFonts w:asciiTheme="majorHAnsi" w:eastAsia="Times New Roman" w:hAnsiTheme="majorHAnsi" w:cs="Times New Roman"/>
          <w:szCs w:val="24"/>
          <w:lang w:eastAsia="lv-LV" w:bidi="lo-LA"/>
        </w:rPr>
        <w:t xml:space="preserve">. </w:t>
      </w:r>
    </w:p>
    <w:p w:rsidR="00470EB2" w:rsidRPr="001A5B23" w:rsidRDefault="00E039A6" w:rsidP="00470EB2">
      <w:pPr>
        <w:ind w:firstLine="720"/>
        <w:rPr>
          <w:rFonts w:asciiTheme="majorHAnsi" w:eastAsia="Times New Roman" w:hAnsiTheme="majorHAnsi" w:cs="Times New Roman"/>
          <w:szCs w:val="24"/>
          <w:lang w:eastAsia="lv-LV" w:bidi="lo-LA"/>
        </w:rPr>
      </w:pPr>
      <w:r w:rsidRPr="00E039A6">
        <w:rPr>
          <w:rFonts w:asciiTheme="majorHAnsi" w:eastAsia="Times New Roman" w:hAnsiTheme="majorHAnsi" w:cs="Times New Roman"/>
          <w:b/>
          <w:szCs w:val="24"/>
          <w:lang w:eastAsia="lv-LV" w:bidi="lo-LA"/>
        </w:rPr>
        <w:t>Vienlaikus</w:t>
      </w:r>
      <w:r w:rsidR="00470EB2" w:rsidRPr="00E039A6">
        <w:rPr>
          <w:rFonts w:asciiTheme="majorHAnsi" w:eastAsia="Times New Roman" w:hAnsiTheme="majorHAnsi" w:cs="Times New Roman"/>
          <w:b/>
          <w:szCs w:val="24"/>
          <w:lang w:eastAsia="lv-LV" w:bidi="lo-LA"/>
        </w:rPr>
        <w:t xml:space="preserve"> svarīgi panākt, lai koncentrēšanās uz atbalstu KET neierobežo inovācijas </w:t>
      </w:r>
      <w:r w:rsidR="00470EB2" w:rsidRPr="00470EB2">
        <w:rPr>
          <w:rFonts w:asciiTheme="majorHAnsi" w:eastAsia="Times New Roman" w:hAnsiTheme="majorHAnsi" w:cs="Times New Roman"/>
          <w:szCs w:val="24"/>
          <w:lang w:eastAsia="lv-LV" w:bidi="lo-LA"/>
        </w:rPr>
        <w:t xml:space="preserve">(jaunu produktu, tehnoloģiju, pakalpojumu vai citu izstrādņu) </w:t>
      </w:r>
      <w:r w:rsidR="00470EB2" w:rsidRPr="00E039A6">
        <w:rPr>
          <w:rFonts w:asciiTheme="majorHAnsi" w:eastAsia="Times New Roman" w:hAnsiTheme="majorHAnsi" w:cs="Times New Roman"/>
          <w:b/>
          <w:szCs w:val="24"/>
          <w:lang w:eastAsia="lv-LV" w:bidi="lo-LA"/>
        </w:rPr>
        <w:t xml:space="preserve">attīstību </w:t>
      </w:r>
      <w:r w:rsidR="00470EB2" w:rsidRPr="00470EB2">
        <w:rPr>
          <w:rFonts w:asciiTheme="majorHAnsi" w:eastAsia="Times New Roman" w:hAnsiTheme="majorHAnsi" w:cs="Times New Roman"/>
          <w:szCs w:val="24"/>
          <w:lang w:eastAsia="lv-LV" w:bidi="lo-LA"/>
        </w:rPr>
        <w:t xml:space="preserve">tradicionālajās rūpniecības un rūpniecības konkurētspēju papildinošajās un stiprinošajās </w:t>
      </w:r>
      <w:r w:rsidR="00470EB2" w:rsidRPr="00E039A6">
        <w:rPr>
          <w:rFonts w:asciiTheme="majorHAnsi" w:eastAsia="Times New Roman" w:hAnsiTheme="majorHAnsi" w:cs="Times New Roman"/>
          <w:b/>
          <w:szCs w:val="24"/>
          <w:lang w:eastAsia="lv-LV" w:bidi="lo-LA"/>
        </w:rPr>
        <w:t>nozarēs vai jomās, kas nav saistītas ar KET vai uz KET balstītiem produktiem, pakalpojumiem un pielietojumiem</w:t>
      </w:r>
      <w:r w:rsidR="00470EB2" w:rsidRPr="00470EB2">
        <w:rPr>
          <w:rFonts w:asciiTheme="majorHAnsi" w:eastAsia="Times New Roman" w:hAnsiTheme="majorHAnsi" w:cs="Times New Roman"/>
          <w:szCs w:val="24"/>
          <w:lang w:eastAsia="lv-LV" w:bidi="lo-LA"/>
        </w:rPr>
        <w:t>. Īpaši tas attiecināms uz pētniecības un inovācijas ietvara programmas „Horizonts 2020”, vai ES struktūrfondu un citu ES līmeņa instrumentu līdzekļu apgūšanas nosacījumiem.</w:t>
      </w:r>
    </w:p>
    <w:p w:rsidR="002F5BDB" w:rsidRPr="002F5BDB" w:rsidRDefault="002F5BDB" w:rsidP="002F5BDB">
      <w:pPr>
        <w:ind w:firstLine="720"/>
        <w:rPr>
          <w:rFonts w:asciiTheme="majorHAnsi" w:eastAsia="Times New Roman" w:hAnsiTheme="majorHAnsi" w:cs="Times New Roman"/>
          <w:sz w:val="23"/>
          <w:szCs w:val="23"/>
          <w:lang w:eastAsia="lv-LV" w:bidi="lo-LA"/>
        </w:rPr>
      </w:pPr>
      <w:r w:rsidRPr="001A5B23">
        <w:rPr>
          <w:rFonts w:asciiTheme="majorHAnsi" w:eastAsia="Times New Roman" w:hAnsiTheme="majorHAnsi" w:cs="Times New Roman"/>
          <w:szCs w:val="24"/>
          <w:lang w:eastAsia="lv-LV" w:bidi="lo-LA"/>
        </w:rPr>
        <w:t>Latvijas rūpniecības prioritātes un specializācijas virzieni ir ietverti Nacionālajā industriālajā politikā 2014.-2020.gadam, kā arī Latvijas viedās specializācijas stratēģijā un Zinātnes, tehnoloģiju attīstības un inovācijas pamatnostādnēs 2014.-2020.gadam</w:t>
      </w:r>
      <w:r w:rsidRPr="002F5BDB">
        <w:rPr>
          <w:rFonts w:ascii="Cambria" w:eastAsia="Times New Roman" w:hAnsi="Cambria" w:cs="Times New Roman"/>
          <w:szCs w:val="24"/>
          <w:lang w:eastAsia="lv-LV" w:bidi="lo-LA"/>
        </w:rPr>
        <w:t>.</w:t>
      </w:r>
      <w:r w:rsidR="00F4173C">
        <w:rPr>
          <w:rFonts w:ascii="Cambria" w:eastAsia="Times New Roman" w:hAnsi="Cambria" w:cs="Times New Roman"/>
          <w:szCs w:val="24"/>
          <w:lang w:eastAsia="lv-LV" w:bidi="lo-LA"/>
        </w:rPr>
        <w:t xml:space="preserve"> Viedās specializācijas stratēģijas izstrāde un ieiešana ir būtisks priekšnosacījums</w:t>
      </w:r>
      <w:r w:rsidR="00F4173C" w:rsidRPr="00F4173C">
        <w:rPr>
          <w:rFonts w:ascii="Cambria" w:eastAsia="Times New Roman" w:hAnsi="Cambria" w:cs="Times New Roman"/>
          <w:szCs w:val="24"/>
          <w:lang w:eastAsia="lv-LV" w:bidi="lo-LA"/>
        </w:rPr>
        <w:t xml:space="preserve">, </w:t>
      </w:r>
      <w:r w:rsidR="00F4173C">
        <w:rPr>
          <w:rFonts w:ascii="Cambria" w:eastAsia="Times New Roman" w:hAnsi="Cambria" w:cs="Times New Roman"/>
          <w:szCs w:val="24"/>
          <w:lang w:eastAsia="lv-LV" w:bidi="lo-LA"/>
        </w:rPr>
        <w:t>lai ierobežotu resursu apstākļus būtu iespējams tos koncentrēt jomās ar visaugstāko pievienoto vērtību, tādejādi sasniedzot nepieciešamo kritisko masu un attīstot</w:t>
      </w:r>
      <w:r w:rsidR="00F4173C" w:rsidRPr="00F4173C">
        <w:rPr>
          <w:rFonts w:ascii="Cambria" w:eastAsia="Times New Roman" w:hAnsi="Cambria" w:cs="Times New Roman"/>
          <w:szCs w:val="24"/>
          <w:lang w:eastAsia="lv-LV" w:bidi="lo-LA"/>
        </w:rPr>
        <w:t xml:space="preserve"> konkurētspējas priekšrocības.</w:t>
      </w:r>
    </w:p>
    <w:p w:rsidR="00F665F0" w:rsidRDefault="00F665F0" w:rsidP="00F665F0">
      <w:pPr>
        <w:rPr>
          <w:rFonts w:asciiTheme="majorHAnsi" w:hAnsiTheme="majorHAnsi"/>
        </w:rPr>
      </w:pPr>
    </w:p>
    <w:p w:rsidR="00E039A6" w:rsidRPr="00E039A6" w:rsidRDefault="00E039A6" w:rsidP="00F665F0">
      <w:pPr>
        <w:rPr>
          <w:rFonts w:asciiTheme="majorHAnsi" w:hAnsiTheme="majorHAnsi"/>
          <w:i/>
          <w:sz w:val="20"/>
          <w:szCs w:val="20"/>
          <w:u w:val="single"/>
        </w:rPr>
      </w:pPr>
      <w:r w:rsidRPr="00E039A6">
        <w:rPr>
          <w:rFonts w:asciiTheme="majorHAnsi" w:hAnsiTheme="majorHAnsi"/>
          <w:i/>
          <w:sz w:val="20"/>
          <w:szCs w:val="20"/>
          <w:u w:val="single"/>
        </w:rPr>
        <w:t>Informācijai:</w:t>
      </w:r>
    </w:p>
    <w:p w:rsidR="00E039A6" w:rsidRDefault="00E039A6" w:rsidP="00E039A6">
      <w:pPr>
        <w:ind w:firstLine="720"/>
        <w:rPr>
          <w:rFonts w:asciiTheme="majorHAnsi" w:hAnsiTheme="majorHAnsi"/>
          <w:i/>
          <w:sz w:val="20"/>
          <w:szCs w:val="20"/>
        </w:rPr>
      </w:pPr>
      <w:r w:rsidRPr="00E039A6">
        <w:rPr>
          <w:rFonts w:asciiTheme="majorHAnsi" w:hAnsiTheme="majorHAnsi"/>
          <w:i/>
          <w:sz w:val="20"/>
          <w:szCs w:val="20"/>
        </w:rPr>
        <w:t xml:space="preserve">Latvijas Nacionālās industriālās politikas galvenie rīcības virzieni: </w:t>
      </w:r>
      <w:r w:rsidRPr="00E039A6">
        <w:rPr>
          <w:rFonts w:asciiTheme="majorHAnsi" w:hAnsiTheme="majorHAnsi"/>
          <w:b/>
          <w:bCs/>
          <w:i/>
          <w:sz w:val="20"/>
          <w:szCs w:val="20"/>
        </w:rPr>
        <w:t xml:space="preserve">Finanšu pieejamība </w:t>
      </w:r>
      <w:r w:rsidRPr="00E039A6">
        <w:rPr>
          <w:rFonts w:asciiTheme="majorHAnsi" w:hAnsiTheme="majorHAnsi"/>
          <w:i/>
          <w:sz w:val="20"/>
          <w:szCs w:val="20"/>
        </w:rPr>
        <w:t xml:space="preserve">(jaundibināto, mikro un mazo uzņēmumu nodrošināšana ar nepieciešamo finansējumu; atbalsts apgrozāmo līdzekļu nodrošināšanai vai sākotnējo investīciju veikšanai; aizdevumu garantiju izsniegšanas turpināšana; Uzņēmumu ienākumu nodokļa (UIN) atvieglojuma turpināšana, iegādājoties jaunas ražošanas iekārtas; riska kapitāla instrumentu radīšana, kas stimulētu investīcijas uzņēmumu attīstībā), </w:t>
      </w:r>
      <w:r w:rsidRPr="00E039A6">
        <w:rPr>
          <w:rFonts w:asciiTheme="majorHAnsi" w:hAnsiTheme="majorHAnsi"/>
          <w:b/>
          <w:bCs/>
          <w:i/>
          <w:sz w:val="20"/>
          <w:szCs w:val="20"/>
        </w:rPr>
        <w:t>inovācijas veicināšana</w:t>
      </w:r>
      <w:r w:rsidRPr="00E039A6">
        <w:rPr>
          <w:rFonts w:asciiTheme="majorHAnsi" w:hAnsiTheme="majorHAnsi"/>
          <w:i/>
          <w:sz w:val="20"/>
          <w:szCs w:val="20"/>
        </w:rPr>
        <w:t xml:space="preserve"> (komersantu pētniecības un inovācijas kapacitātes paaugstināšana; UIN nodokļa atlaides </w:t>
      </w:r>
      <w:r w:rsidR="00FB0590">
        <w:rPr>
          <w:rFonts w:asciiTheme="majorHAnsi" w:hAnsiTheme="majorHAnsi"/>
          <w:i/>
          <w:sz w:val="20"/>
          <w:szCs w:val="20"/>
        </w:rPr>
        <w:t>Pētniecības un attīstības (</w:t>
      </w:r>
      <w:r w:rsidRPr="00E039A6">
        <w:rPr>
          <w:rFonts w:asciiTheme="majorHAnsi" w:hAnsiTheme="majorHAnsi"/>
          <w:i/>
          <w:sz w:val="20"/>
          <w:szCs w:val="20"/>
        </w:rPr>
        <w:t>P&amp;A</w:t>
      </w:r>
      <w:r w:rsidR="00FB0590">
        <w:rPr>
          <w:rFonts w:asciiTheme="majorHAnsi" w:hAnsiTheme="majorHAnsi"/>
          <w:i/>
          <w:sz w:val="20"/>
          <w:szCs w:val="20"/>
        </w:rPr>
        <w:t>)</w:t>
      </w:r>
      <w:r w:rsidRPr="00E039A6">
        <w:rPr>
          <w:rFonts w:asciiTheme="majorHAnsi" w:hAnsiTheme="majorHAnsi"/>
          <w:i/>
          <w:sz w:val="20"/>
          <w:szCs w:val="20"/>
        </w:rPr>
        <w:t xml:space="preserve"> izmaksām aizstāšana ar jaunu atvieglojumu, nosakot noteiktu pētniecības un attīstības izmaksu norakstīšanu trīskāršā apmērā; pētniecības bāzes un izcilības attīstība), </w:t>
      </w:r>
      <w:r w:rsidRPr="00E039A6">
        <w:rPr>
          <w:rFonts w:asciiTheme="majorHAnsi" w:hAnsiTheme="majorHAnsi"/>
          <w:b/>
          <w:bCs/>
          <w:i/>
          <w:sz w:val="20"/>
          <w:szCs w:val="20"/>
        </w:rPr>
        <w:t>eksporta veicināšana</w:t>
      </w:r>
      <w:r w:rsidRPr="00E039A6">
        <w:rPr>
          <w:rFonts w:asciiTheme="majorHAnsi" w:hAnsiTheme="majorHAnsi"/>
          <w:i/>
          <w:sz w:val="20"/>
          <w:szCs w:val="20"/>
        </w:rPr>
        <w:t xml:space="preserve"> (klasteru iniciatīvas atbalstīšana; eksporta darījuma risku minimizēšana; ārējo tirgu apgūšana un sertifikācijas izmaksu kompensācija), </w:t>
      </w:r>
      <w:r w:rsidRPr="00E039A6">
        <w:rPr>
          <w:rFonts w:asciiTheme="majorHAnsi" w:hAnsiTheme="majorHAnsi"/>
          <w:b/>
          <w:bCs/>
          <w:i/>
          <w:sz w:val="20"/>
          <w:szCs w:val="20"/>
        </w:rPr>
        <w:t>energoresursu izmaksas risināšana</w:t>
      </w:r>
      <w:r w:rsidRPr="00E039A6">
        <w:rPr>
          <w:rFonts w:asciiTheme="majorHAnsi" w:hAnsiTheme="majorHAnsi"/>
          <w:i/>
          <w:sz w:val="20"/>
          <w:szCs w:val="20"/>
        </w:rPr>
        <w:t xml:space="preserve"> (atbalsts energoefektivitātes paaugstināšanas un emisiju samazināšanas risinājumu izstrādei rūpniecības sektorā), </w:t>
      </w:r>
      <w:r w:rsidRPr="00E039A6">
        <w:rPr>
          <w:rFonts w:asciiTheme="majorHAnsi" w:hAnsiTheme="majorHAnsi"/>
          <w:b/>
          <w:bCs/>
          <w:i/>
          <w:sz w:val="20"/>
          <w:szCs w:val="20"/>
        </w:rPr>
        <w:t>darbaspēka pieejamība un prasmes</w:t>
      </w:r>
      <w:r w:rsidRPr="00E039A6">
        <w:rPr>
          <w:rFonts w:asciiTheme="majorHAnsi" w:hAnsiTheme="majorHAnsi"/>
          <w:i/>
          <w:sz w:val="20"/>
          <w:szCs w:val="20"/>
        </w:rPr>
        <w:t xml:space="preserve"> (profesionālās izglītības sistēmas un augstākās izglītības sistēmas tālāka reforma; valsts atbalsts uzņēmumā nodarbināto speciālistu kvalifikācijas un prasmju paaugstināšanai un pārkvalificēšanai; vispārējo vidējo izglītību apgūstošo izglītojamo skaita mazināšana par labu profesionālās izglītības sistēmai), </w:t>
      </w:r>
      <w:r w:rsidRPr="00E039A6">
        <w:rPr>
          <w:rFonts w:asciiTheme="majorHAnsi" w:hAnsiTheme="majorHAnsi"/>
          <w:b/>
          <w:bCs/>
          <w:i/>
          <w:sz w:val="20"/>
          <w:szCs w:val="20"/>
        </w:rPr>
        <w:t>industriālo zonu attīstīšana</w:t>
      </w:r>
      <w:r w:rsidRPr="00E039A6">
        <w:rPr>
          <w:rFonts w:asciiTheme="majorHAnsi" w:hAnsiTheme="majorHAnsi"/>
          <w:i/>
          <w:sz w:val="20"/>
          <w:szCs w:val="20"/>
        </w:rPr>
        <w:t xml:space="preserve"> (esošu industriālo zonu pielāgošana; ceļu un inženierkomunikāciju sakārtošana līdz ražošanas objektiem; jaunu industriālo zonu izveide starptautiskas, nacionālās un reģionālās nozīmes centros).</w:t>
      </w:r>
      <w:r w:rsidRPr="00E039A6">
        <w:t xml:space="preserve"> </w:t>
      </w:r>
      <w:r w:rsidRPr="00E039A6">
        <w:rPr>
          <w:rFonts w:asciiTheme="majorHAnsi" w:hAnsiTheme="majorHAnsi"/>
          <w:i/>
          <w:sz w:val="20"/>
          <w:szCs w:val="20"/>
        </w:rPr>
        <w:t>Nacionālās industriālās politikas p</w:t>
      </w:r>
      <w:r w:rsidR="0005651C">
        <w:rPr>
          <w:rFonts w:asciiTheme="majorHAnsi" w:hAnsiTheme="majorHAnsi"/>
          <w:i/>
          <w:sz w:val="20"/>
          <w:szCs w:val="20"/>
        </w:rPr>
        <w:t>amatnostādne</w:t>
      </w:r>
      <w:r>
        <w:rPr>
          <w:rFonts w:asciiTheme="majorHAnsi" w:hAnsiTheme="majorHAnsi"/>
          <w:i/>
          <w:sz w:val="20"/>
          <w:szCs w:val="20"/>
        </w:rPr>
        <w:t xml:space="preserve">s 2014.-2020.gadam </w:t>
      </w:r>
      <w:r w:rsidRPr="00E039A6">
        <w:rPr>
          <w:rFonts w:asciiTheme="majorHAnsi" w:hAnsiTheme="majorHAnsi"/>
          <w:i/>
          <w:sz w:val="20"/>
          <w:szCs w:val="20"/>
        </w:rPr>
        <w:t>apstiprinātas ar MK 2013.gada 28.jūnija rīkojumu Nr.282 „Par Nacionālās industriālās politik</w:t>
      </w:r>
      <w:r>
        <w:rPr>
          <w:rFonts w:asciiTheme="majorHAnsi" w:hAnsiTheme="majorHAnsi"/>
          <w:i/>
          <w:sz w:val="20"/>
          <w:szCs w:val="20"/>
        </w:rPr>
        <w:t>as attīstības pamatnostādnēm”)</w:t>
      </w:r>
    </w:p>
    <w:p w:rsidR="00E039A6" w:rsidRDefault="00C84844" w:rsidP="00E039A6">
      <w:pPr>
        <w:ind w:firstLine="720"/>
        <w:rPr>
          <w:rFonts w:asciiTheme="majorHAnsi" w:hAnsiTheme="majorHAnsi"/>
          <w:i/>
          <w:sz w:val="20"/>
          <w:szCs w:val="20"/>
        </w:rPr>
      </w:pPr>
      <w:r w:rsidRPr="00C84844">
        <w:rPr>
          <w:rFonts w:asciiTheme="majorHAnsi" w:hAnsiTheme="majorHAnsi"/>
          <w:i/>
          <w:sz w:val="20"/>
          <w:szCs w:val="20"/>
        </w:rPr>
        <w:t xml:space="preserve">Atbilstoši Zinātnes, tehnoloģijas attīstības un inovācijas pamatnostādnēm 2014.-2020.gadam tiek </w:t>
      </w:r>
      <w:r>
        <w:rPr>
          <w:rFonts w:asciiTheme="majorHAnsi" w:hAnsiTheme="majorHAnsi"/>
          <w:i/>
          <w:sz w:val="20"/>
          <w:szCs w:val="20"/>
        </w:rPr>
        <w:t>izstrādāta Viedās specializācijas</w:t>
      </w:r>
      <w:r w:rsidRPr="00C84844">
        <w:rPr>
          <w:rFonts w:asciiTheme="majorHAnsi" w:hAnsiTheme="majorHAnsi"/>
          <w:i/>
          <w:sz w:val="20"/>
          <w:szCs w:val="20"/>
        </w:rPr>
        <w:t xml:space="preserve"> stratēģija. Latvijas situācijā lielākais uzsvars tiks likts uz atbalstu ekonomikas transformācijai, paredzot zinātnes un tehnoloģiju virzīto izaugsmi un virzību uz zināšanām balstītu spēju attīstību. Tādējādi tiks veidota konceptuāli jauna un kompleksa stratēģija, kas ietver un paredz sabalansētu un papildinošu atbalsta instrumentu kopumu. Vienlaicīgi plānots veicināt ne tikai tehnoloģisko </w:t>
      </w:r>
      <w:r w:rsidRPr="00C84844">
        <w:rPr>
          <w:rFonts w:asciiTheme="majorHAnsi" w:hAnsiTheme="majorHAnsi"/>
          <w:i/>
          <w:sz w:val="20"/>
          <w:szCs w:val="20"/>
        </w:rPr>
        <w:lastRenderedPageBreak/>
        <w:t xml:space="preserve">inovāciju, bet arī netehnoloģisko inovāciju, kā arī </w:t>
      </w:r>
      <w:proofErr w:type="spellStart"/>
      <w:r w:rsidRPr="00C84844">
        <w:rPr>
          <w:rFonts w:asciiTheme="majorHAnsi" w:hAnsiTheme="majorHAnsi"/>
          <w:i/>
          <w:sz w:val="20"/>
          <w:szCs w:val="20"/>
        </w:rPr>
        <w:t>uzņēmējspējas</w:t>
      </w:r>
      <w:proofErr w:type="spellEnd"/>
      <w:r w:rsidRPr="00C84844">
        <w:rPr>
          <w:rFonts w:asciiTheme="majorHAnsi" w:hAnsiTheme="majorHAnsi"/>
          <w:i/>
          <w:sz w:val="20"/>
          <w:szCs w:val="20"/>
        </w:rPr>
        <w:t xml:space="preserve"> un radošuma attīstību visās ekonomikas jomās un sociālajā sfērā. Definētās </w:t>
      </w:r>
      <w:r w:rsidRPr="001D18F7">
        <w:rPr>
          <w:rFonts w:asciiTheme="majorHAnsi" w:hAnsiTheme="majorHAnsi"/>
          <w:b/>
          <w:i/>
          <w:sz w:val="20"/>
          <w:szCs w:val="20"/>
        </w:rPr>
        <w:t>5 viedās specializācijas jomas</w:t>
      </w:r>
      <w:r w:rsidRPr="00C84844">
        <w:rPr>
          <w:rFonts w:asciiTheme="majorHAnsi" w:hAnsiTheme="majorHAnsi"/>
          <w:i/>
          <w:sz w:val="20"/>
          <w:szCs w:val="20"/>
        </w:rPr>
        <w:t xml:space="preserve"> – </w:t>
      </w:r>
      <w:r w:rsidRPr="001D18F7">
        <w:rPr>
          <w:rFonts w:asciiTheme="majorHAnsi" w:hAnsiTheme="majorHAnsi"/>
          <w:b/>
          <w:i/>
          <w:sz w:val="20"/>
          <w:szCs w:val="20"/>
        </w:rPr>
        <w:t xml:space="preserve">(1) zināšanu ietilpīga </w:t>
      </w:r>
      <w:proofErr w:type="spellStart"/>
      <w:r w:rsidRPr="001D18F7">
        <w:rPr>
          <w:rFonts w:asciiTheme="majorHAnsi" w:hAnsiTheme="majorHAnsi"/>
          <w:b/>
          <w:i/>
          <w:sz w:val="20"/>
          <w:szCs w:val="20"/>
        </w:rPr>
        <w:t>bioekonomika</w:t>
      </w:r>
      <w:proofErr w:type="spellEnd"/>
      <w:r w:rsidRPr="00C84844">
        <w:rPr>
          <w:rFonts w:asciiTheme="majorHAnsi" w:hAnsiTheme="majorHAnsi"/>
          <w:i/>
          <w:sz w:val="20"/>
          <w:szCs w:val="20"/>
        </w:rPr>
        <w:t xml:space="preserve">; </w:t>
      </w:r>
      <w:r w:rsidRPr="001D18F7">
        <w:rPr>
          <w:rFonts w:asciiTheme="majorHAnsi" w:hAnsiTheme="majorHAnsi"/>
          <w:b/>
          <w:i/>
          <w:sz w:val="20"/>
          <w:szCs w:val="20"/>
        </w:rPr>
        <w:t xml:space="preserve">(2) </w:t>
      </w:r>
      <w:proofErr w:type="spellStart"/>
      <w:r w:rsidRPr="001D18F7">
        <w:rPr>
          <w:rFonts w:asciiTheme="majorHAnsi" w:hAnsiTheme="majorHAnsi"/>
          <w:b/>
          <w:i/>
          <w:sz w:val="20"/>
          <w:szCs w:val="20"/>
        </w:rPr>
        <w:t>biomedicīna</w:t>
      </w:r>
      <w:proofErr w:type="spellEnd"/>
      <w:r w:rsidRPr="001D18F7">
        <w:rPr>
          <w:rFonts w:asciiTheme="majorHAnsi" w:hAnsiTheme="majorHAnsi"/>
          <w:b/>
          <w:i/>
          <w:sz w:val="20"/>
          <w:szCs w:val="20"/>
        </w:rPr>
        <w:t xml:space="preserve">, medicīnas tehnoloģijas, </w:t>
      </w:r>
      <w:proofErr w:type="spellStart"/>
      <w:r w:rsidRPr="001D18F7">
        <w:rPr>
          <w:rFonts w:asciiTheme="majorHAnsi" w:hAnsiTheme="majorHAnsi"/>
          <w:b/>
          <w:i/>
          <w:sz w:val="20"/>
          <w:szCs w:val="20"/>
        </w:rPr>
        <w:t>biofarmācija</w:t>
      </w:r>
      <w:proofErr w:type="spellEnd"/>
      <w:r w:rsidRPr="001D18F7">
        <w:rPr>
          <w:rFonts w:asciiTheme="majorHAnsi" w:hAnsiTheme="majorHAnsi"/>
          <w:b/>
          <w:i/>
          <w:sz w:val="20"/>
          <w:szCs w:val="20"/>
        </w:rPr>
        <w:t xml:space="preserve"> un biotehnoloģijas</w:t>
      </w:r>
      <w:r w:rsidRPr="00C84844">
        <w:rPr>
          <w:rFonts w:asciiTheme="majorHAnsi" w:hAnsiTheme="majorHAnsi"/>
          <w:i/>
          <w:sz w:val="20"/>
          <w:szCs w:val="20"/>
        </w:rPr>
        <w:t xml:space="preserve">; </w:t>
      </w:r>
      <w:r w:rsidRPr="001D18F7">
        <w:rPr>
          <w:rFonts w:asciiTheme="majorHAnsi" w:hAnsiTheme="majorHAnsi"/>
          <w:b/>
          <w:i/>
          <w:sz w:val="20"/>
          <w:szCs w:val="20"/>
        </w:rPr>
        <w:t>(3) informācijas un komunikāciju tehnoloģijas</w:t>
      </w:r>
      <w:r w:rsidRPr="00C84844">
        <w:rPr>
          <w:rFonts w:asciiTheme="majorHAnsi" w:hAnsiTheme="majorHAnsi"/>
          <w:i/>
          <w:sz w:val="20"/>
          <w:szCs w:val="20"/>
        </w:rPr>
        <w:t xml:space="preserve">; </w:t>
      </w:r>
      <w:r w:rsidRPr="001D18F7">
        <w:rPr>
          <w:rFonts w:asciiTheme="majorHAnsi" w:hAnsiTheme="majorHAnsi"/>
          <w:b/>
          <w:i/>
          <w:sz w:val="20"/>
          <w:szCs w:val="20"/>
        </w:rPr>
        <w:t>(4) viedā enerģētika</w:t>
      </w:r>
      <w:r w:rsidRPr="00C84844">
        <w:rPr>
          <w:rFonts w:asciiTheme="majorHAnsi" w:hAnsiTheme="majorHAnsi"/>
          <w:i/>
          <w:sz w:val="20"/>
          <w:szCs w:val="20"/>
        </w:rPr>
        <w:t xml:space="preserve"> un </w:t>
      </w:r>
      <w:r w:rsidRPr="001D18F7">
        <w:rPr>
          <w:rFonts w:asciiTheme="majorHAnsi" w:hAnsiTheme="majorHAnsi"/>
          <w:b/>
          <w:i/>
          <w:sz w:val="20"/>
          <w:szCs w:val="20"/>
        </w:rPr>
        <w:t xml:space="preserve">(5) viedie materiāli, tehnoloģijas un </w:t>
      </w:r>
      <w:proofErr w:type="spellStart"/>
      <w:r w:rsidRPr="001D18F7">
        <w:rPr>
          <w:rFonts w:asciiTheme="majorHAnsi" w:hAnsiTheme="majorHAnsi"/>
          <w:b/>
          <w:i/>
          <w:sz w:val="20"/>
          <w:szCs w:val="20"/>
        </w:rPr>
        <w:t>inženiersistēmas</w:t>
      </w:r>
      <w:proofErr w:type="spellEnd"/>
      <w:r w:rsidRPr="001D18F7">
        <w:rPr>
          <w:rFonts w:asciiTheme="majorHAnsi" w:hAnsiTheme="majorHAnsi"/>
          <w:b/>
          <w:i/>
          <w:sz w:val="20"/>
          <w:szCs w:val="20"/>
        </w:rPr>
        <w:t>)</w:t>
      </w:r>
      <w:r w:rsidRPr="00C84844">
        <w:rPr>
          <w:rFonts w:asciiTheme="majorHAnsi" w:hAnsiTheme="majorHAnsi"/>
          <w:i/>
          <w:sz w:val="20"/>
          <w:szCs w:val="20"/>
        </w:rPr>
        <w:t xml:space="preserve"> atbilst ne tikai valstī noteiktajiem zinātnes prioritārajiem virzieniem, bet arī ES līmenī izvirzītajām svarīgajām pamattehnoloģijām (KET): </w:t>
      </w:r>
      <w:r w:rsidR="001D18F7">
        <w:rPr>
          <w:rFonts w:asciiTheme="majorHAnsi" w:hAnsiTheme="majorHAnsi"/>
          <w:i/>
          <w:sz w:val="20"/>
          <w:szCs w:val="20"/>
        </w:rPr>
        <w:t>(</w:t>
      </w:r>
      <w:r w:rsidRPr="00C84844">
        <w:rPr>
          <w:rFonts w:asciiTheme="majorHAnsi" w:hAnsiTheme="majorHAnsi"/>
          <w:i/>
          <w:sz w:val="20"/>
          <w:szCs w:val="20"/>
        </w:rPr>
        <w:t xml:space="preserve">(1) mikroelektronika un </w:t>
      </w:r>
      <w:proofErr w:type="spellStart"/>
      <w:r w:rsidRPr="00C84844">
        <w:rPr>
          <w:rFonts w:asciiTheme="majorHAnsi" w:hAnsiTheme="majorHAnsi"/>
          <w:i/>
          <w:sz w:val="20"/>
          <w:szCs w:val="20"/>
        </w:rPr>
        <w:t>nanoelektronika</w:t>
      </w:r>
      <w:proofErr w:type="spellEnd"/>
      <w:r w:rsidRPr="00C84844">
        <w:rPr>
          <w:rFonts w:asciiTheme="majorHAnsi" w:hAnsiTheme="majorHAnsi"/>
          <w:i/>
          <w:sz w:val="20"/>
          <w:szCs w:val="20"/>
        </w:rPr>
        <w:t xml:space="preserve">, (2) progresīvie materiāli, (3) rūpnieciskās biotehnoloģijas, (4) </w:t>
      </w:r>
      <w:proofErr w:type="spellStart"/>
      <w:r w:rsidRPr="00C84844">
        <w:rPr>
          <w:rFonts w:asciiTheme="majorHAnsi" w:hAnsiTheme="majorHAnsi"/>
          <w:i/>
          <w:sz w:val="20"/>
          <w:szCs w:val="20"/>
        </w:rPr>
        <w:t>fotonika</w:t>
      </w:r>
      <w:proofErr w:type="spellEnd"/>
      <w:r w:rsidRPr="00C84844">
        <w:rPr>
          <w:rFonts w:asciiTheme="majorHAnsi" w:hAnsiTheme="majorHAnsi"/>
          <w:i/>
          <w:sz w:val="20"/>
          <w:szCs w:val="20"/>
        </w:rPr>
        <w:t xml:space="preserve">, (5) </w:t>
      </w:r>
      <w:proofErr w:type="spellStart"/>
      <w:r w:rsidRPr="00C84844">
        <w:rPr>
          <w:rFonts w:asciiTheme="majorHAnsi" w:hAnsiTheme="majorHAnsi"/>
          <w:i/>
          <w:sz w:val="20"/>
          <w:szCs w:val="20"/>
        </w:rPr>
        <w:t>nanotehnoloģijas</w:t>
      </w:r>
      <w:proofErr w:type="spellEnd"/>
      <w:r w:rsidRPr="00C84844">
        <w:rPr>
          <w:rFonts w:asciiTheme="majorHAnsi" w:hAnsiTheme="majorHAnsi"/>
          <w:i/>
          <w:sz w:val="20"/>
          <w:szCs w:val="20"/>
        </w:rPr>
        <w:t xml:space="preserve"> un (6) progresīvas ražošanas tehnoloģijas</w:t>
      </w:r>
      <w:r w:rsidR="001D18F7">
        <w:rPr>
          <w:rFonts w:asciiTheme="majorHAnsi" w:hAnsiTheme="majorHAnsi"/>
          <w:i/>
          <w:sz w:val="20"/>
          <w:szCs w:val="20"/>
        </w:rPr>
        <w:t>)</w:t>
      </w:r>
      <w:r w:rsidRPr="00C84844">
        <w:rPr>
          <w:rFonts w:asciiTheme="majorHAnsi" w:hAnsiTheme="majorHAnsi"/>
          <w:i/>
          <w:sz w:val="20"/>
          <w:szCs w:val="20"/>
        </w:rPr>
        <w:t>.</w:t>
      </w:r>
      <w:r>
        <w:rPr>
          <w:rFonts w:asciiTheme="majorHAnsi" w:hAnsiTheme="majorHAnsi"/>
          <w:i/>
          <w:sz w:val="20"/>
          <w:szCs w:val="20"/>
        </w:rPr>
        <w:t xml:space="preserve"> </w:t>
      </w:r>
      <w:r w:rsidR="00E039A6" w:rsidRPr="00E039A6">
        <w:rPr>
          <w:rFonts w:asciiTheme="majorHAnsi" w:hAnsiTheme="majorHAnsi"/>
          <w:i/>
          <w:sz w:val="20"/>
          <w:szCs w:val="20"/>
        </w:rPr>
        <w:t>Pētniecības, tehnoloģiju attīst</w:t>
      </w:r>
      <w:r w:rsidR="00E039A6">
        <w:rPr>
          <w:rFonts w:asciiTheme="majorHAnsi" w:hAnsiTheme="majorHAnsi"/>
          <w:i/>
          <w:sz w:val="20"/>
          <w:szCs w:val="20"/>
        </w:rPr>
        <w:t xml:space="preserve">ības un inovācijas pamatnostādnes 2014.-2020.gadam </w:t>
      </w:r>
      <w:proofErr w:type="spellStart"/>
      <w:r w:rsidR="00E039A6">
        <w:rPr>
          <w:rFonts w:asciiTheme="majorHAnsi" w:hAnsiTheme="majorHAnsi"/>
          <w:i/>
          <w:sz w:val="20"/>
          <w:szCs w:val="20"/>
        </w:rPr>
        <w:t>a</w:t>
      </w:r>
      <w:r w:rsidR="00E039A6" w:rsidRPr="00E039A6">
        <w:rPr>
          <w:rFonts w:asciiTheme="majorHAnsi" w:hAnsiTheme="majorHAnsi"/>
          <w:i/>
          <w:sz w:val="20"/>
          <w:szCs w:val="20"/>
        </w:rPr>
        <w:t>apstiprinātas</w:t>
      </w:r>
      <w:proofErr w:type="spellEnd"/>
      <w:r w:rsidR="00E039A6" w:rsidRPr="00E039A6">
        <w:rPr>
          <w:rFonts w:asciiTheme="majorHAnsi" w:hAnsiTheme="majorHAnsi"/>
          <w:i/>
          <w:sz w:val="20"/>
          <w:szCs w:val="20"/>
        </w:rPr>
        <w:t xml:space="preserve"> ar MK 2013.gada 28.decembra rīkojumu Nr.685 „Par Zinātnes, tehnoloģijas attīstības un inovācijas pa</w:t>
      </w:r>
      <w:r w:rsidR="00E039A6">
        <w:rPr>
          <w:rFonts w:asciiTheme="majorHAnsi" w:hAnsiTheme="majorHAnsi"/>
          <w:i/>
          <w:sz w:val="20"/>
          <w:szCs w:val="20"/>
        </w:rPr>
        <w:t>matnostādnēm 2014.-2020.gadam”.</w:t>
      </w:r>
    </w:p>
    <w:p w:rsidR="00F665F0" w:rsidRPr="00E039A6" w:rsidRDefault="00F665F0" w:rsidP="00F665F0">
      <w:pPr>
        <w:rPr>
          <w:rFonts w:asciiTheme="majorHAnsi" w:hAnsiTheme="majorHAnsi"/>
        </w:rPr>
      </w:pPr>
    </w:p>
    <w:p w:rsidR="00FA7505" w:rsidRPr="00FA7505" w:rsidRDefault="00FA7505" w:rsidP="00FA7505">
      <w:pPr>
        <w:pStyle w:val="ListParagraph"/>
        <w:numPr>
          <w:ilvl w:val="0"/>
          <w:numId w:val="5"/>
        </w:numPr>
        <w:ind w:left="284" w:hanging="284"/>
        <w:rPr>
          <w:rFonts w:asciiTheme="majorHAnsi" w:hAnsiTheme="majorHAnsi"/>
          <w:b/>
        </w:rPr>
      </w:pPr>
      <w:r w:rsidRPr="00FA7505">
        <w:rPr>
          <w:rFonts w:asciiTheme="majorHAnsi" w:hAnsiTheme="majorHAnsi"/>
          <w:b/>
        </w:rPr>
        <w:t>Sanāksmes pusdienu diskusija – Virzība uz konkurētspējas aspektu integrēšanu Eiropas politikās</w:t>
      </w:r>
    </w:p>
    <w:p w:rsidR="00FA7505" w:rsidRPr="00FA7505" w:rsidRDefault="00FA7505" w:rsidP="00FA7505">
      <w:pPr>
        <w:rPr>
          <w:rFonts w:asciiTheme="majorHAnsi" w:hAnsiTheme="majorHAnsi"/>
        </w:rPr>
      </w:pPr>
    </w:p>
    <w:p w:rsidR="00FA7505" w:rsidRDefault="00FA7505" w:rsidP="00FA7505">
      <w:pPr>
        <w:ind w:firstLine="720"/>
        <w:rPr>
          <w:rFonts w:asciiTheme="majorHAnsi" w:hAnsiTheme="majorHAnsi"/>
        </w:rPr>
      </w:pPr>
      <w:r w:rsidRPr="00FA7505">
        <w:rPr>
          <w:rFonts w:asciiTheme="majorHAnsi" w:hAnsiTheme="majorHAnsi"/>
        </w:rPr>
        <w:t xml:space="preserve">Pusdienās Prezidentūra paredzējusi neformālas dalībvalstu pārstāvju diskusijas par iespējamajiem veidiem, kā panākt ES konkurētspējas jautājumu plašāku integrāciju citās ES politikās, tādejādi </w:t>
      </w:r>
      <w:r>
        <w:rPr>
          <w:rFonts w:asciiTheme="majorHAnsi" w:hAnsiTheme="majorHAnsi"/>
        </w:rPr>
        <w:t xml:space="preserve">nodrošinot ar Eiropas rūpniecību saistīto izaicinājumu </w:t>
      </w:r>
      <w:r w:rsidR="00600C99">
        <w:rPr>
          <w:rFonts w:asciiTheme="majorHAnsi" w:hAnsiTheme="majorHAnsi"/>
        </w:rPr>
        <w:t xml:space="preserve">ievērošanu citās, ar rūpniecību tieši un  netieši saistīto politiku jomās, </w:t>
      </w:r>
      <w:r w:rsidR="00600C99" w:rsidRPr="00600C99">
        <w:rPr>
          <w:rFonts w:asciiTheme="majorHAnsi" w:hAnsiTheme="majorHAnsi"/>
        </w:rPr>
        <w:t xml:space="preserve">nosakot </w:t>
      </w:r>
      <w:r w:rsidR="00600C99">
        <w:rPr>
          <w:rFonts w:asciiTheme="majorHAnsi" w:hAnsiTheme="majorHAnsi"/>
        </w:rPr>
        <w:t xml:space="preserve">tajās specifiskus </w:t>
      </w:r>
      <w:r w:rsidR="00600C99" w:rsidRPr="00600C99">
        <w:rPr>
          <w:rFonts w:asciiTheme="majorHAnsi" w:hAnsiTheme="majorHAnsi"/>
        </w:rPr>
        <w:t xml:space="preserve">mērķus un īstenojot </w:t>
      </w:r>
      <w:r w:rsidR="00600C99">
        <w:rPr>
          <w:rFonts w:asciiTheme="majorHAnsi" w:hAnsiTheme="majorHAnsi"/>
        </w:rPr>
        <w:t xml:space="preserve">konkrētas </w:t>
      </w:r>
      <w:r w:rsidR="00600C99" w:rsidRPr="00600C99">
        <w:rPr>
          <w:rFonts w:asciiTheme="majorHAnsi" w:hAnsiTheme="majorHAnsi"/>
        </w:rPr>
        <w:t>rīcības</w:t>
      </w:r>
      <w:r w:rsidR="00600C99">
        <w:rPr>
          <w:rFonts w:asciiTheme="majorHAnsi" w:hAnsiTheme="majorHAnsi"/>
        </w:rPr>
        <w:t>.</w:t>
      </w:r>
    </w:p>
    <w:p w:rsidR="00600C99" w:rsidRDefault="00600C99" w:rsidP="00FA7505">
      <w:pPr>
        <w:ind w:firstLine="720"/>
        <w:rPr>
          <w:rFonts w:asciiTheme="majorHAnsi" w:hAnsiTheme="majorHAnsi"/>
        </w:rPr>
      </w:pPr>
    </w:p>
    <w:p w:rsidR="00600C99" w:rsidRPr="00E311D4" w:rsidRDefault="00600C99" w:rsidP="00600C99">
      <w:pPr>
        <w:rPr>
          <w:rFonts w:asciiTheme="majorHAnsi" w:hAnsiTheme="majorHAnsi"/>
          <w:b/>
          <w:u w:val="single"/>
        </w:rPr>
      </w:pPr>
      <w:r w:rsidRPr="00E311D4">
        <w:rPr>
          <w:rFonts w:asciiTheme="majorHAnsi" w:hAnsiTheme="majorHAnsi"/>
          <w:b/>
          <w:u w:val="single"/>
        </w:rPr>
        <w:t>Latvijas nostāja:</w:t>
      </w:r>
    </w:p>
    <w:p w:rsidR="00FA7505" w:rsidRPr="00E311D4" w:rsidRDefault="00FA7505" w:rsidP="00FA7505">
      <w:pPr>
        <w:rPr>
          <w:rFonts w:asciiTheme="majorHAnsi" w:hAnsiTheme="majorHAnsi"/>
        </w:rPr>
      </w:pPr>
    </w:p>
    <w:p w:rsidR="00600C99" w:rsidRPr="00E311D4" w:rsidRDefault="00600C99" w:rsidP="00600C99">
      <w:pPr>
        <w:widowControl w:val="0"/>
        <w:ind w:firstLine="720"/>
        <w:rPr>
          <w:rFonts w:asciiTheme="majorHAnsi" w:eastAsia="Times New Roman" w:hAnsiTheme="majorHAnsi" w:cs="Times New Roman"/>
          <w:szCs w:val="24"/>
          <w:lang w:eastAsia="lv-LV" w:bidi="lo-LA"/>
        </w:rPr>
      </w:pPr>
      <w:r w:rsidRPr="00E311D4">
        <w:rPr>
          <w:rFonts w:asciiTheme="majorHAnsi" w:eastAsia="Times New Roman" w:hAnsiTheme="majorHAnsi" w:cs="Times New Roman"/>
          <w:b/>
          <w:szCs w:val="24"/>
          <w:lang w:eastAsia="lv-LV" w:bidi="lo-LA"/>
        </w:rPr>
        <w:t>Latvija uzskata, ka rūpniecības un citu politikas jomu sinerģija ir viens no būtiskākajiem izaicinājumiem.</w:t>
      </w:r>
      <w:r w:rsidRPr="00E311D4">
        <w:rPr>
          <w:rFonts w:asciiTheme="majorHAnsi" w:eastAsia="Times New Roman" w:hAnsiTheme="majorHAnsi" w:cs="Arial Unicode MS"/>
          <w:sz w:val="20"/>
          <w:szCs w:val="20"/>
          <w:lang w:eastAsia="lv-LV" w:bidi="lo-LA"/>
        </w:rPr>
        <w:t xml:space="preserve"> </w:t>
      </w:r>
      <w:r w:rsidRPr="00E311D4">
        <w:rPr>
          <w:rFonts w:asciiTheme="majorHAnsi" w:eastAsia="Times New Roman" w:hAnsiTheme="majorHAnsi" w:cs="Times New Roman"/>
          <w:szCs w:val="24"/>
          <w:lang w:eastAsia="lv-LV" w:bidi="lo-LA"/>
        </w:rPr>
        <w:t xml:space="preserve">ES rūpniecības politikas veiksmīgai īstenošanai ir nepieciešama integrēta politiska pieeja, vērtējot visus aspektus, kas ietekmē ES rūpniecības uzņēmumu konkurētspēju, piemēram, saskaņotību un atbilstību mērķiem ES vides un klimata, enerģētikas, izglītības un prasmju, nodarbinātības, </w:t>
      </w:r>
      <w:r w:rsidR="00FB0590">
        <w:rPr>
          <w:rFonts w:asciiTheme="majorHAnsi" w:eastAsia="Times New Roman" w:hAnsiTheme="majorHAnsi" w:cs="Times New Roman"/>
          <w:szCs w:val="24"/>
          <w:lang w:eastAsia="lv-LV" w:bidi="lo-LA"/>
        </w:rPr>
        <w:t>pētniecības un attīstības (</w:t>
      </w:r>
      <w:r w:rsidRPr="00E311D4">
        <w:rPr>
          <w:rFonts w:asciiTheme="majorHAnsi" w:eastAsia="Times New Roman" w:hAnsiTheme="majorHAnsi" w:cs="Times New Roman"/>
          <w:szCs w:val="24"/>
          <w:lang w:eastAsia="lv-LV" w:bidi="lo-LA"/>
        </w:rPr>
        <w:t>P&amp;A</w:t>
      </w:r>
      <w:r w:rsidR="00FB0590">
        <w:rPr>
          <w:rFonts w:asciiTheme="majorHAnsi" w:eastAsia="Times New Roman" w:hAnsiTheme="majorHAnsi" w:cs="Times New Roman"/>
          <w:szCs w:val="24"/>
          <w:lang w:eastAsia="lv-LV" w:bidi="lo-LA"/>
        </w:rPr>
        <w:t>)</w:t>
      </w:r>
      <w:r w:rsidRPr="00E311D4">
        <w:rPr>
          <w:rFonts w:asciiTheme="majorHAnsi" w:eastAsia="Times New Roman" w:hAnsiTheme="majorHAnsi" w:cs="Times New Roman"/>
          <w:szCs w:val="24"/>
          <w:lang w:eastAsia="lv-LV" w:bidi="lo-LA"/>
        </w:rPr>
        <w:t xml:space="preserve"> un inovācijas, konkurences, ārējās tirdzniecības, transporta </w:t>
      </w:r>
      <w:proofErr w:type="spellStart"/>
      <w:r w:rsidRPr="00E311D4">
        <w:rPr>
          <w:rFonts w:asciiTheme="majorHAnsi" w:eastAsia="Times New Roman" w:hAnsiTheme="majorHAnsi" w:cs="Times New Roman"/>
          <w:szCs w:val="24"/>
          <w:lang w:eastAsia="lv-LV" w:bidi="lo-LA"/>
        </w:rPr>
        <w:t>u.c</w:t>
      </w:r>
      <w:proofErr w:type="spellEnd"/>
      <w:r w:rsidRPr="00E311D4">
        <w:rPr>
          <w:rFonts w:asciiTheme="majorHAnsi" w:eastAsia="Times New Roman" w:hAnsiTheme="majorHAnsi" w:cs="Times New Roman"/>
          <w:szCs w:val="24"/>
          <w:lang w:eastAsia="lv-LV" w:bidi="lo-LA"/>
        </w:rPr>
        <w:t>. politiku jomās, kas var radīt nozīmīgu ietekmi uz ES rūpniecības konkurētspēju.</w:t>
      </w:r>
    </w:p>
    <w:p w:rsidR="00600C99" w:rsidRPr="00E311D4" w:rsidRDefault="00600C99" w:rsidP="00600C99">
      <w:pPr>
        <w:widowControl w:val="0"/>
        <w:ind w:firstLine="720"/>
        <w:rPr>
          <w:rFonts w:asciiTheme="majorHAnsi" w:eastAsia="Times New Roman" w:hAnsiTheme="majorHAnsi" w:cs="Times New Roman"/>
          <w:szCs w:val="24"/>
          <w:lang w:eastAsia="lv-LV" w:bidi="lo-LA"/>
        </w:rPr>
      </w:pPr>
      <w:r w:rsidRPr="00E311D4">
        <w:rPr>
          <w:rFonts w:asciiTheme="majorHAnsi" w:eastAsia="Times New Roman" w:hAnsiTheme="majorHAnsi" w:cs="Times New Roman"/>
          <w:b/>
          <w:szCs w:val="24"/>
          <w:lang w:eastAsia="lv-LV" w:bidi="lo-LA"/>
        </w:rPr>
        <w:t>Latvija uzskata, ka praktiska ES konkurētspējas aspektu stingrāka ietveršana citās ES politikās</w:t>
      </w:r>
      <w:r w:rsidRPr="00E311D4">
        <w:rPr>
          <w:rFonts w:asciiTheme="majorHAnsi" w:eastAsia="Times New Roman" w:hAnsiTheme="majorHAnsi" w:cs="Times New Roman"/>
          <w:szCs w:val="24"/>
          <w:lang w:eastAsia="lv-LV" w:bidi="lo-LA"/>
        </w:rPr>
        <w:t xml:space="preserve"> un sasaistes veidošana ar šo politiku prioritātēm un mērķiem </w:t>
      </w:r>
      <w:r w:rsidRPr="00E311D4">
        <w:rPr>
          <w:rFonts w:asciiTheme="majorHAnsi" w:eastAsia="Times New Roman" w:hAnsiTheme="majorHAnsi" w:cs="Times New Roman"/>
          <w:b/>
          <w:szCs w:val="24"/>
          <w:lang w:eastAsia="lv-LV" w:bidi="lo-LA"/>
        </w:rPr>
        <w:t xml:space="preserve">iespējama, ja ES uzņēmumu, bet īpaši – rūpniecības nozaru un inovatīvo uzņēmumu </w:t>
      </w:r>
      <w:r w:rsidR="00C518B7" w:rsidRPr="00E311D4">
        <w:rPr>
          <w:rFonts w:asciiTheme="majorHAnsi" w:eastAsia="Times New Roman" w:hAnsiTheme="majorHAnsi" w:cs="Times New Roman"/>
          <w:b/>
          <w:szCs w:val="24"/>
          <w:lang w:eastAsia="lv-LV" w:bidi="lo-LA"/>
        </w:rPr>
        <w:t xml:space="preserve">attīstības intereses </w:t>
      </w:r>
      <w:r w:rsidRPr="00E311D4">
        <w:rPr>
          <w:rFonts w:asciiTheme="majorHAnsi" w:eastAsia="Times New Roman" w:hAnsiTheme="majorHAnsi" w:cs="Times New Roman"/>
          <w:b/>
          <w:szCs w:val="24"/>
          <w:lang w:eastAsia="lv-LV" w:bidi="lo-LA"/>
        </w:rPr>
        <w:t>tiek ņemta</w:t>
      </w:r>
      <w:r w:rsidR="00C518B7" w:rsidRPr="00E311D4">
        <w:rPr>
          <w:rFonts w:asciiTheme="majorHAnsi" w:eastAsia="Times New Roman" w:hAnsiTheme="majorHAnsi" w:cs="Times New Roman"/>
          <w:b/>
          <w:szCs w:val="24"/>
          <w:lang w:eastAsia="lv-LV" w:bidi="lo-LA"/>
        </w:rPr>
        <w:t>s</w:t>
      </w:r>
      <w:r w:rsidRPr="00E311D4">
        <w:rPr>
          <w:rFonts w:asciiTheme="majorHAnsi" w:eastAsia="Times New Roman" w:hAnsiTheme="majorHAnsi" w:cs="Times New Roman"/>
          <w:b/>
          <w:szCs w:val="24"/>
          <w:lang w:eastAsia="lv-LV" w:bidi="lo-LA"/>
        </w:rPr>
        <w:t xml:space="preserve"> vērā, pirmkārt, </w:t>
      </w:r>
      <w:r w:rsidR="008F0504" w:rsidRPr="00E311D4">
        <w:rPr>
          <w:rFonts w:asciiTheme="majorHAnsi" w:eastAsia="Times New Roman" w:hAnsiTheme="majorHAnsi" w:cs="Times New Roman"/>
          <w:b/>
          <w:szCs w:val="24"/>
          <w:lang w:eastAsia="lv-LV" w:bidi="lo-LA"/>
        </w:rPr>
        <w:t>visā</w:t>
      </w:r>
      <w:r w:rsidR="00C518B7" w:rsidRPr="00E311D4">
        <w:rPr>
          <w:rFonts w:asciiTheme="majorHAnsi" w:eastAsia="Times New Roman" w:hAnsiTheme="majorHAnsi" w:cs="Times New Roman"/>
          <w:b/>
          <w:szCs w:val="24"/>
          <w:lang w:eastAsia="lv-LV" w:bidi="lo-LA"/>
        </w:rPr>
        <w:t xml:space="preserve">s </w:t>
      </w:r>
      <w:r w:rsidR="008F0504" w:rsidRPr="00E311D4">
        <w:rPr>
          <w:rFonts w:asciiTheme="majorHAnsi" w:eastAsia="Times New Roman" w:hAnsiTheme="majorHAnsi" w:cs="Times New Roman"/>
          <w:b/>
          <w:szCs w:val="24"/>
          <w:lang w:eastAsia="lv-LV" w:bidi="lo-LA"/>
        </w:rPr>
        <w:t>jaunajās ES mēroga normatīvo aktu un politikas dokumentu iniciatīvās</w:t>
      </w:r>
      <w:r w:rsidR="00C518B7" w:rsidRPr="00E311D4">
        <w:rPr>
          <w:rFonts w:asciiTheme="majorHAnsi" w:eastAsia="Times New Roman" w:hAnsiTheme="majorHAnsi" w:cs="Times New Roman"/>
          <w:b/>
          <w:szCs w:val="24"/>
          <w:lang w:eastAsia="lv-LV" w:bidi="lo-LA"/>
        </w:rPr>
        <w:t xml:space="preserve"> jau to </w:t>
      </w:r>
      <w:r w:rsidR="008F0504" w:rsidRPr="00E311D4">
        <w:rPr>
          <w:rFonts w:asciiTheme="majorHAnsi" w:eastAsia="Times New Roman" w:hAnsiTheme="majorHAnsi" w:cs="Times New Roman"/>
          <w:b/>
          <w:szCs w:val="24"/>
          <w:lang w:eastAsia="lv-LV" w:bidi="lo-LA"/>
        </w:rPr>
        <w:t xml:space="preserve">sākotnējā </w:t>
      </w:r>
      <w:r w:rsidR="00C518B7" w:rsidRPr="00E311D4">
        <w:rPr>
          <w:rFonts w:asciiTheme="majorHAnsi" w:eastAsia="Times New Roman" w:hAnsiTheme="majorHAnsi" w:cs="Times New Roman"/>
          <w:b/>
          <w:szCs w:val="24"/>
          <w:lang w:eastAsia="lv-LV" w:bidi="lo-LA"/>
        </w:rPr>
        <w:t>izstrādes stadijā</w:t>
      </w:r>
      <w:r w:rsidR="00C518B7" w:rsidRPr="00E311D4">
        <w:rPr>
          <w:rFonts w:asciiTheme="majorHAnsi" w:eastAsia="Times New Roman" w:hAnsiTheme="majorHAnsi" w:cs="Times New Roman"/>
          <w:szCs w:val="24"/>
          <w:lang w:eastAsia="lv-LV" w:bidi="lo-LA"/>
        </w:rPr>
        <w:t>.</w:t>
      </w:r>
    </w:p>
    <w:p w:rsidR="008F0504" w:rsidRPr="00E311D4" w:rsidRDefault="008F0504" w:rsidP="008F0504">
      <w:pPr>
        <w:widowControl w:val="0"/>
        <w:ind w:firstLine="720"/>
        <w:rPr>
          <w:rFonts w:asciiTheme="majorHAnsi" w:eastAsia="Times New Roman" w:hAnsiTheme="majorHAnsi" w:cs="Times New Roman"/>
          <w:szCs w:val="24"/>
          <w:lang w:eastAsia="lv-LV" w:bidi="lo-LA"/>
        </w:rPr>
      </w:pPr>
      <w:r w:rsidRPr="00E311D4">
        <w:rPr>
          <w:rFonts w:asciiTheme="majorHAnsi" w:eastAsia="Times New Roman" w:hAnsiTheme="majorHAnsi" w:cs="Times New Roman"/>
          <w:szCs w:val="24"/>
          <w:lang w:eastAsia="lv-LV" w:bidi="lo-LA"/>
        </w:rPr>
        <w:t xml:space="preserve">Otrkārt, </w:t>
      </w:r>
      <w:r w:rsidRPr="00E311D4">
        <w:rPr>
          <w:rFonts w:asciiTheme="majorHAnsi" w:eastAsia="Times New Roman" w:hAnsiTheme="majorHAnsi" w:cs="Times New Roman"/>
          <w:b/>
          <w:szCs w:val="24"/>
          <w:lang w:eastAsia="lv-LV" w:bidi="lo-LA"/>
        </w:rPr>
        <w:t>Latvija uzskata, ka svarīga arī ciešāka Konkurētspējas padomes sadarbība ar citām Padomes formācijām</w:t>
      </w:r>
      <w:r w:rsidRPr="00E311D4">
        <w:rPr>
          <w:rFonts w:asciiTheme="majorHAnsi" w:eastAsia="Times New Roman" w:hAnsiTheme="majorHAnsi" w:cs="Times New Roman"/>
          <w:szCs w:val="24"/>
          <w:lang w:eastAsia="lv-LV" w:bidi="lo-LA"/>
        </w:rPr>
        <w:t>, lai pārliecinātos, ka rūpniecības konkurētspēja kā komponente tiek ņemta vērā citās ES politikās un starptautiskajās sarunās.</w:t>
      </w:r>
    </w:p>
    <w:p w:rsidR="00600C99" w:rsidRDefault="00600C99" w:rsidP="00FA7505">
      <w:pPr>
        <w:rPr>
          <w:rFonts w:asciiTheme="majorHAnsi" w:hAnsiTheme="majorHAnsi"/>
        </w:rPr>
      </w:pPr>
    </w:p>
    <w:p w:rsidR="002E296C" w:rsidRDefault="002E296C" w:rsidP="00FA7505">
      <w:pPr>
        <w:rPr>
          <w:rFonts w:asciiTheme="majorHAnsi" w:hAnsiTheme="majorHAnsi"/>
        </w:rPr>
      </w:pPr>
    </w:p>
    <w:p w:rsidR="002E296C" w:rsidRDefault="002E296C" w:rsidP="00FA7505">
      <w:pPr>
        <w:rPr>
          <w:rFonts w:asciiTheme="majorHAnsi" w:hAnsiTheme="majorHAnsi"/>
        </w:rPr>
      </w:pPr>
    </w:p>
    <w:p w:rsidR="002E296C" w:rsidRDefault="002E296C" w:rsidP="00FA7505">
      <w:pPr>
        <w:rPr>
          <w:rFonts w:asciiTheme="majorHAnsi" w:hAnsiTheme="majorHAnsi"/>
        </w:rPr>
      </w:pPr>
    </w:p>
    <w:p w:rsidR="002E296C" w:rsidRDefault="002E296C" w:rsidP="00FA7505">
      <w:pPr>
        <w:rPr>
          <w:rFonts w:asciiTheme="majorHAnsi" w:hAnsiTheme="majorHAnsi"/>
        </w:rPr>
      </w:pPr>
    </w:p>
    <w:p w:rsidR="002E296C" w:rsidRDefault="002E296C" w:rsidP="00FA7505">
      <w:pPr>
        <w:rPr>
          <w:rFonts w:asciiTheme="majorHAnsi" w:hAnsiTheme="majorHAnsi"/>
        </w:rPr>
      </w:pPr>
    </w:p>
    <w:p w:rsidR="002E296C" w:rsidRDefault="002E296C" w:rsidP="00FA7505">
      <w:pPr>
        <w:rPr>
          <w:rFonts w:asciiTheme="majorHAnsi" w:hAnsiTheme="majorHAnsi"/>
        </w:rPr>
      </w:pPr>
    </w:p>
    <w:p w:rsidR="006E6F3A" w:rsidRDefault="006E6F3A" w:rsidP="00FA7505">
      <w:pPr>
        <w:rPr>
          <w:rFonts w:asciiTheme="majorHAnsi" w:hAnsiTheme="majorHAnsi"/>
        </w:rPr>
      </w:pPr>
    </w:p>
    <w:p w:rsidR="006E6F3A" w:rsidRDefault="006E6F3A" w:rsidP="00FA7505">
      <w:pPr>
        <w:rPr>
          <w:rFonts w:asciiTheme="majorHAnsi" w:hAnsiTheme="majorHAnsi"/>
        </w:rPr>
      </w:pPr>
    </w:p>
    <w:p w:rsidR="002E296C" w:rsidRDefault="002E296C" w:rsidP="00FA7505">
      <w:pPr>
        <w:rPr>
          <w:rFonts w:asciiTheme="majorHAnsi" w:hAnsiTheme="majorHAnsi"/>
        </w:rPr>
      </w:pPr>
    </w:p>
    <w:p w:rsidR="00F6167D" w:rsidRDefault="00F6167D" w:rsidP="00FA7505">
      <w:pPr>
        <w:rPr>
          <w:rFonts w:asciiTheme="majorHAnsi" w:hAnsiTheme="majorHAnsi"/>
        </w:rPr>
      </w:pPr>
    </w:p>
    <w:p w:rsidR="00F6167D" w:rsidRPr="00E311D4" w:rsidRDefault="00F6167D" w:rsidP="00FA7505">
      <w:pPr>
        <w:rPr>
          <w:rFonts w:asciiTheme="majorHAnsi" w:hAnsiTheme="majorHAnsi"/>
        </w:rPr>
      </w:pPr>
    </w:p>
    <w:p w:rsidR="00600C99" w:rsidRPr="00E311D4" w:rsidRDefault="00600C99" w:rsidP="00FA7505">
      <w:pPr>
        <w:rPr>
          <w:rFonts w:asciiTheme="majorHAnsi" w:hAnsiTheme="majorHAnsi"/>
        </w:rPr>
      </w:pPr>
    </w:p>
    <w:p w:rsidR="008F0504" w:rsidRPr="00E311D4" w:rsidRDefault="008F0504" w:rsidP="008F0504">
      <w:pPr>
        <w:pStyle w:val="ListParagraph"/>
        <w:numPr>
          <w:ilvl w:val="0"/>
          <w:numId w:val="5"/>
        </w:numPr>
        <w:ind w:left="284" w:hanging="284"/>
        <w:rPr>
          <w:rFonts w:asciiTheme="majorHAnsi" w:hAnsiTheme="majorHAnsi" w:cs="Times New Roman"/>
          <w:b/>
          <w:szCs w:val="24"/>
        </w:rPr>
      </w:pPr>
      <w:r w:rsidRPr="00E311D4">
        <w:rPr>
          <w:rFonts w:asciiTheme="majorHAnsi" w:hAnsiTheme="majorHAnsi" w:cs="Times New Roman"/>
          <w:b/>
          <w:szCs w:val="24"/>
        </w:rPr>
        <w:lastRenderedPageBreak/>
        <w:t>Latvijas delegācijas sastāvs</w:t>
      </w:r>
    </w:p>
    <w:p w:rsidR="00E311D4" w:rsidRPr="00E311D4" w:rsidRDefault="00E311D4" w:rsidP="008F0504">
      <w:pPr>
        <w:rPr>
          <w:rFonts w:asciiTheme="majorHAnsi" w:hAnsiTheme="majorHAnsi" w:cs="Times New Roman"/>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4961"/>
      </w:tblGrid>
      <w:tr w:rsidR="00C84844" w:rsidTr="00E70998">
        <w:tc>
          <w:tcPr>
            <w:tcW w:w="2376" w:type="dxa"/>
          </w:tcPr>
          <w:p w:rsidR="00C84844" w:rsidRDefault="00C84844" w:rsidP="008F0504">
            <w:pPr>
              <w:rPr>
                <w:rFonts w:asciiTheme="majorHAnsi" w:hAnsiTheme="majorHAnsi" w:cs="Times New Roman"/>
                <w:szCs w:val="24"/>
              </w:rPr>
            </w:pPr>
            <w:r w:rsidRPr="00C84844">
              <w:rPr>
                <w:rFonts w:asciiTheme="majorHAnsi" w:hAnsiTheme="majorHAnsi" w:cs="Times New Roman"/>
                <w:szCs w:val="24"/>
              </w:rPr>
              <w:t>Delegācijas vadītājs:</w:t>
            </w:r>
            <w:r w:rsidRPr="00C84844">
              <w:rPr>
                <w:rFonts w:asciiTheme="majorHAnsi" w:hAnsiTheme="majorHAnsi" w:cs="Times New Roman"/>
                <w:szCs w:val="24"/>
              </w:rPr>
              <w:tab/>
            </w:r>
          </w:p>
        </w:tc>
        <w:tc>
          <w:tcPr>
            <w:tcW w:w="1843" w:type="dxa"/>
          </w:tcPr>
          <w:p w:rsidR="00C84844" w:rsidRPr="000C3CED" w:rsidRDefault="000C3CED" w:rsidP="000C3CED">
            <w:pPr>
              <w:rPr>
                <w:rFonts w:asciiTheme="majorHAnsi" w:hAnsiTheme="majorHAnsi" w:cs="Times New Roman"/>
                <w:b/>
                <w:szCs w:val="24"/>
              </w:rPr>
            </w:pPr>
            <w:proofErr w:type="spellStart"/>
            <w:r w:rsidRPr="000C3CED">
              <w:rPr>
                <w:rFonts w:asciiTheme="majorHAnsi" w:hAnsiTheme="majorHAnsi" w:cs="Times New Roman"/>
                <w:b/>
                <w:szCs w:val="24"/>
              </w:rPr>
              <w:t>M</w:t>
            </w:r>
            <w:r w:rsidR="00C84844" w:rsidRPr="000C3CED">
              <w:rPr>
                <w:rFonts w:asciiTheme="majorHAnsi" w:hAnsiTheme="majorHAnsi" w:cs="Times New Roman"/>
                <w:b/>
                <w:szCs w:val="24"/>
              </w:rPr>
              <w:t>.</w:t>
            </w:r>
            <w:r w:rsidRPr="000C3CED">
              <w:rPr>
                <w:rFonts w:asciiTheme="majorHAnsi" w:hAnsiTheme="majorHAnsi" w:cs="Times New Roman"/>
                <w:b/>
                <w:szCs w:val="24"/>
              </w:rPr>
              <w:t>Lazdovskis</w:t>
            </w:r>
            <w:proofErr w:type="spellEnd"/>
          </w:p>
        </w:tc>
        <w:tc>
          <w:tcPr>
            <w:tcW w:w="4961" w:type="dxa"/>
          </w:tcPr>
          <w:p w:rsidR="00C84844" w:rsidRPr="000C3CED" w:rsidRDefault="00C84844" w:rsidP="008F0504">
            <w:pPr>
              <w:rPr>
                <w:rFonts w:asciiTheme="majorHAnsi" w:hAnsiTheme="majorHAnsi" w:cs="Times New Roman"/>
                <w:szCs w:val="24"/>
              </w:rPr>
            </w:pPr>
            <w:r w:rsidRPr="000C3CED">
              <w:rPr>
                <w:rFonts w:asciiTheme="majorHAnsi" w:hAnsiTheme="majorHAnsi" w:cs="Times New Roman"/>
                <w:szCs w:val="24"/>
              </w:rPr>
              <w:t xml:space="preserve">ekonomikas </w:t>
            </w:r>
            <w:r w:rsidR="000C3CED" w:rsidRPr="000C3CED">
              <w:rPr>
                <w:rFonts w:asciiTheme="majorHAnsi" w:hAnsiTheme="majorHAnsi" w:cs="Times New Roman"/>
                <w:szCs w:val="24"/>
              </w:rPr>
              <w:t>ministrijas valsts sekretārs.</w:t>
            </w:r>
          </w:p>
        </w:tc>
      </w:tr>
      <w:tr w:rsidR="00C84844" w:rsidTr="00E70998">
        <w:tc>
          <w:tcPr>
            <w:tcW w:w="2376" w:type="dxa"/>
          </w:tcPr>
          <w:p w:rsidR="00C84844" w:rsidRDefault="00C84844" w:rsidP="008F0504">
            <w:pPr>
              <w:rPr>
                <w:rFonts w:asciiTheme="majorHAnsi" w:hAnsiTheme="majorHAnsi" w:cs="Times New Roman"/>
                <w:szCs w:val="24"/>
              </w:rPr>
            </w:pPr>
          </w:p>
        </w:tc>
        <w:tc>
          <w:tcPr>
            <w:tcW w:w="1843" w:type="dxa"/>
          </w:tcPr>
          <w:p w:rsidR="00C84844" w:rsidRDefault="00C84844" w:rsidP="008F0504">
            <w:pPr>
              <w:rPr>
                <w:rFonts w:asciiTheme="majorHAnsi" w:hAnsiTheme="majorHAnsi" w:cs="Times New Roman"/>
                <w:szCs w:val="24"/>
              </w:rPr>
            </w:pPr>
          </w:p>
        </w:tc>
        <w:tc>
          <w:tcPr>
            <w:tcW w:w="4961" w:type="dxa"/>
          </w:tcPr>
          <w:p w:rsidR="00C84844" w:rsidRDefault="00C84844" w:rsidP="008F0504">
            <w:pPr>
              <w:rPr>
                <w:rFonts w:asciiTheme="majorHAnsi" w:hAnsiTheme="majorHAnsi" w:cs="Times New Roman"/>
                <w:szCs w:val="24"/>
              </w:rPr>
            </w:pPr>
          </w:p>
        </w:tc>
      </w:tr>
      <w:tr w:rsidR="00C84844" w:rsidTr="00E70998">
        <w:tc>
          <w:tcPr>
            <w:tcW w:w="2376" w:type="dxa"/>
          </w:tcPr>
          <w:p w:rsidR="00C84844" w:rsidRDefault="00C84844" w:rsidP="008F0504">
            <w:pPr>
              <w:rPr>
                <w:rFonts w:asciiTheme="majorHAnsi" w:hAnsiTheme="majorHAnsi" w:cs="Times New Roman"/>
                <w:szCs w:val="24"/>
              </w:rPr>
            </w:pPr>
            <w:r w:rsidRPr="00E311D4">
              <w:rPr>
                <w:rFonts w:asciiTheme="majorHAnsi" w:hAnsiTheme="majorHAnsi" w:cs="Times New Roman"/>
                <w:szCs w:val="24"/>
              </w:rPr>
              <w:t>Delegācijas sastāvā:</w:t>
            </w:r>
          </w:p>
        </w:tc>
        <w:tc>
          <w:tcPr>
            <w:tcW w:w="1843" w:type="dxa"/>
          </w:tcPr>
          <w:p w:rsidR="000C3CED" w:rsidRDefault="000C3CED" w:rsidP="008F0504">
            <w:pPr>
              <w:rPr>
                <w:rFonts w:asciiTheme="majorHAnsi" w:hAnsiTheme="majorHAnsi" w:cs="Times New Roman"/>
                <w:szCs w:val="24"/>
              </w:rPr>
            </w:pPr>
            <w:r>
              <w:rPr>
                <w:rFonts w:cs="Times New Roman"/>
                <w:b/>
                <w:bCs/>
                <w:szCs w:val="24"/>
              </w:rPr>
              <w:t>Z</w:t>
            </w:r>
            <w:r w:rsidRPr="0039165E">
              <w:rPr>
                <w:rFonts w:cs="Times New Roman"/>
                <w:b/>
                <w:bCs/>
                <w:szCs w:val="24"/>
              </w:rPr>
              <w:t>.</w:t>
            </w:r>
            <w:r>
              <w:rPr>
                <w:rFonts w:cs="Times New Roman"/>
                <w:b/>
                <w:bCs/>
                <w:szCs w:val="24"/>
              </w:rPr>
              <w:t>Liepiņa</w:t>
            </w:r>
          </w:p>
          <w:p w:rsidR="000C3CED" w:rsidRDefault="000C3CED" w:rsidP="008F0504">
            <w:pPr>
              <w:rPr>
                <w:rFonts w:asciiTheme="majorHAnsi" w:hAnsiTheme="majorHAnsi" w:cs="Times New Roman"/>
                <w:szCs w:val="24"/>
              </w:rPr>
            </w:pPr>
          </w:p>
          <w:p w:rsidR="00C84844" w:rsidRPr="000C3CED" w:rsidRDefault="00C84844" w:rsidP="008F0504">
            <w:pPr>
              <w:rPr>
                <w:rFonts w:asciiTheme="majorHAnsi" w:hAnsiTheme="majorHAnsi" w:cs="Times New Roman"/>
                <w:b/>
                <w:szCs w:val="24"/>
              </w:rPr>
            </w:pPr>
            <w:r w:rsidRPr="000C3CED">
              <w:rPr>
                <w:rFonts w:asciiTheme="majorHAnsi" w:hAnsiTheme="majorHAnsi" w:cs="Times New Roman"/>
                <w:b/>
                <w:szCs w:val="24"/>
              </w:rPr>
              <w:t>K.Soms</w:t>
            </w:r>
          </w:p>
        </w:tc>
        <w:tc>
          <w:tcPr>
            <w:tcW w:w="4961" w:type="dxa"/>
          </w:tcPr>
          <w:p w:rsidR="000C3CED" w:rsidRDefault="000C3CED" w:rsidP="00C84844">
            <w:pPr>
              <w:rPr>
                <w:rFonts w:asciiTheme="majorHAnsi" w:hAnsiTheme="majorHAnsi" w:cs="Times New Roman"/>
                <w:szCs w:val="24"/>
              </w:rPr>
            </w:pPr>
            <w:r w:rsidRPr="0039165E">
              <w:rPr>
                <w:rFonts w:cs="Times New Roman"/>
                <w:bCs/>
                <w:szCs w:val="24"/>
              </w:rPr>
              <w:t xml:space="preserve">Ekonomikas ministrijas </w:t>
            </w:r>
            <w:r>
              <w:rPr>
                <w:rFonts w:cs="Times New Roman"/>
                <w:bCs/>
                <w:szCs w:val="24"/>
              </w:rPr>
              <w:t>valsts sekretāra vietniece</w:t>
            </w:r>
            <w:r w:rsidRPr="0039165E">
              <w:rPr>
                <w:rFonts w:cs="Times New Roman"/>
                <w:bCs/>
                <w:szCs w:val="24"/>
              </w:rPr>
              <w:t>;</w:t>
            </w:r>
          </w:p>
          <w:p w:rsidR="00C84844" w:rsidRPr="00E311D4" w:rsidRDefault="00C84844" w:rsidP="00C84844">
            <w:pPr>
              <w:rPr>
                <w:rFonts w:asciiTheme="majorHAnsi" w:hAnsiTheme="majorHAnsi" w:cs="Times New Roman"/>
                <w:szCs w:val="24"/>
              </w:rPr>
            </w:pPr>
            <w:r>
              <w:rPr>
                <w:rFonts w:asciiTheme="majorHAnsi" w:hAnsiTheme="majorHAnsi" w:cs="Times New Roman"/>
                <w:szCs w:val="24"/>
              </w:rPr>
              <w:t xml:space="preserve">Ekonomikas ministrijas </w:t>
            </w:r>
            <w:r w:rsidRPr="00E311D4">
              <w:rPr>
                <w:rFonts w:asciiTheme="majorHAnsi" w:hAnsiTheme="majorHAnsi" w:cs="Times New Roman"/>
                <w:szCs w:val="24"/>
              </w:rPr>
              <w:t>Uzņēmējdarbības</w:t>
            </w:r>
            <w:r>
              <w:rPr>
                <w:rFonts w:asciiTheme="majorHAnsi" w:hAnsiTheme="majorHAnsi" w:cs="Times New Roman"/>
                <w:szCs w:val="24"/>
              </w:rPr>
              <w:t xml:space="preserve"> </w:t>
            </w:r>
            <w:r w:rsidRPr="00E311D4">
              <w:rPr>
                <w:rFonts w:asciiTheme="majorHAnsi" w:hAnsiTheme="majorHAnsi" w:cs="Times New Roman"/>
                <w:szCs w:val="24"/>
              </w:rPr>
              <w:t>konkurētspējas</w:t>
            </w:r>
            <w:r>
              <w:rPr>
                <w:rFonts w:asciiTheme="majorHAnsi" w:hAnsiTheme="majorHAnsi" w:cs="Times New Roman"/>
                <w:szCs w:val="24"/>
              </w:rPr>
              <w:t xml:space="preserve"> </w:t>
            </w:r>
            <w:r w:rsidRPr="00E311D4">
              <w:rPr>
                <w:rFonts w:asciiTheme="majorHAnsi" w:hAnsiTheme="majorHAnsi" w:cs="Times New Roman"/>
                <w:szCs w:val="24"/>
              </w:rPr>
              <w:t>departamenta direktores</w:t>
            </w:r>
            <w:r>
              <w:rPr>
                <w:rFonts w:asciiTheme="majorHAnsi" w:hAnsiTheme="majorHAnsi" w:cs="Times New Roman"/>
                <w:szCs w:val="24"/>
              </w:rPr>
              <w:t xml:space="preserve"> </w:t>
            </w:r>
            <w:r w:rsidR="000C3CED">
              <w:rPr>
                <w:rFonts w:asciiTheme="majorHAnsi" w:hAnsiTheme="majorHAnsi" w:cs="Times New Roman"/>
                <w:szCs w:val="24"/>
              </w:rPr>
              <w:t>vietnieks.</w:t>
            </w:r>
          </w:p>
          <w:p w:rsidR="00C84844" w:rsidRDefault="00C84844" w:rsidP="008F0504">
            <w:pPr>
              <w:rPr>
                <w:rFonts w:asciiTheme="majorHAnsi" w:hAnsiTheme="majorHAnsi" w:cs="Times New Roman"/>
                <w:szCs w:val="24"/>
              </w:rPr>
            </w:pPr>
          </w:p>
        </w:tc>
      </w:tr>
      <w:tr w:rsidR="00C84844" w:rsidTr="00E70998">
        <w:tc>
          <w:tcPr>
            <w:tcW w:w="2376" w:type="dxa"/>
          </w:tcPr>
          <w:p w:rsidR="00C84844" w:rsidRDefault="00C84844" w:rsidP="008F0504">
            <w:pPr>
              <w:rPr>
                <w:rFonts w:asciiTheme="majorHAnsi" w:hAnsiTheme="majorHAnsi" w:cs="Times New Roman"/>
                <w:szCs w:val="24"/>
              </w:rPr>
            </w:pPr>
          </w:p>
        </w:tc>
        <w:tc>
          <w:tcPr>
            <w:tcW w:w="1843" w:type="dxa"/>
          </w:tcPr>
          <w:p w:rsidR="00C84844" w:rsidRDefault="00C84844" w:rsidP="00C84844">
            <w:pPr>
              <w:rPr>
                <w:rFonts w:asciiTheme="majorHAnsi" w:hAnsiTheme="majorHAnsi" w:cs="Times New Roman"/>
                <w:szCs w:val="24"/>
              </w:rPr>
            </w:pPr>
          </w:p>
        </w:tc>
        <w:tc>
          <w:tcPr>
            <w:tcW w:w="4961" w:type="dxa"/>
          </w:tcPr>
          <w:p w:rsidR="00C84844" w:rsidRDefault="00C84844" w:rsidP="008F0504">
            <w:pPr>
              <w:rPr>
                <w:rFonts w:asciiTheme="majorHAnsi" w:hAnsiTheme="majorHAnsi" w:cs="Times New Roman"/>
                <w:szCs w:val="24"/>
              </w:rPr>
            </w:pPr>
          </w:p>
        </w:tc>
      </w:tr>
    </w:tbl>
    <w:p w:rsidR="00C84844" w:rsidRDefault="00C84844" w:rsidP="008F0504">
      <w:pPr>
        <w:rPr>
          <w:rFonts w:asciiTheme="majorHAnsi" w:hAnsiTheme="majorHAnsi" w:cs="Times New Roman"/>
          <w:szCs w:val="24"/>
        </w:rPr>
      </w:pPr>
    </w:p>
    <w:p w:rsidR="00C84844" w:rsidRDefault="00C84844" w:rsidP="008F0504">
      <w:pPr>
        <w:rPr>
          <w:rFonts w:asciiTheme="majorHAnsi" w:hAnsiTheme="majorHAnsi" w:cs="Times New Roman"/>
          <w:szCs w:val="24"/>
        </w:rPr>
      </w:pPr>
    </w:p>
    <w:p w:rsidR="00E311D4" w:rsidRPr="00C84844" w:rsidRDefault="008F0504" w:rsidP="00E70998">
      <w:pPr>
        <w:ind w:left="2880" w:hanging="2880"/>
        <w:rPr>
          <w:rFonts w:asciiTheme="majorHAnsi" w:hAnsiTheme="majorHAnsi" w:cs="Times New Roman"/>
          <w:szCs w:val="24"/>
        </w:rPr>
      </w:pPr>
      <w:r w:rsidRPr="00E311D4">
        <w:rPr>
          <w:rFonts w:asciiTheme="majorHAnsi" w:hAnsiTheme="majorHAnsi" w:cs="Times New Roman"/>
          <w:szCs w:val="24"/>
        </w:rPr>
        <w:tab/>
      </w:r>
      <w:r w:rsidR="00E311D4">
        <w:rPr>
          <w:rFonts w:asciiTheme="majorHAnsi" w:hAnsiTheme="majorHAnsi" w:cs="Times New Roman"/>
          <w:szCs w:val="24"/>
        </w:rPr>
        <w:tab/>
      </w:r>
      <w:r w:rsidR="00E311D4">
        <w:rPr>
          <w:rFonts w:asciiTheme="majorHAnsi" w:hAnsiTheme="majorHAnsi" w:cs="Times New Roman"/>
          <w:szCs w:val="24"/>
        </w:rPr>
        <w:tab/>
      </w:r>
      <w:r w:rsidR="00E311D4">
        <w:rPr>
          <w:rFonts w:asciiTheme="majorHAnsi" w:hAnsiTheme="majorHAnsi" w:cs="Times New Roman"/>
          <w:szCs w:val="24"/>
        </w:rPr>
        <w:tab/>
      </w:r>
    </w:p>
    <w:p w:rsidR="008F0504" w:rsidRDefault="008F0504" w:rsidP="008F0504">
      <w:pPr>
        <w:rPr>
          <w:rFonts w:asciiTheme="majorHAnsi" w:hAnsiTheme="majorHAnsi" w:cs="Times New Roman"/>
          <w:szCs w:val="26"/>
        </w:rPr>
      </w:pPr>
      <w:r w:rsidRPr="00E311D4">
        <w:rPr>
          <w:rFonts w:asciiTheme="majorHAnsi" w:hAnsiTheme="majorHAnsi" w:cs="Times New Roman"/>
          <w:szCs w:val="26"/>
        </w:rPr>
        <w:t xml:space="preserve">Iesniedzējs: </w:t>
      </w:r>
    </w:p>
    <w:p w:rsidR="000C3CED" w:rsidRPr="0039165E" w:rsidRDefault="000C3CED" w:rsidP="000C3CED">
      <w:pPr>
        <w:tabs>
          <w:tab w:val="right" w:pos="9071"/>
        </w:tabs>
        <w:rPr>
          <w:rFonts w:cs="Times New Roman"/>
          <w:szCs w:val="26"/>
        </w:rPr>
      </w:pPr>
      <w:r w:rsidRPr="0039165E">
        <w:rPr>
          <w:rFonts w:cs="Times New Roman"/>
          <w:szCs w:val="26"/>
        </w:rPr>
        <w:t>Ekonomikas ministra</w:t>
      </w:r>
    </w:p>
    <w:p w:rsidR="000C3CED" w:rsidRPr="0039165E" w:rsidRDefault="000C3CED" w:rsidP="000C3CED">
      <w:pPr>
        <w:tabs>
          <w:tab w:val="right" w:pos="9071"/>
        </w:tabs>
        <w:rPr>
          <w:rFonts w:cs="Times New Roman"/>
          <w:szCs w:val="26"/>
        </w:rPr>
      </w:pPr>
      <w:r w:rsidRPr="0039165E">
        <w:rPr>
          <w:rFonts w:cs="Times New Roman"/>
          <w:szCs w:val="26"/>
        </w:rPr>
        <w:t>pienākumu izpildītājs,</w:t>
      </w:r>
    </w:p>
    <w:p w:rsidR="000C3CED" w:rsidRPr="0039165E" w:rsidRDefault="00627973" w:rsidP="000C3CED">
      <w:pPr>
        <w:tabs>
          <w:tab w:val="right" w:pos="9071"/>
        </w:tabs>
        <w:rPr>
          <w:rFonts w:cs="Times New Roman"/>
          <w:szCs w:val="26"/>
        </w:rPr>
      </w:pPr>
      <w:r>
        <w:rPr>
          <w:rFonts w:cs="Times New Roman"/>
          <w:szCs w:val="26"/>
        </w:rPr>
        <w:t>iekšlietu</w:t>
      </w:r>
      <w:r w:rsidR="000C3CED">
        <w:rPr>
          <w:rFonts w:cs="Times New Roman"/>
          <w:szCs w:val="26"/>
        </w:rPr>
        <w:t xml:space="preserve"> ministrs</w:t>
      </w:r>
      <w:r w:rsidR="000C3CED" w:rsidRPr="0039165E">
        <w:rPr>
          <w:rFonts w:cs="Times New Roman"/>
          <w:szCs w:val="26"/>
        </w:rPr>
        <w:tab/>
        <w:t xml:space="preserve"> </w:t>
      </w:r>
      <w:proofErr w:type="spellStart"/>
      <w:r>
        <w:rPr>
          <w:rFonts w:cs="Times New Roman"/>
          <w:szCs w:val="26"/>
        </w:rPr>
        <w:t>R</w:t>
      </w:r>
      <w:r w:rsidR="000C3CED" w:rsidRPr="0039165E">
        <w:rPr>
          <w:rFonts w:cs="Times New Roman"/>
          <w:szCs w:val="26"/>
        </w:rPr>
        <w:t>.</w:t>
      </w:r>
      <w:r>
        <w:rPr>
          <w:rFonts w:cs="Times New Roman"/>
          <w:szCs w:val="26"/>
        </w:rPr>
        <w:t>Kozlovskis</w:t>
      </w:r>
      <w:proofErr w:type="spellEnd"/>
    </w:p>
    <w:p w:rsidR="000C3CED" w:rsidRPr="00E311D4" w:rsidRDefault="000C3CED" w:rsidP="008F0504">
      <w:pPr>
        <w:rPr>
          <w:rFonts w:asciiTheme="majorHAnsi" w:hAnsiTheme="majorHAnsi" w:cs="Times New Roman"/>
          <w:szCs w:val="24"/>
        </w:rPr>
      </w:pPr>
    </w:p>
    <w:p w:rsidR="008F0504" w:rsidRPr="00E311D4" w:rsidRDefault="008F0504" w:rsidP="008F0504">
      <w:pPr>
        <w:pStyle w:val="ListParagraph"/>
        <w:tabs>
          <w:tab w:val="right" w:pos="9071"/>
        </w:tabs>
        <w:rPr>
          <w:rFonts w:asciiTheme="majorHAnsi" w:hAnsiTheme="majorHAnsi" w:cs="Times New Roman"/>
          <w:szCs w:val="26"/>
        </w:rPr>
      </w:pPr>
    </w:p>
    <w:p w:rsidR="008F0504" w:rsidRPr="00E311D4" w:rsidRDefault="008F0504" w:rsidP="008F0504">
      <w:pPr>
        <w:tabs>
          <w:tab w:val="right" w:pos="9071"/>
        </w:tabs>
        <w:rPr>
          <w:rFonts w:asciiTheme="majorHAnsi" w:hAnsiTheme="majorHAnsi" w:cs="Times New Roman"/>
          <w:szCs w:val="26"/>
        </w:rPr>
      </w:pPr>
    </w:p>
    <w:p w:rsidR="008F0504" w:rsidRPr="00E311D4" w:rsidRDefault="008F0504" w:rsidP="008F0504">
      <w:pPr>
        <w:tabs>
          <w:tab w:val="right" w:pos="9071"/>
        </w:tabs>
        <w:rPr>
          <w:rFonts w:asciiTheme="majorHAnsi" w:hAnsiTheme="majorHAnsi" w:cs="Times New Roman"/>
          <w:szCs w:val="26"/>
        </w:rPr>
      </w:pPr>
      <w:r w:rsidRPr="00E311D4">
        <w:rPr>
          <w:rFonts w:asciiTheme="majorHAnsi" w:hAnsiTheme="majorHAnsi" w:cs="Times New Roman"/>
          <w:szCs w:val="26"/>
        </w:rPr>
        <w:t>Vīza: Valsts sekretārs</w:t>
      </w:r>
      <w:r w:rsidRPr="00E311D4">
        <w:rPr>
          <w:rFonts w:asciiTheme="majorHAnsi" w:hAnsiTheme="majorHAnsi" w:cs="Times New Roman"/>
          <w:szCs w:val="26"/>
        </w:rPr>
        <w:tab/>
      </w:r>
      <w:proofErr w:type="spellStart"/>
      <w:r w:rsidRPr="00E311D4">
        <w:rPr>
          <w:rFonts w:asciiTheme="majorHAnsi" w:hAnsiTheme="majorHAnsi" w:cs="Times New Roman"/>
          <w:szCs w:val="26"/>
        </w:rPr>
        <w:t>M.Lazdovskis</w:t>
      </w:r>
      <w:proofErr w:type="spellEnd"/>
    </w:p>
    <w:p w:rsidR="008F0504" w:rsidRPr="00E311D4" w:rsidRDefault="008F0504" w:rsidP="008F0504">
      <w:pPr>
        <w:rPr>
          <w:rFonts w:asciiTheme="majorHAnsi" w:hAnsiTheme="majorHAnsi" w:cs="Times New Roman"/>
          <w:sz w:val="20"/>
          <w:szCs w:val="20"/>
        </w:rPr>
      </w:pPr>
    </w:p>
    <w:p w:rsidR="00E311D4" w:rsidRPr="00E311D4" w:rsidRDefault="00E311D4" w:rsidP="008F0504">
      <w:pPr>
        <w:rPr>
          <w:rFonts w:asciiTheme="majorHAnsi" w:hAnsiTheme="majorHAnsi" w:cs="Times New Roman"/>
          <w:sz w:val="20"/>
          <w:szCs w:val="20"/>
        </w:rPr>
      </w:pPr>
    </w:p>
    <w:p w:rsidR="00E311D4" w:rsidRDefault="00E311D4" w:rsidP="008F0504">
      <w:pPr>
        <w:rPr>
          <w:rFonts w:asciiTheme="majorHAnsi" w:hAnsiTheme="majorHAnsi" w:cs="Times New Roman"/>
          <w:sz w:val="20"/>
          <w:szCs w:val="20"/>
        </w:rPr>
      </w:pPr>
    </w:p>
    <w:p w:rsidR="00E70998" w:rsidRDefault="00E70998" w:rsidP="008F0504">
      <w:pPr>
        <w:rPr>
          <w:rFonts w:asciiTheme="majorHAnsi" w:hAnsiTheme="majorHAnsi" w:cs="Times New Roman"/>
          <w:sz w:val="20"/>
          <w:szCs w:val="20"/>
        </w:rPr>
      </w:pPr>
    </w:p>
    <w:p w:rsidR="00E70998" w:rsidRDefault="00E70998" w:rsidP="008F0504">
      <w:pPr>
        <w:rPr>
          <w:rFonts w:asciiTheme="majorHAnsi" w:hAnsiTheme="majorHAnsi" w:cs="Times New Roman"/>
          <w:sz w:val="20"/>
          <w:szCs w:val="20"/>
        </w:rPr>
      </w:pPr>
    </w:p>
    <w:p w:rsidR="00E70998" w:rsidRDefault="00E70998" w:rsidP="008F0504">
      <w:pPr>
        <w:rPr>
          <w:rFonts w:asciiTheme="majorHAnsi" w:hAnsiTheme="majorHAnsi" w:cs="Times New Roman"/>
          <w:sz w:val="20"/>
          <w:szCs w:val="20"/>
        </w:rPr>
      </w:pPr>
    </w:p>
    <w:p w:rsidR="00E70998" w:rsidRDefault="00E70998" w:rsidP="008F0504">
      <w:pPr>
        <w:rPr>
          <w:rFonts w:asciiTheme="majorHAnsi" w:hAnsiTheme="majorHAnsi" w:cs="Times New Roman"/>
          <w:sz w:val="20"/>
          <w:szCs w:val="20"/>
        </w:rPr>
      </w:pPr>
    </w:p>
    <w:p w:rsidR="00E311D4" w:rsidRPr="00E311D4" w:rsidRDefault="00E311D4" w:rsidP="008F0504">
      <w:pPr>
        <w:rPr>
          <w:rFonts w:asciiTheme="majorHAnsi" w:hAnsiTheme="majorHAnsi" w:cs="Times New Roman"/>
          <w:sz w:val="20"/>
          <w:szCs w:val="20"/>
        </w:rPr>
      </w:pPr>
    </w:p>
    <w:p w:rsidR="008F0504" w:rsidRPr="00E311D4" w:rsidRDefault="00E06F54" w:rsidP="008F0504">
      <w:pPr>
        <w:rPr>
          <w:rFonts w:asciiTheme="majorHAnsi" w:hAnsiTheme="majorHAnsi" w:cs="Times New Roman"/>
          <w:sz w:val="20"/>
          <w:szCs w:val="20"/>
        </w:rPr>
      </w:pPr>
      <w:r>
        <w:rPr>
          <w:rFonts w:asciiTheme="majorHAnsi" w:hAnsiTheme="majorHAnsi" w:cs="Times New Roman"/>
          <w:sz w:val="20"/>
          <w:szCs w:val="20"/>
        </w:rPr>
        <w:t>30</w:t>
      </w:r>
      <w:r w:rsidR="00E311D4" w:rsidRPr="00E311D4">
        <w:rPr>
          <w:rFonts w:asciiTheme="majorHAnsi" w:hAnsiTheme="majorHAnsi" w:cs="Times New Roman"/>
          <w:sz w:val="20"/>
          <w:szCs w:val="20"/>
        </w:rPr>
        <w:t>.04.2014.</w:t>
      </w:r>
    </w:p>
    <w:p w:rsidR="008F0504" w:rsidRPr="00E311D4" w:rsidRDefault="008F0504" w:rsidP="008F0504">
      <w:pPr>
        <w:tabs>
          <w:tab w:val="left" w:pos="7230"/>
        </w:tabs>
        <w:rPr>
          <w:rFonts w:asciiTheme="majorHAnsi" w:hAnsiTheme="majorHAnsi" w:cs="Times New Roman"/>
          <w:sz w:val="20"/>
          <w:szCs w:val="20"/>
        </w:rPr>
      </w:pPr>
      <w:r w:rsidRPr="00E311D4">
        <w:rPr>
          <w:rFonts w:asciiTheme="majorHAnsi" w:hAnsiTheme="majorHAnsi" w:cs="Times New Roman"/>
          <w:sz w:val="20"/>
          <w:szCs w:val="20"/>
        </w:rPr>
        <w:fldChar w:fldCharType="begin"/>
      </w:r>
      <w:r w:rsidRPr="00E311D4">
        <w:rPr>
          <w:rFonts w:asciiTheme="majorHAnsi" w:hAnsiTheme="majorHAnsi" w:cs="Times New Roman"/>
          <w:sz w:val="20"/>
          <w:szCs w:val="20"/>
        </w:rPr>
        <w:instrText xml:space="preserve"> NUMWORDS   \* MERGEFORMAT </w:instrText>
      </w:r>
      <w:r w:rsidRPr="00E311D4">
        <w:rPr>
          <w:rFonts w:asciiTheme="majorHAnsi" w:hAnsiTheme="majorHAnsi" w:cs="Times New Roman"/>
          <w:sz w:val="20"/>
          <w:szCs w:val="20"/>
        </w:rPr>
        <w:fldChar w:fldCharType="separate"/>
      </w:r>
      <w:r w:rsidR="006E6F3A">
        <w:rPr>
          <w:rFonts w:asciiTheme="majorHAnsi" w:hAnsiTheme="majorHAnsi" w:cs="Times New Roman"/>
          <w:noProof/>
          <w:sz w:val="20"/>
          <w:szCs w:val="20"/>
        </w:rPr>
        <w:t>1519</w:t>
      </w:r>
      <w:r w:rsidRPr="00E311D4">
        <w:rPr>
          <w:rFonts w:asciiTheme="majorHAnsi" w:hAnsiTheme="majorHAnsi" w:cs="Times New Roman"/>
          <w:noProof/>
          <w:sz w:val="20"/>
          <w:szCs w:val="20"/>
        </w:rPr>
        <w:fldChar w:fldCharType="end"/>
      </w:r>
      <w:bookmarkStart w:id="0" w:name="_GoBack"/>
      <w:bookmarkEnd w:id="0"/>
    </w:p>
    <w:p w:rsidR="008F0504" w:rsidRPr="00E311D4" w:rsidRDefault="008F0504" w:rsidP="008F0504">
      <w:pPr>
        <w:tabs>
          <w:tab w:val="left" w:pos="7230"/>
        </w:tabs>
        <w:rPr>
          <w:rFonts w:asciiTheme="majorHAnsi" w:hAnsiTheme="majorHAnsi" w:cs="Times New Roman"/>
          <w:sz w:val="20"/>
          <w:szCs w:val="20"/>
        </w:rPr>
      </w:pPr>
      <w:r w:rsidRPr="00E311D4">
        <w:rPr>
          <w:rFonts w:asciiTheme="majorHAnsi" w:hAnsiTheme="majorHAnsi" w:cs="Times New Roman"/>
          <w:sz w:val="20"/>
          <w:szCs w:val="20"/>
        </w:rPr>
        <w:t>Mārtiņš Jansons</w:t>
      </w:r>
    </w:p>
    <w:p w:rsidR="008F0504" w:rsidRPr="00E311D4" w:rsidRDefault="008F0504" w:rsidP="008F0504">
      <w:pPr>
        <w:tabs>
          <w:tab w:val="left" w:pos="7230"/>
        </w:tabs>
        <w:rPr>
          <w:rFonts w:asciiTheme="majorHAnsi" w:hAnsiTheme="majorHAnsi" w:cs="Times New Roman"/>
          <w:sz w:val="20"/>
          <w:szCs w:val="20"/>
        </w:rPr>
      </w:pPr>
      <w:r w:rsidRPr="00E311D4">
        <w:rPr>
          <w:rFonts w:asciiTheme="majorHAnsi" w:hAnsiTheme="majorHAnsi" w:cs="Times New Roman"/>
          <w:sz w:val="20"/>
          <w:szCs w:val="20"/>
        </w:rPr>
        <w:t xml:space="preserve">67013057, </w:t>
      </w:r>
      <w:hyperlink r:id="rId9" w:history="1">
        <w:r w:rsidRPr="00E311D4">
          <w:rPr>
            <w:rStyle w:val="Hyperlink"/>
            <w:rFonts w:asciiTheme="majorHAnsi" w:hAnsiTheme="majorHAnsi" w:cs="Times New Roman"/>
            <w:sz w:val="20"/>
            <w:szCs w:val="20"/>
          </w:rPr>
          <w:t>Martins.Jansons@em.gov.lv</w:t>
        </w:r>
      </w:hyperlink>
      <w:r w:rsidRPr="00E311D4">
        <w:rPr>
          <w:rFonts w:asciiTheme="majorHAnsi" w:hAnsiTheme="majorHAnsi" w:cs="Times New Roman"/>
          <w:sz w:val="20"/>
          <w:szCs w:val="20"/>
        </w:rPr>
        <w:t xml:space="preserve"> </w:t>
      </w:r>
    </w:p>
    <w:p w:rsidR="008F0504" w:rsidRPr="00E311D4" w:rsidRDefault="008F0504" w:rsidP="008F0504">
      <w:pPr>
        <w:rPr>
          <w:rFonts w:asciiTheme="majorHAnsi" w:hAnsiTheme="majorHAnsi" w:cs="Times New Roman"/>
          <w:sz w:val="20"/>
          <w:szCs w:val="20"/>
        </w:rPr>
      </w:pPr>
      <w:r w:rsidRPr="00E311D4">
        <w:rPr>
          <w:rFonts w:asciiTheme="majorHAnsi" w:hAnsiTheme="majorHAnsi" w:cs="Times New Roman"/>
          <w:sz w:val="20"/>
          <w:szCs w:val="20"/>
        </w:rPr>
        <w:t>Kaspars Stabiņš</w:t>
      </w:r>
    </w:p>
    <w:p w:rsidR="00FA7505" w:rsidRPr="00E311D4" w:rsidRDefault="008F0504" w:rsidP="008F0504">
      <w:pPr>
        <w:rPr>
          <w:rFonts w:asciiTheme="majorHAnsi" w:hAnsiTheme="majorHAnsi" w:cs="Times New Roman"/>
          <w:sz w:val="20"/>
          <w:szCs w:val="20"/>
        </w:rPr>
      </w:pPr>
      <w:r w:rsidRPr="00E311D4">
        <w:rPr>
          <w:rFonts w:asciiTheme="majorHAnsi" w:hAnsiTheme="majorHAnsi" w:cs="Times New Roman"/>
          <w:sz w:val="20"/>
          <w:szCs w:val="20"/>
        </w:rPr>
        <w:t xml:space="preserve">67013046, </w:t>
      </w:r>
      <w:hyperlink r:id="rId10" w:history="1">
        <w:r w:rsidRPr="00E311D4">
          <w:rPr>
            <w:rStyle w:val="Hyperlink"/>
            <w:rFonts w:asciiTheme="majorHAnsi" w:hAnsiTheme="majorHAnsi" w:cs="Times New Roman"/>
            <w:sz w:val="20"/>
            <w:szCs w:val="20"/>
          </w:rPr>
          <w:t>Kaspars.Stabins@em.gov.lv</w:t>
        </w:r>
      </w:hyperlink>
    </w:p>
    <w:p w:rsidR="00FA7505" w:rsidRDefault="00FA7505" w:rsidP="00FA7505"/>
    <w:p w:rsidR="000059F4" w:rsidRDefault="000059F4" w:rsidP="000059F4"/>
    <w:p w:rsidR="00530271" w:rsidRDefault="00530271" w:rsidP="00530271"/>
    <w:sectPr w:rsidR="00530271" w:rsidSect="006227C9">
      <w:footerReference w:type="default" r:id="rId11"/>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6C" w:rsidRDefault="0077676C" w:rsidP="001A5B23">
      <w:r>
        <w:separator/>
      </w:r>
    </w:p>
  </w:endnote>
  <w:endnote w:type="continuationSeparator" w:id="0">
    <w:p w:rsidR="0077676C" w:rsidRDefault="0077676C" w:rsidP="001A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D" w:rsidRPr="000C3CED" w:rsidRDefault="000C3CED" w:rsidP="005747CE">
    <w:pPr>
      <w:pStyle w:val="Footer"/>
      <w:tabs>
        <w:tab w:val="clear" w:pos="8306"/>
        <w:tab w:val="right" w:pos="9072"/>
      </w:tabs>
      <w:rPr>
        <w:rFonts w:cs="Times New Roman"/>
        <w:sz w:val="20"/>
        <w:szCs w:val="20"/>
      </w:rPr>
    </w:pPr>
    <w:r>
      <w:rPr>
        <w:rFonts w:cs="Times New Roman"/>
        <w:sz w:val="20"/>
        <w:szCs w:val="20"/>
      </w:rPr>
      <w:t>EMZino_060514</w:t>
    </w:r>
    <w:r w:rsidRPr="00427194">
      <w:rPr>
        <w:rFonts w:cs="Times New Roman"/>
        <w:sz w:val="20"/>
        <w:szCs w:val="20"/>
      </w:rPr>
      <w:t>_</w:t>
    </w:r>
    <w:r>
      <w:rPr>
        <w:rFonts w:cs="Times New Roman"/>
        <w:sz w:val="20"/>
        <w:szCs w:val="20"/>
      </w:rPr>
      <w:t>Informal_</w:t>
    </w:r>
    <w:r w:rsidRPr="00427194">
      <w:rPr>
        <w:rFonts w:cs="Times New Roman"/>
        <w:sz w:val="20"/>
        <w:szCs w:val="20"/>
      </w:rPr>
      <w:t xml:space="preserve">COMPET; Informatīvais ziņojums par </w:t>
    </w:r>
    <w:r w:rsidRPr="003D0954">
      <w:rPr>
        <w:rFonts w:cs="Times New Roman"/>
        <w:sz w:val="20"/>
        <w:szCs w:val="20"/>
      </w:rPr>
      <w:t>201</w:t>
    </w:r>
    <w:r>
      <w:rPr>
        <w:rFonts w:cs="Times New Roman"/>
        <w:sz w:val="20"/>
        <w:szCs w:val="20"/>
      </w:rPr>
      <w:t>4.gada 11</w:t>
    </w:r>
    <w:r w:rsidRPr="003D0954">
      <w:rPr>
        <w:rFonts w:cs="Times New Roman"/>
        <w:sz w:val="20"/>
        <w:szCs w:val="20"/>
      </w:rPr>
      <w:t>.-</w:t>
    </w:r>
    <w:r>
      <w:rPr>
        <w:rFonts w:cs="Times New Roman"/>
        <w:sz w:val="20"/>
        <w:szCs w:val="20"/>
      </w:rPr>
      <w:t>12</w:t>
    </w:r>
    <w:r w:rsidRPr="003D0954">
      <w:rPr>
        <w:rFonts w:cs="Times New Roman"/>
        <w:sz w:val="20"/>
        <w:szCs w:val="20"/>
      </w:rPr>
      <w:t>.</w:t>
    </w:r>
    <w:r>
      <w:rPr>
        <w:rFonts w:cs="Times New Roman"/>
        <w:sz w:val="20"/>
        <w:szCs w:val="20"/>
      </w:rPr>
      <w:t>maija</w:t>
    </w:r>
    <w:r w:rsidRPr="003D0954">
      <w:rPr>
        <w:rFonts w:cs="Times New Roman"/>
        <w:sz w:val="20"/>
        <w:szCs w:val="20"/>
      </w:rPr>
      <w:t xml:space="preserve"> neformālajā Eiropas Savienības Konkurētspējas ministru padomes sanāksmē izskatāmajiem jautājumiem</w:t>
    </w:r>
    <w:r w:rsidR="005747CE">
      <w:rPr>
        <w:rFonts w:cs="Times New Roman"/>
        <w:sz w:val="20"/>
        <w:szCs w:val="20"/>
      </w:rPr>
      <w:t xml:space="preserve"> </w:t>
    </w:r>
    <w:r w:rsidR="005747CE">
      <w:rPr>
        <w:rFonts w:cs="Times New Roman"/>
        <w:sz w:val="20"/>
        <w:szCs w:val="20"/>
      </w:rPr>
      <w:tab/>
    </w:r>
    <w:r w:rsidR="005747CE">
      <w:rPr>
        <w:rFonts w:cs="Times New Roman"/>
        <w:sz w:val="20"/>
        <w:szCs w:val="20"/>
      </w:rPr>
      <w:fldChar w:fldCharType="begin"/>
    </w:r>
    <w:r w:rsidR="005747CE">
      <w:rPr>
        <w:rFonts w:cs="Times New Roman"/>
        <w:sz w:val="20"/>
        <w:szCs w:val="20"/>
      </w:rPr>
      <w:instrText xml:space="preserve"> PAGE   \* MERGEFORMAT </w:instrText>
    </w:r>
    <w:r w:rsidR="005747CE">
      <w:rPr>
        <w:rFonts w:cs="Times New Roman"/>
        <w:sz w:val="20"/>
        <w:szCs w:val="20"/>
      </w:rPr>
      <w:fldChar w:fldCharType="separate"/>
    </w:r>
    <w:r w:rsidR="006E6F3A">
      <w:rPr>
        <w:rFonts w:cs="Times New Roman"/>
        <w:noProof/>
        <w:sz w:val="20"/>
        <w:szCs w:val="20"/>
      </w:rPr>
      <w:t>2</w:t>
    </w:r>
    <w:r w:rsidR="005747CE">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6C" w:rsidRDefault="0077676C" w:rsidP="001A5B23">
      <w:r>
        <w:separator/>
      </w:r>
    </w:p>
  </w:footnote>
  <w:footnote w:type="continuationSeparator" w:id="0">
    <w:p w:rsidR="0077676C" w:rsidRDefault="0077676C" w:rsidP="001A5B23">
      <w:r>
        <w:continuationSeparator/>
      </w:r>
    </w:p>
  </w:footnote>
  <w:footnote w:id="1">
    <w:p w:rsidR="001A5B23" w:rsidRPr="001A5B23" w:rsidRDefault="001A5B23" w:rsidP="001A5B23">
      <w:pPr>
        <w:pStyle w:val="FootnoteText"/>
        <w:tabs>
          <w:tab w:val="left" w:pos="0"/>
        </w:tabs>
        <w:rPr>
          <w:rFonts w:ascii="Cambria" w:eastAsia="Times New Roman" w:hAnsi="Cambria" w:cs="Times New Roman"/>
          <w:szCs w:val="24"/>
          <w:lang w:eastAsia="fr-BE"/>
        </w:rPr>
      </w:pPr>
      <w:r>
        <w:rPr>
          <w:rStyle w:val="FootnoteReference"/>
        </w:rPr>
        <w:footnoteRef/>
      </w:r>
      <w:r>
        <w:t xml:space="preserve"> </w:t>
      </w:r>
      <w:r w:rsidRPr="001A5B23">
        <w:rPr>
          <w:rFonts w:ascii="Cambria" w:eastAsia="Times New Roman" w:hAnsi="Cambria" w:cs="Times New Roman"/>
          <w:lang w:eastAsia="fr-BE"/>
        </w:rPr>
        <w:t xml:space="preserve">Svarīgās pamattehnoloģijas </w:t>
      </w:r>
      <w:r w:rsidRPr="001A5B23">
        <w:rPr>
          <w:rFonts w:ascii="Cambria" w:eastAsia="Times New Roman" w:hAnsi="Cambria" w:cs="Times New Roman"/>
          <w:i/>
          <w:lang w:eastAsia="fr-BE"/>
        </w:rPr>
        <w:t>(</w:t>
      </w:r>
      <w:proofErr w:type="spellStart"/>
      <w:r w:rsidRPr="001A5B23">
        <w:rPr>
          <w:rFonts w:ascii="Cambria" w:eastAsia="Times New Roman" w:hAnsi="Cambria" w:cs="Times New Roman"/>
          <w:i/>
          <w:lang w:eastAsia="fr-BE"/>
        </w:rPr>
        <w:t>Key</w:t>
      </w:r>
      <w:proofErr w:type="spellEnd"/>
      <w:r w:rsidRPr="001A5B23">
        <w:rPr>
          <w:rFonts w:ascii="Cambria" w:eastAsia="Times New Roman" w:hAnsi="Cambria" w:cs="Times New Roman"/>
          <w:i/>
          <w:lang w:eastAsia="fr-BE"/>
        </w:rPr>
        <w:t xml:space="preserve"> </w:t>
      </w:r>
      <w:proofErr w:type="spellStart"/>
      <w:r w:rsidRPr="001A5B23">
        <w:rPr>
          <w:rFonts w:ascii="Cambria" w:eastAsia="Times New Roman" w:hAnsi="Cambria" w:cs="Times New Roman"/>
          <w:i/>
          <w:lang w:eastAsia="fr-BE"/>
        </w:rPr>
        <w:t>Enabling</w:t>
      </w:r>
      <w:proofErr w:type="spellEnd"/>
      <w:r w:rsidRPr="001A5B23">
        <w:rPr>
          <w:rFonts w:ascii="Cambria" w:eastAsia="Times New Roman" w:hAnsi="Cambria" w:cs="Times New Roman"/>
          <w:i/>
          <w:lang w:eastAsia="fr-BE"/>
        </w:rPr>
        <w:t xml:space="preserve"> Technologies, KET)</w:t>
      </w:r>
      <w:r w:rsidRPr="001A5B23">
        <w:rPr>
          <w:rFonts w:ascii="Cambria" w:eastAsia="Times New Roman" w:hAnsi="Cambria" w:cs="Times New Roman"/>
          <w:lang w:eastAsia="fr-BE"/>
        </w:rPr>
        <w:t xml:space="preserve">: (1) mikroelektronika un </w:t>
      </w:r>
      <w:proofErr w:type="spellStart"/>
      <w:r w:rsidRPr="001A5B23">
        <w:rPr>
          <w:rFonts w:ascii="Cambria" w:eastAsia="Times New Roman" w:hAnsi="Cambria" w:cs="Times New Roman"/>
          <w:lang w:eastAsia="fr-BE"/>
        </w:rPr>
        <w:t>nanoelektronika</w:t>
      </w:r>
      <w:proofErr w:type="spellEnd"/>
      <w:r w:rsidRPr="001A5B23">
        <w:rPr>
          <w:rFonts w:ascii="Cambria" w:eastAsia="Times New Roman" w:hAnsi="Cambria" w:cs="Times New Roman"/>
          <w:lang w:eastAsia="fr-BE"/>
        </w:rPr>
        <w:t xml:space="preserve">, (2) progresīvie materiāli, (3) rūpnieciskās biotehnoloģijas, (4) </w:t>
      </w:r>
      <w:proofErr w:type="spellStart"/>
      <w:r w:rsidRPr="001A5B23">
        <w:rPr>
          <w:rFonts w:ascii="Cambria" w:eastAsia="Times New Roman" w:hAnsi="Cambria" w:cs="Times New Roman"/>
          <w:lang w:eastAsia="fr-BE"/>
        </w:rPr>
        <w:t>fotonika</w:t>
      </w:r>
      <w:proofErr w:type="spellEnd"/>
      <w:r w:rsidRPr="001A5B23">
        <w:rPr>
          <w:rFonts w:ascii="Cambria" w:eastAsia="Times New Roman" w:hAnsi="Cambria" w:cs="Times New Roman"/>
          <w:lang w:eastAsia="fr-BE"/>
        </w:rPr>
        <w:t xml:space="preserve">, (5) </w:t>
      </w:r>
      <w:proofErr w:type="spellStart"/>
      <w:r w:rsidRPr="001A5B23">
        <w:rPr>
          <w:rFonts w:ascii="Cambria" w:eastAsia="Times New Roman" w:hAnsi="Cambria" w:cs="Times New Roman"/>
          <w:lang w:eastAsia="fr-BE"/>
        </w:rPr>
        <w:t>nanotehnoloģijas</w:t>
      </w:r>
      <w:proofErr w:type="spellEnd"/>
      <w:r w:rsidRPr="001A5B23">
        <w:rPr>
          <w:rFonts w:ascii="Cambria" w:eastAsia="Times New Roman" w:hAnsi="Cambria" w:cs="Times New Roman"/>
          <w:lang w:eastAsia="fr-BE"/>
        </w:rPr>
        <w:t xml:space="preserve"> un (6) progresīvas ražošanas tehnoloģijas.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629"/>
    <w:multiLevelType w:val="hybridMultilevel"/>
    <w:tmpl w:val="E7D8CACC"/>
    <w:lvl w:ilvl="0" w:tplc="DBAC09F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429A7"/>
    <w:multiLevelType w:val="hybridMultilevel"/>
    <w:tmpl w:val="03EA7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BC5A93"/>
    <w:multiLevelType w:val="multilevel"/>
    <w:tmpl w:val="A17C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1997776"/>
    <w:multiLevelType w:val="hybridMultilevel"/>
    <w:tmpl w:val="DC5446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7A8309F"/>
    <w:multiLevelType w:val="hybridMultilevel"/>
    <w:tmpl w:val="399A21F8"/>
    <w:lvl w:ilvl="0" w:tplc="2086122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71"/>
    <w:rsid w:val="000059F4"/>
    <w:rsid w:val="0005651C"/>
    <w:rsid w:val="000B0E4E"/>
    <w:rsid w:val="000C3CED"/>
    <w:rsid w:val="001A5B23"/>
    <w:rsid w:val="001D18F7"/>
    <w:rsid w:val="002E296C"/>
    <w:rsid w:val="002F5BDB"/>
    <w:rsid w:val="003D20CF"/>
    <w:rsid w:val="003F6ED9"/>
    <w:rsid w:val="0043045F"/>
    <w:rsid w:val="00470EB2"/>
    <w:rsid w:val="004C52C6"/>
    <w:rsid w:val="00530271"/>
    <w:rsid w:val="005747CE"/>
    <w:rsid w:val="00600C99"/>
    <w:rsid w:val="006073BF"/>
    <w:rsid w:val="006227C9"/>
    <w:rsid w:val="00627973"/>
    <w:rsid w:val="006A77C1"/>
    <w:rsid w:val="006D2D88"/>
    <w:rsid w:val="006E6F3A"/>
    <w:rsid w:val="0077676C"/>
    <w:rsid w:val="00864F70"/>
    <w:rsid w:val="008E2296"/>
    <w:rsid w:val="008F0504"/>
    <w:rsid w:val="00944339"/>
    <w:rsid w:val="00951271"/>
    <w:rsid w:val="00993C12"/>
    <w:rsid w:val="00A70A01"/>
    <w:rsid w:val="00B7033B"/>
    <w:rsid w:val="00C518B7"/>
    <w:rsid w:val="00C84844"/>
    <w:rsid w:val="00CE50EC"/>
    <w:rsid w:val="00E039A6"/>
    <w:rsid w:val="00E06F54"/>
    <w:rsid w:val="00E311D4"/>
    <w:rsid w:val="00E70998"/>
    <w:rsid w:val="00F4173C"/>
    <w:rsid w:val="00F6167D"/>
    <w:rsid w:val="00F665F0"/>
    <w:rsid w:val="00F878AD"/>
    <w:rsid w:val="00FA7505"/>
    <w:rsid w:val="00FB0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71"/>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271"/>
    <w:pPr>
      <w:ind w:left="720"/>
      <w:contextualSpacing/>
    </w:pPr>
  </w:style>
  <w:style w:type="character" w:customStyle="1" w:styleId="ListParagraphChar">
    <w:name w:val="List Paragraph Char"/>
    <w:link w:val="ListParagraph"/>
    <w:uiPriority w:val="34"/>
    <w:locked/>
    <w:rsid w:val="00530271"/>
    <w:rPr>
      <w:sz w:val="24"/>
    </w:rPr>
  </w:style>
  <w:style w:type="character" w:styleId="Hyperlink">
    <w:name w:val="Hyperlink"/>
    <w:basedOn w:val="DefaultParagraphFont"/>
    <w:uiPriority w:val="99"/>
    <w:rsid w:val="008F0504"/>
    <w:rPr>
      <w:color w:val="0000FF"/>
      <w:u w:val="single"/>
    </w:rPr>
  </w:style>
  <w:style w:type="paragraph" w:styleId="FootnoteText">
    <w:name w:val="footnote text"/>
    <w:basedOn w:val="Normal"/>
    <w:link w:val="FootnoteTextChar"/>
    <w:uiPriority w:val="99"/>
    <w:semiHidden/>
    <w:unhideWhenUsed/>
    <w:rsid w:val="001A5B23"/>
    <w:rPr>
      <w:sz w:val="20"/>
      <w:szCs w:val="20"/>
    </w:rPr>
  </w:style>
  <w:style w:type="character" w:customStyle="1" w:styleId="FootnoteTextChar">
    <w:name w:val="Footnote Text Char"/>
    <w:basedOn w:val="DefaultParagraphFont"/>
    <w:link w:val="FootnoteText"/>
    <w:uiPriority w:val="99"/>
    <w:semiHidden/>
    <w:rsid w:val="001A5B23"/>
    <w:rPr>
      <w:sz w:val="20"/>
      <w:szCs w:val="20"/>
    </w:rPr>
  </w:style>
  <w:style w:type="character" w:styleId="FootnoteReference">
    <w:name w:val="footnote reference"/>
    <w:aliases w:val="Footnote Reference Number,Footnote symbol"/>
    <w:basedOn w:val="DefaultParagraphFont"/>
    <w:uiPriority w:val="99"/>
    <w:unhideWhenUsed/>
    <w:rsid w:val="001A5B23"/>
    <w:rPr>
      <w:vertAlign w:val="superscript"/>
    </w:rPr>
  </w:style>
  <w:style w:type="paragraph" w:customStyle="1" w:styleId="Default">
    <w:name w:val="Default"/>
    <w:rsid w:val="00E039A6"/>
    <w:pPr>
      <w:autoSpaceDE w:val="0"/>
      <w:autoSpaceDN w:val="0"/>
      <w:adjustRightInd w:val="0"/>
    </w:pPr>
    <w:rPr>
      <w:rFonts w:eastAsia="Times New Roman" w:cs="Times New Roman"/>
      <w:color w:val="000000"/>
      <w:sz w:val="24"/>
      <w:szCs w:val="24"/>
      <w:lang w:eastAsia="lv-LV"/>
    </w:rPr>
  </w:style>
  <w:style w:type="table" w:styleId="TableGrid">
    <w:name w:val="Table Grid"/>
    <w:basedOn w:val="TableNormal"/>
    <w:uiPriority w:val="59"/>
    <w:rsid w:val="00C84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3CED"/>
    <w:pPr>
      <w:tabs>
        <w:tab w:val="center" w:pos="4153"/>
        <w:tab w:val="right" w:pos="8306"/>
      </w:tabs>
    </w:pPr>
  </w:style>
  <w:style w:type="character" w:customStyle="1" w:styleId="HeaderChar">
    <w:name w:val="Header Char"/>
    <w:basedOn w:val="DefaultParagraphFont"/>
    <w:link w:val="Header"/>
    <w:uiPriority w:val="99"/>
    <w:rsid w:val="000C3CED"/>
    <w:rPr>
      <w:sz w:val="24"/>
    </w:rPr>
  </w:style>
  <w:style w:type="paragraph" w:styleId="Footer">
    <w:name w:val="footer"/>
    <w:basedOn w:val="Normal"/>
    <w:link w:val="FooterChar"/>
    <w:uiPriority w:val="99"/>
    <w:unhideWhenUsed/>
    <w:rsid w:val="000C3CED"/>
    <w:pPr>
      <w:tabs>
        <w:tab w:val="center" w:pos="4153"/>
        <w:tab w:val="right" w:pos="8306"/>
      </w:tabs>
    </w:pPr>
  </w:style>
  <w:style w:type="character" w:customStyle="1" w:styleId="FooterChar">
    <w:name w:val="Footer Char"/>
    <w:basedOn w:val="DefaultParagraphFont"/>
    <w:link w:val="Footer"/>
    <w:uiPriority w:val="99"/>
    <w:rsid w:val="000C3CED"/>
    <w:rPr>
      <w:sz w:val="24"/>
    </w:rPr>
  </w:style>
  <w:style w:type="paragraph" w:styleId="BalloonText">
    <w:name w:val="Balloon Text"/>
    <w:basedOn w:val="Normal"/>
    <w:link w:val="BalloonTextChar"/>
    <w:uiPriority w:val="99"/>
    <w:semiHidden/>
    <w:unhideWhenUsed/>
    <w:rsid w:val="000C3CED"/>
    <w:rPr>
      <w:rFonts w:ascii="Tahoma" w:hAnsi="Tahoma" w:cs="Tahoma"/>
      <w:sz w:val="16"/>
      <w:szCs w:val="16"/>
    </w:rPr>
  </w:style>
  <w:style w:type="character" w:customStyle="1" w:styleId="BalloonTextChar">
    <w:name w:val="Balloon Text Char"/>
    <w:basedOn w:val="DefaultParagraphFont"/>
    <w:link w:val="BalloonText"/>
    <w:uiPriority w:val="99"/>
    <w:semiHidden/>
    <w:rsid w:val="000C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71"/>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271"/>
    <w:pPr>
      <w:ind w:left="720"/>
      <w:contextualSpacing/>
    </w:pPr>
  </w:style>
  <w:style w:type="character" w:customStyle="1" w:styleId="ListParagraphChar">
    <w:name w:val="List Paragraph Char"/>
    <w:link w:val="ListParagraph"/>
    <w:uiPriority w:val="34"/>
    <w:locked/>
    <w:rsid w:val="00530271"/>
    <w:rPr>
      <w:sz w:val="24"/>
    </w:rPr>
  </w:style>
  <w:style w:type="character" w:styleId="Hyperlink">
    <w:name w:val="Hyperlink"/>
    <w:basedOn w:val="DefaultParagraphFont"/>
    <w:uiPriority w:val="99"/>
    <w:rsid w:val="008F0504"/>
    <w:rPr>
      <w:color w:val="0000FF"/>
      <w:u w:val="single"/>
    </w:rPr>
  </w:style>
  <w:style w:type="paragraph" w:styleId="FootnoteText">
    <w:name w:val="footnote text"/>
    <w:basedOn w:val="Normal"/>
    <w:link w:val="FootnoteTextChar"/>
    <w:uiPriority w:val="99"/>
    <w:semiHidden/>
    <w:unhideWhenUsed/>
    <w:rsid w:val="001A5B23"/>
    <w:rPr>
      <w:sz w:val="20"/>
      <w:szCs w:val="20"/>
    </w:rPr>
  </w:style>
  <w:style w:type="character" w:customStyle="1" w:styleId="FootnoteTextChar">
    <w:name w:val="Footnote Text Char"/>
    <w:basedOn w:val="DefaultParagraphFont"/>
    <w:link w:val="FootnoteText"/>
    <w:uiPriority w:val="99"/>
    <w:semiHidden/>
    <w:rsid w:val="001A5B23"/>
    <w:rPr>
      <w:sz w:val="20"/>
      <w:szCs w:val="20"/>
    </w:rPr>
  </w:style>
  <w:style w:type="character" w:styleId="FootnoteReference">
    <w:name w:val="footnote reference"/>
    <w:aliases w:val="Footnote Reference Number,Footnote symbol"/>
    <w:basedOn w:val="DefaultParagraphFont"/>
    <w:uiPriority w:val="99"/>
    <w:unhideWhenUsed/>
    <w:rsid w:val="001A5B23"/>
    <w:rPr>
      <w:vertAlign w:val="superscript"/>
    </w:rPr>
  </w:style>
  <w:style w:type="paragraph" w:customStyle="1" w:styleId="Default">
    <w:name w:val="Default"/>
    <w:rsid w:val="00E039A6"/>
    <w:pPr>
      <w:autoSpaceDE w:val="0"/>
      <w:autoSpaceDN w:val="0"/>
      <w:adjustRightInd w:val="0"/>
    </w:pPr>
    <w:rPr>
      <w:rFonts w:eastAsia="Times New Roman" w:cs="Times New Roman"/>
      <w:color w:val="000000"/>
      <w:sz w:val="24"/>
      <w:szCs w:val="24"/>
      <w:lang w:eastAsia="lv-LV"/>
    </w:rPr>
  </w:style>
  <w:style w:type="table" w:styleId="TableGrid">
    <w:name w:val="Table Grid"/>
    <w:basedOn w:val="TableNormal"/>
    <w:uiPriority w:val="59"/>
    <w:rsid w:val="00C84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3CED"/>
    <w:pPr>
      <w:tabs>
        <w:tab w:val="center" w:pos="4153"/>
        <w:tab w:val="right" w:pos="8306"/>
      </w:tabs>
    </w:pPr>
  </w:style>
  <w:style w:type="character" w:customStyle="1" w:styleId="HeaderChar">
    <w:name w:val="Header Char"/>
    <w:basedOn w:val="DefaultParagraphFont"/>
    <w:link w:val="Header"/>
    <w:uiPriority w:val="99"/>
    <w:rsid w:val="000C3CED"/>
    <w:rPr>
      <w:sz w:val="24"/>
    </w:rPr>
  </w:style>
  <w:style w:type="paragraph" w:styleId="Footer">
    <w:name w:val="footer"/>
    <w:basedOn w:val="Normal"/>
    <w:link w:val="FooterChar"/>
    <w:uiPriority w:val="99"/>
    <w:unhideWhenUsed/>
    <w:rsid w:val="000C3CED"/>
    <w:pPr>
      <w:tabs>
        <w:tab w:val="center" w:pos="4153"/>
        <w:tab w:val="right" w:pos="8306"/>
      </w:tabs>
    </w:pPr>
  </w:style>
  <w:style w:type="character" w:customStyle="1" w:styleId="FooterChar">
    <w:name w:val="Footer Char"/>
    <w:basedOn w:val="DefaultParagraphFont"/>
    <w:link w:val="Footer"/>
    <w:uiPriority w:val="99"/>
    <w:rsid w:val="000C3CED"/>
    <w:rPr>
      <w:sz w:val="24"/>
    </w:rPr>
  </w:style>
  <w:style w:type="paragraph" w:styleId="BalloonText">
    <w:name w:val="Balloon Text"/>
    <w:basedOn w:val="Normal"/>
    <w:link w:val="BalloonTextChar"/>
    <w:uiPriority w:val="99"/>
    <w:semiHidden/>
    <w:unhideWhenUsed/>
    <w:rsid w:val="000C3CED"/>
    <w:rPr>
      <w:rFonts w:ascii="Tahoma" w:hAnsi="Tahoma" w:cs="Tahoma"/>
      <w:sz w:val="16"/>
      <w:szCs w:val="16"/>
    </w:rPr>
  </w:style>
  <w:style w:type="character" w:customStyle="1" w:styleId="BalloonTextChar">
    <w:name w:val="Balloon Text Char"/>
    <w:basedOn w:val="DefaultParagraphFont"/>
    <w:link w:val="BalloonText"/>
    <w:uiPriority w:val="99"/>
    <w:semiHidden/>
    <w:rsid w:val="000C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spars.Stabins@em.gov.lv" TargetMode="External"/><Relationship Id="rId4" Type="http://schemas.microsoft.com/office/2007/relationships/stylesWithEffects" Target="stylesWithEffects.xml"/><Relationship Id="rId9" Type="http://schemas.openxmlformats.org/officeDocument/2006/relationships/hyperlink" Target="mailto:Martins.Janso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D2EB-C9F2-472D-A8D8-091E14A7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1540</Words>
  <Characters>12126</Characters>
  <Application>Microsoft Office Word</Application>
  <DocSecurity>0</DocSecurity>
  <Lines>258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Jansons</dc:creator>
  <cp:lastModifiedBy>Kaspars Stabiņš</cp:lastModifiedBy>
  <cp:revision>14</cp:revision>
  <cp:lastPrinted>2014-04-30T07:11:00Z</cp:lastPrinted>
  <dcterms:created xsi:type="dcterms:W3CDTF">2014-04-29T12:06:00Z</dcterms:created>
  <dcterms:modified xsi:type="dcterms:W3CDTF">2014-05-06T06:26:00Z</dcterms:modified>
</cp:coreProperties>
</file>