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E7" w:rsidRPr="00264C71" w:rsidRDefault="00E668E7" w:rsidP="006031F7">
      <w:pPr>
        <w:pStyle w:val="Header"/>
        <w:tabs>
          <w:tab w:val="left" w:pos="720"/>
        </w:tabs>
        <w:jc w:val="center"/>
        <w:rPr>
          <w:b/>
          <w:smallCaps/>
          <w:sz w:val="28"/>
          <w:szCs w:val="28"/>
        </w:rPr>
      </w:pPr>
      <w:r w:rsidRPr="00264C71">
        <w:rPr>
          <w:b/>
          <w:smallCaps/>
          <w:sz w:val="28"/>
          <w:szCs w:val="28"/>
        </w:rPr>
        <w:t>Informatīvais ziņojums</w:t>
      </w:r>
    </w:p>
    <w:p w:rsidR="00E668E7" w:rsidRPr="00264C71" w:rsidRDefault="00E668E7" w:rsidP="006031F7">
      <w:pPr>
        <w:pStyle w:val="Header"/>
        <w:tabs>
          <w:tab w:val="left" w:pos="720"/>
        </w:tabs>
        <w:jc w:val="center"/>
        <w:rPr>
          <w:b/>
          <w:sz w:val="28"/>
          <w:szCs w:val="28"/>
        </w:rPr>
      </w:pPr>
    </w:p>
    <w:p w:rsidR="00E668E7" w:rsidRPr="00264C71" w:rsidRDefault="00E668E7" w:rsidP="006031F7">
      <w:pPr>
        <w:jc w:val="center"/>
        <w:rPr>
          <w:b/>
          <w:sz w:val="28"/>
          <w:szCs w:val="28"/>
        </w:rPr>
      </w:pPr>
      <w:bookmarkStart w:id="0" w:name="OLE_LINK3"/>
      <w:bookmarkStart w:id="1" w:name="OLE_LINK4"/>
      <w:r w:rsidRPr="00264C71">
        <w:rPr>
          <w:b/>
          <w:sz w:val="28"/>
          <w:szCs w:val="28"/>
        </w:rPr>
        <w:t>par Latvijas</w:t>
      </w:r>
      <w:r w:rsidR="003B32E1" w:rsidRPr="00264C71">
        <w:rPr>
          <w:b/>
          <w:sz w:val="28"/>
          <w:szCs w:val="28"/>
        </w:rPr>
        <w:t xml:space="preserve"> Republikas</w:t>
      </w:r>
      <w:r w:rsidRPr="00264C71">
        <w:rPr>
          <w:b/>
          <w:sz w:val="28"/>
          <w:szCs w:val="28"/>
        </w:rPr>
        <w:t xml:space="preserve"> </w:t>
      </w:r>
      <w:r w:rsidR="002357E6" w:rsidRPr="00264C71">
        <w:rPr>
          <w:b/>
          <w:sz w:val="28"/>
          <w:szCs w:val="28"/>
        </w:rPr>
        <w:t>nostāju</w:t>
      </w:r>
      <w:r w:rsidRPr="00264C71">
        <w:rPr>
          <w:b/>
          <w:sz w:val="28"/>
          <w:szCs w:val="28"/>
        </w:rPr>
        <w:t xml:space="preserve"> Eiropas Savienības Konkurētspējas ministru padomes 201</w:t>
      </w:r>
      <w:r w:rsidR="00AC730D">
        <w:rPr>
          <w:b/>
          <w:sz w:val="28"/>
          <w:szCs w:val="28"/>
        </w:rPr>
        <w:t>4</w:t>
      </w:r>
      <w:r w:rsidRPr="00264C71">
        <w:rPr>
          <w:b/>
          <w:sz w:val="28"/>
          <w:szCs w:val="28"/>
        </w:rPr>
        <w:t xml:space="preserve">.gada </w:t>
      </w:r>
      <w:r w:rsidR="00562B16">
        <w:rPr>
          <w:b/>
          <w:sz w:val="28"/>
          <w:szCs w:val="28"/>
        </w:rPr>
        <w:t>26</w:t>
      </w:r>
      <w:r w:rsidRPr="00264C71">
        <w:rPr>
          <w:b/>
          <w:sz w:val="28"/>
          <w:szCs w:val="28"/>
        </w:rPr>
        <w:t>.</w:t>
      </w:r>
      <w:r w:rsidR="00562B16">
        <w:rPr>
          <w:b/>
          <w:sz w:val="28"/>
          <w:szCs w:val="28"/>
        </w:rPr>
        <w:t>maija</w:t>
      </w:r>
      <w:r w:rsidRPr="00264C71">
        <w:rPr>
          <w:b/>
          <w:sz w:val="28"/>
          <w:szCs w:val="28"/>
        </w:rPr>
        <w:t xml:space="preserve"> sanāksmē izskat</w:t>
      </w:r>
      <w:r w:rsidR="00505AE3" w:rsidRPr="00264C71">
        <w:rPr>
          <w:b/>
          <w:sz w:val="28"/>
          <w:szCs w:val="28"/>
        </w:rPr>
        <w:t xml:space="preserve">āmajos </w:t>
      </w:r>
      <w:r w:rsidRPr="00264C71">
        <w:rPr>
          <w:b/>
          <w:sz w:val="28"/>
          <w:szCs w:val="28"/>
        </w:rPr>
        <w:t>jautājumos</w:t>
      </w:r>
    </w:p>
    <w:bookmarkEnd w:id="0"/>
    <w:bookmarkEnd w:id="1"/>
    <w:p w:rsidR="00E668E7" w:rsidRPr="00264C71" w:rsidRDefault="00E668E7" w:rsidP="006031F7">
      <w:pPr>
        <w:spacing w:after="120"/>
        <w:jc w:val="both"/>
        <w:rPr>
          <w:sz w:val="28"/>
          <w:szCs w:val="28"/>
        </w:rPr>
      </w:pPr>
    </w:p>
    <w:p w:rsidR="00E668E7" w:rsidRPr="00264C71" w:rsidRDefault="00E668E7" w:rsidP="006031F7">
      <w:pPr>
        <w:spacing w:before="120" w:after="120"/>
        <w:rPr>
          <w:b/>
          <w:sz w:val="28"/>
          <w:szCs w:val="28"/>
        </w:rPr>
      </w:pPr>
      <w:r w:rsidRPr="00264C71">
        <w:rPr>
          <w:b/>
          <w:sz w:val="28"/>
          <w:szCs w:val="28"/>
        </w:rPr>
        <w:t>1. Konkurētspējas ministru padomes sanāksmes darba kārtība</w:t>
      </w:r>
    </w:p>
    <w:p w:rsidR="00897AEF" w:rsidRPr="00264C71" w:rsidRDefault="00897AEF" w:rsidP="004F0096">
      <w:pPr>
        <w:tabs>
          <w:tab w:val="left" w:pos="9288"/>
        </w:tabs>
        <w:ind w:firstLine="851"/>
        <w:jc w:val="both"/>
        <w:rPr>
          <w:sz w:val="28"/>
          <w:szCs w:val="28"/>
        </w:rPr>
      </w:pPr>
      <w:r w:rsidRPr="00264C71">
        <w:rPr>
          <w:sz w:val="28"/>
          <w:szCs w:val="28"/>
        </w:rPr>
        <w:t>201</w:t>
      </w:r>
      <w:r w:rsidR="00AC730D">
        <w:rPr>
          <w:sz w:val="28"/>
          <w:szCs w:val="28"/>
        </w:rPr>
        <w:t>4</w:t>
      </w:r>
      <w:r w:rsidR="00505AE3" w:rsidRPr="00264C71">
        <w:rPr>
          <w:sz w:val="28"/>
          <w:szCs w:val="28"/>
        </w:rPr>
        <w:t>.</w:t>
      </w:r>
      <w:r w:rsidRPr="00264C71">
        <w:rPr>
          <w:sz w:val="28"/>
          <w:szCs w:val="28"/>
        </w:rPr>
        <w:t xml:space="preserve">gada </w:t>
      </w:r>
      <w:r w:rsidR="00485EC4">
        <w:rPr>
          <w:sz w:val="28"/>
          <w:szCs w:val="28"/>
        </w:rPr>
        <w:t>2</w:t>
      </w:r>
      <w:r w:rsidR="00562B16">
        <w:rPr>
          <w:sz w:val="28"/>
          <w:szCs w:val="28"/>
        </w:rPr>
        <w:t>6</w:t>
      </w:r>
      <w:r w:rsidRPr="00264C71">
        <w:rPr>
          <w:sz w:val="28"/>
          <w:szCs w:val="28"/>
        </w:rPr>
        <w:t>.</w:t>
      </w:r>
      <w:r w:rsidR="00562B16">
        <w:rPr>
          <w:sz w:val="28"/>
          <w:szCs w:val="28"/>
        </w:rPr>
        <w:t>maijā</w:t>
      </w:r>
      <w:r w:rsidRPr="00264C71">
        <w:rPr>
          <w:sz w:val="28"/>
          <w:szCs w:val="28"/>
        </w:rPr>
        <w:t xml:space="preserve"> </w:t>
      </w:r>
      <w:r w:rsidR="00271604" w:rsidRPr="00264C71">
        <w:rPr>
          <w:sz w:val="28"/>
          <w:szCs w:val="28"/>
        </w:rPr>
        <w:t>Briselē</w:t>
      </w:r>
      <w:r w:rsidRPr="00264C71">
        <w:rPr>
          <w:sz w:val="28"/>
          <w:szCs w:val="28"/>
        </w:rPr>
        <w:t xml:space="preserve"> notiks Eiropas Savienības (turpmāk – ES) Konkurētspējas ministru padomes sanāksme (turpmāk – </w:t>
      </w:r>
      <w:r w:rsidR="0013164E" w:rsidRPr="00264C71">
        <w:rPr>
          <w:sz w:val="28"/>
          <w:szCs w:val="28"/>
        </w:rPr>
        <w:t>s</w:t>
      </w:r>
      <w:r w:rsidRPr="00264C71">
        <w:rPr>
          <w:sz w:val="28"/>
          <w:szCs w:val="28"/>
        </w:rPr>
        <w:t>anāksme). Paredzams, ka sanāksmes gaitā tiks izskatīti šādi Ekonomikas ministrijas (</w:t>
      </w:r>
      <w:r w:rsidR="00E730E6" w:rsidRPr="00264C71">
        <w:rPr>
          <w:sz w:val="28"/>
          <w:szCs w:val="28"/>
        </w:rPr>
        <w:t xml:space="preserve">turpmāk - </w:t>
      </w:r>
      <w:r w:rsidR="00485EC4">
        <w:rPr>
          <w:sz w:val="28"/>
          <w:szCs w:val="28"/>
        </w:rPr>
        <w:t>EM),</w:t>
      </w:r>
      <w:r w:rsidR="004F1BA9" w:rsidRPr="00264C71">
        <w:rPr>
          <w:sz w:val="28"/>
          <w:szCs w:val="28"/>
        </w:rPr>
        <w:t xml:space="preserve"> </w:t>
      </w:r>
      <w:r w:rsidR="00485EC4">
        <w:rPr>
          <w:sz w:val="28"/>
          <w:szCs w:val="28"/>
        </w:rPr>
        <w:t>Tieslietu ministrijas (turpmāk - T</w:t>
      </w:r>
      <w:r w:rsidR="00485EC4" w:rsidRPr="00485EC4">
        <w:rPr>
          <w:sz w:val="28"/>
          <w:szCs w:val="28"/>
        </w:rPr>
        <w:t>M)</w:t>
      </w:r>
      <w:r w:rsidR="00A25F66">
        <w:rPr>
          <w:sz w:val="28"/>
          <w:szCs w:val="28"/>
        </w:rPr>
        <w:t>,</w:t>
      </w:r>
      <w:r w:rsidR="00485EC4">
        <w:rPr>
          <w:sz w:val="28"/>
          <w:szCs w:val="28"/>
        </w:rPr>
        <w:t xml:space="preserve"> </w:t>
      </w:r>
      <w:r w:rsidR="00562B16">
        <w:rPr>
          <w:sz w:val="28"/>
          <w:szCs w:val="28"/>
        </w:rPr>
        <w:t>Satiksmes ministrijas (turpmāk - SM</w:t>
      </w:r>
      <w:r w:rsidR="00485EC4">
        <w:rPr>
          <w:sz w:val="28"/>
          <w:szCs w:val="28"/>
        </w:rPr>
        <w:t>)</w:t>
      </w:r>
      <w:r w:rsidR="00A25F66">
        <w:rPr>
          <w:sz w:val="28"/>
          <w:szCs w:val="28"/>
        </w:rPr>
        <w:t xml:space="preserve"> un Finanšu ministrijas (turpmāk - FM)</w:t>
      </w:r>
      <w:r w:rsidR="00485EC4">
        <w:rPr>
          <w:sz w:val="28"/>
          <w:szCs w:val="28"/>
        </w:rPr>
        <w:t xml:space="preserve"> </w:t>
      </w:r>
      <w:r w:rsidRPr="00264C71">
        <w:rPr>
          <w:sz w:val="28"/>
          <w:szCs w:val="28"/>
        </w:rPr>
        <w:t>kompetencē esoši jautājumi:</w:t>
      </w:r>
    </w:p>
    <w:p w:rsidR="00BD6689" w:rsidRPr="00264C71" w:rsidRDefault="00BD6689" w:rsidP="004F0096">
      <w:pPr>
        <w:tabs>
          <w:tab w:val="left" w:pos="9288"/>
        </w:tabs>
        <w:ind w:firstLine="851"/>
        <w:jc w:val="both"/>
        <w:rPr>
          <w:sz w:val="28"/>
          <w:szCs w:val="28"/>
        </w:rPr>
      </w:pPr>
    </w:p>
    <w:p w:rsidR="00897AEF" w:rsidRPr="00852EFF" w:rsidRDefault="00562B16" w:rsidP="00562B16">
      <w:pPr>
        <w:pStyle w:val="ListParagraph"/>
        <w:numPr>
          <w:ilvl w:val="1"/>
          <w:numId w:val="19"/>
        </w:numPr>
        <w:pBdr>
          <w:bottom w:val="single" w:sz="4" w:space="1" w:color="auto"/>
        </w:pBdr>
        <w:tabs>
          <w:tab w:val="left" w:pos="1290"/>
        </w:tabs>
        <w:autoSpaceDE w:val="0"/>
        <w:autoSpaceDN w:val="0"/>
        <w:adjustRightInd w:val="0"/>
        <w:jc w:val="both"/>
        <w:rPr>
          <w:i/>
          <w:sz w:val="28"/>
          <w:szCs w:val="28"/>
        </w:rPr>
      </w:pPr>
      <w:r w:rsidRPr="00562B16">
        <w:rPr>
          <w:b/>
          <w:sz w:val="28"/>
          <w:szCs w:val="28"/>
        </w:rPr>
        <w:t xml:space="preserve">Priekšlikums – Eiropas Parlamenta un Padomes direktīva par neizpaužamas zinātības un uzņēmējdarbības informācijas (komercnoslēpumu) aizsardzību pret nelikumīgu iegūšanu, izmantošanu un izpaušanu </w:t>
      </w:r>
      <w:r w:rsidR="002D5915" w:rsidRPr="00852EFF">
        <w:rPr>
          <w:i/>
          <w:sz w:val="28"/>
          <w:szCs w:val="28"/>
        </w:rPr>
        <w:t>(</w:t>
      </w:r>
      <w:r>
        <w:rPr>
          <w:i/>
          <w:sz w:val="28"/>
          <w:szCs w:val="28"/>
        </w:rPr>
        <w:t>TM</w:t>
      </w:r>
      <w:r w:rsidR="004F0096" w:rsidRPr="00852EFF">
        <w:rPr>
          <w:i/>
          <w:sz w:val="28"/>
          <w:szCs w:val="28"/>
        </w:rPr>
        <w:t xml:space="preserve"> kompetence</w:t>
      </w:r>
      <w:r w:rsidR="004A5B6D" w:rsidRPr="00852EFF">
        <w:rPr>
          <w:i/>
          <w:sz w:val="28"/>
          <w:szCs w:val="28"/>
        </w:rPr>
        <w:t xml:space="preserve"> – sagatavota </w:t>
      </w:r>
      <w:r w:rsidR="00DE50F6" w:rsidRPr="00852EFF">
        <w:rPr>
          <w:i/>
          <w:sz w:val="28"/>
          <w:szCs w:val="28"/>
        </w:rPr>
        <w:t>pozīcija</w:t>
      </w:r>
      <w:r w:rsidR="004F0096" w:rsidRPr="00852EFF">
        <w:rPr>
          <w:i/>
          <w:sz w:val="28"/>
          <w:szCs w:val="28"/>
        </w:rPr>
        <w:t>)</w:t>
      </w:r>
    </w:p>
    <w:p w:rsidR="00852EFF" w:rsidRPr="00264C71" w:rsidRDefault="002D5915" w:rsidP="00562B16">
      <w:pPr>
        <w:tabs>
          <w:tab w:val="left" w:pos="284"/>
        </w:tabs>
        <w:jc w:val="both"/>
        <w:rPr>
          <w:i/>
          <w:sz w:val="28"/>
          <w:szCs w:val="28"/>
        </w:rPr>
      </w:pPr>
      <w:r w:rsidRPr="00264C71">
        <w:rPr>
          <w:i/>
          <w:sz w:val="28"/>
          <w:szCs w:val="28"/>
        </w:rPr>
        <w:t>-</w:t>
      </w:r>
      <w:r w:rsidR="00562B16" w:rsidRPr="00562B16">
        <w:rPr>
          <w:i/>
          <w:sz w:val="28"/>
          <w:szCs w:val="28"/>
        </w:rPr>
        <w:t>vispārēja pieeja</w:t>
      </w:r>
    </w:p>
    <w:p w:rsidR="00897AEF" w:rsidRPr="00264C71" w:rsidRDefault="00897AEF" w:rsidP="006031F7">
      <w:pPr>
        <w:tabs>
          <w:tab w:val="left" w:pos="284"/>
        </w:tabs>
        <w:ind w:firstLine="851"/>
        <w:jc w:val="both"/>
        <w:rPr>
          <w:sz w:val="28"/>
          <w:szCs w:val="28"/>
          <w:highlight w:val="yellow"/>
        </w:rPr>
      </w:pPr>
    </w:p>
    <w:p w:rsidR="00342B16" w:rsidRPr="003D097B" w:rsidRDefault="00342B16" w:rsidP="003D097B">
      <w:pPr>
        <w:pStyle w:val="Title"/>
        <w:ind w:firstLine="720"/>
        <w:jc w:val="both"/>
        <w:rPr>
          <w:rFonts w:eastAsia="Calibri"/>
          <w:lang w:eastAsia="lv-LV"/>
        </w:rPr>
      </w:pPr>
      <w:r w:rsidRPr="00342B16">
        <w:t xml:space="preserve">Priekšlikums Eiropas Parlamenta un Padomes </w:t>
      </w:r>
      <w:r w:rsidRPr="00342B16">
        <w:rPr>
          <w:iCs/>
        </w:rPr>
        <w:t>Direktīvai</w:t>
      </w:r>
      <w:r w:rsidRPr="00342B16">
        <w:rPr>
          <w:iCs/>
          <w:lang w:eastAsia="lv-LV"/>
        </w:rPr>
        <w:t xml:space="preserve"> par neizpaužamas zinātības un uzņēmējdarbības informācijas (komercnoslēpumu) aizsardzību pret nelikumīgu iegūšanu, izmantošanu un izpaušanu (turpmāk – Komercnoslēpumu direktīva) ir izstrādāts lai </w:t>
      </w:r>
      <w:r w:rsidRPr="00342B16">
        <w:rPr>
          <w:rFonts w:eastAsia="Calibri"/>
          <w:lang w:eastAsia="lv-LV"/>
        </w:rPr>
        <w:t xml:space="preserve">uzlabotu nosacījumus novatoriskai uzņēmējdarbībai visā </w:t>
      </w:r>
      <w:r w:rsidR="006009B7">
        <w:rPr>
          <w:rFonts w:eastAsia="Calibri"/>
          <w:lang w:eastAsia="lv-LV"/>
        </w:rPr>
        <w:t>ES</w:t>
      </w:r>
      <w:r w:rsidRPr="00342B16">
        <w:rPr>
          <w:rFonts w:eastAsia="Calibri"/>
          <w:lang w:eastAsia="lv-LV"/>
        </w:rPr>
        <w:t xml:space="preserve">, tādējādi samazinot tiesiskās aizsardzības sadrumstalotību </w:t>
      </w:r>
      <w:r w:rsidR="006009B7">
        <w:rPr>
          <w:rFonts w:eastAsia="Calibri"/>
          <w:lang w:eastAsia="lv-LV"/>
        </w:rPr>
        <w:t>ES</w:t>
      </w:r>
      <w:r w:rsidRPr="00342B16">
        <w:rPr>
          <w:rFonts w:eastAsia="Calibri"/>
          <w:lang w:eastAsia="lv-LV"/>
        </w:rPr>
        <w:t xml:space="preserve">, ko veido atšķirības </w:t>
      </w:r>
      <w:r w:rsidR="006009B7">
        <w:rPr>
          <w:rFonts w:eastAsia="Calibri"/>
          <w:lang w:eastAsia="lv-LV"/>
        </w:rPr>
        <w:t>E</w:t>
      </w:r>
      <w:r w:rsidR="003D097B">
        <w:rPr>
          <w:rFonts w:eastAsia="Calibri"/>
          <w:lang w:eastAsia="lv-LV"/>
        </w:rPr>
        <w:t>S</w:t>
      </w:r>
      <w:r w:rsidRPr="00342B16">
        <w:rPr>
          <w:rFonts w:eastAsia="Calibri"/>
          <w:lang w:eastAsia="lv-LV"/>
        </w:rPr>
        <w:t xml:space="preserve"> dalībvalstu komercnoslēpumu aizsardzības jomā, kā arī veicinot inovāciju, lai</w:t>
      </w:r>
      <w:r w:rsidRPr="00342B16">
        <w:rPr>
          <w:noProof/>
          <w:lang w:eastAsia="en-GB"/>
        </w:rPr>
        <w:t xml:space="preserve"> uzlabotu komercnoslēpuma tiesisko aizsardzību pret piesavināšanos visā iekšējā tirgū.</w:t>
      </w:r>
      <w:r w:rsidR="003D097B">
        <w:rPr>
          <w:noProof/>
          <w:lang w:eastAsia="en-GB"/>
        </w:rPr>
        <w:t xml:space="preserve"> </w:t>
      </w:r>
      <w:r>
        <w:rPr>
          <w:noProof/>
          <w:lang w:eastAsia="en-GB"/>
        </w:rPr>
        <w:t>Komercnoslēpumu direktīvai ir civiltiesisks raksturs un tā neskar krimināltiesisko regulējumu.</w:t>
      </w:r>
    </w:p>
    <w:p w:rsidR="00342B16" w:rsidRDefault="00342B16" w:rsidP="00342B16">
      <w:pPr>
        <w:ind w:firstLine="720"/>
        <w:jc w:val="both"/>
        <w:rPr>
          <w:noProof/>
          <w:sz w:val="28"/>
          <w:szCs w:val="28"/>
          <w:lang w:eastAsia="en-GB"/>
        </w:rPr>
      </w:pPr>
      <w:r>
        <w:rPr>
          <w:noProof/>
          <w:sz w:val="28"/>
          <w:szCs w:val="28"/>
          <w:lang w:eastAsia="en-GB"/>
        </w:rPr>
        <w:t xml:space="preserve">Komercnoslēpumu direktīvas regulējums veidots, pārņemot </w:t>
      </w:r>
      <w:r>
        <w:rPr>
          <w:sz w:val="28"/>
          <w:szCs w:val="28"/>
        </w:rPr>
        <w:t xml:space="preserve">Eiropas Parlamenta un Padomes </w:t>
      </w:r>
      <w:r>
        <w:rPr>
          <w:noProof/>
          <w:sz w:val="28"/>
          <w:szCs w:val="28"/>
          <w:lang w:eastAsia="en-GB"/>
        </w:rPr>
        <w:t xml:space="preserve">Direktīvā 2004/48 EK </w:t>
      </w:r>
      <w:r>
        <w:rPr>
          <w:sz w:val="28"/>
          <w:szCs w:val="28"/>
        </w:rPr>
        <w:t>par intelektuālā īpašuma tiesību piemērošanu</w:t>
      </w:r>
      <w:r>
        <w:rPr>
          <w:noProof/>
          <w:sz w:val="28"/>
          <w:szCs w:val="28"/>
          <w:lang w:eastAsia="en-GB"/>
        </w:rPr>
        <w:t xml:space="preserve">, kā arī </w:t>
      </w:r>
      <w:r>
        <w:rPr>
          <w:rFonts w:eastAsia="Calibri"/>
          <w:sz w:val="28"/>
          <w:szCs w:val="28"/>
        </w:rPr>
        <w:t>Līgumā par ar tirdzniecību saistītajām intelektuālā īpašuma tiesībām</w:t>
      </w:r>
      <w:r>
        <w:rPr>
          <w:noProof/>
          <w:sz w:val="28"/>
          <w:szCs w:val="28"/>
          <w:lang w:eastAsia="en-GB"/>
        </w:rPr>
        <w:t xml:space="preserve"> ietverto regulējumu.</w:t>
      </w:r>
    </w:p>
    <w:p w:rsidR="00342B16" w:rsidRDefault="00342B16" w:rsidP="00342B16">
      <w:pPr>
        <w:jc w:val="both"/>
        <w:rPr>
          <w:noProof/>
          <w:sz w:val="28"/>
          <w:szCs w:val="28"/>
          <w:lang w:eastAsia="en-GB"/>
        </w:rPr>
      </w:pPr>
      <w:r>
        <w:rPr>
          <w:noProof/>
          <w:sz w:val="28"/>
          <w:szCs w:val="28"/>
          <w:lang w:eastAsia="en-GB"/>
        </w:rPr>
        <w:t xml:space="preserve">   </w:t>
      </w:r>
      <w:r>
        <w:rPr>
          <w:noProof/>
          <w:sz w:val="28"/>
          <w:szCs w:val="28"/>
          <w:lang w:eastAsia="en-GB"/>
        </w:rPr>
        <w:tab/>
        <w:t xml:space="preserve">Komercnoslēpumu direktīva: </w:t>
      </w:r>
    </w:p>
    <w:p w:rsidR="00342B16" w:rsidRDefault="00342B16" w:rsidP="00342B16">
      <w:pPr>
        <w:numPr>
          <w:ilvl w:val="0"/>
          <w:numId w:val="31"/>
        </w:numPr>
        <w:jc w:val="both"/>
        <w:rPr>
          <w:noProof/>
          <w:sz w:val="28"/>
          <w:szCs w:val="28"/>
          <w:lang w:eastAsia="en-GB"/>
        </w:rPr>
      </w:pPr>
      <w:r>
        <w:rPr>
          <w:noProof/>
          <w:sz w:val="28"/>
          <w:szCs w:val="28"/>
          <w:lang w:eastAsia="en-GB"/>
        </w:rPr>
        <w:t xml:space="preserve">paredz noteikumus par aizsardzību pret komercnoslēpumu nelikumīgu iegūšanu, izpaušanu un izmantošanu; </w:t>
      </w:r>
    </w:p>
    <w:p w:rsidR="00342B16" w:rsidRDefault="00342B16" w:rsidP="00342B16">
      <w:pPr>
        <w:numPr>
          <w:ilvl w:val="0"/>
          <w:numId w:val="31"/>
        </w:numPr>
        <w:jc w:val="both"/>
        <w:rPr>
          <w:noProof/>
          <w:sz w:val="28"/>
          <w:szCs w:val="28"/>
          <w:lang w:eastAsia="en-GB"/>
        </w:rPr>
      </w:pPr>
      <w:r>
        <w:rPr>
          <w:noProof/>
          <w:sz w:val="28"/>
          <w:szCs w:val="28"/>
          <w:lang w:eastAsia="en-GB"/>
        </w:rPr>
        <w:t>noteic „komercnoslēpuma”, „komercnoslēpuma turētāja”, „pārkāpēja”, „pārkāpuma preču” definīcijas;</w:t>
      </w:r>
    </w:p>
    <w:p w:rsidR="00342B16" w:rsidRDefault="00342B16" w:rsidP="00342B16">
      <w:pPr>
        <w:numPr>
          <w:ilvl w:val="0"/>
          <w:numId w:val="31"/>
        </w:numPr>
        <w:jc w:val="both"/>
        <w:rPr>
          <w:noProof/>
          <w:sz w:val="28"/>
          <w:szCs w:val="28"/>
          <w:lang w:eastAsia="en-GB"/>
        </w:rPr>
      </w:pPr>
      <w:r>
        <w:rPr>
          <w:noProof/>
          <w:sz w:val="28"/>
          <w:szCs w:val="28"/>
          <w:lang w:eastAsia="en-GB"/>
        </w:rPr>
        <w:t>noteic kas ir komercnoslēpuma likumīga un nelikumīga iegūšana, izmantošana un izpaušana;</w:t>
      </w:r>
    </w:p>
    <w:p w:rsidR="00342B16" w:rsidRDefault="00342B16" w:rsidP="00342B16">
      <w:pPr>
        <w:numPr>
          <w:ilvl w:val="0"/>
          <w:numId w:val="31"/>
        </w:numPr>
        <w:jc w:val="both"/>
        <w:rPr>
          <w:noProof/>
          <w:sz w:val="28"/>
          <w:szCs w:val="28"/>
          <w:lang w:eastAsia="en-GB"/>
        </w:rPr>
      </w:pPr>
      <w:r>
        <w:rPr>
          <w:noProof/>
          <w:sz w:val="28"/>
          <w:szCs w:val="28"/>
          <w:lang w:eastAsia="en-GB"/>
        </w:rPr>
        <w:t xml:space="preserve">paredz pasākumus, procedūras un aizsardzības līdzekļus attiecībā uz komercnoslēpumu nelikumīgu iegūšanu, izpaušanu un izmantošanu; </w:t>
      </w:r>
    </w:p>
    <w:p w:rsidR="00342B16" w:rsidRDefault="00342B16" w:rsidP="00342B16">
      <w:pPr>
        <w:numPr>
          <w:ilvl w:val="0"/>
          <w:numId w:val="31"/>
        </w:numPr>
        <w:jc w:val="both"/>
        <w:rPr>
          <w:noProof/>
          <w:sz w:val="28"/>
          <w:szCs w:val="28"/>
          <w:lang w:eastAsia="en-GB"/>
        </w:rPr>
      </w:pPr>
      <w:r>
        <w:rPr>
          <w:noProof/>
          <w:sz w:val="28"/>
          <w:szCs w:val="28"/>
          <w:lang w:eastAsia="en-GB"/>
        </w:rPr>
        <w:lastRenderedPageBreak/>
        <w:t>noteic sankcijas par komercnoslēpuma nelikumīgu iegūšanu, izpaušanu un izmantošanu;</w:t>
      </w:r>
    </w:p>
    <w:p w:rsidR="00342B16" w:rsidRDefault="00342B16" w:rsidP="00342B16">
      <w:pPr>
        <w:numPr>
          <w:ilvl w:val="0"/>
          <w:numId w:val="31"/>
        </w:numPr>
        <w:jc w:val="both"/>
        <w:rPr>
          <w:noProof/>
          <w:sz w:val="28"/>
          <w:szCs w:val="28"/>
          <w:lang w:eastAsia="en-GB"/>
        </w:rPr>
      </w:pPr>
      <w:r>
        <w:rPr>
          <w:noProof/>
          <w:sz w:val="28"/>
          <w:szCs w:val="28"/>
          <w:lang w:eastAsia="en-GB"/>
        </w:rPr>
        <w:t xml:space="preserve">noteic ziņošanas noteikumus par Komercnoslēpuma direktīvas ieviešanu un nobeiguma noteikumus. </w:t>
      </w:r>
    </w:p>
    <w:p w:rsidR="00852EFF" w:rsidRDefault="00852EFF" w:rsidP="00811DD9">
      <w:pPr>
        <w:jc w:val="both"/>
        <w:rPr>
          <w:sz w:val="28"/>
          <w:szCs w:val="26"/>
        </w:rPr>
      </w:pPr>
    </w:p>
    <w:p w:rsidR="00342B16" w:rsidRPr="006F3D48" w:rsidRDefault="006F3D48" w:rsidP="00811DD9">
      <w:pPr>
        <w:jc w:val="both"/>
        <w:rPr>
          <w:b/>
          <w:sz w:val="28"/>
          <w:szCs w:val="26"/>
          <w:u w:val="single"/>
        </w:rPr>
      </w:pPr>
      <w:r w:rsidRPr="006F3D48">
        <w:rPr>
          <w:b/>
          <w:sz w:val="28"/>
          <w:szCs w:val="26"/>
          <w:u w:val="single"/>
        </w:rPr>
        <w:t xml:space="preserve">Latvijas </w:t>
      </w:r>
      <w:r w:rsidR="00BE4738">
        <w:rPr>
          <w:b/>
          <w:sz w:val="28"/>
          <w:szCs w:val="26"/>
          <w:u w:val="single"/>
        </w:rPr>
        <w:t>pozīcija</w:t>
      </w:r>
      <w:r w:rsidRPr="006F3D48">
        <w:rPr>
          <w:b/>
          <w:sz w:val="28"/>
          <w:szCs w:val="26"/>
          <w:u w:val="single"/>
        </w:rPr>
        <w:t>:</w:t>
      </w:r>
    </w:p>
    <w:p w:rsidR="00906EEA" w:rsidRDefault="006F3D48" w:rsidP="00342B16">
      <w:pPr>
        <w:jc w:val="both"/>
        <w:rPr>
          <w:sz w:val="28"/>
          <w:szCs w:val="26"/>
        </w:rPr>
      </w:pPr>
      <w:r>
        <w:rPr>
          <w:sz w:val="28"/>
          <w:szCs w:val="26"/>
        </w:rPr>
        <w:tab/>
      </w:r>
      <w:r w:rsidR="00342B16" w:rsidRPr="00342B16">
        <w:rPr>
          <w:sz w:val="28"/>
          <w:szCs w:val="26"/>
        </w:rPr>
        <w:t xml:space="preserve">Latvija atbalsta nepieciešamību nodrošināt vienlīdzīgu komercnoslēpumu aizsardzības līmeni visā Eiropas Savienībā, tādējādi novēršot iekšējā tirgus sadrumstalotību attiecībā uz komercnoslēpuma nelikumīgu iegūšanu, izmantošanu vai izpaušanu un izsaka pateicību </w:t>
      </w:r>
      <w:r w:rsidR="003D097B">
        <w:rPr>
          <w:sz w:val="28"/>
          <w:szCs w:val="26"/>
        </w:rPr>
        <w:t>Eiropas Komisijai (turpmāk - EK)</w:t>
      </w:r>
      <w:r w:rsidR="00342B16" w:rsidRPr="00342B16">
        <w:rPr>
          <w:sz w:val="28"/>
          <w:szCs w:val="26"/>
        </w:rPr>
        <w:t xml:space="preserve">, kā arī </w:t>
      </w:r>
      <w:r w:rsidR="003D097B">
        <w:rPr>
          <w:sz w:val="28"/>
          <w:szCs w:val="26"/>
        </w:rPr>
        <w:t>Grieķijas p</w:t>
      </w:r>
      <w:r w:rsidR="00342B16" w:rsidRPr="00342B16">
        <w:rPr>
          <w:sz w:val="28"/>
          <w:szCs w:val="26"/>
        </w:rPr>
        <w:t>rezidentūrai</w:t>
      </w:r>
      <w:r w:rsidR="003D097B">
        <w:rPr>
          <w:sz w:val="28"/>
          <w:szCs w:val="26"/>
        </w:rPr>
        <w:t xml:space="preserve"> (turpmāk - Prezidentūra)</w:t>
      </w:r>
      <w:r w:rsidR="00342B16" w:rsidRPr="00342B16">
        <w:rPr>
          <w:sz w:val="28"/>
          <w:szCs w:val="26"/>
        </w:rPr>
        <w:t xml:space="preserve"> par ieguldīto darbu priekšlikuma izstrādē par Komercnoslēpuma d</w:t>
      </w:r>
      <w:r w:rsidR="00906EEA">
        <w:rPr>
          <w:sz w:val="28"/>
          <w:szCs w:val="26"/>
        </w:rPr>
        <w:t>irektīvu, kā arī tā precizēšanā</w:t>
      </w:r>
      <w:r w:rsidR="00342B16" w:rsidRPr="00342B16">
        <w:rPr>
          <w:sz w:val="28"/>
          <w:szCs w:val="26"/>
        </w:rPr>
        <w:t>.</w:t>
      </w:r>
    </w:p>
    <w:p w:rsidR="00342B16" w:rsidRPr="00342B16" w:rsidRDefault="00906EEA" w:rsidP="00342B16">
      <w:pPr>
        <w:jc w:val="both"/>
        <w:rPr>
          <w:sz w:val="28"/>
          <w:szCs w:val="26"/>
        </w:rPr>
      </w:pPr>
      <w:r>
        <w:rPr>
          <w:sz w:val="28"/>
          <w:szCs w:val="26"/>
        </w:rPr>
        <w:tab/>
      </w:r>
      <w:r w:rsidRPr="00906EEA">
        <w:rPr>
          <w:sz w:val="28"/>
          <w:szCs w:val="26"/>
        </w:rPr>
        <w:t xml:space="preserve">Latvija kopumā atbalsta kompromisa variantu un atbalsta vispārējās pieejas apstiprināšanu 26.maija Konkurētspējas ministru padomes sanāksmē, kā arī </w:t>
      </w:r>
      <w:proofErr w:type="spellStart"/>
      <w:r w:rsidRPr="00906EEA">
        <w:rPr>
          <w:sz w:val="28"/>
          <w:szCs w:val="26"/>
        </w:rPr>
        <w:t>trialoga</w:t>
      </w:r>
      <w:proofErr w:type="spellEnd"/>
      <w:r w:rsidRPr="00906EEA">
        <w:rPr>
          <w:sz w:val="28"/>
          <w:szCs w:val="26"/>
        </w:rPr>
        <w:t xml:space="preserve"> uzsākšanu, lai panāktu vienošanos par direktīvu 1.lasījumā.</w:t>
      </w:r>
      <w:r w:rsidR="00342B16" w:rsidRPr="00342B16">
        <w:rPr>
          <w:sz w:val="28"/>
          <w:szCs w:val="26"/>
        </w:rPr>
        <w:t xml:space="preserve"> </w:t>
      </w:r>
    </w:p>
    <w:p w:rsidR="00342B16" w:rsidRPr="00342B16" w:rsidRDefault="006F3D48" w:rsidP="00342B16">
      <w:pPr>
        <w:jc w:val="both"/>
        <w:rPr>
          <w:sz w:val="28"/>
          <w:szCs w:val="26"/>
        </w:rPr>
      </w:pPr>
      <w:r>
        <w:rPr>
          <w:sz w:val="28"/>
          <w:szCs w:val="26"/>
        </w:rPr>
        <w:tab/>
      </w:r>
      <w:r w:rsidR="00342B16" w:rsidRPr="00342B16">
        <w:rPr>
          <w:sz w:val="28"/>
          <w:szCs w:val="26"/>
        </w:rPr>
        <w:t>Latvijas īpašās intereses Komercnoslēpumu direktīvas ietvaros ir šādas:</w:t>
      </w:r>
    </w:p>
    <w:p w:rsidR="00342B16" w:rsidRPr="00342B16" w:rsidRDefault="00342B16" w:rsidP="00342B16">
      <w:pPr>
        <w:jc w:val="both"/>
        <w:rPr>
          <w:sz w:val="28"/>
          <w:szCs w:val="26"/>
        </w:rPr>
      </w:pPr>
      <w:r w:rsidRPr="00342B16">
        <w:rPr>
          <w:sz w:val="28"/>
          <w:szCs w:val="26"/>
        </w:rPr>
        <w:t xml:space="preserve">1) skaidras un saprotamas tiesību normas, kuras vienveidīgi tiks piemērotas praksē visās dalībvalstīs; </w:t>
      </w:r>
    </w:p>
    <w:p w:rsidR="00342B16" w:rsidRPr="00342B16" w:rsidRDefault="00342B16" w:rsidP="00342B16">
      <w:pPr>
        <w:jc w:val="both"/>
        <w:rPr>
          <w:sz w:val="28"/>
          <w:szCs w:val="26"/>
        </w:rPr>
      </w:pPr>
      <w:r w:rsidRPr="00342B16">
        <w:rPr>
          <w:sz w:val="28"/>
          <w:szCs w:val="26"/>
        </w:rPr>
        <w:t xml:space="preserve">2) vienotas konsekventas terminoloģijas lietošana, kas nodrošinās vienotu interpretāciju, piemērojot direktīvu praksē; </w:t>
      </w:r>
    </w:p>
    <w:p w:rsidR="00342B16" w:rsidRDefault="00342B16" w:rsidP="00342B16">
      <w:pPr>
        <w:jc w:val="both"/>
        <w:rPr>
          <w:sz w:val="28"/>
          <w:szCs w:val="26"/>
        </w:rPr>
      </w:pPr>
      <w:r w:rsidRPr="00342B16">
        <w:rPr>
          <w:sz w:val="28"/>
          <w:szCs w:val="26"/>
        </w:rPr>
        <w:t>3) minimālais harmonizācijas līmenis direktīvā, kas ļauj dalībvalstīm iespēju noteikt stingrāku regulējumu nacionālajos tiesību aktos.</w:t>
      </w:r>
    </w:p>
    <w:p w:rsidR="00342B16" w:rsidRPr="00264C71" w:rsidRDefault="00342B16" w:rsidP="00811DD9">
      <w:pPr>
        <w:jc w:val="both"/>
        <w:rPr>
          <w:sz w:val="28"/>
          <w:szCs w:val="26"/>
        </w:rPr>
      </w:pPr>
    </w:p>
    <w:p w:rsidR="00897AEF" w:rsidRPr="002973F7" w:rsidRDefault="00343912" w:rsidP="00343912">
      <w:pPr>
        <w:pStyle w:val="ListParagraph"/>
        <w:numPr>
          <w:ilvl w:val="1"/>
          <w:numId w:val="19"/>
        </w:numPr>
        <w:pBdr>
          <w:bottom w:val="single" w:sz="4" w:space="1" w:color="auto"/>
        </w:pBdr>
        <w:tabs>
          <w:tab w:val="left" w:pos="284"/>
        </w:tabs>
        <w:jc w:val="both"/>
        <w:rPr>
          <w:i/>
          <w:sz w:val="28"/>
          <w:szCs w:val="28"/>
        </w:rPr>
      </w:pPr>
      <w:r w:rsidRPr="00343912">
        <w:rPr>
          <w:b/>
          <w:sz w:val="28"/>
          <w:szCs w:val="28"/>
        </w:rPr>
        <w:t>Eiropas pr</w:t>
      </w:r>
      <w:r>
        <w:rPr>
          <w:b/>
          <w:sz w:val="28"/>
          <w:szCs w:val="28"/>
        </w:rPr>
        <w:t>eču zīmju sistēmas pārskatīšana</w:t>
      </w:r>
      <w:r w:rsidR="00AB05BE" w:rsidRPr="002973F7">
        <w:rPr>
          <w:b/>
          <w:sz w:val="28"/>
          <w:szCs w:val="28"/>
        </w:rPr>
        <w:t xml:space="preserve"> </w:t>
      </w:r>
      <w:r w:rsidR="0070096F" w:rsidRPr="002973F7">
        <w:rPr>
          <w:i/>
          <w:sz w:val="28"/>
          <w:szCs w:val="28"/>
        </w:rPr>
        <w:t>(</w:t>
      </w:r>
      <w:r>
        <w:rPr>
          <w:i/>
          <w:sz w:val="28"/>
          <w:szCs w:val="28"/>
        </w:rPr>
        <w:t>T</w:t>
      </w:r>
      <w:r w:rsidR="0070096F" w:rsidRPr="002973F7">
        <w:rPr>
          <w:i/>
          <w:sz w:val="28"/>
          <w:szCs w:val="28"/>
        </w:rPr>
        <w:t>M kompetence</w:t>
      </w:r>
      <w:r w:rsidR="00AB05BE" w:rsidRPr="002973F7">
        <w:rPr>
          <w:i/>
          <w:sz w:val="28"/>
          <w:szCs w:val="28"/>
        </w:rPr>
        <w:t>)</w:t>
      </w:r>
    </w:p>
    <w:p w:rsidR="002973F7" w:rsidRPr="002973F7" w:rsidRDefault="00343912" w:rsidP="00343912">
      <w:pPr>
        <w:pStyle w:val="ListParagraph"/>
        <w:numPr>
          <w:ilvl w:val="0"/>
          <w:numId w:val="22"/>
        </w:numPr>
        <w:pBdr>
          <w:bottom w:val="single" w:sz="4" w:space="1" w:color="auto"/>
        </w:pBdr>
        <w:tabs>
          <w:tab w:val="left" w:pos="284"/>
        </w:tabs>
        <w:jc w:val="both"/>
        <w:rPr>
          <w:i/>
          <w:sz w:val="28"/>
          <w:szCs w:val="28"/>
        </w:rPr>
      </w:pPr>
      <w:r w:rsidRPr="00343912">
        <w:rPr>
          <w:i/>
          <w:sz w:val="28"/>
          <w:szCs w:val="28"/>
        </w:rPr>
        <w:t xml:space="preserve">Priekšlikums – Eiropas Parlamenta u Padomes Regula, ar ko groza Padomes Regulu (EK) </w:t>
      </w:r>
      <w:proofErr w:type="spellStart"/>
      <w:r w:rsidRPr="00343912">
        <w:rPr>
          <w:i/>
          <w:sz w:val="28"/>
          <w:szCs w:val="28"/>
        </w:rPr>
        <w:t>Nr</w:t>
      </w:r>
      <w:proofErr w:type="spellEnd"/>
      <w:r w:rsidRPr="00343912">
        <w:rPr>
          <w:i/>
          <w:sz w:val="28"/>
          <w:szCs w:val="28"/>
        </w:rPr>
        <w:t>. 2</w:t>
      </w:r>
      <w:r>
        <w:rPr>
          <w:i/>
          <w:sz w:val="28"/>
          <w:szCs w:val="28"/>
        </w:rPr>
        <w:t>07/2009 par Kopienas preču zīmi</w:t>
      </w:r>
    </w:p>
    <w:p w:rsidR="002973F7" w:rsidRPr="002973F7" w:rsidRDefault="00343912" w:rsidP="00343912">
      <w:pPr>
        <w:pStyle w:val="ListParagraph"/>
        <w:numPr>
          <w:ilvl w:val="0"/>
          <w:numId w:val="22"/>
        </w:numPr>
        <w:pBdr>
          <w:bottom w:val="single" w:sz="4" w:space="1" w:color="auto"/>
        </w:pBdr>
        <w:tabs>
          <w:tab w:val="left" w:pos="284"/>
        </w:tabs>
        <w:jc w:val="both"/>
        <w:rPr>
          <w:i/>
          <w:sz w:val="28"/>
          <w:szCs w:val="28"/>
        </w:rPr>
      </w:pPr>
      <w:r w:rsidRPr="00343912">
        <w:rPr>
          <w:i/>
          <w:sz w:val="28"/>
          <w:szCs w:val="28"/>
        </w:rPr>
        <w:t>Priekšlikums – Eiropas Parlamenta un Padomes Direktīva, ar ko tuvina dalībvalstu tiesību aktus attiecībā uz preču zīmēm (Pārstrādāta re</w:t>
      </w:r>
      <w:r>
        <w:rPr>
          <w:i/>
          <w:sz w:val="28"/>
          <w:szCs w:val="28"/>
        </w:rPr>
        <w:t>dakcija)</w:t>
      </w:r>
    </w:p>
    <w:p w:rsidR="00DE50F6" w:rsidRPr="00264C71" w:rsidRDefault="00DE50F6" w:rsidP="00DE50F6">
      <w:pPr>
        <w:jc w:val="both"/>
        <w:rPr>
          <w:bCs/>
          <w:i/>
          <w:sz w:val="28"/>
        </w:rPr>
      </w:pPr>
      <w:r w:rsidRPr="00264C71">
        <w:rPr>
          <w:bCs/>
          <w:i/>
          <w:sz w:val="28"/>
        </w:rPr>
        <w:t>–</w:t>
      </w:r>
      <w:r w:rsidR="00343912" w:rsidRPr="00343912">
        <w:rPr>
          <w:bCs/>
          <w:i/>
          <w:sz w:val="28"/>
        </w:rPr>
        <w:t>progresa ziņojums</w:t>
      </w:r>
    </w:p>
    <w:p w:rsidR="00DE50F6" w:rsidRPr="00264C71" w:rsidRDefault="00DE50F6" w:rsidP="00DE50F6">
      <w:pPr>
        <w:jc w:val="both"/>
        <w:rPr>
          <w:bCs/>
          <w:sz w:val="28"/>
          <w:highlight w:val="yellow"/>
        </w:rPr>
      </w:pPr>
    </w:p>
    <w:p w:rsidR="00B42764" w:rsidRDefault="003D097B" w:rsidP="00B42764">
      <w:pPr>
        <w:ind w:right="37" w:firstLine="720"/>
        <w:jc w:val="both"/>
        <w:rPr>
          <w:sz w:val="28"/>
          <w:szCs w:val="28"/>
        </w:rPr>
      </w:pPr>
      <w:r>
        <w:rPr>
          <w:sz w:val="28"/>
          <w:szCs w:val="28"/>
        </w:rPr>
        <w:t>EK</w:t>
      </w:r>
      <w:r w:rsidR="00B42764">
        <w:rPr>
          <w:b/>
          <w:sz w:val="28"/>
          <w:szCs w:val="28"/>
        </w:rPr>
        <w:t xml:space="preserve"> </w:t>
      </w:r>
      <w:r w:rsidR="00B42764">
        <w:rPr>
          <w:sz w:val="28"/>
          <w:szCs w:val="28"/>
        </w:rPr>
        <w:t xml:space="preserve">priekšlikuma Eiropas Parlamenta un Padomes </w:t>
      </w:r>
      <w:r w:rsidR="00B42764">
        <w:rPr>
          <w:iCs/>
          <w:sz w:val="28"/>
          <w:szCs w:val="28"/>
        </w:rPr>
        <w:t>Direktīvai, ar ko tuvina dalībvalstu tiesību</w:t>
      </w:r>
      <w:r w:rsidR="00F608A4">
        <w:rPr>
          <w:iCs/>
          <w:sz w:val="28"/>
          <w:szCs w:val="28"/>
        </w:rPr>
        <w:t xml:space="preserve"> aktus attiecībā uz preču zīmēm (turpmāk – direktīva) </w:t>
      </w:r>
      <w:r w:rsidR="00B42764">
        <w:rPr>
          <w:iCs/>
          <w:sz w:val="28"/>
          <w:szCs w:val="28"/>
        </w:rPr>
        <w:t xml:space="preserve">un </w:t>
      </w:r>
      <w:r w:rsidR="00976A48">
        <w:rPr>
          <w:iCs/>
          <w:sz w:val="28"/>
          <w:szCs w:val="28"/>
        </w:rPr>
        <w:t>EK</w:t>
      </w:r>
      <w:r w:rsidR="00B42764">
        <w:rPr>
          <w:iCs/>
          <w:sz w:val="28"/>
          <w:szCs w:val="28"/>
        </w:rPr>
        <w:t xml:space="preserve"> priekšlikuma Eiropas Parlamenta un Padomes</w:t>
      </w:r>
      <w:r w:rsidR="00B42764">
        <w:rPr>
          <w:sz w:val="28"/>
          <w:szCs w:val="28"/>
        </w:rPr>
        <w:t xml:space="preserve"> R</w:t>
      </w:r>
      <w:r w:rsidR="00B42764">
        <w:rPr>
          <w:sz w:val="28"/>
          <w:szCs w:val="28"/>
          <w:lang w:eastAsia="ar-SA"/>
        </w:rPr>
        <w:t xml:space="preserve">egulai, </w:t>
      </w:r>
      <w:r w:rsidR="00B42764">
        <w:rPr>
          <w:sz w:val="28"/>
          <w:szCs w:val="28"/>
        </w:rPr>
        <w:t xml:space="preserve">ar ko </w:t>
      </w:r>
      <w:r w:rsidR="00B42764">
        <w:rPr>
          <w:iCs/>
          <w:sz w:val="28"/>
          <w:szCs w:val="28"/>
        </w:rPr>
        <w:t xml:space="preserve">groza Padomes regulu (EK) Nr.207/2009 par Kopienas preču zīmi (turpmāk – regula), </w:t>
      </w:r>
      <w:r w:rsidR="00B42764">
        <w:rPr>
          <w:sz w:val="28"/>
          <w:szCs w:val="28"/>
        </w:rPr>
        <w:t xml:space="preserve">mērķis ir veicināt inovāciju un ekonomikas izaugsmi, padarot preču zīmju reģistrācijas sistēmas uzņēmumiem pieejamākas un efektīvākas visā </w:t>
      </w:r>
      <w:r>
        <w:rPr>
          <w:sz w:val="28"/>
          <w:szCs w:val="28"/>
        </w:rPr>
        <w:t>ES</w:t>
      </w:r>
      <w:r w:rsidR="00B42764">
        <w:rPr>
          <w:sz w:val="28"/>
          <w:szCs w:val="28"/>
        </w:rPr>
        <w:t xml:space="preserve">, risinot jautājumus par zemākām izmaksām un mazāku sarežģītību, procedūru tuvināšanu, precizēšanu un paātrināšanu, lielāku </w:t>
      </w:r>
      <w:proofErr w:type="spellStart"/>
      <w:r w:rsidR="00B42764">
        <w:rPr>
          <w:sz w:val="28"/>
          <w:szCs w:val="28"/>
        </w:rPr>
        <w:t>paredzamību</w:t>
      </w:r>
      <w:proofErr w:type="spellEnd"/>
      <w:r w:rsidR="00B42764">
        <w:rPr>
          <w:sz w:val="28"/>
          <w:szCs w:val="28"/>
        </w:rPr>
        <w:t xml:space="preserve"> un juridisko noteiktību.</w:t>
      </w:r>
    </w:p>
    <w:p w:rsidR="00B42764" w:rsidRDefault="00B42764" w:rsidP="00B42764">
      <w:pPr>
        <w:ind w:right="37" w:firstLine="720"/>
        <w:jc w:val="both"/>
        <w:rPr>
          <w:sz w:val="28"/>
          <w:szCs w:val="28"/>
        </w:rPr>
      </w:pPr>
      <w:r>
        <w:rPr>
          <w:noProof/>
          <w:sz w:val="28"/>
          <w:szCs w:val="28"/>
        </w:rPr>
        <w:t xml:space="preserve">Atbilstoši pašreizējam tiesiskajam regulējumam preču zīmju reģistrēšanas sistēmu īpatnības, procedūras detaļas un efektivitāte dažādās Eiropas Savienības dalībvalstīs var atšķirties, tādējādi radot šķēršļus to </w:t>
      </w:r>
      <w:r>
        <w:rPr>
          <w:noProof/>
          <w:sz w:val="28"/>
          <w:szCs w:val="28"/>
        </w:rPr>
        <w:lastRenderedPageBreak/>
        <w:t>pieejamībai un kvalitātei.</w:t>
      </w:r>
      <w:r>
        <w:rPr>
          <w:sz w:val="28"/>
          <w:szCs w:val="28"/>
        </w:rPr>
        <w:t xml:space="preserve"> Līdz ar direktīvas un regulas pieņemšanu ir paredzēts mazināt preču zīmju reģistrēšanas sistēmu sarežģītību, precizējot procedūras, uzlabojot juridisko noteiktību un </w:t>
      </w:r>
      <w:proofErr w:type="spellStart"/>
      <w:r>
        <w:rPr>
          <w:sz w:val="28"/>
          <w:szCs w:val="28"/>
        </w:rPr>
        <w:t>paredzamību</w:t>
      </w:r>
      <w:proofErr w:type="spellEnd"/>
      <w:r>
        <w:rPr>
          <w:sz w:val="28"/>
          <w:szCs w:val="28"/>
        </w:rPr>
        <w:t>, un tādējādi radot mūsdienīgu, konsekventu un visaptverošu mehānismu preču zīmju aizsardzībai.</w:t>
      </w:r>
    </w:p>
    <w:p w:rsidR="009403BB" w:rsidRPr="00E128DA" w:rsidRDefault="009403BB" w:rsidP="00A25F66">
      <w:pPr>
        <w:pStyle w:val="BodyText2"/>
        <w:jc w:val="both"/>
        <w:rPr>
          <w:b/>
          <w:bCs/>
          <w:i/>
          <w:sz w:val="28"/>
        </w:rPr>
      </w:pPr>
    </w:p>
    <w:p w:rsidR="009403BB" w:rsidRPr="003D70C6" w:rsidRDefault="009403BB" w:rsidP="009403BB">
      <w:pPr>
        <w:spacing w:before="120" w:after="120"/>
        <w:jc w:val="both"/>
        <w:rPr>
          <w:rFonts w:eastAsia="Calibri"/>
          <w:b/>
          <w:sz w:val="28"/>
          <w:szCs w:val="28"/>
          <w:u w:val="single"/>
          <w:lang w:eastAsia="en-US"/>
        </w:rPr>
      </w:pPr>
      <w:r w:rsidRPr="003D70C6">
        <w:rPr>
          <w:rFonts w:eastAsia="Calibri"/>
          <w:b/>
          <w:sz w:val="28"/>
          <w:szCs w:val="28"/>
          <w:u w:val="single"/>
          <w:lang w:eastAsia="en-US"/>
        </w:rPr>
        <w:t xml:space="preserve">Latvijas </w:t>
      </w:r>
      <w:r w:rsidR="00B42764">
        <w:rPr>
          <w:rFonts w:eastAsia="Calibri"/>
          <w:b/>
          <w:sz w:val="28"/>
          <w:szCs w:val="28"/>
          <w:u w:val="single"/>
          <w:lang w:eastAsia="en-US"/>
        </w:rPr>
        <w:t>pozīcija</w:t>
      </w:r>
      <w:r w:rsidRPr="003D70C6">
        <w:rPr>
          <w:rFonts w:eastAsia="Calibri"/>
          <w:b/>
          <w:sz w:val="28"/>
          <w:szCs w:val="28"/>
          <w:u w:val="single"/>
          <w:lang w:eastAsia="en-US"/>
        </w:rPr>
        <w:t>:</w:t>
      </w:r>
      <w:r w:rsidR="00BD7248">
        <w:rPr>
          <w:rStyle w:val="FootnoteReference"/>
          <w:rFonts w:eastAsia="Calibri"/>
          <w:b/>
          <w:sz w:val="28"/>
          <w:szCs w:val="28"/>
          <w:u w:val="single"/>
          <w:lang w:eastAsia="en-US"/>
        </w:rPr>
        <w:footnoteReference w:id="1"/>
      </w:r>
    </w:p>
    <w:p w:rsidR="00B42764" w:rsidRDefault="00B42764" w:rsidP="00B42764">
      <w:pPr>
        <w:ind w:firstLine="720"/>
        <w:jc w:val="both"/>
        <w:rPr>
          <w:rFonts w:eastAsia="Calibri"/>
          <w:sz w:val="28"/>
          <w:szCs w:val="28"/>
        </w:rPr>
      </w:pPr>
      <w:r>
        <w:rPr>
          <w:rFonts w:eastAsia="Calibri"/>
          <w:sz w:val="28"/>
          <w:szCs w:val="28"/>
        </w:rPr>
        <w:t>Ņemot vērā nepieciešamību izveidot vienotu, labāk saskaņotu preču zīmju aizsardzības regulējumu, Latvija konceptuāli atbalsta direktīvas un regulas priekšlikumu pārstrādātās redakcijas, jo:</w:t>
      </w:r>
    </w:p>
    <w:p w:rsidR="00B42764" w:rsidRDefault="00B42764" w:rsidP="00B42764">
      <w:pPr>
        <w:numPr>
          <w:ilvl w:val="0"/>
          <w:numId w:val="32"/>
        </w:numPr>
        <w:tabs>
          <w:tab w:val="left" w:pos="1134"/>
        </w:tabs>
        <w:ind w:left="0" w:firstLine="709"/>
        <w:jc w:val="both"/>
        <w:rPr>
          <w:rFonts w:eastAsia="Calibri"/>
          <w:sz w:val="28"/>
          <w:szCs w:val="28"/>
        </w:rPr>
      </w:pPr>
      <w:r>
        <w:rPr>
          <w:sz w:val="28"/>
          <w:szCs w:val="28"/>
        </w:rPr>
        <w:t>ar pārstrādāto direktīvas priekšlikuma redakciju ir palielināta juridiskā noteiktība un izskaidrotas preču zīmju tiesības attiecībā uz to apjomu un ierobežojumiem;</w:t>
      </w:r>
    </w:p>
    <w:p w:rsidR="00B42764" w:rsidRDefault="00B42764" w:rsidP="00B42764">
      <w:pPr>
        <w:numPr>
          <w:ilvl w:val="0"/>
          <w:numId w:val="32"/>
        </w:numPr>
        <w:tabs>
          <w:tab w:val="left" w:pos="1134"/>
        </w:tabs>
        <w:ind w:left="0" w:firstLine="709"/>
        <w:jc w:val="both"/>
        <w:rPr>
          <w:rFonts w:eastAsia="Calibri"/>
          <w:sz w:val="28"/>
          <w:szCs w:val="28"/>
        </w:rPr>
      </w:pPr>
      <w:r>
        <w:rPr>
          <w:sz w:val="28"/>
          <w:szCs w:val="28"/>
        </w:rPr>
        <w:t>tiek sekmēta uz brīvprātības pamatiem balstīta sadarbība starp dalībvalstu preču zīmju reģistrācijas iestādēm un Iekšējā tirgus saskaņošanas biroju (ITSB), lai veicinātu prakses konverģenci un kopīgu instrumentu izstrādi, nosakot juridisko pamatu šādai sadarbībai valstu preču zīmju tiesību aktu un procedūru lielākas tuvināšanas nolūkā tās tiktu padarītas saskanīgākas ar Kopienas preču zīmju sistēmu, pievienojot būtiskus papildu noteikumus, kā arī ieviešot svarīgus procesuālus noteikumus;</w:t>
      </w:r>
    </w:p>
    <w:p w:rsidR="00B42764" w:rsidRDefault="00B42764" w:rsidP="00B42764">
      <w:pPr>
        <w:numPr>
          <w:ilvl w:val="0"/>
          <w:numId w:val="32"/>
        </w:numPr>
        <w:tabs>
          <w:tab w:val="left" w:pos="1134"/>
        </w:tabs>
        <w:ind w:left="0" w:firstLine="709"/>
        <w:jc w:val="both"/>
        <w:rPr>
          <w:rFonts w:eastAsia="Calibri"/>
          <w:sz w:val="28"/>
          <w:szCs w:val="28"/>
        </w:rPr>
      </w:pPr>
      <w:r>
        <w:rPr>
          <w:bCs/>
          <w:sz w:val="28"/>
          <w:szCs w:val="28"/>
        </w:rPr>
        <w:t>pārstrādātajā regulas priekšlikuma redakcijā</w:t>
      </w:r>
      <w:r>
        <w:rPr>
          <w:b/>
          <w:bCs/>
          <w:sz w:val="28"/>
          <w:szCs w:val="28"/>
        </w:rPr>
        <w:t xml:space="preserve"> </w:t>
      </w:r>
      <w:r>
        <w:rPr>
          <w:sz w:val="28"/>
          <w:szCs w:val="28"/>
        </w:rPr>
        <w:t xml:space="preserve">ir </w:t>
      </w:r>
      <w:r>
        <w:rPr>
          <w:bCs/>
          <w:sz w:val="28"/>
          <w:szCs w:val="28"/>
        </w:rPr>
        <w:t>dzēsti pilnīgi visi</w:t>
      </w:r>
      <w:r>
        <w:rPr>
          <w:b/>
          <w:bCs/>
          <w:sz w:val="28"/>
          <w:szCs w:val="28"/>
        </w:rPr>
        <w:t xml:space="preserve"> </w:t>
      </w:r>
      <w:r>
        <w:rPr>
          <w:sz w:val="28"/>
          <w:szCs w:val="28"/>
        </w:rPr>
        <w:t xml:space="preserve">pilnvarojumi </w:t>
      </w:r>
      <w:r w:rsidR="003D097B">
        <w:rPr>
          <w:sz w:val="28"/>
          <w:szCs w:val="28"/>
        </w:rPr>
        <w:t>EK</w:t>
      </w:r>
      <w:r>
        <w:rPr>
          <w:sz w:val="28"/>
          <w:szCs w:val="28"/>
        </w:rPr>
        <w:t xml:space="preserve"> pieņemt deleģētos aktus;</w:t>
      </w:r>
    </w:p>
    <w:p w:rsidR="00B42764" w:rsidRDefault="00B42764" w:rsidP="00B42764">
      <w:pPr>
        <w:numPr>
          <w:ilvl w:val="0"/>
          <w:numId w:val="32"/>
        </w:numPr>
        <w:tabs>
          <w:tab w:val="left" w:pos="1134"/>
        </w:tabs>
        <w:ind w:left="0" w:firstLine="709"/>
        <w:jc w:val="both"/>
        <w:rPr>
          <w:sz w:val="28"/>
          <w:szCs w:val="28"/>
        </w:rPr>
      </w:pPr>
      <w:r>
        <w:rPr>
          <w:sz w:val="28"/>
          <w:szCs w:val="28"/>
        </w:rPr>
        <w:t>ar pārstrādāto regulas priekšlikuma redakciju tiktu nodrošināts, ka ITSB iekasētais finansējums novirzāms ITSB un nozares attīstībai, nevis ES kopējā budžetā, kā tas ir paredzēts Eiropas Komisijas priekšlikumā;</w:t>
      </w:r>
    </w:p>
    <w:p w:rsidR="00B42764" w:rsidRDefault="00B42764" w:rsidP="00B42764">
      <w:pPr>
        <w:numPr>
          <w:ilvl w:val="0"/>
          <w:numId w:val="32"/>
        </w:numPr>
        <w:tabs>
          <w:tab w:val="left" w:pos="1134"/>
        </w:tabs>
        <w:ind w:left="0" w:firstLine="709"/>
        <w:jc w:val="both"/>
        <w:rPr>
          <w:rFonts w:eastAsia="Calibri"/>
          <w:sz w:val="28"/>
          <w:szCs w:val="28"/>
        </w:rPr>
      </w:pPr>
      <w:r>
        <w:rPr>
          <w:sz w:val="28"/>
          <w:szCs w:val="28"/>
        </w:rPr>
        <w:t xml:space="preserve">tiek vienkāršotas Eiropas preču zīmju pieteikšanas un reģistrēšanas procedūras, nosakot </w:t>
      </w:r>
      <w:r>
        <w:rPr>
          <w:rFonts w:eastAsia="Calibri"/>
          <w:sz w:val="28"/>
          <w:szCs w:val="28"/>
        </w:rPr>
        <w:t>preču zīmes pieteikuma maksas piemērošanu par katru preču/pakalpojumu klasi, vienlaikus paredzot papildu maksu par katru nākamo klasi.</w:t>
      </w:r>
    </w:p>
    <w:p w:rsidR="00B42764" w:rsidRDefault="00B42764" w:rsidP="00B42764">
      <w:pPr>
        <w:ind w:right="37" w:firstLine="720"/>
        <w:jc w:val="both"/>
        <w:rPr>
          <w:sz w:val="28"/>
          <w:szCs w:val="28"/>
        </w:rPr>
      </w:pPr>
      <w:r>
        <w:rPr>
          <w:sz w:val="28"/>
          <w:szCs w:val="28"/>
        </w:rPr>
        <w:t xml:space="preserve">Vienlaikus, Latvijas prioritāte reformas ietvaros ir saglabāt nacionālo preču zīmju konkurētspēju salīdzinājumā ar </w:t>
      </w:r>
      <w:r w:rsidR="003D097B">
        <w:rPr>
          <w:sz w:val="28"/>
          <w:szCs w:val="28"/>
        </w:rPr>
        <w:t>ES</w:t>
      </w:r>
      <w:r>
        <w:rPr>
          <w:sz w:val="28"/>
          <w:szCs w:val="28"/>
        </w:rPr>
        <w:t xml:space="preserve"> preču zīmi, nodrošinot to uzņēmumu interešu aizsardzību, kuriem nav nepieciešamības savas preču zīmes aizsargāt ES līmenī, bet kuri ir ieinteresēti nacionālā līmeņa aizsardzībā.</w:t>
      </w:r>
    </w:p>
    <w:p w:rsidR="00664033" w:rsidRDefault="00664033" w:rsidP="00A25F66">
      <w:pPr>
        <w:jc w:val="both"/>
        <w:rPr>
          <w:bCs/>
          <w:iCs/>
          <w:sz w:val="28"/>
        </w:rPr>
      </w:pPr>
    </w:p>
    <w:p w:rsidR="00BD7248" w:rsidRDefault="00BD7248" w:rsidP="00A25F66">
      <w:pPr>
        <w:jc w:val="both"/>
        <w:rPr>
          <w:bCs/>
          <w:iCs/>
          <w:sz w:val="28"/>
        </w:rPr>
      </w:pPr>
    </w:p>
    <w:p w:rsidR="00BD7248" w:rsidRDefault="00BD7248" w:rsidP="00A25F66">
      <w:pPr>
        <w:jc w:val="both"/>
        <w:rPr>
          <w:bCs/>
          <w:iCs/>
          <w:sz w:val="28"/>
        </w:rPr>
      </w:pPr>
    </w:p>
    <w:p w:rsidR="00BD7248" w:rsidRDefault="00BD7248" w:rsidP="00A25F66">
      <w:pPr>
        <w:jc w:val="both"/>
        <w:rPr>
          <w:bCs/>
          <w:iCs/>
          <w:sz w:val="28"/>
        </w:rPr>
      </w:pPr>
    </w:p>
    <w:p w:rsidR="00BD7248" w:rsidRDefault="00BD7248" w:rsidP="00A25F66">
      <w:pPr>
        <w:jc w:val="both"/>
        <w:rPr>
          <w:bCs/>
          <w:iCs/>
          <w:sz w:val="28"/>
        </w:rPr>
      </w:pPr>
    </w:p>
    <w:p w:rsidR="00BD7248" w:rsidRDefault="00BD7248" w:rsidP="00A25F66">
      <w:pPr>
        <w:jc w:val="both"/>
        <w:rPr>
          <w:bCs/>
          <w:iCs/>
          <w:sz w:val="28"/>
        </w:rPr>
      </w:pPr>
    </w:p>
    <w:p w:rsidR="00BD7248" w:rsidRDefault="00BD7248" w:rsidP="00A25F66">
      <w:pPr>
        <w:jc w:val="both"/>
        <w:rPr>
          <w:bCs/>
          <w:iCs/>
          <w:sz w:val="28"/>
        </w:rPr>
      </w:pPr>
    </w:p>
    <w:p w:rsidR="00A25F66" w:rsidRPr="00A25F66" w:rsidRDefault="00A25F66" w:rsidP="00A25F66">
      <w:pPr>
        <w:pStyle w:val="ListParagraph"/>
        <w:numPr>
          <w:ilvl w:val="1"/>
          <w:numId w:val="19"/>
        </w:numPr>
        <w:pBdr>
          <w:bottom w:val="single" w:sz="4" w:space="1" w:color="auto"/>
        </w:pBdr>
        <w:tabs>
          <w:tab w:val="left" w:pos="284"/>
        </w:tabs>
        <w:jc w:val="both"/>
        <w:rPr>
          <w:i/>
          <w:sz w:val="28"/>
          <w:szCs w:val="28"/>
        </w:rPr>
      </w:pPr>
      <w:r w:rsidRPr="00A25F66">
        <w:rPr>
          <w:b/>
          <w:sz w:val="28"/>
          <w:szCs w:val="28"/>
        </w:rPr>
        <w:t xml:space="preserve">Priekšlikums – Eiropas Parlamenta un Padomes Direktīva par kompleksiem ceļojumiem un atbalstītiem ceļojumu pakalpojumiem, ar ko groza Regulu (EK) </w:t>
      </w:r>
      <w:proofErr w:type="spellStart"/>
      <w:r w:rsidRPr="00A25F66">
        <w:rPr>
          <w:b/>
          <w:sz w:val="28"/>
          <w:szCs w:val="28"/>
        </w:rPr>
        <w:t>Nr</w:t>
      </w:r>
      <w:proofErr w:type="spellEnd"/>
      <w:r w:rsidRPr="00A25F66">
        <w:rPr>
          <w:b/>
          <w:sz w:val="28"/>
          <w:szCs w:val="28"/>
        </w:rPr>
        <w:t xml:space="preserve">. 2006/2004, Direktīvu 2011/83/ES un atceļ Padomes Direktīvu 90/314/EEK </w:t>
      </w:r>
      <w:r w:rsidRPr="002973F7">
        <w:rPr>
          <w:i/>
          <w:sz w:val="28"/>
          <w:szCs w:val="28"/>
        </w:rPr>
        <w:t>(</w:t>
      </w:r>
      <w:r>
        <w:rPr>
          <w:i/>
          <w:sz w:val="28"/>
          <w:szCs w:val="28"/>
        </w:rPr>
        <w:t>E</w:t>
      </w:r>
      <w:r w:rsidRPr="002973F7">
        <w:rPr>
          <w:i/>
          <w:sz w:val="28"/>
          <w:szCs w:val="28"/>
        </w:rPr>
        <w:t>M kompetence)</w:t>
      </w:r>
    </w:p>
    <w:p w:rsidR="00A25F66" w:rsidRPr="00264C71" w:rsidRDefault="00A25F66" w:rsidP="00A25F66">
      <w:pPr>
        <w:jc w:val="both"/>
        <w:rPr>
          <w:bCs/>
          <w:i/>
          <w:sz w:val="28"/>
        </w:rPr>
      </w:pPr>
      <w:r w:rsidRPr="00264C71">
        <w:rPr>
          <w:bCs/>
          <w:i/>
          <w:sz w:val="28"/>
        </w:rPr>
        <w:t>–</w:t>
      </w:r>
      <w:r w:rsidRPr="00343912">
        <w:rPr>
          <w:bCs/>
          <w:i/>
          <w:sz w:val="28"/>
        </w:rPr>
        <w:t>progresa ziņojums</w:t>
      </w:r>
    </w:p>
    <w:p w:rsidR="00A25F66" w:rsidRDefault="00A25F66" w:rsidP="00A25F66">
      <w:pPr>
        <w:jc w:val="both"/>
        <w:rPr>
          <w:bCs/>
          <w:sz w:val="28"/>
          <w:highlight w:val="yellow"/>
        </w:rPr>
      </w:pPr>
    </w:p>
    <w:p w:rsidR="00287A6A" w:rsidRPr="00287A6A" w:rsidRDefault="00B743B8" w:rsidP="00287A6A">
      <w:pPr>
        <w:jc w:val="both"/>
        <w:rPr>
          <w:bCs/>
          <w:sz w:val="28"/>
        </w:rPr>
      </w:pPr>
      <w:r>
        <w:rPr>
          <w:bCs/>
          <w:sz w:val="28"/>
        </w:rPr>
        <w:tab/>
      </w:r>
      <w:r w:rsidR="003D097B">
        <w:rPr>
          <w:bCs/>
          <w:sz w:val="28"/>
        </w:rPr>
        <w:t>Sanāksmē</w:t>
      </w:r>
      <w:r w:rsidR="00287A6A" w:rsidRPr="00287A6A">
        <w:rPr>
          <w:bCs/>
          <w:sz w:val="28"/>
        </w:rPr>
        <w:t xml:space="preserve"> tiks skatīts </w:t>
      </w:r>
      <w:r w:rsidR="003D097B">
        <w:rPr>
          <w:bCs/>
          <w:sz w:val="28"/>
        </w:rPr>
        <w:t>Prezidentūras</w:t>
      </w:r>
      <w:r w:rsidR="00287A6A" w:rsidRPr="00287A6A">
        <w:rPr>
          <w:bCs/>
          <w:sz w:val="28"/>
        </w:rPr>
        <w:t xml:space="preserve"> sagatavotais progresa ziņojums par Priekšlikuma Eiropas Parlamenta un Padomes direktīvai par kompleksiem ceļojumiem un atbalstītiem ceļojumu pakalpojumiem, ar ko groza Regulu (EK) </w:t>
      </w:r>
      <w:proofErr w:type="spellStart"/>
      <w:r w:rsidR="00287A6A" w:rsidRPr="00287A6A">
        <w:rPr>
          <w:bCs/>
          <w:sz w:val="28"/>
        </w:rPr>
        <w:t>Nr</w:t>
      </w:r>
      <w:proofErr w:type="spellEnd"/>
      <w:r w:rsidR="00287A6A" w:rsidRPr="00287A6A">
        <w:rPr>
          <w:bCs/>
          <w:sz w:val="28"/>
        </w:rPr>
        <w:t>. 2006/2004, Direktīvu 2011/83/ES un atceļ Padomes Direktīvu 90/314/EEK virzību.</w:t>
      </w:r>
      <w:r w:rsidR="003D097B">
        <w:rPr>
          <w:bCs/>
          <w:sz w:val="28"/>
        </w:rPr>
        <w:t xml:space="preserve"> </w:t>
      </w:r>
      <w:r w:rsidR="00287A6A" w:rsidRPr="00287A6A">
        <w:rPr>
          <w:bCs/>
          <w:sz w:val="28"/>
        </w:rPr>
        <w:t xml:space="preserve">Jautājums ir informatīva rakstura un </w:t>
      </w:r>
      <w:r w:rsidR="004B295C">
        <w:rPr>
          <w:bCs/>
          <w:sz w:val="28"/>
        </w:rPr>
        <w:t xml:space="preserve">sanāksmē </w:t>
      </w:r>
      <w:r w:rsidR="00287A6A" w:rsidRPr="00287A6A">
        <w:rPr>
          <w:bCs/>
          <w:sz w:val="28"/>
        </w:rPr>
        <w:t xml:space="preserve">diskusijas nav plānotas. </w:t>
      </w:r>
    </w:p>
    <w:p w:rsidR="00287A6A" w:rsidRDefault="00B743B8" w:rsidP="00287A6A">
      <w:pPr>
        <w:jc w:val="both"/>
        <w:rPr>
          <w:bCs/>
          <w:sz w:val="28"/>
        </w:rPr>
      </w:pPr>
      <w:r>
        <w:rPr>
          <w:bCs/>
          <w:sz w:val="28"/>
        </w:rPr>
        <w:tab/>
      </w:r>
      <w:r w:rsidR="00287A6A" w:rsidRPr="00287A6A">
        <w:rPr>
          <w:bCs/>
          <w:sz w:val="28"/>
        </w:rPr>
        <w:t>Būtiskākie un strīdīgākie jautājumi</w:t>
      </w:r>
      <w:r w:rsidR="003D097B">
        <w:rPr>
          <w:bCs/>
          <w:sz w:val="28"/>
        </w:rPr>
        <w:t>, kas</w:t>
      </w:r>
      <w:r w:rsidR="00287A6A" w:rsidRPr="00287A6A">
        <w:rPr>
          <w:bCs/>
          <w:sz w:val="28"/>
        </w:rPr>
        <w:t xml:space="preserve"> identificēti </w:t>
      </w:r>
      <w:r w:rsidR="003D097B">
        <w:rPr>
          <w:bCs/>
          <w:sz w:val="28"/>
        </w:rPr>
        <w:t>Prezidentūras progresa ziņojumā ir harmonizācijas līmenis, priekšlikuma aptvērums un definīcijas, kā arī</w:t>
      </w:r>
      <w:r w:rsidR="00287A6A" w:rsidRPr="00287A6A">
        <w:rPr>
          <w:bCs/>
          <w:sz w:val="28"/>
        </w:rPr>
        <w:t xml:space="preserve"> aizsardzība maksātnespējas gadījumā. Papildus viens no </w:t>
      </w:r>
      <w:r w:rsidR="003D097B">
        <w:rPr>
          <w:bCs/>
          <w:sz w:val="28"/>
        </w:rPr>
        <w:t>svarīgākajiem jautājumiem, kur dalībvalstu</w:t>
      </w:r>
      <w:r w:rsidR="00287A6A" w:rsidRPr="00287A6A">
        <w:rPr>
          <w:bCs/>
          <w:sz w:val="28"/>
        </w:rPr>
        <w:t xml:space="preserve"> viedokļi dalās, ir arī norma par atbildības noteikšanu kompleksā pakalpojuma sniegšanas gadījumā (11.pants).</w:t>
      </w:r>
      <w:r w:rsidR="003D097B">
        <w:rPr>
          <w:bCs/>
          <w:sz w:val="28"/>
        </w:rPr>
        <w:t xml:space="preserve"> </w:t>
      </w:r>
      <w:r w:rsidR="00287A6A" w:rsidRPr="00287A6A">
        <w:rPr>
          <w:bCs/>
          <w:sz w:val="28"/>
        </w:rPr>
        <w:t xml:space="preserve">Līdz šim jautājums virzījies ļoti lēni un projekts ir agrīnā stadijā, </w:t>
      </w:r>
      <w:proofErr w:type="spellStart"/>
      <w:r w:rsidR="00287A6A" w:rsidRPr="00287A6A">
        <w:rPr>
          <w:bCs/>
          <w:sz w:val="28"/>
        </w:rPr>
        <w:t>t.i</w:t>
      </w:r>
      <w:proofErr w:type="spellEnd"/>
      <w:r w:rsidR="00287A6A" w:rsidRPr="00287A6A">
        <w:rPr>
          <w:bCs/>
          <w:sz w:val="28"/>
        </w:rPr>
        <w:t xml:space="preserve">. </w:t>
      </w:r>
      <w:r w:rsidR="003D097B">
        <w:rPr>
          <w:bCs/>
          <w:sz w:val="28"/>
        </w:rPr>
        <w:t>Prezidentūra</w:t>
      </w:r>
      <w:r w:rsidR="00287A6A" w:rsidRPr="00287A6A">
        <w:rPr>
          <w:bCs/>
          <w:sz w:val="28"/>
        </w:rPr>
        <w:t xml:space="preserve"> pabeidza pirmo </w:t>
      </w:r>
      <w:r w:rsidR="003D097B">
        <w:rPr>
          <w:bCs/>
          <w:sz w:val="28"/>
        </w:rPr>
        <w:t>EK</w:t>
      </w:r>
      <w:r w:rsidR="00287A6A" w:rsidRPr="00287A6A">
        <w:rPr>
          <w:bCs/>
          <w:sz w:val="28"/>
        </w:rPr>
        <w:t xml:space="preserve"> oriģinālā priekšlikuma caurskatīšanu ekspertu darba grupas līmenī</w:t>
      </w:r>
      <w:r w:rsidR="003D097B">
        <w:rPr>
          <w:bCs/>
          <w:sz w:val="28"/>
        </w:rPr>
        <w:t xml:space="preserve"> un</w:t>
      </w:r>
      <w:r w:rsidR="00287A6A" w:rsidRPr="00287A6A">
        <w:rPr>
          <w:bCs/>
          <w:sz w:val="28"/>
        </w:rPr>
        <w:t xml:space="preserve"> </w:t>
      </w:r>
      <w:r w:rsidR="003D097B">
        <w:rPr>
          <w:bCs/>
          <w:sz w:val="28"/>
        </w:rPr>
        <w:t>v</w:t>
      </w:r>
      <w:r w:rsidR="00287A6A" w:rsidRPr="00287A6A">
        <w:rPr>
          <w:bCs/>
          <w:sz w:val="28"/>
        </w:rPr>
        <w:t>ēl nav sagatavots pirmais kompromisa piedāvājums.</w:t>
      </w:r>
      <w:r w:rsidR="003D097B">
        <w:rPr>
          <w:bCs/>
          <w:sz w:val="28"/>
        </w:rPr>
        <w:t xml:space="preserve"> Kopumā dalībvalstis</w:t>
      </w:r>
      <w:r w:rsidR="00287A6A" w:rsidRPr="00287A6A">
        <w:rPr>
          <w:bCs/>
          <w:sz w:val="28"/>
        </w:rPr>
        <w:t xml:space="preserve"> atbalsta direktīvas projektu un tā mērķi, vienlaikus viedokļi būtiski atšķiras, jo īpaši pie iepriekšminētajiem svarīgākajiem jautājumiem.</w:t>
      </w:r>
      <w:r w:rsidR="003D097B">
        <w:rPr>
          <w:bCs/>
          <w:sz w:val="28"/>
        </w:rPr>
        <w:t xml:space="preserve"> Savukārt </w:t>
      </w:r>
      <w:r w:rsidR="00287A6A" w:rsidRPr="00287A6A">
        <w:rPr>
          <w:bCs/>
          <w:sz w:val="28"/>
        </w:rPr>
        <w:t>E</w:t>
      </w:r>
      <w:r w:rsidR="003D097B">
        <w:rPr>
          <w:bCs/>
          <w:sz w:val="28"/>
        </w:rPr>
        <w:t xml:space="preserve">iropas Parlaments </w:t>
      </w:r>
      <w:proofErr w:type="spellStart"/>
      <w:r w:rsidR="003D097B">
        <w:rPr>
          <w:bCs/>
          <w:sz w:val="28"/>
        </w:rPr>
        <w:t>š.g</w:t>
      </w:r>
      <w:proofErr w:type="spellEnd"/>
      <w:r w:rsidR="003D097B">
        <w:rPr>
          <w:bCs/>
          <w:sz w:val="28"/>
        </w:rPr>
        <w:t>. 12.martā ir</w:t>
      </w:r>
      <w:r w:rsidR="00287A6A" w:rsidRPr="00287A6A">
        <w:rPr>
          <w:bCs/>
          <w:sz w:val="28"/>
        </w:rPr>
        <w:t xml:space="preserve"> nobalsojis par savu pozīciju 1.lasījumā.</w:t>
      </w:r>
    </w:p>
    <w:p w:rsidR="00287A6A" w:rsidRDefault="00287A6A" w:rsidP="00287A6A">
      <w:pPr>
        <w:jc w:val="both"/>
        <w:rPr>
          <w:bCs/>
          <w:sz w:val="28"/>
        </w:rPr>
      </w:pPr>
    </w:p>
    <w:p w:rsidR="00287A6A" w:rsidRPr="00287A6A" w:rsidRDefault="00287A6A" w:rsidP="00287A6A">
      <w:pPr>
        <w:jc w:val="both"/>
        <w:rPr>
          <w:b/>
          <w:bCs/>
          <w:sz w:val="28"/>
          <w:u w:val="single"/>
        </w:rPr>
      </w:pPr>
      <w:r w:rsidRPr="00287A6A">
        <w:rPr>
          <w:b/>
          <w:bCs/>
          <w:sz w:val="28"/>
          <w:u w:val="single"/>
        </w:rPr>
        <w:t>Latvijas nostāja:</w:t>
      </w:r>
      <w:r w:rsidR="002B5C3A">
        <w:rPr>
          <w:rStyle w:val="FootnoteReference"/>
          <w:b/>
          <w:bCs/>
          <w:sz w:val="28"/>
          <w:u w:val="single"/>
        </w:rPr>
        <w:footnoteReference w:id="2"/>
      </w:r>
    </w:p>
    <w:p w:rsidR="003D097B" w:rsidRDefault="00B743B8" w:rsidP="003D097B">
      <w:pPr>
        <w:jc w:val="both"/>
        <w:rPr>
          <w:bCs/>
          <w:sz w:val="28"/>
        </w:rPr>
      </w:pPr>
      <w:r>
        <w:rPr>
          <w:bCs/>
          <w:sz w:val="28"/>
        </w:rPr>
        <w:tab/>
      </w:r>
      <w:r w:rsidR="003D097B" w:rsidRPr="003D097B">
        <w:rPr>
          <w:bCs/>
          <w:sz w:val="28"/>
        </w:rPr>
        <w:t>Latvija kopumā atbalsta direktīvas projektu, kas paredz uzlabot iekšējā tirgus darbību un sasniegt augstu patērētāju aizsardzības līmeni, tuvinot noteikumus par kompleksajiem ceļojumiem un citām tūrisma pakalpojumu kombinācijām.</w:t>
      </w:r>
    </w:p>
    <w:p w:rsidR="003D097B" w:rsidRPr="003D097B" w:rsidRDefault="003D097B" w:rsidP="003D097B">
      <w:pPr>
        <w:jc w:val="both"/>
        <w:rPr>
          <w:bCs/>
          <w:sz w:val="28"/>
        </w:rPr>
      </w:pPr>
      <w:r>
        <w:rPr>
          <w:bCs/>
          <w:sz w:val="28"/>
        </w:rPr>
        <w:tab/>
      </w:r>
      <w:r w:rsidRPr="003D097B">
        <w:rPr>
          <w:bCs/>
          <w:sz w:val="28"/>
        </w:rPr>
        <w:t>Latvija cer uz ātrāku proje</w:t>
      </w:r>
      <w:r>
        <w:rPr>
          <w:bCs/>
          <w:sz w:val="28"/>
        </w:rPr>
        <w:t>kta izskatīšanas gaitu turpmāk un uz vienošanās panākšanu Itālijas prezidentūras</w:t>
      </w:r>
      <w:r w:rsidRPr="003D097B">
        <w:rPr>
          <w:bCs/>
          <w:sz w:val="28"/>
        </w:rPr>
        <w:t xml:space="preserve"> laikā. Tomēr, ja tas neizdodas, Latvija </w:t>
      </w:r>
      <w:r>
        <w:rPr>
          <w:bCs/>
          <w:sz w:val="28"/>
        </w:rPr>
        <w:t>būs gatava pabeigt diskusijas Latvijas</w:t>
      </w:r>
      <w:r w:rsidRPr="003D097B">
        <w:rPr>
          <w:bCs/>
          <w:sz w:val="28"/>
        </w:rPr>
        <w:t xml:space="preserve"> </w:t>
      </w:r>
      <w:r>
        <w:rPr>
          <w:bCs/>
          <w:sz w:val="28"/>
        </w:rPr>
        <w:t>prezidentūras</w:t>
      </w:r>
      <w:r w:rsidRPr="003D097B">
        <w:rPr>
          <w:bCs/>
          <w:sz w:val="28"/>
        </w:rPr>
        <w:t xml:space="preserve"> laikā.</w:t>
      </w:r>
    </w:p>
    <w:p w:rsidR="003D097B" w:rsidRPr="003D097B" w:rsidRDefault="003D097B" w:rsidP="003D097B">
      <w:pPr>
        <w:jc w:val="both"/>
        <w:rPr>
          <w:bCs/>
          <w:sz w:val="28"/>
        </w:rPr>
      </w:pPr>
      <w:r>
        <w:rPr>
          <w:bCs/>
          <w:sz w:val="28"/>
        </w:rPr>
        <w:tab/>
      </w:r>
      <w:r w:rsidRPr="003D097B">
        <w:rPr>
          <w:bCs/>
          <w:sz w:val="28"/>
        </w:rPr>
        <w:t>Latvijas pozīcija par būtiskākajiem jautājumiem:</w:t>
      </w:r>
    </w:p>
    <w:p w:rsidR="003D097B" w:rsidRPr="003D097B" w:rsidRDefault="003D097B" w:rsidP="003D097B">
      <w:pPr>
        <w:jc w:val="both"/>
        <w:rPr>
          <w:bCs/>
          <w:sz w:val="28"/>
        </w:rPr>
      </w:pPr>
      <w:r w:rsidRPr="003D097B">
        <w:rPr>
          <w:bCs/>
          <w:sz w:val="28"/>
        </w:rPr>
        <w:lastRenderedPageBreak/>
        <w:t xml:space="preserve">- Latvija atbalsta </w:t>
      </w:r>
      <w:r w:rsidR="003345BD">
        <w:rPr>
          <w:bCs/>
          <w:sz w:val="28"/>
        </w:rPr>
        <w:t>EK</w:t>
      </w:r>
      <w:r w:rsidRPr="003D097B">
        <w:rPr>
          <w:bCs/>
          <w:sz w:val="28"/>
        </w:rPr>
        <w:t xml:space="preserve"> pieeju par iespējami augstu harmonizācijas līmeni, kas nodrošina labāku iekšējā tirgus darbību, </w:t>
      </w:r>
      <w:r w:rsidR="003345BD">
        <w:rPr>
          <w:bCs/>
          <w:sz w:val="28"/>
        </w:rPr>
        <w:t xml:space="preserve">un </w:t>
      </w:r>
      <w:r w:rsidRPr="003D097B">
        <w:rPr>
          <w:bCs/>
          <w:sz w:val="28"/>
        </w:rPr>
        <w:t>vienlaikus augstu aizsardzību un skaidrību patērētājiem.</w:t>
      </w:r>
    </w:p>
    <w:p w:rsidR="003D097B" w:rsidRPr="003D097B" w:rsidRDefault="003D097B" w:rsidP="003D097B">
      <w:pPr>
        <w:jc w:val="both"/>
        <w:rPr>
          <w:bCs/>
          <w:sz w:val="28"/>
        </w:rPr>
      </w:pPr>
      <w:r w:rsidRPr="003D097B">
        <w:rPr>
          <w:bCs/>
          <w:sz w:val="28"/>
        </w:rPr>
        <w:t xml:space="preserve">- Latvija piesardzīgi vērtē 15.panta regulējumu par valsts pienākumu nodrošināt ceļotāju iemaksātās naudas atmaksāšanu ceļojuma pakalpojumu sniedzēja maksātnespējas gadījumā. </w:t>
      </w:r>
    </w:p>
    <w:p w:rsidR="003D097B" w:rsidRPr="003D097B" w:rsidRDefault="003D097B" w:rsidP="003D097B">
      <w:pPr>
        <w:jc w:val="both"/>
        <w:rPr>
          <w:bCs/>
          <w:sz w:val="28"/>
        </w:rPr>
      </w:pPr>
      <w:r w:rsidRPr="003D097B">
        <w:rPr>
          <w:bCs/>
          <w:sz w:val="28"/>
        </w:rPr>
        <w:t>- Latvija uzskata, ka direktīvas aptvērums un definīcijas jāpadara skaidrākas un nepārprotamas, lai patērētājiem un uzņēmumiem nodrošinātu skaidrību par to tiesībām un pienākumiem atšķirīgu pakalpojumu gadījumos.</w:t>
      </w:r>
    </w:p>
    <w:p w:rsidR="003D097B" w:rsidRPr="003D097B" w:rsidRDefault="003D097B" w:rsidP="003D097B">
      <w:pPr>
        <w:jc w:val="both"/>
        <w:rPr>
          <w:bCs/>
          <w:sz w:val="28"/>
        </w:rPr>
      </w:pPr>
      <w:r w:rsidRPr="003D097B">
        <w:rPr>
          <w:bCs/>
          <w:sz w:val="28"/>
        </w:rPr>
        <w:t>- Latvija konceptuāli atbalsta 11.panta noteikumu, nosakot, ka organizators ir atbildīgs par to, lai pakalpojums tiktu izpildīts atbilstoši līguma note</w:t>
      </w:r>
      <w:r w:rsidR="003345BD">
        <w:rPr>
          <w:bCs/>
          <w:sz w:val="28"/>
        </w:rPr>
        <w:t>ikumiem. Vienlaikus Latvija</w:t>
      </w:r>
      <w:r w:rsidRPr="003D097B">
        <w:rPr>
          <w:bCs/>
          <w:sz w:val="28"/>
        </w:rPr>
        <w:t xml:space="preserve"> pieļauj, ka atsevišķos gadījumos būtu nepieciešams risināt jautājumu arī par mazumtirgotāja zināmu atbildību un nepieciešamību uzņemties kādas finanšu garantijas .</w:t>
      </w:r>
    </w:p>
    <w:p w:rsidR="00287A6A" w:rsidRDefault="003D097B" w:rsidP="003D097B">
      <w:pPr>
        <w:jc w:val="both"/>
        <w:rPr>
          <w:bCs/>
          <w:sz w:val="28"/>
          <w:highlight w:val="yellow"/>
        </w:rPr>
      </w:pPr>
      <w:r w:rsidRPr="003D097B">
        <w:rPr>
          <w:bCs/>
          <w:sz w:val="28"/>
        </w:rPr>
        <w:t xml:space="preserve">Ņemot vērā, ka </w:t>
      </w:r>
      <w:r w:rsidR="00E64BD1">
        <w:rPr>
          <w:bCs/>
          <w:sz w:val="28"/>
        </w:rPr>
        <w:t>Prezidentūra</w:t>
      </w:r>
      <w:r w:rsidRPr="003D097B">
        <w:rPr>
          <w:bCs/>
          <w:sz w:val="28"/>
        </w:rPr>
        <w:t xml:space="preserve"> vēl nav sagatavojusi pirmo kompromisa piedāvājumu, aktuāla</w:t>
      </w:r>
      <w:r w:rsidR="00E64BD1">
        <w:rPr>
          <w:bCs/>
          <w:sz w:val="28"/>
        </w:rPr>
        <w:t xml:space="preserve"> ir Latvijas sākotnējā pozīcija.</w:t>
      </w:r>
    </w:p>
    <w:p w:rsidR="00A25F66" w:rsidRPr="00264C71" w:rsidRDefault="00A25F66" w:rsidP="00A25F66">
      <w:pPr>
        <w:jc w:val="both"/>
        <w:rPr>
          <w:sz w:val="28"/>
          <w:szCs w:val="26"/>
        </w:rPr>
      </w:pPr>
    </w:p>
    <w:p w:rsidR="00A25F66" w:rsidRPr="00A25F66" w:rsidRDefault="00A25F66" w:rsidP="00A25F66">
      <w:pPr>
        <w:pStyle w:val="ListParagraph"/>
        <w:numPr>
          <w:ilvl w:val="1"/>
          <w:numId w:val="19"/>
        </w:numPr>
        <w:pBdr>
          <w:bottom w:val="single" w:sz="4" w:space="1" w:color="auto"/>
        </w:pBdr>
        <w:tabs>
          <w:tab w:val="left" w:pos="284"/>
        </w:tabs>
        <w:jc w:val="both"/>
        <w:rPr>
          <w:i/>
          <w:sz w:val="28"/>
          <w:szCs w:val="28"/>
        </w:rPr>
      </w:pPr>
      <w:r w:rsidRPr="00A25F66">
        <w:rPr>
          <w:b/>
          <w:sz w:val="28"/>
          <w:szCs w:val="28"/>
        </w:rPr>
        <w:t xml:space="preserve">Priekšlikums - Eiropas Parlamenta un Padomes Regula par tipa apstiprinājuma prasībām </w:t>
      </w:r>
      <w:proofErr w:type="spellStart"/>
      <w:r w:rsidRPr="00A25F66">
        <w:rPr>
          <w:b/>
          <w:sz w:val="28"/>
          <w:szCs w:val="28"/>
        </w:rPr>
        <w:t>eCall</w:t>
      </w:r>
      <w:proofErr w:type="spellEnd"/>
      <w:r w:rsidRPr="00A25F66">
        <w:rPr>
          <w:b/>
          <w:sz w:val="28"/>
          <w:szCs w:val="28"/>
        </w:rPr>
        <w:t xml:space="preserve"> transportlīdzekļa sistēmas izveidošanai un par grozījumiem Direktīvā 2007/46/EK</w:t>
      </w:r>
      <w:r w:rsidRPr="00A25F66">
        <w:rPr>
          <w:b/>
          <w:i/>
          <w:sz w:val="28"/>
          <w:szCs w:val="28"/>
        </w:rPr>
        <w:t xml:space="preserve"> </w:t>
      </w:r>
      <w:r w:rsidRPr="00A25F66">
        <w:rPr>
          <w:i/>
          <w:sz w:val="28"/>
          <w:szCs w:val="28"/>
        </w:rPr>
        <w:t>(</w:t>
      </w:r>
      <w:r>
        <w:rPr>
          <w:i/>
          <w:sz w:val="28"/>
          <w:szCs w:val="28"/>
        </w:rPr>
        <w:t>S</w:t>
      </w:r>
      <w:r w:rsidRPr="00A25F66">
        <w:rPr>
          <w:i/>
          <w:sz w:val="28"/>
          <w:szCs w:val="28"/>
        </w:rPr>
        <w:t>M kompetence)</w:t>
      </w:r>
    </w:p>
    <w:p w:rsidR="00A25F66" w:rsidRPr="00264C71" w:rsidRDefault="00A25F66" w:rsidP="00A25F66">
      <w:pPr>
        <w:jc w:val="both"/>
        <w:rPr>
          <w:bCs/>
          <w:i/>
          <w:sz w:val="28"/>
        </w:rPr>
      </w:pPr>
      <w:r w:rsidRPr="00264C71">
        <w:rPr>
          <w:bCs/>
          <w:i/>
          <w:sz w:val="28"/>
        </w:rPr>
        <w:t>–</w:t>
      </w:r>
      <w:r w:rsidRPr="00A25F66">
        <w:rPr>
          <w:bCs/>
          <w:i/>
          <w:sz w:val="28"/>
        </w:rPr>
        <w:t>vispārēja pieeja</w:t>
      </w:r>
    </w:p>
    <w:p w:rsidR="00A25F66" w:rsidRDefault="00A25F66" w:rsidP="00A25F66">
      <w:pPr>
        <w:jc w:val="both"/>
        <w:rPr>
          <w:bCs/>
          <w:sz w:val="28"/>
          <w:highlight w:val="yellow"/>
        </w:rPr>
      </w:pPr>
    </w:p>
    <w:p w:rsidR="00B42764" w:rsidRDefault="00B42764" w:rsidP="00B42764">
      <w:pPr>
        <w:jc w:val="both"/>
        <w:rPr>
          <w:bCs/>
          <w:sz w:val="28"/>
        </w:rPr>
      </w:pPr>
      <w:r>
        <w:rPr>
          <w:bCs/>
          <w:sz w:val="28"/>
        </w:rPr>
        <w:tab/>
      </w:r>
      <w:r w:rsidR="00183CCB" w:rsidRPr="00183CCB">
        <w:rPr>
          <w:bCs/>
          <w:sz w:val="28"/>
        </w:rPr>
        <w:t>Sanāksmē plānots vienoties</w:t>
      </w:r>
      <w:r w:rsidR="00294946">
        <w:rPr>
          <w:bCs/>
          <w:sz w:val="28"/>
        </w:rPr>
        <w:t xml:space="preserve"> par</w:t>
      </w:r>
      <w:r w:rsidR="00183CCB" w:rsidRPr="00183CCB">
        <w:rPr>
          <w:bCs/>
          <w:sz w:val="28"/>
        </w:rPr>
        <w:t xml:space="preserve"> vispārējo pieeju</w:t>
      </w:r>
      <w:r w:rsidR="00183CCB">
        <w:rPr>
          <w:bCs/>
          <w:sz w:val="28"/>
        </w:rPr>
        <w:t xml:space="preserve"> par p</w:t>
      </w:r>
      <w:r w:rsidRPr="00B42764">
        <w:rPr>
          <w:bCs/>
          <w:sz w:val="28"/>
        </w:rPr>
        <w:t>riekšlikum</w:t>
      </w:r>
      <w:r w:rsidR="00183CCB">
        <w:rPr>
          <w:bCs/>
          <w:sz w:val="28"/>
        </w:rPr>
        <w:t>u</w:t>
      </w:r>
      <w:r w:rsidR="00183CCB" w:rsidRPr="00183CCB">
        <w:t xml:space="preserve"> </w:t>
      </w:r>
      <w:r w:rsidR="00183CCB" w:rsidRPr="00183CCB">
        <w:rPr>
          <w:bCs/>
          <w:sz w:val="28"/>
        </w:rPr>
        <w:t>Eiropas Parlamenta un Padomes Regula</w:t>
      </w:r>
      <w:r w:rsidR="00183CCB">
        <w:rPr>
          <w:bCs/>
          <w:sz w:val="28"/>
        </w:rPr>
        <w:t>i</w:t>
      </w:r>
      <w:r w:rsidR="00183CCB" w:rsidRPr="00183CCB">
        <w:rPr>
          <w:bCs/>
          <w:sz w:val="28"/>
        </w:rPr>
        <w:t xml:space="preserve"> par tipa apstiprinājuma prasībām </w:t>
      </w:r>
      <w:proofErr w:type="spellStart"/>
      <w:r w:rsidR="00183CCB" w:rsidRPr="00183CCB">
        <w:rPr>
          <w:bCs/>
          <w:sz w:val="28"/>
        </w:rPr>
        <w:t>eCall</w:t>
      </w:r>
      <w:proofErr w:type="spellEnd"/>
      <w:r w:rsidR="00183CCB" w:rsidRPr="00183CCB">
        <w:rPr>
          <w:bCs/>
          <w:sz w:val="28"/>
        </w:rPr>
        <w:t xml:space="preserve"> transportlīdzekļa sistēmas izveidošanai un par grozījumiem Direktīvā 2007/46/EK</w:t>
      </w:r>
      <w:r w:rsidR="00183CCB">
        <w:rPr>
          <w:bCs/>
          <w:sz w:val="28"/>
        </w:rPr>
        <w:t xml:space="preserve"> (turpmāk - Priekšlikums), kurš</w:t>
      </w:r>
      <w:r w:rsidRPr="00B42764">
        <w:rPr>
          <w:bCs/>
          <w:sz w:val="28"/>
        </w:rPr>
        <w:t xml:space="preserve"> </w:t>
      </w:r>
      <w:r w:rsidR="00183CCB">
        <w:rPr>
          <w:bCs/>
          <w:sz w:val="28"/>
        </w:rPr>
        <w:t>paredz</w:t>
      </w:r>
      <w:r w:rsidRPr="00B42764">
        <w:rPr>
          <w:bCs/>
          <w:sz w:val="28"/>
        </w:rPr>
        <w:t xml:space="preserve"> nosacījumus attiecībā uz transportlīdzeklī iebūvētās </w:t>
      </w:r>
      <w:proofErr w:type="spellStart"/>
      <w:r w:rsidRPr="00B42764">
        <w:rPr>
          <w:bCs/>
          <w:sz w:val="28"/>
        </w:rPr>
        <w:t>eCall</w:t>
      </w:r>
      <w:proofErr w:type="spellEnd"/>
      <w:r w:rsidRPr="00B42764">
        <w:rPr>
          <w:bCs/>
          <w:sz w:val="28"/>
        </w:rPr>
        <w:t xml:space="preserve"> sistēmas ieviešanas tipa apstiprinājuma prasībām. Priekšlikums paredz, ka jauna veida vieglie automobiļi un vieglie kravas automobiļi (M1 un N1 kategorijas transportlīdzekļi) tiks konstruēti</w:t>
      </w:r>
      <w:r w:rsidR="00183CCB">
        <w:rPr>
          <w:bCs/>
          <w:sz w:val="28"/>
        </w:rPr>
        <w:t xml:space="preserve"> tā</w:t>
      </w:r>
      <w:r w:rsidRPr="00B42764">
        <w:rPr>
          <w:bCs/>
          <w:sz w:val="28"/>
        </w:rPr>
        <w:t>, lai nodrošinātu to, ka pēc smaga negadījuma avārijas izsaukums (</w:t>
      </w:r>
      <w:proofErr w:type="spellStart"/>
      <w:r w:rsidRPr="00B42764">
        <w:rPr>
          <w:bCs/>
          <w:sz w:val="28"/>
        </w:rPr>
        <w:t>eCall</w:t>
      </w:r>
      <w:proofErr w:type="spellEnd"/>
      <w:r w:rsidRPr="00B42764">
        <w:rPr>
          <w:bCs/>
          <w:sz w:val="28"/>
        </w:rPr>
        <w:t>) uz numuru 112 notiek automātiski. Turklāt, tas paredz, ka jānodrošina iespēja veikt arī manuālus zvanus neatliekamās palīdzības dienestiem uz numuru 112.</w:t>
      </w:r>
      <w:r w:rsidR="00F93416">
        <w:rPr>
          <w:bCs/>
          <w:sz w:val="28"/>
        </w:rPr>
        <w:t xml:space="preserve"> </w:t>
      </w:r>
      <w:r w:rsidR="00F93416" w:rsidRPr="00B42764">
        <w:rPr>
          <w:bCs/>
          <w:sz w:val="28"/>
        </w:rPr>
        <w:t xml:space="preserve">Ņemot vērā šajā pakalpojumā izmantotās informācijas veidu, priekšlikumā iekļauti arī privātuma un datu aizsardzības nosacījumi. </w:t>
      </w:r>
      <w:r w:rsidR="00183CCB">
        <w:rPr>
          <w:bCs/>
          <w:sz w:val="28"/>
        </w:rPr>
        <w:t xml:space="preserve"> </w:t>
      </w:r>
    </w:p>
    <w:p w:rsidR="00287A6A" w:rsidRDefault="00287A6A" w:rsidP="00B42764">
      <w:pPr>
        <w:jc w:val="both"/>
        <w:rPr>
          <w:b/>
          <w:bCs/>
          <w:sz w:val="28"/>
          <w:u w:val="single"/>
        </w:rPr>
      </w:pPr>
    </w:p>
    <w:p w:rsidR="00287A6A" w:rsidRPr="00287A6A" w:rsidRDefault="00287A6A" w:rsidP="00B42764">
      <w:pPr>
        <w:jc w:val="both"/>
        <w:rPr>
          <w:b/>
          <w:bCs/>
          <w:sz w:val="28"/>
          <w:u w:val="single"/>
        </w:rPr>
      </w:pPr>
      <w:r w:rsidRPr="00287A6A">
        <w:rPr>
          <w:b/>
          <w:bCs/>
          <w:sz w:val="28"/>
          <w:u w:val="single"/>
        </w:rPr>
        <w:t>Latvijas pozīcija:</w:t>
      </w:r>
      <w:r w:rsidR="00A91A15">
        <w:rPr>
          <w:rStyle w:val="FootnoteReference"/>
          <w:b/>
          <w:bCs/>
          <w:sz w:val="28"/>
          <w:u w:val="single"/>
        </w:rPr>
        <w:footnoteReference w:id="3"/>
      </w:r>
    </w:p>
    <w:p w:rsidR="00B42764" w:rsidRDefault="00B42764" w:rsidP="00B42764">
      <w:pPr>
        <w:jc w:val="both"/>
        <w:rPr>
          <w:bCs/>
          <w:sz w:val="28"/>
          <w:highlight w:val="yellow"/>
        </w:rPr>
      </w:pPr>
      <w:r>
        <w:rPr>
          <w:bCs/>
          <w:sz w:val="28"/>
        </w:rPr>
        <w:tab/>
      </w:r>
      <w:r w:rsidRPr="00B42764">
        <w:rPr>
          <w:bCs/>
          <w:sz w:val="28"/>
        </w:rPr>
        <w:t>Latvija atbalsta</w:t>
      </w:r>
      <w:r w:rsidR="00D32171">
        <w:rPr>
          <w:bCs/>
          <w:sz w:val="28"/>
        </w:rPr>
        <w:t xml:space="preserve"> vispārējās pieejas apstiprināšanu</w:t>
      </w:r>
      <w:r w:rsidRPr="00B42764">
        <w:rPr>
          <w:bCs/>
          <w:sz w:val="28"/>
        </w:rPr>
        <w:t xml:space="preserve">, jo Regulas projekts paredz ieviest </w:t>
      </w:r>
      <w:r w:rsidR="00D32171">
        <w:rPr>
          <w:bCs/>
          <w:sz w:val="28"/>
        </w:rPr>
        <w:t>EK</w:t>
      </w:r>
      <w:r w:rsidRPr="00B42764">
        <w:rPr>
          <w:bCs/>
          <w:sz w:val="28"/>
        </w:rPr>
        <w:t xml:space="preserve"> mehānisko transportlīdzekļu tipa apstiprinājuma sistēmā </w:t>
      </w:r>
      <w:r w:rsidRPr="00B42764">
        <w:rPr>
          <w:bCs/>
          <w:sz w:val="28"/>
        </w:rPr>
        <w:lastRenderedPageBreak/>
        <w:t xml:space="preserve">prasību par aprīkošanu ar </w:t>
      </w:r>
      <w:proofErr w:type="spellStart"/>
      <w:r w:rsidRPr="00B42764">
        <w:rPr>
          <w:bCs/>
          <w:sz w:val="28"/>
        </w:rPr>
        <w:t>eCall</w:t>
      </w:r>
      <w:proofErr w:type="spellEnd"/>
      <w:r w:rsidRPr="00B42764">
        <w:rPr>
          <w:bCs/>
          <w:sz w:val="28"/>
        </w:rPr>
        <w:t xml:space="preserve"> transportlīdzekļa sistēmu,</w:t>
      </w:r>
      <w:r w:rsidR="00D32171">
        <w:rPr>
          <w:bCs/>
          <w:sz w:val="28"/>
        </w:rPr>
        <w:t xml:space="preserve"> vienlaikus veicinot vispārē</w:t>
      </w:r>
      <w:r w:rsidRPr="00B42764">
        <w:rPr>
          <w:bCs/>
          <w:sz w:val="28"/>
        </w:rPr>
        <w:t>jo ceļu satiksmes drošību.</w:t>
      </w:r>
    </w:p>
    <w:p w:rsidR="00B42764" w:rsidRDefault="00B42764" w:rsidP="00A25F66">
      <w:pPr>
        <w:jc w:val="both"/>
        <w:rPr>
          <w:bCs/>
          <w:sz w:val="28"/>
          <w:highlight w:val="yellow"/>
        </w:rPr>
      </w:pPr>
    </w:p>
    <w:p w:rsidR="00B03397" w:rsidRPr="00264C71" w:rsidRDefault="00B120E4" w:rsidP="009C3C35">
      <w:pPr>
        <w:pBdr>
          <w:bottom w:val="single" w:sz="4" w:space="1" w:color="auto"/>
        </w:pBdr>
        <w:tabs>
          <w:tab w:val="left" w:pos="9288"/>
        </w:tabs>
        <w:spacing w:after="120"/>
        <w:jc w:val="both"/>
        <w:rPr>
          <w:b/>
          <w:sz w:val="28"/>
          <w:szCs w:val="28"/>
        </w:rPr>
      </w:pPr>
      <w:r w:rsidRPr="00264C71">
        <w:rPr>
          <w:b/>
          <w:sz w:val="28"/>
          <w:szCs w:val="28"/>
        </w:rPr>
        <w:t>1.</w:t>
      </w:r>
      <w:r w:rsidR="002365AA">
        <w:rPr>
          <w:b/>
          <w:sz w:val="28"/>
          <w:szCs w:val="28"/>
        </w:rPr>
        <w:t>5</w:t>
      </w:r>
      <w:r w:rsidR="00B03397" w:rsidRPr="00264C71">
        <w:rPr>
          <w:b/>
          <w:sz w:val="28"/>
          <w:szCs w:val="28"/>
        </w:rPr>
        <w:t xml:space="preserve">. Citi jautājumi </w:t>
      </w:r>
      <w:r w:rsidR="008A3947">
        <w:rPr>
          <w:b/>
          <w:sz w:val="28"/>
          <w:szCs w:val="28"/>
        </w:rPr>
        <w:t xml:space="preserve">- </w:t>
      </w:r>
      <w:r w:rsidR="008A3947" w:rsidRPr="008A3947">
        <w:rPr>
          <w:b/>
          <w:sz w:val="28"/>
          <w:szCs w:val="28"/>
        </w:rPr>
        <w:t>Iekšējais tirgus un rūpniecība</w:t>
      </w:r>
    </w:p>
    <w:p w:rsidR="00B03397" w:rsidRPr="00264C71" w:rsidRDefault="00B03397" w:rsidP="004C1552">
      <w:pPr>
        <w:jc w:val="both"/>
        <w:rPr>
          <w:sz w:val="28"/>
          <w:szCs w:val="28"/>
          <w:highlight w:val="yellow"/>
        </w:rPr>
      </w:pPr>
    </w:p>
    <w:p w:rsidR="00B03397" w:rsidRPr="00264C71" w:rsidRDefault="00A25F66" w:rsidP="00A25F66">
      <w:pPr>
        <w:pStyle w:val="ListParagraph"/>
        <w:numPr>
          <w:ilvl w:val="0"/>
          <w:numId w:val="1"/>
        </w:numPr>
        <w:tabs>
          <w:tab w:val="left" w:pos="284"/>
        </w:tabs>
        <w:jc w:val="both"/>
        <w:rPr>
          <w:b/>
          <w:sz w:val="28"/>
          <w:szCs w:val="28"/>
        </w:rPr>
      </w:pPr>
      <w:r w:rsidRPr="00A25F66">
        <w:rPr>
          <w:b/>
          <w:sz w:val="28"/>
          <w:szCs w:val="28"/>
        </w:rPr>
        <w:t>Vienota spēka Eiropas patents un Vienotā patentu tiesa</w:t>
      </w:r>
      <w:r w:rsidR="008A3947" w:rsidRPr="008A3947">
        <w:rPr>
          <w:b/>
          <w:sz w:val="28"/>
          <w:szCs w:val="28"/>
        </w:rPr>
        <w:t xml:space="preserve"> </w:t>
      </w:r>
      <w:r w:rsidR="00730AEA" w:rsidRPr="00264C71">
        <w:rPr>
          <w:i/>
          <w:sz w:val="28"/>
          <w:szCs w:val="28"/>
        </w:rPr>
        <w:t>(</w:t>
      </w:r>
      <w:r>
        <w:rPr>
          <w:i/>
          <w:sz w:val="28"/>
          <w:szCs w:val="28"/>
        </w:rPr>
        <w:t>T</w:t>
      </w:r>
      <w:r w:rsidR="00134B9F" w:rsidRPr="00264C71">
        <w:rPr>
          <w:i/>
          <w:sz w:val="28"/>
          <w:szCs w:val="28"/>
        </w:rPr>
        <w:t>M</w:t>
      </w:r>
      <w:r w:rsidR="00730AEA" w:rsidRPr="00264C71">
        <w:rPr>
          <w:i/>
          <w:sz w:val="28"/>
          <w:szCs w:val="28"/>
        </w:rPr>
        <w:t xml:space="preserve"> kompetence</w:t>
      </w:r>
      <w:r w:rsidR="00013A67" w:rsidRPr="00264C71">
        <w:rPr>
          <w:i/>
          <w:sz w:val="28"/>
          <w:szCs w:val="28"/>
        </w:rPr>
        <w:t>)</w:t>
      </w:r>
    </w:p>
    <w:p w:rsidR="00B03397" w:rsidRDefault="00730AEA" w:rsidP="00730AEA">
      <w:pPr>
        <w:tabs>
          <w:tab w:val="left" w:pos="284"/>
        </w:tabs>
        <w:ind w:left="360"/>
        <w:jc w:val="both"/>
        <w:rPr>
          <w:i/>
          <w:sz w:val="28"/>
          <w:szCs w:val="28"/>
        </w:rPr>
      </w:pPr>
      <w:r w:rsidRPr="00264C71">
        <w:rPr>
          <w:i/>
          <w:sz w:val="28"/>
          <w:szCs w:val="28"/>
        </w:rPr>
        <w:t>-</w:t>
      </w:r>
      <w:r w:rsidR="00A25F66" w:rsidRPr="00A25F66">
        <w:rPr>
          <w:i/>
          <w:sz w:val="28"/>
          <w:szCs w:val="28"/>
        </w:rPr>
        <w:t xml:space="preserve">Prezidentvalsts </w:t>
      </w:r>
      <w:r w:rsidR="00DE50F6" w:rsidRPr="00264C71">
        <w:rPr>
          <w:i/>
          <w:sz w:val="28"/>
          <w:szCs w:val="28"/>
        </w:rPr>
        <w:t>sniegta informācija</w:t>
      </w:r>
    </w:p>
    <w:p w:rsidR="00F87D49" w:rsidRDefault="00F87D49" w:rsidP="00C90A02">
      <w:pPr>
        <w:jc w:val="both"/>
        <w:rPr>
          <w:sz w:val="28"/>
          <w:szCs w:val="28"/>
          <w:highlight w:val="yellow"/>
        </w:rPr>
      </w:pPr>
    </w:p>
    <w:p w:rsidR="009C3E08" w:rsidRPr="009C3E08" w:rsidRDefault="008F12DE" w:rsidP="009C3E08">
      <w:pPr>
        <w:jc w:val="both"/>
        <w:rPr>
          <w:sz w:val="28"/>
          <w:szCs w:val="28"/>
        </w:rPr>
      </w:pPr>
      <w:r>
        <w:rPr>
          <w:sz w:val="28"/>
          <w:szCs w:val="28"/>
        </w:rPr>
        <w:tab/>
      </w:r>
      <w:r w:rsidR="009C3E08" w:rsidRPr="009C3E08">
        <w:rPr>
          <w:sz w:val="28"/>
          <w:szCs w:val="28"/>
        </w:rPr>
        <w:t xml:space="preserve">Ar mērķi stiprināt pastāvošo Eiropas patenta sistēmu, lai izveidotu vienotu </w:t>
      </w:r>
      <w:proofErr w:type="spellStart"/>
      <w:r w:rsidR="009C3E08" w:rsidRPr="009C3E08">
        <w:rPr>
          <w:sz w:val="28"/>
          <w:szCs w:val="28"/>
        </w:rPr>
        <w:t>patentaizsardzības</w:t>
      </w:r>
      <w:proofErr w:type="spellEnd"/>
      <w:r w:rsidR="009C3E08" w:rsidRPr="009C3E08">
        <w:rPr>
          <w:sz w:val="28"/>
          <w:szCs w:val="28"/>
        </w:rPr>
        <w:t xml:space="preserve"> sistēmu </w:t>
      </w:r>
      <w:r w:rsidR="0007554C">
        <w:rPr>
          <w:sz w:val="28"/>
          <w:szCs w:val="28"/>
        </w:rPr>
        <w:t>ES, 2009.</w:t>
      </w:r>
      <w:r w:rsidR="009C3E08" w:rsidRPr="009C3E08">
        <w:rPr>
          <w:sz w:val="28"/>
          <w:szCs w:val="28"/>
        </w:rPr>
        <w:t xml:space="preserve">gada decembrī </w:t>
      </w:r>
      <w:r w:rsidR="0007554C">
        <w:rPr>
          <w:sz w:val="28"/>
          <w:szCs w:val="28"/>
        </w:rPr>
        <w:t>ES</w:t>
      </w:r>
      <w:r w:rsidR="009C3E08" w:rsidRPr="009C3E08">
        <w:rPr>
          <w:sz w:val="28"/>
          <w:szCs w:val="28"/>
        </w:rPr>
        <w:t xml:space="preserve"> dalībvalstis vienojās par patentu sistēmas uzlabošanu, tajā skaitā arī par </w:t>
      </w:r>
      <w:r w:rsidR="0007554C">
        <w:rPr>
          <w:sz w:val="28"/>
          <w:szCs w:val="28"/>
        </w:rPr>
        <w:t>ES</w:t>
      </w:r>
      <w:r w:rsidR="009C3E08" w:rsidRPr="009C3E08">
        <w:rPr>
          <w:sz w:val="28"/>
          <w:szCs w:val="28"/>
        </w:rPr>
        <w:t xml:space="preserve"> patenta galvenajām iezīmēm, izņemot tulkošanas kārtību. Dalībvalstis atzina, ka šajā jautājumā ir n</w:t>
      </w:r>
      <w:r w:rsidR="0007554C">
        <w:rPr>
          <w:sz w:val="28"/>
          <w:szCs w:val="28"/>
        </w:rPr>
        <w:t>epieciešama jauna regula. 2010.</w:t>
      </w:r>
      <w:r w:rsidR="009C3E08" w:rsidRPr="009C3E08">
        <w:rPr>
          <w:sz w:val="28"/>
          <w:szCs w:val="28"/>
        </w:rPr>
        <w:t xml:space="preserve">gada jūlijā iesniedza priekšlikumu par </w:t>
      </w:r>
      <w:r w:rsidR="0007554C">
        <w:rPr>
          <w:sz w:val="28"/>
          <w:szCs w:val="28"/>
        </w:rPr>
        <w:t>ES</w:t>
      </w:r>
      <w:r w:rsidR="009C3E08" w:rsidRPr="009C3E08">
        <w:rPr>
          <w:sz w:val="28"/>
          <w:szCs w:val="28"/>
        </w:rPr>
        <w:t xml:space="preserve"> patenta tulkošanas kārtību. Tomēr vienošanās par piemērojamo tulkošana</w:t>
      </w:r>
      <w:r w:rsidR="0007554C">
        <w:rPr>
          <w:sz w:val="28"/>
          <w:szCs w:val="28"/>
        </w:rPr>
        <w:t>s kārtību netika panākta. 2010.</w:t>
      </w:r>
      <w:r w:rsidR="009C3E08" w:rsidRPr="009C3E08">
        <w:rPr>
          <w:sz w:val="28"/>
          <w:szCs w:val="28"/>
        </w:rPr>
        <w:t>gada decembrī tika secināts, ka pastāv nepārvaramas grūtības, kuras neļauj ieviest šo režīmu</w:t>
      </w:r>
      <w:r w:rsidR="0007554C">
        <w:rPr>
          <w:sz w:val="28"/>
          <w:szCs w:val="28"/>
        </w:rPr>
        <w:t xml:space="preserve"> saprātīgā laika periodā. 2010.gada 14.</w:t>
      </w:r>
      <w:r w:rsidR="009C3E08" w:rsidRPr="009C3E08">
        <w:rPr>
          <w:sz w:val="28"/>
          <w:szCs w:val="28"/>
        </w:rPr>
        <w:t xml:space="preserve">decembrī pēc 12 dalībvalstu pieprasījuma </w:t>
      </w:r>
      <w:r w:rsidR="0007554C">
        <w:rPr>
          <w:sz w:val="28"/>
          <w:szCs w:val="28"/>
        </w:rPr>
        <w:t>EK</w:t>
      </w:r>
      <w:r w:rsidR="009C3E08" w:rsidRPr="009C3E08">
        <w:rPr>
          <w:sz w:val="28"/>
          <w:szCs w:val="28"/>
        </w:rPr>
        <w:t xml:space="preserve"> ierosināja izveidot ciešāku sadarbību vienotas </w:t>
      </w:r>
      <w:proofErr w:type="spellStart"/>
      <w:r w:rsidR="009C3E08" w:rsidRPr="009C3E08">
        <w:rPr>
          <w:sz w:val="28"/>
          <w:szCs w:val="28"/>
        </w:rPr>
        <w:t>patentaizsardzības</w:t>
      </w:r>
      <w:proofErr w:type="spellEnd"/>
      <w:r w:rsidR="009C3E08" w:rsidRPr="009C3E08">
        <w:rPr>
          <w:sz w:val="28"/>
          <w:szCs w:val="28"/>
        </w:rPr>
        <w:t xml:space="preserve"> jomā. Pēc </w:t>
      </w:r>
      <w:r w:rsidR="0007554C">
        <w:rPr>
          <w:sz w:val="28"/>
          <w:szCs w:val="28"/>
        </w:rPr>
        <w:t>EK</w:t>
      </w:r>
      <w:r w:rsidR="009C3E08" w:rsidRPr="009C3E08">
        <w:rPr>
          <w:sz w:val="28"/>
          <w:szCs w:val="28"/>
        </w:rPr>
        <w:t xml:space="preserve"> lēmuma arī citas 13 dalībvalstis iesniedza savus lūgumus pievienoties ciešākajai sadarbībai (vienotās patentu aizsardzības izveidē šobrīd nepiedalās Spānija un Itālija). </w:t>
      </w:r>
      <w:r w:rsidR="0007554C">
        <w:rPr>
          <w:sz w:val="28"/>
          <w:szCs w:val="28"/>
        </w:rPr>
        <w:t>Tā rezultātā 2012.</w:t>
      </w:r>
      <w:r w:rsidR="009C3E08" w:rsidRPr="009C3E08">
        <w:rPr>
          <w:sz w:val="28"/>
          <w:szCs w:val="28"/>
        </w:rPr>
        <w:t xml:space="preserve">gada 17.decembrī tika pieņemtas divas regulas: 1) Eiropas Parlamenta un Padomes regula (ES) </w:t>
      </w:r>
      <w:proofErr w:type="spellStart"/>
      <w:r w:rsidR="009C3E08" w:rsidRPr="009C3E08">
        <w:rPr>
          <w:sz w:val="28"/>
          <w:szCs w:val="28"/>
        </w:rPr>
        <w:t>Nr</w:t>
      </w:r>
      <w:proofErr w:type="spellEnd"/>
      <w:r w:rsidR="009C3E08" w:rsidRPr="009C3E08">
        <w:rPr>
          <w:sz w:val="28"/>
          <w:szCs w:val="28"/>
        </w:rPr>
        <w:t xml:space="preserve">. 1257/2012, ar ko īsteno ciešāku sadarbību attiecībā uz vienotās </w:t>
      </w:r>
      <w:proofErr w:type="spellStart"/>
      <w:r w:rsidR="009C3E08" w:rsidRPr="009C3E08">
        <w:rPr>
          <w:sz w:val="28"/>
          <w:szCs w:val="28"/>
        </w:rPr>
        <w:t>patentaizsardzības</w:t>
      </w:r>
      <w:proofErr w:type="spellEnd"/>
      <w:r w:rsidR="009C3E08" w:rsidRPr="009C3E08">
        <w:rPr>
          <w:sz w:val="28"/>
          <w:szCs w:val="28"/>
        </w:rPr>
        <w:t xml:space="preserve"> izveidi; 2) Eiropas Parlamenta un Padomes regula (ES) </w:t>
      </w:r>
      <w:proofErr w:type="spellStart"/>
      <w:r w:rsidR="009C3E08" w:rsidRPr="009C3E08">
        <w:rPr>
          <w:sz w:val="28"/>
          <w:szCs w:val="28"/>
        </w:rPr>
        <w:t>Nr</w:t>
      </w:r>
      <w:proofErr w:type="spellEnd"/>
      <w:r w:rsidR="009C3E08" w:rsidRPr="009C3E08">
        <w:rPr>
          <w:sz w:val="28"/>
          <w:szCs w:val="28"/>
        </w:rPr>
        <w:t xml:space="preserve">. 1260/2012 , ar ko īsteno ciešāku sadarbību attiecībā uz vienotas </w:t>
      </w:r>
      <w:proofErr w:type="spellStart"/>
      <w:r w:rsidR="009C3E08" w:rsidRPr="009C3E08">
        <w:rPr>
          <w:sz w:val="28"/>
          <w:szCs w:val="28"/>
        </w:rPr>
        <w:t>patentaizsardzības</w:t>
      </w:r>
      <w:proofErr w:type="spellEnd"/>
      <w:r w:rsidR="009C3E08" w:rsidRPr="009C3E08">
        <w:rPr>
          <w:sz w:val="28"/>
          <w:szCs w:val="28"/>
        </w:rPr>
        <w:t xml:space="preserve"> izveidi, ciktāl tas attiecas uz piemērojamo tulkošanas kārtību (turpmāk – regulas). </w:t>
      </w:r>
    </w:p>
    <w:p w:rsidR="009C3E08" w:rsidRPr="009C3E08" w:rsidRDefault="00B743B8" w:rsidP="009C3E08">
      <w:pPr>
        <w:jc w:val="both"/>
        <w:rPr>
          <w:sz w:val="28"/>
          <w:szCs w:val="28"/>
        </w:rPr>
      </w:pPr>
      <w:r>
        <w:rPr>
          <w:sz w:val="28"/>
          <w:szCs w:val="28"/>
        </w:rPr>
        <w:tab/>
      </w:r>
      <w:r w:rsidR="009C3E08" w:rsidRPr="009C3E08">
        <w:rPr>
          <w:sz w:val="28"/>
          <w:szCs w:val="28"/>
        </w:rPr>
        <w:t xml:space="preserve">Lai varētu sākt piemērot minētās regulas, ir jāpiepildās nosacījumam – spēkā </w:t>
      </w:r>
      <w:r w:rsidR="00C81DB9">
        <w:rPr>
          <w:sz w:val="28"/>
          <w:szCs w:val="28"/>
        </w:rPr>
        <w:t>jās</w:t>
      </w:r>
      <w:r w:rsidR="009C3E08" w:rsidRPr="009C3E08">
        <w:rPr>
          <w:sz w:val="28"/>
          <w:szCs w:val="28"/>
        </w:rPr>
        <w:t>tāj</w:t>
      </w:r>
      <w:r w:rsidR="00C81DB9">
        <w:rPr>
          <w:sz w:val="28"/>
          <w:szCs w:val="28"/>
        </w:rPr>
        <w:t>as starptautiskajam</w:t>
      </w:r>
      <w:r w:rsidR="009C3E08" w:rsidRPr="009C3E08">
        <w:rPr>
          <w:sz w:val="28"/>
          <w:szCs w:val="28"/>
        </w:rPr>
        <w:t xml:space="preserve"> līgum</w:t>
      </w:r>
      <w:r w:rsidR="00C81DB9">
        <w:rPr>
          <w:sz w:val="28"/>
          <w:szCs w:val="28"/>
        </w:rPr>
        <w:t>am</w:t>
      </w:r>
      <w:r w:rsidR="009C3E08" w:rsidRPr="009C3E08">
        <w:rPr>
          <w:sz w:val="28"/>
          <w:szCs w:val="28"/>
        </w:rPr>
        <w:t xml:space="preserve"> „Vienotās Patentu tiesas izveides nolīgums”</w:t>
      </w:r>
      <w:r w:rsidR="00294946">
        <w:rPr>
          <w:sz w:val="28"/>
          <w:szCs w:val="28"/>
        </w:rPr>
        <w:t xml:space="preserve"> </w:t>
      </w:r>
      <w:r w:rsidR="00294946" w:rsidRPr="009C3E08">
        <w:rPr>
          <w:sz w:val="28"/>
          <w:szCs w:val="28"/>
        </w:rPr>
        <w:t>(turpmāk – līgums)</w:t>
      </w:r>
      <w:r w:rsidR="009C3E08" w:rsidRPr="009C3E08">
        <w:rPr>
          <w:sz w:val="28"/>
          <w:szCs w:val="28"/>
        </w:rPr>
        <w:t xml:space="preserve">, kuru Vienotās Patentu tiesas izveidei 2013.gada 19.februārī parakstīja visas </w:t>
      </w:r>
      <w:proofErr w:type="spellStart"/>
      <w:r w:rsidR="009C3E08" w:rsidRPr="009C3E08">
        <w:rPr>
          <w:sz w:val="28"/>
          <w:szCs w:val="28"/>
        </w:rPr>
        <w:t>līgumslēdzējvalstis</w:t>
      </w:r>
      <w:proofErr w:type="spellEnd"/>
      <w:r w:rsidR="009C3E08" w:rsidRPr="009C3E08">
        <w:rPr>
          <w:sz w:val="28"/>
          <w:szCs w:val="28"/>
        </w:rPr>
        <w:t xml:space="preserve"> (25 ES dalībvalstis, izņemot Spāniju un Itāliju), tai skaitā Latvija. Līgums stāsies spēkā, kad to būs ratificējušas vismaz 13 dalībvalstis (ieskaitot trīs valstis ar lielāko spēkā esošo Eiropas patentu skaitu – Francija, Vācija un Apvienotā Karaliste). Šobrīd līgumu ratificējušas ir Austrija, Malta un Francija.</w:t>
      </w:r>
    </w:p>
    <w:p w:rsidR="009C3E08" w:rsidRPr="009C3E08" w:rsidRDefault="009C3E08" w:rsidP="009C3E08">
      <w:pPr>
        <w:jc w:val="both"/>
        <w:rPr>
          <w:sz w:val="28"/>
          <w:szCs w:val="28"/>
        </w:rPr>
      </w:pPr>
      <w:r w:rsidRPr="009C3E08">
        <w:rPr>
          <w:sz w:val="28"/>
          <w:szCs w:val="28"/>
        </w:rPr>
        <w:tab/>
        <w:t>Līgums un Regulas veido vienotu paketi, kurai ir četri galvenie elementi:</w:t>
      </w:r>
    </w:p>
    <w:p w:rsidR="009C3E08" w:rsidRPr="00B743B8" w:rsidRDefault="009C3E08" w:rsidP="00B743B8">
      <w:pPr>
        <w:pStyle w:val="ListParagraph"/>
        <w:numPr>
          <w:ilvl w:val="0"/>
          <w:numId w:val="35"/>
        </w:numPr>
        <w:jc w:val="both"/>
        <w:rPr>
          <w:sz w:val="28"/>
          <w:szCs w:val="28"/>
        </w:rPr>
      </w:pPr>
      <w:r w:rsidRPr="00B743B8">
        <w:rPr>
          <w:sz w:val="28"/>
          <w:szCs w:val="28"/>
        </w:rPr>
        <w:t xml:space="preserve">tie izveido Vienotā spēka Eiropas patentu ar vienoto aizsardzību iesaistīto 25 </w:t>
      </w:r>
      <w:r w:rsidR="0007554C">
        <w:rPr>
          <w:sz w:val="28"/>
          <w:szCs w:val="28"/>
        </w:rPr>
        <w:t>ES</w:t>
      </w:r>
      <w:r w:rsidRPr="00B743B8">
        <w:rPr>
          <w:sz w:val="28"/>
          <w:szCs w:val="28"/>
        </w:rPr>
        <w:t xml:space="preserve"> dalībvalstu teritorijā;</w:t>
      </w:r>
    </w:p>
    <w:p w:rsidR="009C3E08" w:rsidRPr="00B743B8" w:rsidRDefault="009C3E08" w:rsidP="00B743B8">
      <w:pPr>
        <w:pStyle w:val="ListParagraph"/>
        <w:numPr>
          <w:ilvl w:val="0"/>
          <w:numId w:val="35"/>
        </w:numPr>
        <w:jc w:val="both"/>
        <w:rPr>
          <w:sz w:val="28"/>
          <w:szCs w:val="28"/>
        </w:rPr>
      </w:pPr>
      <w:r w:rsidRPr="00B743B8">
        <w:rPr>
          <w:sz w:val="28"/>
          <w:szCs w:val="28"/>
        </w:rPr>
        <w:t>Vienotā spēka Eiropas patents būs pieejams „vienas pieturas aģentūrā”, jo to centralizēti piešķirs Eiropas Patentu iestāde un tam nebūs nepieciešama turpmāka apstiprināšana katrā dalībvalstī;</w:t>
      </w:r>
    </w:p>
    <w:p w:rsidR="009C3E08" w:rsidRPr="00B743B8" w:rsidRDefault="009C3E08" w:rsidP="00B743B8">
      <w:pPr>
        <w:pStyle w:val="ListParagraph"/>
        <w:numPr>
          <w:ilvl w:val="0"/>
          <w:numId w:val="35"/>
        </w:numPr>
        <w:jc w:val="both"/>
        <w:rPr>
          <w:sz w:val="28"/>
          <w:szCs w:val="28"/>
        </w:rPr>
      </w:pPr>
      <w:r w:rsidRPr="00B743B8">
        <w:rPr>
          <w:sz w:val="28"/>
          <w:szCs w:val="28"/>
        </w:rPr>
        <w:lastRenderedPageBreak/>
        <w:t>tā iesaistītajām dalībvalstīm izveidos vienotu un specializētu tiesvedību patentu jautājumos, tādā veidā novēršot nepieciešamību dublēt tiesvedības procesus dažādās iesaistīto dalībvalstu tiesās un vairojot juridisko noteiktību. Tiks novērsts risks, ka vairākos paralēli noritošos tiesas procesos var tikt pieņemti atšķirīgi lēmumi;</w:t>
      </w:r>
    </w:p>
    <w:p w:rsidR="008F12DE" w:rsidRPr="00B743B8" w:rsidRDefault="009C3E08" w:rsidP="00B743B8">
      <w:pPr>
        <w:pStyle w:val="ListParagraph"/>
        <w:numPr>
          <w:ilvl w:val="0"/>
          <w:numId w:val="35"/>
        </w:numPr>
        <w:jc w:val="both"/>
        <w:rPr>
          <w:sz w:val="28"/>
          <w:szCs w:val="28"/>
        </w:rPr>
      </w:pPr>
      <w:r w:rsidRPr="00B743B8">
        <w:rPr>
          <w:sz w:val="28"/>
          <w:szCs w:val="28"/>
        </w:rPr>
        <w:t xml:space="preserve">pateicoties </w:t>
      </w:r>
      <w:proofErr w:type="spellStart"/>
      <w:r w:rsidRPr="00B743B8">
        <w:rPr>
          <w:sz w:val="28"/>
          <w:szCs w:val="28"/>
        </w:rPr>
        <w:t>mašīntulkošanas</w:t>
      </w:r>
      <w:proofErr w:type="spellEnd"/>
      <w:r w:rsidRPr="00B743B8">
        <w:rPr>
          <w:sz w:val="28"/>
          <w:szCs w:val="28"/>
        </w:rPr>
        <w:t xml:space="preserve"> pakalpojumiem, kuri bez maksas būs pieejami tiešsaistē, tiks nodrošināta patentu informācijas izplatīšana visās </w:t>
      </w:r>
      <w:r w:rsidR="0007554C">
        <w:rPr>
          <w:sz w:val="28"/>
          <w:szCs w:val="28"/>
        </w:rPr>
        <w:t>ES</w:t>
      </w:r>
      <w:r w:rsidRPr="00B743B8">
        <w:rPr>
          <w:sz w:val="28"/>
          <w:szCs w:val="28"/>
        </w:rPr>
        <w:t xml:space="preserve"> valodās.</w:t>
      </w:r>
    </w:p>
    <w:p w:rsidR="009C3E08" w:rsidRPr="00264C71" w:rsidRDefault="009C3E08" w:rsidP="009C3E08">
      <w:pPr>
        <w:jc w:val="both"/>
        <w:rPr>
          <w:sz w:val="28"/>
          <w:szCs w:val="28"/>
          <w:highlight w:val="yellow"/>
        </w:rPr>
      </w:pPr>
    </w:p>
    <w:p w:rsidR="0003473A" w:rsidRPr="00964FC6" w:rsidRDefault="00A25F66" w:rsidP="00A25F66">
      <w:pPr>
        <w:pStyle w:val="ListParagraph"/>
        <w:numPr>
          <w:ilvl w:val="0"/>
          <w:numId w:val="1"/>
        </w:numPr>
        <w:tabs>
          <w:tab w:val="left" w:pos="284"/>
        </w:tabs>
        <w:jc w:val="both"/>
        <w:rPr>
          <w:b/>
          <w:sz w:val="28"/>
          <w:szCs w:val="28"/>
        </w:rPr>
      </w:pPr>
      <w:r>
        <w:rPr>
          <w:b/>
          <w:sz w:val="28"/>
          <w:szCs w:val="28"/>
        </w:rPr>
        <w:t>„</w:t>
      </w:r>
      <w:proofErr w:type="spellStart"/>
      <w:r>
        <w:rPr>
          <w:b/>
          <w:sz w:val="28"/>
          <w:szCs w:val="28"/>
        </w:rPr>
        <w:t>Frontrunners</w:t>
      </w:r>
      <w:proofErr w:type="spellEnd"/>
      <w:r>
        <w:rPr>
          <w:b/>
          <w:sz w:val="28"/>
          <w:szCs w:val="28"/>
        </w:rPr>
        <w:t>”</w:t>
      </w:r>
      <w:r w:rsidRPr="00A25F66">
        <w:rPr>
          <w:b/>
          <w:sz w:val="28"/>
          <w:szCs w:val="28"/>
        </w:rPr>
        <w:t xml:space="preserve"> iniciatīva: Strādāt kopā, lai uzlabotu iekšējo tirgu </w:t>
      </w:r>
      <w:r w:rsidR="00E01BC1">
        <w:rPr>
          <w:i/>
          <w:sz w:val="28"/>
          <w:szCs w:val="28"/>
        </w:rPr>
        <w:t>(</w:t>
      </w:r>
      <w:r w:rsidR="008A3947">
        <w:rPr>
          <w:i/>
          <w:sz w:val="28"/>
          <w:szCs w:val="28"/>
        </w:rPr>
        <w:t>E</w:t>
      </w:r>
      <w:r w:rsidR="0003473A" w:rsidRPr="00964FC6">
        <w:rPr>
          <w:i/>
          <w:sz w:val="28"/>
          <w:szCs w:val="28"/>
        </w:rPr>
        <w:t>M kompetence)</w:t>
      </w:r>
    </w:p>
    <w:p w:rsidR="0003473A" w:rsidRPr="00264C71" w:rsidRDefault="0003473A" w:rsidP="0003473A">
      <w:pPr>
        <w:tabs>
          <w:tab w:val="left" w:pos="284"/>
        </w:tabs>
        <w:ind w:left="360"/>
        <w:jc w:val="both"/>
        <w:rPr>
          <w:i/>
          <w:sz w:val="28"/>
          <w:szCs w:val="28"/>
        </w:rPr>
      </w:pPr>
      <w:r w:rsidRPr="00964FC6">
        <w:rPr>
          <w:i/>
          <w:sz w:val="28"/>
          <w:szCs w:val="28"/>
        </w:rPr>
        <w:t>-</w:t>
      </w:r>
      <w:r w:rsidR="00A25F66" w:rsidRPr="00A25F66">
        <w:rPr>
          <w:i/>
          <w:sz w:val="28"/>
          <w:szCs w:val="28"/>
        </w:rPr>
        <w:t>Zviedrijas, Dānijas, Apvienotās Karalistes, Nīderlandes, Īrijas, Čehijas Republikas, Igaunijas un Lietuvas delegāciju sniegta informācija</w:t>
      </w:r>
    </w:p>
    <w:p w:rsidR="00AA3A1E" w:rsidRDefault="00AA3A1E" w:rsidP="008A3947">
      <w:pPr>
        <w:jc w:val="both"/>
        <w:rPr>
          <w:sz w:val="28"/>
          <w:szCs w:val="28"/>
        </w:rPr>
      </w:pPr>
    </w:p>
    <w:p w:rsidR="00287A6A" w:rsidRDefault="00B743B8" w:rsidP="00B743B8">
      <w:pPr>
        <w:jc w:val="both"/>
        <w:rPr>
          <w:sz w:val="28"/>
          <w:szCs w:val="28"/>
        </w:rPr>
      </w:pPr>
      <w:r>
        <w:rPr>
          <w:sz w:val="28"/>
          <w:szCs w:val="28"/>
        </w:rPr>
        <w:tab/>
      </w:r>
      <w:r w:rsidR="00F33C04">
        <w:rPr>
          <w:sz w:val="28"/>
          <w:szCs w:val="28"/>
        </w:rPr>
        <w:t>Sanāksmē</w:t>
      </w:r>
      <w:r w:rsidR="00287A6A">
        <w:rPr>
          <w:sz w:val="28"/>
          <w:szCs w:val="28"/>
        </w:rPr>
        <w:t xml:space="preserve"> tiks skatīts jautājums par ES dalībvalstu </w:t>
      </w:r>
      <w:proofErr w:type="spellStart"/>
      <w:r w:rsidR="00287A6A">
        <w:rPr>
          <w:i/>
          <w:iCs/>
          <w:sz w:val="28"/>
          <w:szCs w:val="28"/>
        </w:rPr>
        <w:t>frontrunners</w:t>
      </w:r>
      <w:proofErr w:type="spellEnd"/>
      <w:r w:rsidR="00287A6A">
        <w:rPr>
          <w:sz w:val="28"/>
          <w:szCs w:val="28"/>
        </w:rPr>
        <w:t xml:space="preserve"> iniciatīvu, lai turpinātu attīstīt ES Vienoto tirgu un veicinātu brīvu preču, pakalpojumu, kapitāla un personu kustību. Iniciatīvas rāda, ka Vienotā tirgus stiprināšanā ir iespējams panākt progresu ne tikai ar normatīvo aktu izmaiņām, bet arī dalībvalstīm strādājot kopā un informējot par labo praksi un pieredzi, lai nodrošinātu, ka tirgus barjeras tiek atceltas un noteikumi darbotos arī praksē. </w:t>
      </w:r>
    </w:p>
    <w:p w:rsidR="00946271" w:rsidRDefault="00946271" w:rsidP="00946271">
      <w:pPr>
        <w:jc w:val="both"/>
        <w:rPr>
          <w:sz w:val="28"/>
          <w:szCs w:val="28"/>
        </w:rPr>
      </w:pPr>
      <w:r>
        <w:rPr>
          <w:sz w:val="28"/>
          <w:szCs w:val="28"/>
        </w:rPr>
        <w:tab/>
        <w:t xml:space="preserve">Iniciatīvas mērķis ir </w:t>
      </w:r>
      <w:r w:rsidRPr="00F33C04">
        <w:rPr>
          <w:sz w:val="28"/>
          <w:szCs w:val="28"/>
        </w:rPr>
        <w:t>risināt konkrētas problēmas, ar kurām sastopas uzņēmēji un patērētāji ES Vienotajā tirgū</w:t>
      </w:r>
      <w:r>
        <w:rPr>
          <w:sz w:val="28"/>
          <w:szCs w:val="28"/>
        </w:rPr>
        <w:t>, izmantojot tādas metodes kā sadarbība un labās prakses apmaiņa. Pašreizējā stadijā dalībvalstis kopīgi darbojas tādās svarīgās jomās kā:</w:t>
      </w:r>
    </w:p>
    <w:p w:rsidR="00946271" w:rsidRPr="00946271" w:rsidRDefault="00946271" w:rsidP="00946271">
      <w:pPr>
        <w:pStyle w:val="ListParagraph"/>
        <w:numPr>
          <w:ilvl w:val="0"/>
          <w:numId w:val="38"/>
        </w:numPr>
        <w:jc w:val="both"/>
        <w:rPr>
          <w:sz w:val="28"/>
          <w:szCs w:val="28"/>
        </w:rPr>
      </w:pPr>
      <w:r w:rsidRPr="00946271">
        <w:rPr>
          <w:sz w:val="28"/>
          <w:szCs w:val="28"/>
        </w:rPr>
        <w:t>Vienotā tirgus centru izveide, lai uzņēmējiem vienuviet būtu pieejami visa palīdzība un informācija par ES Vienoto tirgu, tādējādi atvieglojot preču un pakalpojumu eksportu. Vienotā tirgus centrā būtu pieejami arī SOLVIT pakalpojumi, kas palīdz risināt uzņēmēju un iedzīvotāju problēmas ES Vienotajā tirgū.;</w:t>
      </w:r>
      <w:r w:rsidRPr="00946271">
        <w:rPr>
          <w:rStyle w:val="FootnoteReference"/>
          <w:sz w:val="28"/>
          <w:szCs w:val="28"/>
        </w:rPr>
        <w:footnoteReference w:customMarkFollows="1" w:id="4"/>
        <w:t>[1]</w:t>
      </w:r>
    </w:p>
    <w:p w:rsidR="00946271" w:rsidRPr="00946271" w:rsidRDefault="00946271" w:rsidP="00946271">
      <w:pPr>
        <w:pStyle w:val="ListParagraph"/>
        <w:numPr>
          <w:ilvl w:val="0"/>
          <w:numId w:val="38"/>
        </w:numPr>
        <w:jc w:val="both"/>
        <w:rPr>
          <w:sz w:val="28"/>
          <w:szCs w:val="28"/>
        </w:rPr>
      </w:pPr>
      <w:r w:rsidRPr="00946271">
        <w:rPr>
          <w:sz w:val="28"/>
          <w:szCs w:val="28"/>
        </w:rPr>
        <w:t xml:space="preserve">Vienoto kontaktpunktu attīstīšana pakalpojumu jomā, kuros uzņēmēji var veikt visas nepieciešamās formalitātes, lai darbotos pakalpojumu jomā, </w:t>
      </w:r>
      <w:proofErr w:type="spellStart"/>
      <w:r w:rsidRPr="00946271">
        <w:rPr>
          <w:sz w:val="28"/>
          <w:szCs w:val="28"/>
        </w:rPr>
        <w:t>t.sk</w:t>
      </w:r>
      <w:proofErr w:type="spellEnd"/>
      <w:r w:rsidRPr="00946271">
        <w:rPr>
          <w:sz w:val="28"/>
          <w:szCs w:val="28"/>
        </w:rPr>
        <w:t>. citā dalībvalstī;</w:t>
      </w:r>
      <w:r w:rsidRPr="00946271">
        <w:rPr>
          <w:rStyle w:val="FootnoteReference"/>
          <w:sz w:val="28"/>
          <w:szCs w:val="28"/>
        </w:rPr>
        <w:footnoteReference w:customMarkFollows="1" w:id="5"/>
        <w:t>[2]</w:t>
      </w:r>
    </w:p>
    <w:p w:rsidR="00946271" w:rsidRPr="00946271" w:rsidRDefault="00946271" w:rsidP="00946271">
      <w:pPr>
        <w:pStyle w:val="ListParagraph"/>
        <w:numPr>
          <w:ilvl w:val="0"/>
          <w:numId w:val="38"/>
        </w:numPr>
        <w:jc w:val="both"/>
        <w:rPr>
          <w:sz w:val="28"/>
          <w:szCs w:val="28"/>
        </w:rPr>
      </w:pPr>
      <w:r w:rsidRPr="00946271">
        <w:rPr>
          <w:sz w:val="28"/>
          <w:szCs w:val="28"/>
        </w:rPr>
        <w:t>Profesionālo kvalifikāciju atzīšana, lai mazinātu barjeras profesionālās kvalifikācijas atzīšanas procesā citās dalībvalstīs;</w:t>
      </w:r>
    </w:p>
    <w:p w:rsidR="00946271" w:rsidRPr="00946271" w:rsidRDefault="00946271" w:rsidP="00946271">
      <w:pPr>
        <w:pStyle w:val="ListParagraph"/>
        <w:numPr>
          <w:ilvl w:val="0"/>
          <w:numId w:val="38"/>
        </w:numPr>
        <w:jc w:val="both"/>
        <w:rPr>
          <w:sz w:val="28"/>
          <w:szCs w:val="28"/>
        </w:rPr>
      </w:pPr>
      <w:r w:rsidRPr="00946271">
        <w:rPr>
          <w:sz w:val="28"/>
          <w:szCs w:val="28"/>
        </w:rPr>
        <w:t>Augstākā līmeņa domēnu vārdu piešķiršanas sistēma, veicot analīzi par šķēršļiem augstākā līmeņa domēnu vārdu reģistrēšanas procesā. Tādējādi tiktu veicināta pārrobežu e-komercijas attīstība un mazināti šķēršļi.</w:t>
      </w:r>
    </w:p>
    <w:p w:rsidR="00946271" w:rsidRDefault="00946271" w:rsidP="00946271">
      <w:pPr>
        <w:jc w:val="both"/>
      </w:pPr>
      <w:r>
        <w:rPr>
          <w:sz w:val="28"/>
          <w:szCs w:val="28"/>
        </w:rPr>
        <w:tab/>
        <w:t xml:space="preserve">Šo iniciatīvu ilgtermiņa mērķis ir veicināt uzņēmēju un patērētāju piekļuvi jaunam tirgum un jauniem produktiem ES Vienotajā tirgū. </w:t>
      </w:r>
    </w:p>
    <w:p w:rsidR="00946271" w:rsidRDefault="00946271" w:rsidP="00B743B8">
      <w:pPr>
        <w:jc w:val="both"/>
        <w:rPr>
          <w:sz w:val="28"/>
          <w:szCs w:val="28"/>
        </w:rPr>
      </w:pPr>
    </w:p>
    <w:p w:rsidR="00F33C04" w:rsidRDefault="00F33C04" w:rsidP="00B743B8">
      <w:pPr>
        <w:jc w:val="both"/>
        <w:rPr>
          <w:sz w:val="28"/>
          <w:szCs w:val="28"/>
        </w:rPr>
      </w:pPr>
    </w:p>
    <w:p w:rsidR="00F33C04" w:rsidRPr="00F33C04" w:rsidRDefault="00F33C04" w:rsidP="00B743B8">
      <w:pPr>
        <w:jc w:val="both"/>
        <w:rPr>
          <w:b/>
          <w:sz w:val="28"/>
          <w:szCs w:val="28"/>
          <w:u w:val="single"/>
        </w:rPr>
      </w:pPr>
      <w:r w:rsidRPr="00F33C04">
        <w:rPr>
          <w:b/>
          <w:sz w:val="28"/>
          <w:szCs w:val="28"/>
          <w:u w:val="single"/>
        </w:rPr>
        <w:t>Latvijas nostāja:</w:t>
      </w:r>
    </w:p>
    <w:p w:rsidR="00287A6A" w:rsidRDefault="00F33C04" w:rsidP="00B743B8">
      <w:pPr>
        <w:jc w:val="both"/>
        <w:rPr>
          <w:sz w:val="28"/>
          <w:szCs w:val="28"/>
        </w:rPr>
      </w:pPr>
      <w:r w:rsidRPr="00F33C04">
        <w:rPr>
          <w:sz w:val="28"/>
          <w:szCs w:val="28"/>
        </w:rPr>
        <w:tab/>
      </w:r>
      <w:r w:rsidR="00287A6A" w:rsidRPr="00F33C04">
        <w:rPr>
          <w:sz w:val="28"/>
          <w:szCs w:val="28"/>
        </w:rPr>
        <w:t>Lat</w:t>
      </w:r>
      <w:r w:rsidR="00946271">
        <w:rPr>
          <w:sz w:val="28"/>
          <w:szCs w:val="28"/>
        </w:rPr>
        <w:t>vija ir paudusi savu atbalstu šai</w:t>
      </w:r>
      <w:r w:rsidR="00287A6A" w:rsidRPr="00F33C04">
        <w:rPr>
          <w:sz w:val="28"/>
          <w:szCs w:val="28"/>
        </w:rPr>
        <w:t xml:space="preserve"> iniciatīv</w:t>
      </w:r>
      <w:r w:rsidR="00946271">
        <w:rPr>
          <w:sz w:val="28"/>
          <w:szCs w:val="28"/>
        </w:rPr>
        <w:t>ai</w:t>
      </w:r>
      <w:r w:rsidR="00287A6A" w:rsidRPr="00F33C04">
        <w:rPr>
          <w:sz w:val="28"/>
          <w:szCs w:val="28"/>
        </w:rPr>
        <w:t xml:space="preserve"> un ir to 10 dalībvalstu vidū, kas ir pieteikusi šī jautājuma izskatīšanu</w:t>
      </w:r>
      <w:r w:rsidR="00946271">
        <w:rPr>
          <w:sz w:val="28"/>
          <w:szCs w:val="28"/>
        </w:rPr>
        <w:t xml:space="preserve"> sanāk</w:t>
      </w:r>
      <w:r>
        <w:rPr>
          <w:sz w:val="28"/>
          <w:szCs w:val="28"/>
        </w:rPr>
        <w:t>smē</w:t>
      </w:r>
      <w:r w:rsidR="00287A6A">
        <w:rPr>
          <w:sz w:val="28"/>
          <w:szCs w:val="28"/>
        </w:rPr>
        <w:t xml:space="preserve">. Latvija uzskata </w:t>
      </w:r>
      <w:proofErr w:type="spellStart"/>
      <w:r w:rsidR="00287A6A">
        <w:rPr>
          <w:i/>
          <w:iCs/>
          <w:sz w:val="28"/>
          <w:szCs w:val="28"/>
        </w:rPr>
        <w:t>frontrunners</w:t>
      </w:r>
      <w:proofErr w:type="spellEnd"/>
      <w:r w:rsidR="00287A6A">
        <w:rPr>
          <w:sz w:val="28"/>
          <w:szCs w:val="28"/>
        </w:rPr>
        <w:t xml:space="preserve"> </w:t>
      </w:r>
      <w:r w:rsidR="00946271">
        <w:rPr>
          <w:sz w:val="28"/>
          <w:szCs w:val="28"/>
        </w:rPr>
        <w:t xml:space="preserve">iniciatīvu </w:t>
      </w:r>
      <w:r w:rsidR="00287A6A">
        <w:rPr>
          <w:sz w:val="28"/>
          <w:szCs w:val="28"/>
        </w:rPr>
        <w:t xml:space="preserve">par labu dalībvalstu iniciatīvas piemēru un saredz iespēju aicināt arī citas dalībvalstis tai pievienoties. Latvija uzskata, ka </w:t>
      </w:r>
      <w:proofErr w:type="spellStart"/>
      <w:r w:rsidR="00287A6A">
        <w:rPr>
          <w:i/>
          <w:iCs/>
          <w:sz w:val="28"/>
          <w:szCs w:val="28"/>
        </w:rPr>
        <w:t>frontrunners</w:t>
      </w:r>
      <w:proofErr w:type="spellEnd"/>
      <w:r w:rsidR="00287A6A">
        <w:rPr>
          <w:sz w:val="28"/>
          <w:szCs w:val="28"/>
        </w:rPr>
        <w:t xml:space="preserve"> iniciatīvas varētu veicināt ES normatīvo aktu savlaicīgu un optimālu ieviešanu, kā arī, veiksmīgi attīstoties, varētu mazināt nepieciešamību pēc jauna ES regulējuma.</w:t>
      </w:r>
    </w:p>
    <w:p w:rsidR="00287A6A" w:rsidRDefault="00B743B8" w:rsidP="00946271">
      <w:pPr>
        <w:jc w:val="both"/>
      </w:pPr>
      <w:r>
        <w:rPr>
          <w:sz w:val="28"/>
          <w:szCs w:val="28"/>
        </w:rPr>
        <w:tab/>
      </w:r>
      <w:r w:rsidR="00287A6A">
        <w:rPr>
          <w:sz w:val="28"/>
          <w:szCs w:val="28"/>
        </w:rPr>
        <w:t xml:space="preserve"> </w:t>
      </w:r>
    </w:p>
    <w:p w:rsidR="002B79EE" w:rsidRPr="008A3947" w:rsidRDefault="002B79EE" w:rsidP="008A3947">
      <w:pPr>
        <w:jc w:val="both"/>
        <w:rPr>
          <w:sz w:val="28"/>
          <w:szCs w:val="28"/>
        </w:rPr>
      </w:pPr>
    </w:p>
    <w:p w:rsidR="0003473A" w:rsidRPr="00264C71" w:rsidRDefault="00A25F66" w:rsidP="00A25F66">
      <w:pPr>
        <w:pStyle w:val="ListParagraph"/>
        <w:numPr>
          <w:ilvl w:val="0"/>
          <w:numId w:val="1"/>
        </w:numPr>
        <w:tabs>
          <w:tab w:val="left" w:pos="284"/>
        </w:tabs>
        <w:jc w:val="both"/>
        <w:rPr>
          <w:b/>
          <w:sz w:val="28"/>
          <w:szCs w:val="28"/>
        </w:rPr>
      </w:pPr>
      <w:r w:rsidRPr="00A25F66">
        <w:rPr>
          <w:b/>
          <w:sz w:val="28"/>
          <w:szCs w:val="28"/>
        </w:rPr>
        <w:t xml:space="preserve">Jaunākā informācija par valsts atbalsta modernizāciju </w:t>
      </w:r>
      <w:r w:rsidR="00E01BC1">
        <w:rPr>
          <w:i/>
          <w:sz w:val="28"/>
          <w:szCs w:val="28"/>
        </w:rPr>
        <w:t>(</w:t>
      </w:r>
      <w:r>
        <w:rPr>
          <w:i/>
          <w:sz w:val="28"/>
          <w:szCs w:val="28"/>
        </w:rPr>
        <w:t>F</w:t>
      </w:r>
      <w:r w:rsidR="0003473A" w:rsidRPr="00264C71">
        <w:rPr>
          <w:i/>
          <w:sz w:val="28"/>
          <w:szCs w:val="28"/>
        </w:rPr>
        <w:t>M kompetence)</w:t>
      </w:r>
    </w:p>
    <w:p w:rsidR="0003473A" w:rsidRPr="00264C71" w:rsidRDefault="0003473A" w:rsidP="0003473A">
      <w:pPr>
        <w:tabs>
          <w:tab w:val="left" w:pos="284"/>
        </w:tabs>
        <w:ind w:left="360"/>
        <w:jc w:val="both"/>
        <w:rPr>
          <w:i/>
          <w:sz w:val="28"/>
          <w:szCs w:val="28"/>
        </w:rPr>
      </w:pPr>
      <w:r w:rsidRPr="00264C71">
        <w:rPr>
          <w:i/>
          <w:sz w:val="28"/>
          <w:szCs w:val="28"/>
        </w:rPr>
        <w:t>-</w:t>
      </w:r>
      <w:r w:rsidR="00E01BC1" w:rsidRPr="00E01BC1">
        <w:rPr>
          <w:i/>
          <w:sz w:val="28"/>
          <w:szCs w:val="28"/>
        </w:rPr>
        <w:t xml:space="preserve">Komisijas sniegta informācija </w:t>
      </w:r>
    </w:p>
    <w:p w:rsidR="002B79EE" w:rsidRDefault="002B79EE" w:rsidP="002B79EE">
      <w:pPr>
        <w:jc w:val="both"/>
        <w:rPr>
          <w:i/>
          <w:sz w:val="28"/>
          <w:szCs w:val="28"/>
        </w:rPr>
      </w:pPr>
    </w:p>
    <w:p w:rsidR="00803F04" w:rsidRPr="00803F04" w:rsidRDefault="00803F04" w:rsidP="00803F04">
      <w:pPr>
        <w:jc w:val="both"/>
        <w:rPr>
          <w:sz w:val="28"/>
          <w:szCs w:val="28"/>
        </w:rPr>
      </w:pPr>
      <w:r>
        <w:rPr>
          <w:i/>
          <w:sz w:val="28"/>
          <w:szCs w:val="28"/>
        </w:rPr>
        <w:tab/>
      </w:r>
      <w:r w:rsidRPr="00803F04">
        <w:rPr>
          <w:sz w:val="28"/>
          <w:szCs w:val="28"/>
        </w:rPr>
        <w:t xml:space="preserve">2012.gada 8.maijā EK uzsāka visaptverošu valsts atbalsta regulējuma modernizācijas procesu. Tā ietvaros EK pārskata un groza valsts atbalsta kontroli reglamentējošos ES tiesību aktus – Padomes regulas, EK regulas un EK pamatnostādnes/vadlīnijas. EK noteiktais laika rāmis ir ambiciozs – līdz 2014.gada vidum EK vēlas pieņemt visus valsts atbalsta modernizācijas ietvaros pārskatītos dokumentus, lai jaunos dokumentus piemērotu sākot ar </w:t>
      </w:r>
      <w:proofErr w:type="spellStart"/>
      <w:r w:rsidR="005137AA">
        <w:rPr>
          <w:sz w:val="28"/>
          <w:szCs w:val="28"/>
        </w:rPr>
        <w:t>š.g</w:t>
      </w:r>
      <w:proofErr w:type="spellEnd"/>
      <w:r w:rsidR="005137AA">
        <w:rPr>
          <w:sz w:val="28"/>
          <w:szCs w:val="28"/>
        </w:rPr>
        <w:t xml:space="preserve">. </w:t>
      </w:r>
      <w:r w:rsidRPr="00803F04">
        <w:rPr>
          <w:sz w:val="28"/>
          <w:szCs w:val="28"/>
        </w:rPr>
        <w:t xml:space="preserve">1.jūliju. Līdz šim brīdim visi EK sagatavotie dokumentu projekti ir izdiskutēti EK Konsultatīvajā darba grupā, kurā piedalās visu dalībvalstu pārstāvji, ir </w:t>
      </w:r>
      <w:r w:rsidR="005137AA">
        <w:rPr>
          <w:sz w:val="28"/>
          <w:szCs w:val="28"/>
        </w:rPr>
        <w:t>notikušas publiskās apspriedes p</w:t>
      </w:r>
      <w:r w:rsidRPr="00803F04">
        <w:rPr>
          <w:sz w:val="28"/>
          <w:szCs w:val="28"/>
        </w:rPr>
        <w:t xml:space="preserve">ar virkni dokumentu ar iespēju jebkuram iesniegt viedokli par EK dokumentu projektiem. Saskaņots Latvijas viedoklis par katru no EK Konsultatīvajā darba grupā izskatāmajiem dokumentiem modernizācijas procesa ietvaros tiek izstrādāts sadarbojoties ar attiecīgajām Latvijas atbalsta </w:t>
      </w:r>
      <w:proofErr w:type="spellStart"/>
      <w:r w:rsidRPr="00803F04">
        <w:rPr>
          <w:sz w:val="28"/>
          <w:szCs w:val="28"/>
        </w:rPr>
        <w:t>sniedzējinstitūcijām</w:t>
      </w:r>
      <w:proofErr w:type="spellEnd"/>
      <w:r w:rsidRPr="00803F04">
        <w:rPr>
          <w:sz w:val="28"/>
          <w:szCs w:val="28"/>
        </w:rPr>
        <w:t xml:space="preserve"> (nozaru ministrijām). Šāds viedoklis ir sniegts par visiem EK izstrādāto dokumentu projektiem. Līdz šim brīdim gan ne visi dokumenti ir pieņemti no EK puses. Pēdējā EK sniegtā informācija liecina, ka jauno Vispārējo grupu atbrīvojuma regulu EK plāno pieņemt </w:t>
      </w:r>
      <w:proofErr w:type="spellStart"/>
      <w:r w:rsidR="005137AA">
        <w:rPr>
          <w:sz w:val="28"/>
          <w:szCs w:val="28"/>
        </w:rPr>
        <w:t>š.g</w:t>
      </w:r>
      <w:proofErr w:type="spellEnd"/>
      <w:r w:rsidR="005137AA">
        <w:rPr>
          <w:sz w:val="28"/>
          <w:szCs w:val="28"/>
        </w:rPr>
        <w:t>.</w:t>
      </w:r>
      <w:r w:rsidRPr="00803F04">
        <w:rPr>
          <w:sz w:val="28"/>
          <w:szCs w:val="28"/>
        </w:rPr>
        <w:t xml:space="preserve"> maijā. Arī pārējie dokumenti jāpieņem un jāpublicē ES oficiālajā vēstnesī līdz </w:t>
      </w:r>
      <w:proofErr w:type="spellStart"/>
      <w:r w:rsidR="005137AA">
        <w:rPr>
          <w:sz w:val="28"/>
          <w:szCs w:val="28"/>
        </w:rPr>
        <w:t>š.g</w:t>
      </w:r>
      <w:proofErr w:type="spellEnd"/>
      <w:r w:rsidR="005137AA">
        <w:rPr>
          <w:sz w:val="28"/>
          <w:szCs w:val="28"/>
        </w:rPr>
        <w:t>.</w:t>
      </w:r>
      <w:r w:rsidRPr="00803F04">
        <w:rPr>
          <w:sz w:val="28"/>
          <w:szCs w:val="28"/>
        </w:rPr>
        <w:t xml:space="preserve"> jūnija beigām, lai tie varētu tikt piemēroti sākot ar </w:t>
      </w:r>
      <w:proofErr w:type="spellStart"/>
      <w:r w:rsidR="005137AA">
        <w:rPr>
          <w:sz w:val="28"/>
          <w:szCs w:val="28"/>
        </w:rPr>
        <w:t>š.g</w:t>
      </w:r>
      <w:proofErr w:type="spellEnd"/>
      <w:r w:rsidR="005137AA">
        <w:rPr>
          <w:sz w:val="28"/>
          <w:szCs w:val="28"/>
        </w:rPr>
        <w:t>.</w:t>
      </w:r>
      <w:r w:rsidRPr="00803F04">
        <w:rPr>
          <w:sz w:val="28"/>
          <w:szCs w:val="28"/>
        </w:rPr>
        <w:t xml:space="preserve"> 1.jūliju. </w:t>
      </w:r>
      <w:proofErr w:type="spellStart"/>
      <w:r w:rsidR="005137AA">
        <w:rPr>
          <w:sz w:val="28"/>
          <w:szCs w:val="28"/>
        </w:rPr>
        <w:t>Š.g</w:t>
      </w:r>
      <w:proofErr w:type="spellEnd"/>
      <w:r w:rsidR="005137AA">
        <w:rPr>
          <w:sz w:val="28"/>
          <w:szCs w:val="28"/>
        </w:rPr>
        <w:t>. 26.martā</w:t>
      </w:r>
      <w:r w:rsidRPr="00803F04">
        <w:rPr>
          <w:sz w:val="28"/>
          <w:szCs w:val="28"/>
        </w:rPr>
        <w:t xml:space="preserve"> notika </w:t>
      </w:r>
      <w:r w:rsidR="00894FC9">
        <w:rPr>
          <w:sz w:val="28"/>
          <w:szCs w:val="28"/>
        </w:rPr>
        <w:t xml:space="preserve">COREPER I vēstnieku </w:t>
      </w:r>
      <w:r w:rsidR="00894FC9" w:rsidRPr="00803F04">
        <w:rPr>
          <w:sz w:val="28"/>
          <w:szCs w:val="28"/>
        </w:rPr>
        <w:t>diskusijas</w:t>
      </w:r>
      <w:r w:rsidRPr="00803F04">
        <w:rPr>
          <w:sz w:val="28"/>
          <w:szCs w:val="28"/>
        </w:rPr>
        <w:t xml:space="preserve"> par valsts atbalsta regulējuma modernizācijas procesu. Paredzams, ka </w:t>
      </w:r>
      <w:r w:rsidR="00894FC9">
        <w:rPr>
          <w:sz w:val="28"/>
          <w:szCs w:val="28"/>
        </w:rPr>
        <w:t>sanāksmē</w:t>
      </w:r>
      <w:r w:rsidRPr="00803F04">
        <w:rPr>
          <w:sz w:val="28"/>
          <w:szCs w:val="28"/>
        </w:rPr>
        <w:t xml:space="preserve"> </w:t>
      </w:r>
      <w:r w:rsidR="00894FC9">
        <w:rPr>
          <w:sz w:val="28"/>
          <w:szCs w:val="28"/>
        </w:rPr>
        <w:t>EK</w:t>
      </w:r>
      <w:r w:rsidRPr="00803F04">
        <w:rPr>
          <w:sz w:val="28"/>
          <w:szCs w:val="28"/>
        </w:rPr>
        <w:t xml:space="preserve"> informēs par progresu visu normatīvo aktu pieņemšanā.</w:t>
      </w:r>
    </w:p>
    <w:p w:rsidR="00803F04" w:rsidRDefault="00803F04" w:rsidP="00803F04">
      <w:pPr>
        <w:jc w:val="both"/>
        <w:rPr>
          <w:sz w:val="28"/>
          <w:szCs w:val="28"/>
        </w:rPr>
      </w:pPr>
      <w:r w:rsidRPr="00803F04">
        <w:rPr>
          <w:sz w:val="28"/>
          <w:szCs w:val="28"/>
        </w:rPr>
        <w:t xml:space="preserve"> </w:t>
      </w:r>
    </w:p>
    <w:p w:rsidR="00803F04" w:rsidRPr="00803F04" w:rsidRDefault="00803F04" w:rsidP="00803F04">
      <w:pPr>
        <w:jc w:val="both"/>
        <w:rPr>
          <w:b/>
          <w:sz w:val="28"/>
          <w:szCs w:val="28"/>
          <w:u w:val="single"/>
        </w:rPr>
      </w:pPr>
      <w:r w:rsidRPr="00803F04">
        <w:rPr>
          <w:b/>
          <w:sz w:val="28"/>
          <w:szCs w:val="28"/>
          <w:u w:val="single"/>
        </w:rPr>
        <w:t>Latvijas nostāja:</w:t>
      </w:r>
    </w:p>
    <w:p w:rsidR="00803F04" w:rsidRPr="00803F04" w:rsidRDefault="00803F04" w:rsidP="00803F04">
      <w:pPr>
        <w:jc w:val="both"/>
        <w:rPr>
          <w:sz w:val="28"/>
          <w:szCs w:val="28"/>
        </w:rPr>
      </w:pPr>
      <w:r>
        <w:rPr>
          <w:sz w:val="28"/>
          <w:szCs w:val="28"/>
        </w:rPr>
        <w:tab/>
      </w:r>
      <w:r w:rsidRPr="00803F04">
        <w:rPr>
          <w:sz w:val="28"/>
          <w:szCs w:val="28"/>
        </w:rPr>
        <w:t>Latvija kopumā atbalsta EK veikto valsts atbalsta modernizācijas procesu. Latvija vēlētos drīzu Vispārējo grupu atbrīvojuma regulas (</w:t>
      </w:r>
      <w:r w:rsidR="0059689F">
        <w:rPr>
          <w:sz w:val="28"/>
          <w:szCs w:val="28"/>
        </w:rPr>
        <w:t xml:space="preserve">turpmāk - </w:t>
      </w:r>
      <w:r w:rsidRPr="00803F04">
        <w:rPr>
          <w:sz w:val="28"/>
          <w:szCs w:val="28"/>
        </w:rPr>
        <w:t xml:space="preserve">VGAR) apstiprināšanu, jo to valsts atbalsta pasākumu potenciālai īstenošanas turpināšanai, kas izstrādāti saskaņā ar VGAR, nepieciešams laicīgi izstrādāt grozījumus nacionālajos normatīvajos aktos, lai pasākumu varētu turpināt un lai nodrošinātu, ka atbalsta pasākumā nav pārrāvumu. </w:t>
      </w:r>
    </w:p>
    <w:p w:rsidR="002B79EE" w:rsidRPr="00803F04" w:rsidRDefault="00803F04" w:rsidP="00803F04">
      <w:pPr>
        <w:jc w:val="both"/>
        <w:rPr>
          <w:sz w:val="28"/>
          <w:szCs w:val="28"/>
        </w:rPr>
      </w:pPr>
      <w:r>
        <w:rPr>
          <w:sz w:val="28"/>
          <w:szCs w:val="28"/>
        </w:rPr>
        <w:lastRenderedPageBreak/>
        <w:tab/>
      </w:r>
      <w:r w:rsidRPr="00803F04">
        <w:rPr>
          <w:sz w:val="28"/>
          <w:szCs w:val="28"/>
        </w:rPr>
        <w:t xml:space="preserve">Latvija veic nacionālo likumdošanas aktu </w:t>
      </w:r>
      <w:r w:rsidR="00946271">
        <w:rPr>
          <w:sz w:val="28"/>
          <w:szCs w:val="28"/>
        </w:rPr>
        <w:t xml:space="preserve">sakārtošanu </w:t>
      </w:r>
      <w:r w:rsidRPr="00803F04">
        <w:rPr>
          <w:sz w:val="28"/>
          <w:szCs w:val="28"/>
        </w:rPr>
        <w:t>valsts atbalsta kontroles jomā atbilstoši EK veiktā valsts atbalsta regulējuma modernizācijas procesa rezultātiem, tādējādi nodrošinot to, ka valsts atbalsta pasākumi Latvijā tiek ieviesti, ievērojot valsts atbalsta nosacījumus.</w:t>
      </w:r>
    </w:p>
    <w:p w:rsidR="002B79EE" w:rsidRDefault="002B79EE" w:rsidP="0015570E">
      <w:pPr>
        <w:spacing w:before="120"/>
        <w:jc w:val="both"/>
        <w:rPr>
          <w:sz w:val="28"/>
          <w:szCs w:val="28"/>
        </w:rPr>
      </w:pPr>
    </w:p>
    <w:p w:rsidR="009D65A5" w:rsidRPr="00264C71" w:rsidRDefault="00AB14BA" w:rsidP="00AB14BA">
      <w:pPr>
        <w:pStyle w:val="ListParagraph"/>
        <w:numPr>
          <w:ilvl w:val="0"/>
          <w:numId w:val="1"/>
        </w:numPr>
        <w:tabs>
          <w:tab w:val="left" w:pos="284"/>
        </w:tabs>
        <w:jc w:val="both"/>
        <w:rPr>
          <w:b/>
          <w:sz w:val="28"/>
          <w:szCs w:val="28"/>
        </w:rPr>
      </w:pPr>
      <w:r w:rsidRPr="00AB14BA">
        <w:rPr>
          <w:b/>
          <w:sz w:val="28"/>
          <w:szCs w:val="28"/>
        </w:rPr>
        <w:t xml:space="preserve">Svarīgas pamattehnoloģijas – pašreizējā situācija </w:t>
      </w:r>
      <w:r w:rsidR="00971262" w:rsidRPr="00971262">
        <w:rPr>
          <w:i/>
          <w:sz w:val="28"/>
          <w:szCs w:val="28"/>
        </w:rPr>
        <w:t>(</w:t>
      </w:r>
      <w:r>
        <w:rPr>
          <w:i/>
          <w:sz w:val="28"/>
          <w:szCs w:val="28"/>
        </w:rPr>
        <w:t>E</w:t>
      </w:r>
      <w:r w:rsidR="00971262">
        <w:rPr>
          <w:i/>
          <w:sz w:val="28"/>
          <w:szCs w:val="28"/>
        </w:rPr>
        <w:t>M kompetence</w:t>
      </w:r>
      <w:r w:rsidR="00971262" w:rsidRPr="00971262">
        <w:rPr>
          <w:i/>
          <w:sz w:val="28"/>
          <w:szCs w:val="28"/>
        </w:rPr>
        <w:t>)</w:t>
      </w:r>
    </w:p>
    <w:p w:rsidR="009D65A5" w:rsidRPr="00264C71" w:rsidRDefault="009D65A5" w:rsidP="009D65A5">
      <w:pPr>
        <w:tabs>
          <w:tab w:val="left" w:pos="284"/>
        </w:tabs>
        <w:ind w:left="360"/>
        <w:jc w:val="both"/>
        <w:rPr>
          <w:i/>
          <w:sz w:val="28"/>
          <w:szCs w:val="28"/>
        </w:rPr>
      </w:pPr>
      <w:r w:rsidRPr="00264C71">
        <w:rPr>
          <w:i/>
          <w:sz w:val="28"/>
          <w:szCs w:val="28"/>
        </w:rPr>
        <w:t>-</w:t>
      </w:r>
      <w:r w:rsidR="008A3947" w:rsidRPr="008A3947">
        <w:t xml:space="preserve"> </w:t>
      </w:r>
      <w:r w:rsidR="00AB14BA">
        <w:rPr>
          <w:i/>
          <w:sz w:val="28"/>
          <w:szCs w:val="28"/>
        </w:rPr>
        <w:t>Komisijas</w:t>
      </w:r>
      <w:r w:rsidR="008A3947" w:rsidRPr="008A3947">
        <w:rPr>
          <w:i/>
          <w:sz w:val="28"/>
          <w:szCs w:val="28"/>
        </w:rPr>
        <w:t xml:space="preserve"> sniegta informācija</w:t>
      </w:r>
    </w:p>
    <w:p w:rsidR="00987F99" w:rsidRDefault="009D65A5" w:rsidP="00AB14BA">
      <w:pPr>
        <w:jc w:val="both"/>
        <w:rPr>
          <w:sz w:val="28"/>
          <w:szCs w:val="28"/>
        </w:rPr>
      </w:pPr>
      <w:r w:rsidRPr="00264C71">
        <w:rPr>
          <w:sz w:val="28"/>
          <w:szCs w:val="28"/>
        </w:rPr>
        <w:tab/>
      </w:r>
    </w:p>
    <w:p w:rsidR="00987F99" w:rsidRPr="00987F99" w:rsidRDefault="0059689F" w:rsidP="00987F99">
      <w:pPr>
        <w:jc w:val="both"/>
        <w:rPr>
          <w:sz w:val="28"/>
          <w:szCs w:val="28"/>
        </w:rPr>
      </w:pPr>
      <w:r>
        <w:rPr>
          <w:sz w:val="28"/>
          <w:szCs w:val="28"/>
        </w:rPr>
        <w:tab/>
      </w:r>
      <w:r w:rsidR="00987F99" w:rsidRPr="00987F99">
        <w:rPr>
          <w:sz w:val="28"/>
          <w:szCs w:val="28"/>
        </w:rPr>
        <w:t>EK savā</w:t>
      </w:r>
      <w:r>
        <w:rPr>
          <w:sz w:val="28"/>
          <w:szCs w:val="28"/>
        </w:rPr>
        <w:t xml:space="preserve"> 2009.gad</w:t>
      </w:r>
      <w:r w:rsidR="0031238A">
        <w:rPr>
          <w:sz w:val="28"/>
          <w:szCs w:val="28"/>
        </w:rPr>
        <w:t>ā</w:t>
      </w:r>
      <w:r>
        <w:rPr>
          <w:sz w:val="28"/>
          <w:szCs w:val="28"/>
        </w:rPr>
        <w:t xml:space="preserve"> </w:t>
      </w:r>
      <w:r w:rsidR="00987F99" w:rsidRPr="00987F99">
        <w:rPr>
          <w:sz w:val="28"/>
          <w:szCs w:val="28"/>
        </w:rPr>
        <w:t xml:space="preserve">pirmo reizi definēja </w:t>
      </w:r>
      <w:r w:rsidR="0031238A">
        <w:rPr>
          <w:sz w:val="28"/>
          <w:szCs w:val="28"/>
        </w:rPr>
        <w:t xml:space="preserve">sešas </w:t>
      </w:r>
      <w:r w:rsidR="00987F99" w:rsidRPr="00987F99">
        <w:rPr>
          <w:sz w:val="28"/>
          <w:szCs w:val="28"/>
        </w:rPr>
        <w:t xml:space="preserve">svarīgās pamattehnoloģijas </w:t>
      </w:r>
      <w:r w:rsidR="0031238A">
        <w:rPr>
          <w:sz w:val="28"/>
          <w:szCs w:val="28"/>
        </w:rPr>
        <w:t xml:space="preserve">(turpmāk – </w:t>
      </w:r>
      <w:r w:rsidR="00987F99" w:rsidRPr="00987F99">
        <w:rPr>
          <w:sz w:val="28"/>
          <w:szCs w:val="28"/>
        </w:rPr>
        <w:t>KET</w:t>
      </w:r>
      <w:r w:rsidR="0031238A">
        <w:rPr>
          <w:sz w:val="28"/>
          <w:szCs w:val="28"/>
        </w:rPr>
        <w:t>)</w:t>
      </w:r>
      <w:r w:rsidR="00E3585B">
        <w:rPr>
          <w:sz w:val="28"/>
          <w:szCs w:val="28"/>
        </w:rPr>
        <w:t>: 1</w:t>
      </w:r>
      <w:r w:rsidR="00987F99" w:rsidRPr="00987F99">
        <w:rPr>
          <w:sz w:val="28"/>
          <w:szCs w:val="28"/>
        </w:rPr>
        <w:t xml:space="preserve">) mikroelektronika un </w:t>
      </w:r>
      <w:proofErr w:type="spellStart"/>
      <w:r w:rsidR="00987F99" w:rsidRPr="00987F99">
        <w:rPr>
          <w:sz w:val="28"/>
          <w:szCs w:val="28"/>
        </w:rPr>
        <w:t>nanoelektronika</w:t>
      </w:r>
      <w:proofErr w:type="spellEnd"/>
      <w:r w:rsidR="00987F99" w:rsidRPr="00987F99">
        <w:rPr>
          <w:sz w:val="28"/>
          <w:szCs w:val="28"/>
        </w:rPr>
        <w:t xml:space="preserve">, 2) progresīvie materiāli, 3) rūpnieciskās biotehnoloģijas, 4) </w:t>
      </w:r>
      <w:proofErr w:type="spellStart"/>
      <w:r w:rsidR="00987F99" w:rsidRPr="00987F99">
        <w:rPr>
          <w:sz w:val="28"/>
          <w:szCs w:val="28"/>
        </w:rPr>
        <w:t>fotonika</w:t>
      </w:r>
      <w:proofErr w:type="spellEnd"/>
      <w:r w:rsidR="00987F99" w:rsidRPr="00987F99">
        <w:rPr>
          <w:sz w:val="28"/>
          <w:szCs w:val="28"/>
        </w:rPr>
        <w:t xml:space="preserve">, 5) </w:t>
      </w:r>
      <w:proofErr w:type="spellStart"/>
      <w:r w:rsidR="00987F99" w:rsidRPr="00987F99">
        <w:rPr>
          <w:sz w:val="28"/>
          <w:szCs w:val="28"/>
        </w:rPr>
        <w:t>nanotehnoloģijas</w:t>
      </w:r>
      <w:proofErr w:type="spellEnd"/>
      <w:r w:rsidR="00987F99" w:rsidRPr="00987F99">
        <w:rPr>
          <w:sz w:val="28"/>
          <w:szCs w:val="28"/>
        </w:rPr>
        <w:t xml:space="preserve"> un 6) progresīvas ražošanas tehnoloģijas.</w:t>
      </w:r>
      <w:r w:rsidR="0031238A">
        <w:rPr>
          <w:rStyle w:val="FootnoteReference"/>
          <w:sz w:val="28"/>
          <w:szCs w:val="28"/>
        </w:rPr>
        <w:footnoteReference w:id="6"/>
      </w:r>
      <w:r w:rsidR="006D079F">
        <w:rPr>
          <w:sz w:val="28"/>
          <w:szCs w:val="28"/>
        </w:rPr>
        <w:t xml:space="preserve"> </w:t>
      </w:r>
      <w:r w:rsidR="00987F99" w:rsidRPr="00987F99">
        <w:rPr>
          <w:sz w:val="28"/>
          <w:szCs w:val="28"/>
        </w:rPr>
        <w:t>2012.gad</w:t>
      </w:r>
      <w:r w:rsidR="006D079F">
        <w:rPr>
          <w:sz w:val="28"/>
          <w:szCs w:val="28"/>
        </w:rPr>
        <w:t>a 26.jūnijā</w:t>
      </w:r>
      <w:r w:rsidR="00987F99" w:rsidRPr="00987F99">
        <w:rPr>
          <w:sz w:val="28"/>
          <w:szCs w:val="28"/>
        </w:rPr>
        <w:t xml:space="preserve"> EK nāca klajā ar jaunu paziņojumu „Eiropas stratēģija par svarīgām pamattehnoloģijām – tilts</w:t>
      </w:r>
      <w:r w:rsidR="00A339BD">
        <w:rPr>
          <w:sz w:val="28"/>
          <w:szCs w:val="28"/>
        </w:rPr>
        <w:t xml:space="preserve"> uz izaugsmi un nodarbinātību”</w:t>
      </w:r>
      <w:r w:rsidR="00A339BD">
        <w:rPr>
          <w:rStyle w:val="FootnoteReference"/>
          <w:sz w:val="28"/>
          <w:szCs w:val="28"/>
        </w:rPr>
        <w:footnoteReference w:id="7"/>
      </w:r>
      <w:r w:rsidR="00987F99" w:rsidRPr="00987F99">
        <w:rPr>
          <w:sz w:val="28"/>
          <w:szCs w:val="28"/>
        </w:rPr>
        <w:t xml:space="preserve">, ar mērķi veicināt sinerģiju starp </w:t>
      </w:r>
      <w:r w:rsidR="006D079F">
        <w:rPr>
          <w:sz w:val="28"/>
          <w:szCs w:val="28"/>
        </w:rPr>
        <w:t>ES</w:t>
      </w:r>
      <w:r w:rsidR="00987F99" w:rsidRPr="00987F99">
        <w:rPr>
          <w:sz w:val="28"/>
          <w:szCs w:val="28"/>
        </w:rPr>
        <w:t xml:space="preserve"> politiskajiem virzieniem un instrumentiem un nodrošināt ES un nacionāla līmeņa rīcību koordināciju. Šī stratēģija attiecas uz visām KET, un tās mērķis galvenokārt ir saskaņot centienus, lai mērķtiecīgi un pēc iespējas labāk izmantotu publiskos resursus, tostarp veidojot politisko ietvaru saistītajām iniciatīvām, kuras skar KET.</w:t>
      </w:r>
    </w:p>
    <w:p w:rsidR="00987F99" w:rsidRPr="00987F99" w:rsidRDefault="00987F99" w:rsidP="00987F99">
      <w:pPr>
        <w:jc w:val="both"/>
        <w:rPr>
          <w:sz w:val="28"/>
          <w:szCs w:val="28"/>
        </w:rPr>
      </w:pPr>
      <w:r>
        <w:rPr>
          <w:sz w:val="28"/>
          <w:szCs w:val="28"/>
        </w:rPr>
        <w:tab/>
      </w:r>
      <w:r w:rsidRPr="00987F99">
        <w:rPr>
          <w:sz w:val="28"/>
          <w:szCs w:val="28"/>
        </w:rPr>
        <w:t>KET noteiktās tehnoloģijas atbilst gan Latvijā noteiktajiem prioritārajiem virzieniem zinātnē 2014.-2017.gadam , kuros turpmākos četrus gadus tiks fokusēta zinātniskā darbība un finansēti fundamentālie un lietišķie pētījumi, gan Latvijā definētajām</w:t>
      </w:r>
      <w:r w:rsidR="006D079F">
        <w:rPr>
          <w:sz w:val="28"/>
          <w:szCs w:val="28"/>
        </w:rPr>
        <w:t xml:space="preserve"> 5 viedās specializācijas jomām</w:t>
      </w:r>
      <w:r w:rsidRPr="00987F99">
        <w:rPr>
          <w:sz w:val="28"/>
          <w:szCs w:val="28"/>
        </w:rPr>
        <w:t>.</w:t>
      </w:r>
    </w:p>
    <w:p w:rsidR="00987F99" w:rsidRPr="00987F99" w:rsidRDefault="00987F99" w:rsidP="00987F99">
      <w:pPr>
        <w:jc w:val="both"/>
        <w:rPr>
          <w:sz w:val="28"/>
          <w:szCs w:val="28"/>
        </w:rPr>
      </w:pPr>
    </w:p>
    <w:p w:rsidR="00987F99" w:rsidRPr="00E517BF" w:rsidRDefault="00987F99" w:rsidP="00987F99">
      <w:pPr>
        <w:jc w:val="both"/>
        <w:rPr>
          <w:b/>
          <w:i/>
          <w:sz w:val="28"/>
          <w:szCs w:val="28"/>
          <w:u w:val="single"/>
        </w:rPr>
      </w:pPr>
      <w:r w:rsidRPr="00E517BF">
        <w:rPr>
          <w:b/>
          <w:i/>
          <w:sz w:val="28"/>
          <w:szCs w:val="28"/>
          <w:u w:val="single"/>
        </w:rPr>
        <w:t>Latvijas nostāja:</w:t>
      </w:r>
    </w:p>
    <w:p w:rsidR="002C5959" w:rsidRDefault="00987F99" w:rsidP="00E517BF">
      <w:pPr>
        <w:jc w:val="both"/>
        <w:rPr>
          <w:sz w:val="28"/>
          <w:szCs w:val="28"/>
        </w:rPr>
      </w:pPr>
      <w:r>
        <w:rPr>
          <w:sz w:val="28"/>
          <w:szCs w:val="28"/>
        </w:rPr>
        <w:tab/>
      </w:r>
      <w:r w:rsidR="006D079F">
        <w:rPr>
          <w:sz w:val="28"/>
          <w:szCs w:val="28"/>
        </w:rPr>
        <w:t>Latvija uzskata, ka i</w:t>
      </w:r>
      <w:r w:rsidRPr="00987F99">
        <w:rPr>
          <w:sz w:val="28"/>
          <w:szCs w:val="28"/>
        </w:rPr>
        <w:t>eguldījumi KET var būt nozīmīgs inovācijas avots, jo īpaši ņemot vērā KET sniegto efektu uz produktu, tehnoloģiju vai pakalpojumu attīstību citās nozarēs. Tajā pašā laikā svarīgi panākt, lai koncentrēšanās uz atbalstu KET neierobežo inovācijas (jaunu produktu, tehnoloģiju, pakalpojumu vai citu izstrādņu) attīstību tradicionālajās rūpniecības un rūpniecības konkurētspēju papildinošajās un stiprinošajās nozarēs vai jomās, kas nav saistītas ar KET vai uz KET balstītiem produktiem, pakalpojumiem un pielietojumiem. Īpaši tas attiecināms uz pētniecības un inovācijas ietvara programmas „Horizonts 2020”, vai ES struktūrfondu un citu ES līmeņa instrumentu līdzekļu apgūšanas nosacījumiem.</w:t>
      </w:r>
    </w:p>
    <w:p w:rsidR="008A3947" w:rsidRDefault="008A3947" w:rsidP="0015570E">
      <w:pPr>
        <w:spacing w:before="120"/>
        <w:jc w:val="both"/>
        <w:rPr>
          <w:sz w:val="28"/>
          <w:szCs w:val="28"/>
        </w:rPr>
      </w:pPr>
    </w:p>
    <w:p w:rsidR="004022D4" w:rsidRDefault="004022D4" w:rsidP="0015570E">
      <w:pPr>
        <w:spacing w:before="120"/>
        <w:jc w:val="both"/>
        <w:rPr>
          <w:sz w:val="28"/>
          <w:szCs w:val="28"/>
        </w:rPr>
      </w:pPr>
    </w:p>
    <w:p w:rsidR="004022D4" w:rsidRDefault="004022D4" w:rsidP="0015570E">
      <w:pPr>
        <w:spacing w:before="120"/>
        <w:jc w:val="both"/>
        <w:rPr>
          <w:sz w:val="28"/>
          <w:szCs w:val="28"/>
        </w:rPr>
      </w:pPr>
    </w:p>
    <w:p w:rsidR="004022D4" w:rsidRDefault="004022D4" w:rsidP="0015570E">
      <w:pPr>
        <w:spacing w:before="120"/>
        <w:jc w:val="both"/>
        <w:rPr>
          <w:sz w:val="28"/>
          <w:szCs w:val="28"/>
        </w:rPr>
      </w:pPr>
    </w:p>
    <w:p w:rsidR="008A3947" w:rsidRPr="00AB14BA" w:rsidRDefault="00AB14BA" w:rsidP="00AB14BA">
      <w:pPr>
        <w:pStyle w:val="ListParagraph"/>
        <w:numPr>
          <w:ilvl w:val="0"/>
          <w:numId w:val="1"/>
        </w:numPr>
        <w:tabs>
          <w:tab w:val="left" w:pos="284"/>
        </w:tabs>
        <w:jc w:val="both"/>
        <w:rPr>
          <w:b/>
          <w:sz w:val="28"/>
          <w:szCs w:val="28"/>
        </w:rPr>
      </w:pPr>
      <w:r w:rsidRPr="00AB14BA">
        <w:rPr>
          <w:b/>
          <w:sz w:val="28"/>
          <w:szCs w:val="28"/>
        </w:rPr>
        <w:lastRenderedPageBreak/>
        <w:t xml:space="preserve">Izejvielas – pašreizējā situācija </w:t>
      </w:r>
      <w:r w:rsidR="00971262" w:rsidRPr="00971262">
        <w:rPr>
          <w:i/>
          <w:sz w:val="28"/>
          <w:szCs w:val="28"/>
        </w:rPr>
        <w:t>(</w:t>
      </w:r>
      <w:r>
        <w:rPr>
          <w:i/>
          <w:sz w:val="28"/>
          <w:szCs w:val="28"/>
        </w:rPr>
        <w:t>E</w:t>
      </w:r>
      <w:r w:rsidR="00971262">
        <w:rPr>
          <w:i/>
          <w:sz w:val="28"/>
          <w:szCs w:val="28"/>
        </w:rPr>
        <w:t>M kompetence</w:t>
      </w:r>
      <w:r w:rsidR="00971262" w:rsidRPr="00971262">
        <w:rPr>
          <w:i/>
          <w:sz w:val="28"/>
          <w:szCs w:val="28"/>
        </w:rPr>
        <w:t>)</w:t>
      </w:r>
    </w:p>
    <w:p w:rsidR="00AB14BA" w:rsidRPr="00AB14BA" w:rsidRDefault="00AB14BA" w:rsidP="00AB14BA">
      <w:pPr>
        <w:pStyle w:val="PointManual2"/>
        <w:numPr>
          <w:ilvl w:val="0"/>
          <w:numId w:val="30"/>
        </w:numPr>
        <w:rPr>
          <w:i/>
          <w:sz w:val="28"/>
          <w:szCs w:val="28"/>
          <w:lang w:bidi="ar-SA"/>
        </w:rPr>
      </w:pPr>
      <w:r w:rsidRPr="00AB14BA">
        <w:rPr>
          <w:i/>
          <w:sz w:val="28"/>
          <w:szCs w:val="28"/>
          <w:lang w:bidi="ar-SA"/>
        </w:rPr>
        <w:t>Eiropas inovācijas partnerība</w:t>
      </w:r>
    </w:p>
    <w:p w:rsidR="00AB14BA" w:rsidRPr="00AB14BA" w:rsidRDefault="00AB14BA" w:rsidP="00AB14BA">
      <w:pPr>
        <w:pStyle w:val="PointManual2"/>
        <w:numPr>
          <w:ilvl w:val="0"/>
          <w:numId w:val="30"/>
        </w:numPr>
        <w:rPr>
          <w:i/>
          <w:sz w:val="28"/>
          <w:szCs w:val="28"/>
          <w:lang w:bidi="ar-SA"/>
        </w:rPr>
      </w:pPr>
      <w:r w:rsidRPr="00AB14BA">
        <w:rPr>
          <w:i/>
          <w:sz w:val="28"/>
          <w:szCs w:val="28"/>
          <w:lang w:bidi="ar-SA"/>
        </w:rPr>
        <w:t>Kritisko izejvielu saraksts</w:t>
      </w:r>
    </w:p>
    <w:p w:rsidR="008A3947" w:rsidRPr="00264C71" w:rsidRDefault="008A3947" w:rsidP="008A3947">
      <w:pPr>
        <w:tabs>
          <w:tab w:val="left" w:pos="284"/>
        </w:tabs>
        <w:ind w:left="360"/>
        <w:jc w:val="both"/>
        <w:rPr>
          <w:i/>
          <w:sz w:val="28"/>
          <w:szCs w:val="28"/>
        </w:rPr>
      </w:pPr>
      <w:r w:rsidRPr="00264C71">
        <w:rPr>
          <w:i/>
          <w:sz w:val="28"/>
          <w:szCs w:val="28"/>
        </w:rPr>
        <w:t>-</w:t>
      </w:r>
      <w:r w:rsidRPr="008A3947">
        <w:rPr>
          <w:i/>
          <w:sz w:val="28"/>
          <w:szCs w:val="28"/>
        </w:rPr>
        <w:t>Komisijas sniegta informācija</w:t>
      </w:r>
    </w:p>
    <w:p w:rsidR="00AB56C6" w:rsidRDefault="008A3947" w:rsidP="006362E2">
      <w:pPr>
        <w:jc w:val="both"/>
        <w:rPr>
          <w:sz w:val="28"/>
          <w:szCs w:val="28"/>
        </w:rPr>
      </w:pPr>
      <w:r w:rsidRPr="00264C71">
        <w:rPr>
          <w:sz w:val="28"/>
          <w:szCs w:val="28"/>
        </w:rPr>
        <w:tab/>
      </w:r>
    </w:p>
    <w:p w:rsidR="00E517BF" w:rsidRPr="00E517BF" w:rsidRDefault="00AB56C6" w:rsidP="006362E2">
      <w:pPr>
        <w:jc w:val="both"/>
        <w:rPr>
          <w:sz w:val="28"/>
          <w:szCs w:val="28"/>
        </w:rPr>
      </w:pPr>
      <w:r>
        <w:rPr>
          <w:sz w:val="28"/>
          <w:szCs w:val="28"/>
        </w:rPr>
        <w:tab/>
        <w:t>2011.gada 3.februārī</w:t>
      </w:r>
      <w:r w:rsidR="00E517BF" w:rsidRPr="00E517BF">
        <w:rPr>
          <w:sz w:val="28"/>
          <w:szCs w:val="28"/>
        </w:rPr>
        <w:t xml:space="preserve"> EK publicēja paziņojum</w:t>
      </w:r>
      <w:r>
        <w:rPr>
          <w:sz w:val="28"/>
          <w:szCs w:val="28"/>
        </w:rPr>
        <w:t>u</w:t>
      </w:r>
      <w:r w:rsidR="00E517BF" w:rsidRPr="00E517BF">
        <w:rPr>
          <w:sz w:val="28"/>
          <w:szCs w:val="28"/>
        </w:rPr>
        <w:t xml:space="preserve"> „Aktuālo jautājumu risināšana </w:t>
      </w:r>
      <w:r>
        <w:rPr>
          <w:sz w:val="28"/>
          <w:szCs w:val="28"/>
        </w:rPr>
        <w:t>preču tirgu un izejvielu jomā” (</w:t>
      </w:r>
      <w:r w:rsidRPr="00AB56C6">
        <w:rPr>
          <w:sz w:val="28"/>
          <w:szCs w:val="28"/>
        </w:rPr>
        <w:t>5992/11</w:t>
      </w:r>
      <w:r>
        <w:rPr>
          <w:sz w:val="28"/>
          <w:szCs w:val="28"/>
        </w:rPr>
        <w:t>)</w:t>
      </w:r>
      <w:r w:rsidR="00E517BF" w:rsidRPr="00E517BF">
        <w:rPr>
          <w:sz w:val="28"/>
          <w:szCs w:val="28"/>
        </w:rPr>
        <w:t>, kurš cita starpā ietvēra pārskatu par sasniegto izejvielu jomā, tostarp definējot būtiskākos īstenojamos virzienus, kas nodrošinātu integrētu pieeju:</w:t>
      </w:r>
    </w:p>
    <w:p w:rsidR="00E517BF" w:rsidRPr="00AB56C6" w:rsidRDefault="00E517BF" w:rsidP="00AB56C6">
      <w:pPr>
        <w:pStyle w:val="ListParagraph"/>
        <w:numPr>
          <w:ilvl w:val="0"/>
          <w:numId w:val="37"/>
        </w:numPr>
        <w:jc w:val="both"/>
        <w:rPr>
          <w:sz w:val="28"/>
          <w:szCs w:val="28"/>
        </w:rPr>
      </w:pPr>
      <w:r w:rsidRPr="00AB56C6">
        <w:rPr>
          <w:sz w:val="28"/>
          <w:szCs w:val="28"/>
        </w:rPr>
        <w:t>Uzraudzība attiecībā uz kritiski svarīgām izejvielām;</w:t>
      </w:r>
    </w:p>
    <w:p w:rsidR="00E517BF" w:rsidRPr="00AB56C6" w:rsidRDefault="00E517BF" w:rsidP="00AB56C6">
      <w:pPr>
        <w:pStyle w:val="ListParagraph"/>
        <w:numPr>
          <w:ilvl w:val="0"/>
          <w:numId w:val="37"/>
        </w:numPr>
        <w:jc w:val="both"/>
        <w:rPr>
          <w:sz w:val="28"/>
          <w:szCs w:val="28"/>
        </w:rPr>
      </w:pPr>
      <w:r w:rsidRPr="00AB56C6">
        <w:rPr>
          <w:sz w:val="28"/>
          <w:szCs w:val="28"/>
        </w:rPr>
        <w:t>Taisnīga un ilgtspējīga apgāde ar izejvielām no pasaules tirgiem;</w:t>
      </w:r>
    </w:p>
    <w:p w:rsidR="00E517BF" w:rsidRPr="00AB56C6" w:rsidRDefault="00E517BF" w:rsidP="00AB56C6">
      <w:pPr>
        <w:pStyle w:val="ListParagraph"/>
        <w:numPr>
          <w:ilvl w:val="0"/>
          <w:numId w:val="37"/>
        </w:numPr>
        <w:jc w:val="both"/>
        <w:rPr>
          <w:sz w:val="28"/>
          <w:szCs w:val="28"/>
        </w:rPr>
      </w:pPr>
      <w:r w:rsidRPr="00AB56C6">
        <w:rPr>
          <w:sz w:val="28"/>
          <w:szCs w:val="28"/>
        </w:rPr>
        <w:t>Ilgtspējīga apgādes veicināšana;</w:t>
      </w:r>
    </w:p>
    <w:p w:rsidR="00E517BF" w:rsidRPr="00AB56C6" w:rsidRDefault="00E517BF" w:rsidP="00AB56C6">
      <w:pPr>
        <w:pStyle w:val="ListParagraph"/>
        <w:numPr>
          <w:ilvl w:val="0"/>
          <w:numId w:val="37"/>
        </w:numPr>
        <w:jc w:val="both"/>
        <w:rPr>
          <w:sz w:val="28"/>
          <w:szCs w:val="28"/>
        </w:rPr>
      </w:pPr>
      <w:r w:rsidRPr="00AB56C6">
        <w:rPr>
          <w:sz w:val="28"/>
          <w:szCs w:val="28"/>
        </w:rPr>
        <w:t>Resursu efektīvāka izmantošana un otrreizējās pārstrādes veicināšana;</w:t>
      </w:r>
    </w:p>
    <w:p w:rsidR="00E517BF" w:rsidRPr="00AB56C6" w:rsidRDefault="00E517BF" w:rsidP="00AB56C6">
      <w:pPr>
        <w:pStyle w:val="ListParagraph"/>
        <w:numPr>
          <w:ilvl w:val="0"/>
          <w:numId w:val="37"/>
        </w:numPr>
        <w:jc w:val="both"/>
        <w:rPr>
          <w:sz w:val="28"/>
          <w:szCs w:val="28"/>
        </w:rPr>
      </w:pPr>
      <w:r w:rsidRPr="00AB56C6">
        <w:rPr>
          <w:sz w:val="28"/>
          <w:szCs w:val="28"/>
        </w:rPr>
        <w:t>Inovācijas sekmēšana.</w:t>
      </w:r>
    </w:p>
    <w:p w:rsidR="00E517BF" w:rsidRDefault="00AB56C6" w:rsidP="006362E2">
      <w:pPr>
        <w:jc w:val="both"/>
        <w:rPr>
          <w:sz w:val="28"/>
          <w:szCs w:val="28"/>
        </w:rPr>
      </w:pPr>
      <w:r>
        <w:rPr>
          <w:sz w:val="28"/>
          <w:szCs w:val="28"/>
        </w:rPr>
        <w:tab/>
      </w:r>
      <w:r w:rsidR="00E517BF" w:rsidRPr="00E517BF">
        <w:rPr>
          <w:sz w:val="28"/>
          <w:szCs w:val="28"/>
        </w:rPr>
        <w:t>Vienlaikus tika paredzēts izveidot Eiropas Inovācijas partnerību (EIP) izejvielu jomā, lai sekmētu vidēja termiņa un ilgtermiņa drošību ilgtspējīgā apgādē ar izejvielām (</w:t>
      </w:r>
      <w:proofErr w:type="spellStart"/>
      <w:r w:rsidR="00E517BF" w:rsidRPr="00E517BF">
        <w:rPr>
          <w:sz w:val="28"/>
          <w:szCs w:val="28"/>
        </w:rPr>
        <w:t>t.sk</w:t>
      </w:r>
      <w:proofErr w:type="spellEnd"/>
      <w:r w:rsidR="00E517BF" w:rsidRPr="00E517BF">
        <w:rPr>
          <w:sz w:val="28"/>
          <w:szCs w:val="28"/>
        </w:rPr>
        <w:t xml:space="preserve">. kritiski svarīgās izejvielas, rūpnieciskie minerāli un koksnes materiāli), </w:t>
      </w:r>
      <w:proofErr w:type="spellStart"/>
      <w:r w:rsidR="00E517BF" w:rsidRPr="00E517BF">
        <w:rPr>
          <w:sz w:val="28"/>
          <w:szCs w:val="28"/>
        </w:rPr>
        <w:t>t.sk</w:t>
      </w:r>
      <w:proofErr w:type="spellEnd"/>
      <w:r w:rsidR="00E517BF" w:rsidRPr="00E517BF">
        <w:rPr>
          <w:sz w:val="28"/>
          <w:szCs w:val="28"/>
        </w:rPr>
        <w:t>. uzlabotu resursu efektivitāti ES un jaunu otrreizējās pārstrādes darbību attīstībā Eiropā.</w:t>
      </w:r>
    </w:p>
    <w:p w:rsidR="00AB56C6" w:rsidRDefault="00AB56C6" w:rsidP="006362E2">
      <w:pPr>
        <w:jc w:val="both"/>
        <w:rPr>
          <w:sz w:val="28"/>
          <w:szCs w:val="28"/>
        </w:rPr>
      </w:pPr>
    </w:p>
    <w:p w:rsidR="00AB56C6" w:rsidRPr="00AB56C6" w:rsidRDefault="00AB56C6" w:rsidP="006362E2">
      <w:pPr>
        <w:jc w:val="both"/>
        <w:rPr>
          <w:i/>
          <w:sz w:val="28"/>
          <w:szCs w:val="28"/>
        </w:rPr>
      </w:pPr>
      <w:r w:rsidRPr="00AB56C6">
        <w:rPr>
          <w:i/>
          <w:sz w:val="28"/>
          <w:szCs w:val="28"/>
        </w:rPr>
        <w:t>Eiropas inovācijas partnerība</w:t>
      </w:r>
    </w:p>
    <w:p w:rsidR="00107D5E" w:rsidRDefault="00AB56C6" w:rsidP="006362E2">
      <w:pPr>
        <w:jc w:val="both"/>
        <w:rPr>
          <w:sz w:val="28"/>
          <w:szCs w:val="28"/>
        </w:rPr>
      </w:pPr>
      <w:r>
        <w:rPr>
          <w:sz w:val="28"/>
          <w:szCs w:val="28"/>
        </w:rPr>
        <w:tab/>
        <w:t>2012.gada 29.februārī</w:t>
      </w:r>
      <w:r w:rsidR="00E517BF" w:rsidRPr="00E517BF">
        <w:rPr>
          <w:sz w:val="28"/>
          <w:szCs w:val="28"/>
        </w:rPr>
        <w:t xml:space="preserve"> EK publicēja paziņojumu „Izejvielu nodrošināšana Eiropas turpmākas labklājības nolūkos – priekšlikums Eiropas inovācij</w:t>
      </w:r>
      <w:r w:rsidR="008718DE">
        <w:rPr>
          <w:sz w:val="28"/>
          <w:szCs w:val="28"/>
        </w:rPr>
        <w:t>as partnerībai izejvielu jomā”</w:t>
      </w:r>
      <w:r w:rsidR="008718DE">
        <w:rPr>
          <w:rStyle w:val="FootnoteReference"/>
          <w:sz w:val="28"/>
          <w:szCs w:val="28"/>
        </w:rPr>
        <w:footnoteReference w:id="8"/>
      </w:r>
      <w:r w:rsidR="00E517BF" w:rsidRPr="00E517BF">
        <w:rPr>
          <w:sz w:val="28"/>
          <w:szCs w:val="28"/>
        </w:rPr>
        <w:t>. EK norāda, ka izejvielu EIP vispārējais mērķis ir samazināt Eiropas atkarību no to izejvielu importa, kas ir būtiskas Eiropas rūpniecībai.</w:t>
      </w:r>
    </w:p>
    <w:p w:rsidR="003F6E3F" w:rsidRDefault="00AB56C6" w:rsidP="006362E2">
      <w:pPr>
        <w:jc w:val="both"/>
        <w:rPr>
          <w:rFonts w:eastAsia="Calibri"/>
          <w:sz w:val="28"/>
          <w:szCs w:val="28"/>
          <w:lang w:eastAsia="en-US"/>
        </w:rPr>
      </w:pPr>
      <w:r>
        <w:rPr>
          <w:rFonts w:eastAsia="Calibri"/>
          <w:sz w:val="28"/>
          <w:szCs w:val="28"/>
          <w:lang w:eastAsia="en-US"/>
        </w:rPr>
        <w:tab/>
      </w:r>
      <w:r w:rsidR="00E517BF" w:rsidRPr="00E517BF">
        <w:rPr>
          <w:rFonts w:eastAsia="Calibri"/>
          <w:sz w:val="28"/>
          <w:szCs w:val="28"/>
          <w:lang w:eastAsia="en-US"/>
        </w:rPr>
        <w:t>EK ierosina konkrētus mērķus, k</w:t>
      </w:r>
      <w:r w:rsidR="003F6E3F">
        <w:rPr>
          <w:rFonts w:eastAsia="Calibri"/>
          <w:sz w:val="28"/>
          <w:szCs w:val="28"/>
          <w:lang w:eastAsia="en-US"/>
        </w:rPr>
        <w:t xml:space="preserve">as jāsasniedz līdz 2020.gadam: </w:t>
      </w:r>
    </w:p>
    <w:p w:rsidR="003F6E3F" w:rsidRDefault="00E517BF" w:rsidP="006362E2">
      <w:pPr>
        <w:jc w:val="both"/>
        <w:rPr>
          <w:rFonts w:eastAsia="Calibri"/>
          <w:sz w:val="28"/>
          <w:szCs w:val="28"/>
          <w:lang w:eastAsia="en-US"/>
        </w:rPr>
      </w:pPr>
      <w:r w:rsidRPr="00E517BF">
        <w:rPr>
          <w:rFonts w:eastAsia="Calibri"/>
          <w:sz w:val="28"/>
          <w:szCs w:val="28"/>
          <w:lang w:eastAsia="en-US"/>
        </w:rPr>
        <w:t xml:space="preserve">1) Eiropas statistikas instrumentu standartizēšana, lai apsekotu resursus un rezerves (zemes un jūras), kā arī 3-D ģeoloģiskā karte; </w:t>
      </w:r>
    </w:p>
    <w:p w:rsidR="003F6E3F" w:rsidRDefault="00E517BF" w:rsidP="006362E2">
      <w:pPr>
        <w:jc w:val="both"/>
        <w:rPr>
          <w:rFonts w:eastAsia="Calibri"/>
          <w:sz w:val="28"/>
          <w:szCs w:val="28"/>
          <w:lang w:eastAsia="en-US"/>
        </w:rPr>
      </w:pPr>
      <w:r w:rsidRPr="00E517BF">
        <w:rPr>
          <w:rFonts w:eastAsia="Calibri"/>
          <w:sz w:val="28"/>
          <w:szCs w:val="28"/>
          <w:lang w:eastAsia="en-US"/>
        </w:rPr>
        <w:t xml:space="preserve">2) Dinamiska modelēšanas sistēma, kurā apvienotas piedāvājuma un pieprasījuma tendences ar ekonomiski izmantojamām rezervēm, kā arī pilna aprites cikla analīze, </w:t>
      </w:r>
      <w:proofErr w:type="spellStart"/>
      <w:r w:rsidRPr="00E517BF">
        <w:rPr>
          <w:rFonts w:eastAsia="Calibri"/>
          <w:sz w:val="28"/>
          <w:szCs w:val="28"/>
          <w:lang w:eastAsia="en-US"/>
        </w:rPr>
        <w:t>t.sk</w:t>
      </w:r>
      <w:proofErr w:type="spellEnd"/>
      <w:r w:rsidRPr="00E517BF">
        <w:rPr>
          <w:rFonts w:eastAsia="Calibri"/>
          <w:sz w:val="28"/>
          <w:szCs w:val="28"/>
          <w:lang w:eastAsia="en-US"/>
        </w:rPr>
        <w:t xml:space="preserve">. novērtējums par dažādu scenāriju vides, ekonomisko un sociālo ietekmi; </w:t>
      </w:r>
    </w:p>
    <w:p w:rsidR="003F6E3F" w:rsidRDefault="00E517BF" w:rsidP="006362E2">
      <w:pPr>
        <w:jc w:val="both"/>
        <w:rPr>
          <w:rFonts w:eastAsia="Calibri"/>
          <w:sz w:val="28"/>
          <w:szCs w:val="28"/>
          <w:lang w:eastAsia="en-US"/>
        </w:rPr>
      </w:pPr>
      <w:r w:rsidRPr="00E517BF">
        <w:rPr>
          <w:rFonts w:eastAsia="Calibri"/>
          <w:sz w:val="28"/>
          <w:szCs w:val="28"/>
          <w:lang w:eastAsia="en-US"/>
        </w:rPr>
        <w:t>3) Līdz 10 inovatīvas eksperimentālas darbības (piemēram, demonstrācijas ražotnes) izlūkošanas, pārstrādes, savākšanas un otrreizējas pārstrādes jomā;</w:t>
      </w:r>
    </w:p>
    <w:p w:rsidR="003F6E3F" w:rsidRDefault="00E517BF" w:rsidP="006362E2">
      <w:pPr>
        <w:jc w:val="both"/>
        <w:rPr>
          <w:rFonts w:eastAsia="Calibri"/>
          <w:sz w:val="28"/>
          <w:szCs w:val="28"/>
          <w:lang w:eastAsia="en-US"/>
        </w:rPr>
      </w:pPr>
      <w:r w:rsidRPr="00E517BF">
        <w:rPr>
          <w:rFonts w:eastAsia="Calibri"/>
          <w:sz w:val="28"/>
          <w:szCs w:val="28"/>
          <w:lang w:eastAsia="en-US"/>
        </w:rPr>
        <w:t>4) Aizstājēji vismaz 3 kritiski svarīgo un ier</w:t>
      </w:r>
      <w:r w:rsidR="003F6E3F">
        <w:rPr>
          <w:rFonts w:eastAsia="Calibri"/>
          <w:sz w:val="28"/>
          <w:szCs w:val="28"/>
          <w:lang w:eastAsia="en-US"/>
        </w:rPr>
        <w:t xml:space="preserve">obežoto izejvielu lietojumiem; </w:t>
      </w:r>
    </w:p>
    <w:p w:rsidR="003F6E3F" w:rsidRDefault="00E517BF" w:rsidP="006362E2">
      <w:pPr>
        <w:jc w:val="both"/>
        <w:rPr>
          <w:rFonts w:eastAsia="Calibri"/>
          <w:sz w:val="28"/>
          <w:szCs w:val="28"/>
          <w:lang w:eastAsia="en-US"/>
        </w:rPr>
      </w:pPr>
      <w:r w:rsidRPr="00E517BF">
        <w:rPr>
          <w:rFonts w:eastAsia="Calibri"/>
          <w:sz w:val="28"/>
          <w:szCs w:val="28"/>
          <w:lang w:eastAsia="en-US"/>
        </w:rPr>
        <w:t>5) Pētniecības, izglītības un mācību centru tīkls ilgtspējīgas ieguves un materiālu pārvaldes jomā (M³), nodrošinot pienācīgu koordināciju ar potenciālo Eiropas Inovāciju un tehnoloģiju institūta (EIT) Zināšanu un inovāciju kopienu (ZIK) ilgtspējīgas ieguves, pārstrādes u</w:t>
      </w:r>
      <w:r w:rsidR="003F6E3F">
        <w:rPr>
          <w:rFonts w:eastAsia="Calibri"/>
          <w:sz w:val="28"/>
          <w:szCs w:val="28"/>
          <w:lang w:eastAsia="en-US"/>
        </w:rPr>
        <w:t xml:space="preserve">n otrreizējas pārstrādes jomā; </w:t>
      </w:r>
    </w:p>
    <w:p w:rsidR="003F6E3F" w:rsidRDefault="00E517BF" w:rsidP="006362E2">
      <w:pPr>
        <w:jc w:val="both"/>
        <w:rPr>
          <w:rFonts w:eastAsia="Calibri"/>
          <w:sz w:val="28"/>
          <w:szCs w:val="28"/>
          <w:lang w:eastAsia="en-US"/>
        </w:rPr>
      </w:pPr>
      <w:r w:rsidRPr="00E517BF">
        <w:rPr>
          <w:rFonts w:eastAsia="Calibri"/>
          <w:sz w:val="28"/>
          <w:szCs w:val="28"/>
          <w:lang w:eastAsia="en-US"/>
        </w:rPr>
        <w:lastRenderedPageBreak/>
        <w:t xml:space="preserve">6) Efektīvāka materiālu izmantošana, vērtīgu izejvielu atkārtota izmantošana un otrreizēja pārstrāde no atkritumu plūsmām, īpašu uzmanību pievēršot materiāliem, kuri potenciāli negatīvi ietekmē vidi; </w:t>
      </w:r>
    </w:p>
    <w:p w:rsidR="003F6E3F" w:rsidRDefault="00E517BF" w:rsidP="006362E2">
      <w:pPr>
        <w:jc w:val="both"/>
        <w:rPr>
          <w:rFonts w:eastAsia="Calibri"/>
          <w:sz w:val="28"/>
          <w:szCs w:val="28"/>
          <w:lang w:eastAsia="en-US"/>
        </w:rPr>
      </w:pPr>
      <w:r w:rsidRPr="00E517BF">
        <w:rPr>
          <w:rFonts w:eastAsia="Calibri"/>
          <w:sz w:val="28"/>
          <w:szCs w:val="28"/>
          <w:lang w:eastAsia="en-US"/>
        </w:rPr>
        <w:t xml:space="preserve">7) Iespēju identificēšana un jaunu ideju attīstīšana attiecībā uz inovatīvām izejvielām un produktiem ar tirgus potenciālu; </w:t>
      </w:r>
    </w:p>
    <w:p w:rsidR="00E517BF" w:rsidRPr="00E517BF" w:rsidRDefault="00E517BF" w:rsidP="006362E2">
      <w:pPr>
        <w:jc w:val="both"/>
        <w:rPr>
          <w:rFonts w:eastAsia="Calibri"/>
          <w:sz w:val="28"/>
          <w:szCs w:val="28"/>
          <w:lang w:eastAsia="en-US"/>
        </w:rPr>
      </w:pPr>
      <w:r w:rsidRPr="00E517BF">
        <w:rPr>
          <w:rFonts w:eastAsia="Calibri"/>
          <w:sz w:val="28"/>
          <w:szCs w:val="28"/>
          <w:lang w:eastAsia="en-US"/>
        </w:rPr>
        <w:t xml:space="preserve">8) </w:t>
      </w:r>
      <w:proofErr w:type="spellStart"/>
      <w:r w:rsidRPr="00E517BF">
        <w:rPr>
          <w:rFonts w:eastAsia="Calibri"/>
          <w:sz w:val="28"/>
          <w:szCs w:val="28"/>
          <w:lang w:eastAsia="en-US"/>
        </w:rPr>
        <w:t>Proaktīva</w:t>
      </w:r>
      <w:proofErr w:type="spellEnd"/>
      <w:r w:rsidRPr="00E517BF">
        <w:rPr>
          <w:rFonts w:eastAsia="Calibri"/>
          <w:sz w:val="28"/>
          <w:szCs w:val="28"/>
          <w:lang w:eastAsia="en-US"/>
        </w:rPr>
        <w:t xml:space="preserve"> ES stratēģija daudzpusējās organizācijās un divpusējās attiecībās jomās uz kurām attiecas EIP.</w:t>
      </w:r>
    </w:p>
    <w:p w:rsidR="003F6E3F" w:rsidRPr="00E517BF" w:rsidRDefault="003F6E3F" w:rsidP="003F6E3F">
      <w:pPr>
        <w:jc w:val="both"/>
        <w:rPr>
          <w:rFonts w:eastAsia="Calibri"/>
          <w:sz w:val="28"/>
          <w:szCs w:val="28"/>
          <w:lang w:eastAsia="en-US"/>
        </w:rPr>
      </w:pPr>
      <w:r>
        <w:rPr>
          <w:rFonts w:eastAsia="Calibri"/>
          <w:sz w:val="28"/>
          <w:szCs w:val="28"/>
          <w:lang w:eastAsia="en-US"/>
        </w:rPr>
        <w:tab/>
      </w:r>
      <w:r w:rsidRPr="00E517BF">
        <w:rPr>
          <w:rFonts w:eastAsia="Calibri"/>
          <w:sz w:val="28"/>
          <w:szCs w:val="28"/>
          <w:lang w:eastAsia="en-US"/>
        </w:rPr>
        <w:t>Latvija nav pārstāvēta (ne zinātnisko institūciju, ne uzņēmumu līmenī) Izejvielu EIP.</w:t>
      </w:r>
    </w:p>
    <w:p w:rsidR="003F6E3F" w:rsidRDefault="003F6E3F" w:rsidP="006362E2">
      <w:pPr>
        <w:jc w:val="both"/>
        <w:rPr>
          <w:rFonts w:eastAsia="Calibri"/>
          <w:sz w:val="28"/>
          <w:szCs w:val="28"/>
          <w:lang w:eastAsia="en-US"/>
        </w:rPr>
      </w:pPr>
    </w:p>
    <w:p w:rsidR="00E517BF" w:rsidRPr="00AB56C6" w:rsidRDefault="00E517BF" w:rsidP="006362E2">
      <w:pPr>
        <w:jc w:val="both"/>
        <w:rPr>
          <w:rFonts w:eastAsia="Calibri"/>
          <w:i/>
          <w:sz w:val="28"/>
          <w:szCs w:val="28"/>
          <w:lang w:eastAsia="en-US"/>
        </w:rPr>
      </w:pPr>
      <w:r w:rsidRPr="00AB56C6">
        <w:rPr>
          <w:rFonts w:eastAsia="Calibri"/>
          <w:i/>
          <w:sz w:val="28"/>
          <w:szCs w:val="28"/>
          <w:lang w:eastAsia="en-US"/>
        </w:rPr>
        <w:t>Būtisko izejvielu saraksts</w:t>
      </w:r>
    </w:p>
    <w:p w:rsidR="00E517BF" w:rsidRPr="00E517BF" w:rsidRDefault="003F6E3F" w:rsidP="006362E2">
      <w:pPr>
        <w:jc w:val="both"/>
        <w:rPr>
          <w:rFonts w:eastAsia="Calibri"/>
          <w:sz w:val="28"/>
          <w:szCs w:val="28"/>
          <w:lang w:eastAsia="en-US"/>
        </w:rPr>
      </w:pPr>
      <w:r>
        <w:rPr>
          <w:rFonts w:eastAsia="Calibri"/>
          <w:sz w:val="28"/>
          <w:szCs w:val="28"/>
          <w:lang w:eastAsia="en-US"/>
        </w:rPr>
        <w:tab/>
      </w:r>
      <w:r w:rsidR="00E517BF" w:rsidRPr="00E517BF">
        <w:rPr>
          <w:rFonts w:eastAsia="Calibri"/>
          <w:sz w:val="28"/>
          <w:szCs w:val="28"/>
          <w:lang w:eastAsia="en-US"/>
        </w:rPr>
        <w:t xml:space="preserve">EK 2010.gadā publicēja ekspertu ziņojumu ar metodiku ES kritiski svarīgu izejvielu noteikšanai. Balstoties uz šo ziņojumu EK ir noteikusi kritiski svarīgo izejvielu sarakstu, kurā ietver tās izejvielas (retzemju metālus), kuru Eiropā ir ļoti maz. Ziņojumā ierosināja par kritiski svarīgām atzīt 14 izejvielas – antimonu, beriliju, kobaltu, </w:t>
      </w:r>
      <w:proofErr w:type="spellStart"/>
      <w:r w:rsidR="00E517BF" w:rsidRPr="00E517BF">
        <w:rPr>
          <w:rFonts w:eastAsia="Calibri"/>
          <w:sz w:val="28"/>
          <w:szCs w:val="28"/>
          <w:lang w:eastAsia="en-US"/>
        </w:rPr>
        <w:t>fluoršpatu</w:t>
      </w:r>
      <w:proofErr w:type="spellEnd"/>
      <w:r w:rsidR="00E517BF" w:rsidRPr="00E517BF">
        <w:rPr>
          <w:rFonts w:eastAsia="Calibri"/>
          <w:sz w:val="28"/>
          <w:szCs w:val="28"/>
          <w:lang w:eastAsia="en-US"/>
        </w:rPr>
        <w:t xml:space="preserve">, galliju, germāniju, grafītu, indiju, magniju, </w:t>
      </w:r>
      <w:proofErr w:type="spellStart"/>
      <w:r w:rsidR="00E517BF" w:rsidRPr="00E517BF">
        <w:rPr>
          <w:rFonts w:eastAsia="Calibri"/>
          <w:sz w:val="28"/>
          <w:szCs w:val="28"/>
          <w:lang w:eastAsia="en-US"/>
        </w:rPr>
        <w:t>niobiju</w:t>
      </w:r>
      <w:proofErr w:type="spellEnd"/>
      <w:r w:rsidR="00E517BF" w:rsidRPr="00E517BF">
        <w:rPr>
          <w:rFonts w:eastAsia="Calibri"/>
          <w:sz w:val="28"/>
          <w:szCs w:val="28"/>
          <w:lang w:eastAsia="en-US"/>
        </w:rPr>
        <w:t xml:space="preserve">, platīna grupas metālus, retzemju elementus, </w:t>
      </w:r>
      <w:proofErr w:type="spellStart"/>
      <w:r w:rsidR="00E517BF" w:rsidRPr="00E517BF">
        <w:rPr>
          <w:rFonts w:eastAsia="Calibri"/>
          <w:sz w:val="28"/>
          <w:szCs w:val="28"/>
          <w:lang w:eastAsia="en-US"/>
        </w:rPr>
        <w:t>tantalu</w:t>
      </w:r>
      <w:proofErr w:type="spellEnd"/>
      <w:r w:rsidR="00E517BF" w:rsidRPr="00E517BF">
        <w:rPr>
          <w:rFonts w:eastAsia="Calibri"/>
          <w:sz w:val="28"/>
          <w:szCs w:val="28"/>
          <w:lang w:eastAsia="en-US"/>
        </w:rPr>
        <w:t xml:space="preserve"> un volframu. Pašlaik noris šo izejvielu saraksta pārskatīšana un tas varētu tikt papildināts ar jaunām izejvielām, piemēram, </w:t>
      </w:r>
      <w:proofErr w:type="spellStart"/>
      <w:r w:rsidR="00E517BF" w:rsidRPr="00E517BF">
        <w:rPr>
          <w:rFonts w:eastAsia="Calibri"/>
          <w:sz w:val="28"/>
          <w:szCs w:val="28"/>
          <w:lang w:eastAsia="en-US"/>
        </w:rPr>
        <w:t>rēniju</w:t>
      </w:r>
      <w:proofErr w:type="spellEnd"/>
      <w:r w:rsidR="00E517BF" w:rsidRPr="00E517BF">
        <w:rPr>
          <w:rFonts w:eastAsia="Calibri"/>
          <w:sz w:val="28"/>
          <w:szCs w:val="28"/>
          <w:lang w:eastAsia="en-US"/>
        </w:rPr>
        <w:t>, telūru, hafniju, selēnu un alvu, kokmateriāliem un dabisko kaučuku.</w:t>
      </w:r>
    </w:p>
    <w:p w:rsidR="00E517BF" w:rsidRDefault="00E517BF" w:rsidP="00107D5E">
      <w:pPr>
        <w:jc w:val="both"/>
        <w:rPr>
          <w:rFonts w:eastAsia="Calibri"/>
          <w:b/>
          <w:sz w:val="28"/>
          <w:szCs w:val="28"/>
          <w:u w:val="single"/>
          <w:lang w:eastAsia="en-US"/>
        </w:rPr>
      </w:pPr>
    </w:p>
    <w:p w:rsidR="00B16ADB" w:rsidRDefault="00B16ADB" w:rsidP="00107D5E">
      <w:pPr>
        <w:jc w:val="both"/>
        <w:rPr>
          <w:sz w:val="28"/>
          <w:szCs w:val="28"/>
        </w:rPr>
      </w:pPr>
      <w:r w:rsidRPr="003D6992">
        <w:rPr>
          <w:rFonts w:eastAsia="Calibri"/>
          <w:b/>
          <w:sz w:val="28"/>
          <w:szCs w:val="28"/>
          <w:u w:val="single"/>
          <w:lang w:eastAsia="en-US"/>
        </w:rPr>
        <w:t>Latvijas nostāja:</w:t>
      </w:r>
    </w:p>
    <w:p w:rsidR="00E517BF" w:rsidRPr="00E517BF" w:rsidRDefault="00D16D0F" w:rsidP="00E517BF">
      <w:pPr>
        <w:jc w:val="both"/>
        <w:rPr>
          <w:sz w:val="28"/>
          <w:szCs w:val="28"/>
        </w:rPr>
      </w:pPr>
      <w:r>
        <w:rPr>
          <w:sz w:val="28"/>
          <w:szCs w:val="28"/>
        </w:rPr>
        <w:tab/>
      </w:r>
      <w:r w:rsidR="00E517BF" w:rsidRPr="00E517BF">
        <w:rPr>
          <w:sz w:val="28"/>
          <w:szCs w:val="28"/>
        </w:rPr>
        <w:t>Latvijai nozīmīgāka ir jautājumu risināšana attiecībā uz rūpnieciskajiem minerāliem un koksnes materiāliem (ES kritiski svarīgo izejvielu imports kopējā izejvielu ievedumā Latvijā ir nebūtisks). Būtiskākās darbības, kas šajā jomā risināmas ES, ir nepieciešamība realizēt pārdomātu un mērķtiecīgu tirdzniecības politiku, ar kuras palīdzību ES tiktu nodrošināti godīgi nosacījumi izejvielu tirdzniecībā.</w:t>
      </w:r>
    </w:p>
    <w:p w:rsidR="008A3947" w:rsidRDefault="00E517BF" w:rsidP="00E517BF">
      <w:pPr>
        <w:jc w:val="both"/>
        <w:rPr>
          <w:sz w:val="28"/>
          <w:szCs w:val="28"/>
        </w:rPr>
      </w:pPr>
      <w:r>
        <w:rPr>
          <w:sz w:val="28"/>
          <w:szCs w:val="28"/>
        </w:rPr>
        <w:tab/>
      </w:r>
      <w:r w:rsidRPr="00E517BF">
        <w:rPr>
          <w:sz w:val="28"/>
          <w:szCs w:val="28"/>
        </w:rPr>
        <w:t>Kopumā EIP īstenošanu izejvielu jomā ir atbalstāma. Šāda EIP var sniegt ieguldījumu ES ilgtspējīgā apgādē ar izejvielām, kas īpaši svarīgi ES rūpniecībai. Tāpat izejvielu EIP var radīt kritisko masu, lai, apvienojot visas iesaistītās puses (valsts sektoru, rūpniecības nozares, pētniecības sektoru), inovatīvi risinājumi tiktu ieviesti visā izejvielu dzīves ciklā, piemēram, rūpniecībai būtisku izejvielu aizstāšanas, sekmīgākas ieguves, savākšanas, pārstrādes vai otrreizējās pārstrādes jomā, tostarp sekmējot pašas ES resursu labāku izmantošanu.</w:t>
      </w:r>
    </w:p>
    <w:p w:rsidR="00B16ADB" w:rsidRDefault="00B16ADB" w:rsidP="0015570E">
      <w:pPr>
        <w:spacing w:before="120"/>
        <w:jc w:val="both"/>
        <w:rPr>
          <w:sz w:val="28"/>
          <w:szCs w:val="28"/>
        </w:rPr>
      </w:pPr>
    </w:p>
    <w:p w:rsidR="00906EEA" w:rsidRPr="00AB14BA" w:rsidRDefault="000C4CBE" w:rsidP="00906EEA">
      <w:pPr>
        <w:pStyle w:val="ListParagraph"/>
        <w:numPr>
          <w:ilvl w:val="0"/>
          <w:numId w:val="1"/>
        </w:numPr>
        <w:tabs>
          <w:tab w:val="left" w:pos="284"/>
        </w:tabs>
        <w:jc w:val="both"/>
        <w:rPr>
          <w:b/>
          <w:sz w:val="28"/>
          <w:szCs w:val="28"/>
        </w:rPr>
      </w:pPr>
      <w:r w:rsidRPr="000C4CBE">
        <w:rPr>
          <w:sz w:val="28"/>
          <w:szCs w:val="28"/>
        </w:rPr>
        <w:t xml:space="preserve"> </w:t>
      </w:r>
      <w:r w:rsidR="00906EEA">
        <w:rPr>
          <w:b/>
          <w:sz w:val="28"/>
          <w:szCs w:val="28"/>
        </w:rPr>
        <w:t>Tirdzniecības instrumentu modernizācijas vadlīnijas</w:t>
      </w:r>
      <w:r w:rsidR="00906EEA" w:rsidRPr="00AB14BA">
        <w:rPr>
          <w:b/>
          <w:sz w:val="28"/>
          <w:szCs w:val="28"/>
        </w:rPr>
        <w:t xml:space="preserve"> </w:t>
      </w:r>
      <w:r w:rsidR="00906EEA" w:rsidRPr="00971262">
        <w:rPr>
          <w:i/>
          <w:sz w:val="28"/>
          <w:szCs w:val="28"/>
        </w:rPr>
        <w:t>(</w:t>
      </w:r>
      <w:r w:rsidR="00906EEA">
        <w:rPr>
          <w:i/>
          <w:sz w:val="28"/>
          <w:szCs w:val="28"/>
        </w:rPr>
        <w:t>EM kompetence</w:t>
      </w:r>
      <w:r w:rsidR="00906EEA" w:rsidRPr="00971262">
        <w:rPr>
          <w:i/>
          <w:sz w:val="28"/>
          <w:szCs w:val="28"/>
        </w:rPr>
        <w:t>)</w:t>
      </w:r>
    </w:p>
    <w:p w:rsidR="00906EEA" w:rsidRPr="00264C71" w:rsidRDefault="00906EEA" w:rsidP="00906EEA">
      <w:pPr>
        <w:tabs>
          <w:tab w:val="left" w:pos="284"/>
        </w:tabs>
        <w:ind w:left="360"/>
        <w:jc w:val="both"/>
        <w:rPr>
          <w:i/>
          <w:sz w:val="28"/>
          <w:szCs w:val="28"/>
        </w:rPr>
      </w:pPr>
      <w:r w:rsidRPr="00264C71">
        <w:rPr>
          <w:i/>
          <w:sz w:val="28"/>
          <w:szCs w:val="28"/>
        </w:rPr>
        <w:t>-</w:t>
      </w:r>
      <w:r>
        <w:rPr>
          <w:i/>
          <w:sz w:val="28"/>
          <w:szCs w:val="28"/>
        </w:rPr>
        <w:t xml:space="preserve">Francijas delegācijas </w:t>
      </w:r>
      <w:r w:rsidR="00254C7B">
        <w:rPr>
          <w:i/>
          <w:sz w:val="28"/>
          <w:szCs w:val="28"/>
        </w:rPr>
        <w:t>ierosināts darba kārtības jautājums</w:t>
      </w:r>
    </w:p>
    <w:p w:rsidR="003B1ECE" w:rsidRPr="003B1ECE" w:rsidRDefault="003B1ECE" w:rsidP="003B1ECE">
      <w:pPr>
        <w:spacing w:before="120"/>
        <w:jc w:val="both"/>
        <w:rPr>
          <w:sz w:val="28"/>
          <w:szCs w:val="28"/>
        </w:rPr>
      </w:pPr>
      <w:r>
        <w:rPr>
          <w:sz w:val="28"/>
          <w:szCs w:val="28"/>
        </w:rPr>
        <w:tab/>
        <w:t>2013.</w:t>
      </w:r>
      <w:r w:rsidRPr="003B1ECE">
        <w:rPr>
          <w:sz w:val="28"/>
          <w:szCs w:val="28"/>
        </w:rPr>
        <w:t xml:space="preserve">gada </w:t>
      </w:r>
      <w:r>
        <w:rPr>
          <w:sz w:val="28"/>
          <w:szCs w:val="28"/>
        </w:rPr>
        <w:t>10.</w:t>
      </w:r>
      <w:r w:rsidRPr="003B1ECE">
        <w:rPr>
          <w:sz w:val="28"/>
          <w:szCs w:val="28"/>
        </w:rPr>
        <w:t xml:space="preserve">aprīlī </w:t>
      </w:r>
      <w:r>
        <w:rPr>
          <w:sz w:val="28"/>
          <w:szCs w:val="28"/>
        </w:rPr>
        <w:t>EK</w:t>
      </w:r>
      <w:r w:rsidRPr="003B1ECE">
        <w:rPr>
          <w:sz w:val="28"/>
          <w:szCs w:val="28"/>
        </w:rPr>
        <w:t xml:space="preserve"> apstiprināja paziņojumu un leģislatīvu priekšlikumu par tirdzniecības aizsardzības instrumentu (turpmāk – TAI) modernizēšanu, esošos TAI pielāgojot pašreizējām Eiropas ekonomikas vajadzībām. Paralēli tam EK arī sagatavoja vadlīniju projektus par TAI </w:t>
      </w:r>
      <w:r w:rsidRPr="003B1ECE">
        <w:rPr>
          <w:sz w:val="28"/>
          <w:szCs w:val="28"/>
        </w:rPr>
        <w:lastRenderedPageBreak/>
        <w:t xml:space="preserve">pārbaužu četriem galvenajiem elementiem (Savienības intereses, kaitējuma starpība, analogās valsts izvēle un termiņa beigu pārskatīšana). Leģislatīvā priekšlikuma izskatīšana šobrīd ir atlikta, ņemot vērā, ka ES Padomē dalībvalstis ir sadalījušās divās bloķējošās minoritātes, kuru galvenā interešu pretruna ir mazākās nodevas principa ierobežošana un gaidāmās Eiropas Parlamenta vēlēšanas. </w:t>
      </w:r>
    </w:p>
    <w:p w:rsidR="008A3947" w:rsidRDefault="003B1ECE" w:rsidP="003B1ECE">
      <w:pPr>
        <w:spacing w:before="120"/>
        <w:jc w:val="both"/>
        <w:rPr>
          <w:sz w:val="28"/>
          <w:szCs w:val="28"/>
        </w:rPr>
      </w:pPr>
      <w:r>
        <w:rPr>
          <w:sz w:val="28"/>
          <w:szCs w:val="28"/>
        </w:rPr>
        <w:tab/>
        <w:t>Ņemot vērā, ka 2014.gada 5.</w:t>
      </w:r>
      <w:r w:rsidRPr="003B1ECE">
        <w:rPr>
          <w:sz w:val="28"/>
          <w:szCs w:val="28"/>
        </w:rPr>
        <w:t xml:space="preserve">maija ES Padomes Tirdzniecības jautājumu darba grupas sanāksmē EK paziņoja, ka vēlas pabeigt vadlīniju sagatavošanas procesu līdz </w:t>
      </w:r>
      <w:proofErr w:type="spellStart"/>
      <w:r w:rsidRPr="003B1ECE">
        <w:rPr>
          <w:sz w:val="28"/>
          <w:szCs w:val="28"/>
        </w:rPr>
        <w:t>š.g</w:t>
      </w:r>
      <w:proofErr w:type="spellEnd"/>
      <w:r w:rsidRPr="003B1ECE">
        <w:rPr>
          <w:sz w:val="28"/>
          <w:szCs w:val="28"/>
        </w:rPr>
        <w:t>. v</w:t>
      </w:r>
      <w:r>
        <w:rPr>
          <w:sz w:val="28"/>
          <w:szCs w:val="28"/>
        </w:rPr>
        <w:t>asarai un apstiprināt tās 2014.</w:t>
      </w:r>
      <w:r w:rsidRPr="003B1ECE">
        <w:rPr>
          <w:sz w:val="28"/>
          <w:szCs w:val="28"/>
        </w:rPr>
        <w:t>gada jūnija Komisāru kolēģijā, taču vairākas dalībvalstis uzskata, ka vadlīnijas un leģislatīvs priekšlikums jāskata pakotnē un jāapstiprina kopā, jautājums iekļauts ES Konkurētspējas ministru padomē pēc Francijas lūguma, jo</w:t>
      </w:r>
      <w:r>
        <w:rPr>
          <w:sz w:val="28"/>
          <w:szCs w:val="28"/>
        </w:rPr>
        <w:t xml:space="preserve"> tā</w:t>
      </w:r>
      <w:r w:rsidRPr="003B1ECE">
        <w:rPr>
          <w:sz w:val="28"/>
          <w:szCs w:val="28"/>
        </w:rPr>
        <w:t xml:space="preserve"> uzskata, ka Eiropas Parlamentam TAI vadlīnijas ir jāsaskaņo pirms to apstiprināšanas.</w:t>
      </w:r>
    </w:p>
    <w:p w:rsidR="00906EEA" w:rsidRDefault="00906EEA" w:rsidP="0015570E">
      <w:pPr>
        <w:spacing w:before="120"/>
        <w:jc w:val="both"/>
        <w:rPr>
          <w:sz w:val="28"/>
          <w:szCs w:val="28"/>
        </w:rPr>
      </w:pPr>
    </w:p>
    <w:p w:rsidR="003B1ECE" w:rsidRPr="003B1ECE" w:rsidRDefault="003B1ECE" w:rsidP="003B1ECE">
      <w:pPr>
        <w:spacing w:before="120"/>
        <w:jc w:val="both"/>
        <w:rPr>
          <w:b/>
          <w:sz w:val="28"/>
          <w:szCs w:val="28"/>
          <w:u w:val="single"/>
        </w:rPr>
      </w:pPr>
      <w:r w:rsidRPr="003B1ECE">
        <w:rPr>
          <w:b/>
          <w:sz w:val="28"/>
          <w:szCs w:val="28"/>
          <w:u w:val="single"/>
        </w:rPr>
        <w:t>Latvijas nostāja</w:t>
      </w:r>
      <w:r>
        <w:rPr>
          <w:b/>
          <w:sz w:val="28"/>
          <w:szCs w:val="28"/>
          <w:u w:val="single"/>
        </w:rPr>
        <w:t>:</w:t>
      </w:r>
    </w:p>
    <w:p w:rsidR="003B1ECE" w:rsidRDefault="0080086C" w:rsidP="003B1ECE">
      <w:pPr>
        <w:spacing w:before="120"/>
        <w:jc w:val="both"/>
        <w:rPr>
          <w:sz w:val="28"/>
          <w:szCs w:val="28"/>
        </w:rPr>
      </w:pPr>
      <w:r>
        <w:rPr>
          <w:sz w:val="28"/>
          <w:szCs w:val="28"/>
        </w:rPr>
        <w:tab/>
      </w:r>
      <w:r w:rsidR="003B1ECE" w:rsidRPr="003B1ECE">
        <w:rPr>
          <w:sz w:val="28"/>
          <w:szCs w:val="28"/>
        </w:rPr>
        <w:t>Latvija atbalsta vadlīniju apstiprināšanu, tādējādi veicinot uzņēmumiem, kas piedalās TAI pārbaudēs lielāku pārskatāmību un skaidrību par to norisi. Attiecībā leģislatīvā priekšlikuma mazākās nodevas principu, Latvija uzskata, ka tas ir saglabājams tā esošajā redakcijā un nav pieļaujama šī principa vājināšana.</w:t>
      </w:r>
    </w:p>
    <w:p w:rsidR="003F290F" w:rsidRDefault="003F290F" w:rsidP="00B21D93">
      <w:pPr>
        <w:spacing w:before="240" w:line="276" w:lineRule="auto"/>
        <w:jc w:val="both"/>
        <w:rPr>
          <w:sz w:val="28"/>
          <w:szCs w:val="28"/>
        </w:rPr>
      </w:pPr>
      <w:r>
        <w:rPr>
          <w:sz w:val="28"/>
          <w:szCs w:val="28"/>
        </w:rPr>
        <w:br w:type="page"/>
      </w:r>
    </w:p>
    <w:p w:rsidR="0049471A" w:rsidRPr="00264C71" w:rsidRDefault="0049471A" w:rsidP="000017A5">
      <w:pPr>
        <w:jc w:val="both"/>
        <w:rPr>
          <w:b/>
          <w:sz w:val="28"/>
          <w:szCs w:val="28"/>
        </w:rPr>
      </w:pPr>
      <w:r w:rsidRPr="00264C71">
        <w:rPr>
          <w:b/>
          <w:sz w:val="28"/>
          <w:szCs w:val="28"/>
        </w:rPr>
        <w:lastRenderedPageBreak/>
        <w:t>2.  Latvijas delegācija</w:t>
      </w:r>
    </w:p>
    <w:p w:rsidR="0066585F" w:rsidRPr="00264C71" w:rsidRDefault="0066585F" w:rsidP="005331F4">
      <w:pPr>
        <w:ind w:left="2835" w:hanging="2977"/>
        <w:jc w:val="both"/>
        <w:rPr>
          <w:sz w:val="28"/>
          <w:szCs w:val="28"/>
        </w:rPr>
      </w:pPr>
      <w:r w:rsidRPr="00264C71">
        <w:rPr>
          <w:sz w:val="28"/>
          <w:szCs w:val="28"/>
        </w:rPr>
        <w:t xml:space="preserve">Delegācijas vadītājs: </w:t>
      </w:r>
      <w:r w:rsidRPr="00264C71">
        <w:rPr>
          <w:sz w:val="28"/>
          <w:szCs w:val="28"/>
        </w:rPr>
        <w:tab/>
      </w:r>
      <w:r w:rsidR="00060751" w:rsidRPr="00264C71">
        <w:rPr>
          <w:b/>
          <w:sz w:val="28"/>
          <w:szCs w:val="28"/>
        </w:rPr>
        <w:t xml:space="preserve">Juris </w:t>
      </w:r>
      <w:proofErr w:type="spellStart"/>
      <w:r w:rsidR="00060751" w:rsidRPr="00264C71">
        <w:rPr>
          <w:b/>
          <w:sz w:val="28"/>
          <w:szCs w:val="28"/>
        </w:rPr>
        <w:t>Štālmeistars</w:t>
      </w:r>
      <w:proofErr w:type="spellEnd"/>
      <w:r w:rsidR="00060751" w:rsidRPr="00264C71">
        <w:rPr>
          <w:sz w:val="28"/>
          <w:szCs w:val="28"/>
        </w:rPr>
        <w:t>, Latvijas Republikas pastāvīgā pārstāvja Eiropas Savienībā vietnieks</w:t>
      </w:r>
      <w:r w:rsidR="00060751">
        <w:rPr>
          <w:sz w:val="28"/>
          <w:szCs w:val="28"/>
        </w:rPr>
        <w:t>, vēstnieks</w:t>
      </w:r>
      <w:r w:rsidRPr="00264C71">
        <w:rPr>
          <w:sz w:val="28"/>
          <w:szCs w:val="28"/>
        </w:rPr>
        <w:t>.</w:t>
      </w:r>
    </w:p>
    <w:p w:rsidR="0066585F" w:rsidRPr="00264C71" w:rsidRDefault="0066585F" w:rsidP="0066585F">
      <w:pPr>
        <w:ind w:left="2977" w:hanging="2977"/>
        <w:jc w:val="both"/>
        <w:rPr>
          <w:sz w:val="28"/>
          <w:szCs w:val="28"/>
        </w:rPr>
      </w:pPr>
    </w:p>
    <w:p w:rsidR="00AB0BB3" w:rsidRDefault="0066585F" w:rsidP="00AB0BB3">
      <w:pPr>
        <w:ind w:left="2835" w:hanging="2977"/>
        <w:jc w:val="both"/>
        <w:rPr>
          <w:sz w:val="28"/>
          <w:szCs w:val="28"/>
        </w:rPr>
      </w:pPr>
      <w:r w:rsidRPr="00264C71">
        <w:rPr>
          <w:sz w:val="28"/>
          <w:szCs w:val="28"/>
        </w:rPr>
        <w:t xml:space="preserve">Delegācijas dalībnieki: </w:t>
      </w:r>
      <w:r w:rsidRPr="00264C71">
        <w:rPr>
          <w:sz w:val="28"/>
          <w:szCs w:val="28"/>
        </w:rPr>
        <w:tab/>
      </w:r>
      <w:r w:rsidR="00CF757F">
        <w:rPr>
          <w:b/>
          <w:sz w:val="28"/>
          <w:szCs w:val="28"/>
        </w:rPr>
        <w:t>Zaiga</w:t>
      </w:r>
      <w:r w:rsidR="009A3B70" w:rsidRPr="00264C71">
        <w:rPr>
          <w:b/>
          <w:sz w:val="28"/>
          <w:szCs w:val="28"/>
        </w:rPr>
        <w:t xml:space="preserve"> </w:t>
      </w:r>
      <w:r w:rsidR="00CF757F">
        <w:rPr>
          <w:b/>
          <w:sz w:val="28"/>
          <w:szCs w:val="28"/>
        </w:rPr>
        <w:t>Liepiņa</w:t>
      </w:r>
      <w:r w:rsidRPr="00264C71">
        <w:rPr>
          <w:sz w:val="28"/>
          <w:szCs w:val="28"/>
        </w:rPr>
        <w:t xml:space="preserve">, Ekonomikas ministrijas </w:t>
      </w:r>
      <w:r w:rsidR="00CF757F">
        <w:rPr>
          <w:sz w:val="28"/>
          <w:szCs w:val="28"/>
        </w:rPr>
        <w:t>valsts sekretāra vietniece</w:t>
      </w:r>
      <w:r w:rsidRPr="00264C71">
        <w:rPr>
          <w:sz w:val="28"/>
          <w:szCs w:val="28"/>
        </w:rPr>
        <w:t>;</w:t>
      </w:r>
    </w:p>
    <w:p w:rsidR="00AB0BB3" w:rsidRDefault="00AB0BB3" w:rsidP="00AB0BB3">
      <w:pPr>
        <w:ind w:left="2835"/>
        <w:jc w:val="both"/>
        <w:rPr>
          <w:sz w:val="28"/>
          <w:szCs w:val="28"/>
        </w:rPr>
      </w:pPr>
      <w:r w:rsidRPr="00AB0BB3">
        <w:rPr>
          <w:b/>
          <w:sz w:val="28"/>
          <w:szCs w:val="28"/>
        </w:rPr>
        <w:t>Mārtiņš Jansons</w:t>
      </w:r>
      <w:r>
        <w:rPr>
          <w:sz w:val="28"/>
          <w:szCs w:val="28"/>
        </w:rPr>
        <w:t xml:space="preserve">, Ekonomikas ministrijas </w:t>
      </w:r>
      <w:r w:rsidRPr="00AB0BB3">
        <w:rPr>
          <w:sz w:val="28"/>
          <w:szCs w:val="28"/>
        </w:rPr>
        <w:t>Uzņēmējdarb</w:t>
      </w:r>
      <w:r>
        <w:rPr>
          <w:sz w:val="28"/>
          <w:szCs w:val="28"/>
        </w:rPr>
        <w:t xml:space="preserve">ības konkurētspējas departamenta </w:t>
      </w:r>
      <w:r w:rsidRPr="00AB0BB3">
        <w:rPr>
          <w:sz w:val="28"/>
          <w:szCs w:val="28"/>
        </w:rPr>
        <w:t>Inovācijas nodaļa</w:t>
      </w:r>
      <w:r>
        <w:rPr>
          <w:sz w:val="28"/>
          <w:szCs w:val="28"/>
        </w:rPr>
        <w:t>s vecākais referents;</w:t>
      </w:r>
    </w:p>
    <w:p w:rsidR="00763907" w:rsidRDefault="00763907" w:rsidP="00AB0BB3">
      <w:pPr>
        <w:ind w:left="2835"/>
        <w:jc w:val="both"/>
        <w:rPr>
          <w:sz w:val="28"/>
          <w:szCs w:val="28"/>
        </w:rPr>
      </w:pPr>
      <w:r>
        <w:rPr>
          <w:b/>
          <w:sz w:val="28"/>
          <w:szCs w:val="28"/>
        </w:rPr>
        <w:t>Krista Lubgane</w:t>
      </w:r>
      <w:r>
        <w:rPr>
          <w:sz w:val="28"/>
          <w:szCs w:val="28"/>
        </w:rPr>
        <w:t>, Ekonomikas ministrijas</w:t>
      </w:r>
      <w:r>
        <w:rPr>
          <w:sz w:val="28"/>
          <w:szCs w:val="28"/>
        </w:rPr>
        <w:t xml:space="preserve"> Ārējo ekonomisko attiecību departamenta</w:t>
      </w:r>
      <w:r>
        <w:rPr>
          <w:sz w:val="28"/>
          <w:szCs w:val="28"/>
        </w:rPr>
        <w:t xml:space="preserve"> </w:t>
      </w:r>
      <w:r>
        <w:rPr>
          <w:sz w:val="28"/>
          <w:szCs w:val="28"/>
        </w:rPr>
        <w:t>Eiropas Savienības lietu nodaļas referente;</w:t>
      </w:r>
    </w:p>
    <w:p w:rsidR="00662796" w:rsidRDefault="00662796" w:rsidP="00662796">
      <w:pPr>
        <w:ind w:left="2835"/>
        <w:jc w:val="both"/>
        <w:rPr>
          <w:bCs/>
          <w:sz w:val="28"/>
          <w:szCs w:val="28"/>
        </w:rPr>
      </w:pPr>
      <w:r w:rsidRPr="00264C71">
        <w:rPr>
          <w:b/>
          <w:bCs/>
          <w:sz w:val="28"/>
          <w:szCs w:val="28"/>
        </w:rPr>
        <w:t>Anna Upena</w:t>
      </w:r>
      <w:r w:rsidRPr="00264C71">
        <w:rPr>
          <w:bCs/>
          <w:sz w:val="28"/>
          <w:szCs w:val="28"/>
        </w:rPr>
        <w:t>,</w:t>
      </w:r>
      <w:r w:rsidRPr="00264C71">
        <w:rPr>
          <w:b/>
          <w:bCs/>
          <w:sz w:val="28"/>
          <w:szCs w:val="28"/>
        </w:rPr>
        <w:t xml:space="preserve"> </w:t>
      </w:r>
      <w:r w:rsidRPr="00662796">
        <w:rPr>
          <w:bCs/>
          <w:sz w:val="28"/>
          <w:szCs w:val="28"/>
        </w:rPr>
        <w:t>Konkurētspējas un</w:t>
      </w:r>
      <w:r>
        <w:rPr>
          <w:bCs/>
          <w:sz w:val="28"/>
          <w:szCs w:val="28"/>
        </w:rPr>
        <w:t xml:space="preserve"> enerģētikas nodaļas vadītāja</w:t>
      </w:r>
      <w:r w:rsidRPr="00662796">
        <w:rPr>
          <w:bCs/>
          <w:sz w:val="28"/>
          <w:szCs w:val="28"/>
        </w:rPr>
        <w:t xml:space="preserve"> Latvijas Republikas Pastāvīgajā pārstāvniecībā Eiropas Savienībā</w:t>
      </w:r>
      <w:r w:rsidRPr="00264C71">
        <w:rPr>
          <w:bCs/>
          <w:sz w:val="28"/>
          <w:szCs w:val="28"/>
        </w:rPr>
        <w:t>;</w:t>
      </w:r>
    </w:p>
    <w:p w:rsidR="0066585F" w:rsidRPr="00264C71" w:rsidRDefault="004D1754" w:rsidP="005331F4">
      <w:pPr>
        <w:ind w:left="2835"/>
        <w:jc w:val="both"/>
        <w:rPr>
          <w:sz w:val="28"/>
          <w:szCs w:val="28"/>
        </w:rPr>
      </w:pPr>
      <w:r w:rsidRPr="00264C71">
        <w:rPr>
          <w:b/>
          <w:sz w:val="28"/>
          <w:szCs w:val="28"/>
        </w:rPr>
        <w:t xml:space="preserve">Aivars </w:t>
      </w:r>
      <w:r w:rsidR="0066585F" w:rsidRPr="00264C71">
        <w:rPr>
          <w:b/>
          <w:sz w:val="28"/>
          <w:szCs w:val="28"/>
        </w:rPr>
        <w:t>Neimanis</w:t>
      </w:r>
      <w:r w:rsidR="0066585F" w:rsidRPr="00264C71">
        <w:rPr>
          <w:sz w:val="28"/>
          <w:szCs w:val="28"/>
        </w:rPr>
        <w:t>, Ekonomikas ministrijas nozares padomnieks Latvijas Republikas Pastāvīgajā pārstāvniecībā Eiropas Savienībā;</w:t>
      </w:r>
    </w:p>
    <w:p w:rsidR="00A3041B" w:rsidRDefault="00356D6C" w:rsidP="005331F4">
      <w:pPr>
        <w:ind w:left="2835"/>
        <w:jc w:val="both"/>
        <w:rPr>
          <w:sz w:val="28"/>
          <w:szCs w:val="28"/>
        </w:rPr>
      </w:pPr>
      <w:r w:rsidRPr="00264C71">
        <w:rPr>
          <w:b/>
          <w:bCs/>
          <w:sz w:val="28"/>
          <w:szCs w:val="28"/>
        </w:rPr>
        <w:t>Rinalds</w:t>
      </w:r>
      <w:r w:rsidR="00AC75DB" w:rsidRPr="00264C71">
        <w:rPr>
          <w:b/>
          <w:bCs/>
          <w:sz w:val="28"/>
          <w:szCs w:val="28"/>
        </w:rPr>
        <w:t xml:space="preserve"> Celmiņš</w:t>
      </w:r>
      <w:r w:rsidR="00D94E99" w:rsidRPr="00264C71">
        <w:rPr>
          <w:bCs/>
          <w:sz w:val="28"/>
          <w:szCs w:val="28"/>
        </w:rPr>
        <w:t xml:space="preserve">, </w:t>
      </w:r>
      <w:r w:rsidR="009F46B9" w:rsidRPr="00264C71">
        <w:rPr>
          <w:sz w:val="28"/>
          <w:szCs w:val="28"/>
        </w:rPr>
        <w:t>Ekonomikas ministrijas nozares padomnieks Latvijas Republikas Pastāvīgajā pārstāvniecībā Eiropas Savienībā</w:t>
      </w:r>
      <w:r w:rsidR="00A3041B">
        <w:rPr>
          <w:sz w:val="28"/>
          <w:szCs w:val="28"/>
        </w:rPr>
        <w:t>;</w:t>
      </w:r>
    </w:p>
    <w:p w:rsidR="0055451E" w:rsidRDefault="0055451E" w:rsidP="005331F4">
      <w:pPr>
        <w:ind w:left="2835"/>
        <w:jc w:val="both"/>
        <w:rPr>
          <w:bCs/>
          <w:sz w:val="28"/>
          <w:szCs w:val="28"/>
        </w:rPr>
      </w:pPr>
      <w:r>
        <w:rPr>
          <w:b/>
          <w:bCs/>
          <w:sz w:val="28"/>
          <w:szCs w:val="28"/>
        </w:rPr>
        <w:t>Edīt</w:t>
      </w:r>
      <w:r w:rsidR="000A4149">
        <w:rPr>
          <w:b/>
          <w:bCs/>
          <w:sz w:val="28"/>
          <w:szCs w:val="28"/>
        </w:rPr>
        <w:t>e</w:t>
      </w:r>
      <w:r>
        <w:rPr>
          <w:b/>
          <w:bCs/>
          <w:sz w:val="28"/>
          <w:szCs w:val="28"/>
        </w:rPr>
        <w:t xml:space="preserve"> Bērziņa</w:t>
      </w:r>
      <w:r w:rsidRPr="0055451E">
        <w:rPr>
          <w:bCs/>
          <w:sz w:val="28"/>
          <w:szCs w:val="28"/>
        </w:rPr>
        <w:t>, Finanšu ministrijas Komercdarbības atbalsta kontroles departamenta direktores vietniec</w:t>
      </w:r>
      <w:r w:rsidR="000A4149">
        <w:rPr>
          <w:bCs/>
          <w:sz w:val="28"/>
          <w:szCs w:val="28"/>
        </w:rPr>
        <w:t>e</w:t>
      </w:r>
      <w:r w:rsidRPr="0055451E">
        <w:rPr>
          <w:bCs/>
          <w:sz w:val="28"/>
          <w:szCs w:val="28"/>
        </w:rPr>
        <w:t>;</w:t>
      </w:r>
    </w:p>
    <w:p w:rsidR="000D3178" w:rsidRPr="000D3178" w:rsidRDefault="000D3178" w:rsidP="005331F4">
      <w:pPr>
        <w:ind w:left="2835"/>
        <w:jc w:val="both"/>
        <w:rPr>
          <w:bCs/>
          <w:sz w:val="28"/>
          <w:szCs w:val="28"/>
        </w:rPr>
      </w:pPr>
      <w:r w:rsidRPr="000D3178">
        <w:rPr>
          <w:b/>
          <w:bCs/>
          <w:sz w:val="28"/>
          <w:szCs w:val="28"/>
        </w:rPr>
        <w:t>Liene Baltā</w:t>
      </w:r>
      <w:r>
        <w:rPr>
          <w:bCs/>
          <w:sz w:val="28"/>
          <w:szCs w:val="28"/>
        </w:rPr>
        <w:t>,</w:t>
      </w:r>
      <w:r w:rsidRPr="000D3178">
        <w:rPr>
          <w:bCs/>
          <w:sz w:val="28"/>
          <w:szCs w:val="28"/>
        </w:rPr>
        <w:t xml:space="preserve"> T</w:t>
      </w:r>
      <w:r>
        <w:rPr>
          <w:bCs/>
          <w:sz w:val="28"/>
          <w:szCs w:val="28"/>
        </w:rPr>
        <w:t>ieslietu ministrijas</w:t>
      </w:r>
      <w:r w:rsidRPr="000D3178">
        <w:rPr>
          <w:bCs/>
          <w:sz w:val="28"/>
          <w:szCs w:val="28"/>
        </w:rPr>
        <w:t xml:space="preserve"> Pārstāvības Eiropas Savienībā nodaļas vadītāja</w:t>
      </w:r>
      <w:r>
        <w:rPr>
          <w:bCs/>
          <w:sz w:val="28"/>
          <w:szCs w:val="28"/>
        </w:rPr>
        <w:t>;</w:t>
      </w:r>
      <w:r w:rsidRPr="000D3178">
        <w:rPr>
          <w:bCs/>
          <w:sz w:val="28"/>
          <w:szCs w:val="28"/>
        </w:rPr>
        <w:t xml:space="preserve"> </w:t>
      </w:r>
    </w:p>
    <w:p w:rsidR="00356D6C" w:rsidRPr="00264C71" w:rsidRDefault="000D3178" w:rsidP="005331F4">
      <w:pPr>
        <w:ind w:left="2835"/>
        <w:jc w:val="both"/>
        <w:rPr>
          <w:bCs/>
          <w:sz w:val="28"/>
          <w:szCs w:val="28"/>
        </w:rPr>
      </w:pPr>
      <w:r w:rsidRPr="000D3178">
        <w:rPr>
          <w:b/>
          <w:bCs/>
          <w:sz w:val="28"/>
          <w:szCs w:val="28"/>
        </w:rPr>
        <w:t>Gatis Groza</w:t>
      </w:r>
      <w:r>
        <w:rPr>
          <w:bCs/>
          <w:sz w:val="28"/>
          <w:szCs w:val="28"/>
        </w:rPr>
        <w:t>, tieslietu padomnieks</w:t>
      </w:r>
      <w:r w:rsidR="00A3041B" w:rsidRPr="00A3041B">
        <w:rPr>
          <w:bCs/>
          <w:sz w:val="28"/>
          <w:szCs w:val="28"/>
        </w:rPr>
        <w:t xml:space="preserve"> Latvijas Pastāvīgajā pārstāvniecībā Eiropas Savienībā</w:t>
      </w:r>
      <w:r w:rsidR="00CF757F">
        <w:rPr>
          <w:bCs/>
          <w:sz w:val="28"/>
          <w:szCs w:val="28"/>
        </w:rPr>
        <w:t>.</w:t>
      </w:r>
    </w:p>
    <w:p w:rsidR="00FF342E" w:rsidRDefault="00FF342E" w:rsidP="0066585F">
      <w:pPr>
        <w:ind w:left="2977"/>
        <w:jc w:val="both"/>
        <w:rPr>
          <w:bCs/>
          <w:sz w:val="28"/>
          <w:szCs w:val="28"/>
        </w:rPr>
      </w:pPr>
    </w:p>
    <w:p w:rsidR="00F4730C" w:rsidRDefault="00F4730C" w:rsidP="0066585F">
      <w:pPr>
        <w:ind w:left="2977"/>
        <w:jc w:val="both"/>
        <w:rPr>
          <w:bCs/>
          <w:sz w:val="28"/>
          <w:szCs w:val="28"/>
        </w:rPr>
      </w:pPr>
    </w:p>
    <w:p w:rsidR="00084744" w:rsidRPr="00264C71" w:rsidRDefault="003840A0" w:rsidP="00025B33">
      <w:pPr>
        <w:tabs>
          <w:tab w:val="right" w:pos="8931"/>
        </w:tabs>
        <w:spacing w:after="120"/>
        <w:rPr>
          <w:sz w:val="28"/>
          <w:szCs w:val="28"/>
        </w:rPr>
      </w:pPr>
      <w:r w:rsidRPr="00264C71">
        <w:rPr>
          <w:sz w:val="28"/>
          <w:szCs w:val="28"/>
        </w:rPr>
        <w:t xml:space="preserve">Iesniedzējs: </w:t>
      </w:r>
      <w:r w:rsidR="00025B33" w:rsidRPr="00264C71">
        <w:rPr>
          <w:sz w:val="28"/>
          <w:szCs w:val="28"/>
        </w:rPr>
        <w:tab/>
      </w:r>
    </w:p>
    <w:p w:rsidR="00484651" w:rsidRPr="00264C71" w:rsidRDefault="00D813CF" w:rsidP="00D813CF">
      <w:pPr>
        <w:tabs>
          <w:tab w:val="right" w:pos="8931"/>
        </w:tabs>
        <w:spacing w:after="120"/>
        <w:rPr>
          <w:sz w:val="28"/>
          <w:szCs w:val="28"/>
        </w:rPr>
      </w:pPr>
      <w:r w:rsidRPr="00264C71">
        <w:rPr>
          <w:sz w:val="28"/>
          <w:szCs w:val="28"/>
        </w:rPr>
        <w:t xml:space="preserve">Ekonomikas </w:t>
      </w:r>
      <w:r w:rsidR="00084744" w:rsidRPr="00264C71">
        <w:rPr>
          <w:sz w:val="28"/>
          <w:szCs w:val="28"/>
        </w:rPr>
        <w:t>ministrs</w:t>
      </w:r>
      <w:r w:rsidRPr="00264C71">
        <w:rPr>
          <w:sz w:val="28"/>
          <w:szCs w:val="28"/>
        </w:rPr>
        <w:tab/>
      </w:r>
      <w:proofErr w:type="spellStart"/>
      <w:r w:rsidR="00CF757F">
        <w:rPr>
          <w:sz w:val="28"/>
          <w:szCs w:val="28"/>
        </w:rPr>
        <w:t>V</w:t>
      </w:r>
      <w:r w:rsidR="00084744" w:rsidRPr="00264C71">
        <w:rPr>
          <w:sz w:val="28"/>
          <w:szCs w:val="28"/>
        </w:rPr>
        <w:t>.</w:t>
      </w:r>
      <w:r w:rsidR="00CF757F">
        <w:rPr>
          <w:sz w:val="28"/>
          <w:szCs w:val="28"/>
        </w:rPr>
        <w:t>Dombrovskis</w:t>
      </w:r>
      <w:proofErr w:type="spellEnd"/>
    </w:p>
    <w:p w:rsidR="00F4730C" w:rsidRDefault="00F4730C" w:rsidP="00977FEC">
      <w:pPr>
        <w:spacing w:after="120"/>
        <w:jc w:val="both"/>
        <w:rPr>
          <w:sz w:val="28"/>
          <w:szCs w:val="28"/>
        </w:rPr>
      </w:pPr>
    </w:p>
    <w:p w:rsidR="009F46B9" w:rsidRDefault="009F46B9" w:rsidP="00977FEC">
      <w:pPr>
        <w:spacing w:after="120"/>
        <w:jc w:val="both"/>
        <w:rPr>
          <w:sz w:val="28"/>
          <w:szCs w:val="28"/>
        </w:rPr>
      </w:pPr>
    </w:p>
    <w:p w:rsidR="006C46FF" w:rsidRDefault="001B24AB" w:rsidP="000E26C6">
      <w:pPr>
        <w:tabs>
          <w:tab w:val="right" w:pos="8931"/>
        </w:tabs>
        <w:rPr>
          <w:sz w:val="28"/>
          <w:szCs w:val="28"/>
        </w:rPr>
      </w:pPr>
      <w:r w:rsidRPr="00264C71">
        <w:rPr>
          <w:sz w:val="28"/>
          <w:szCs w:val="28"/>
        </w:rPr>
        <w:t>Vī</w:t>
      </w:r>
      <w:r w:rsidR="003840A0" w:rsidRPr="00264C71">
        <w:rPr>
          <w:sz w:val="28"/>
          <w:szCs w:val="28"/>
        </w:rPr>
        <w:t xml:space="preserve">zē: </w:t>
      </w:r>
    </w:p>
    <w:p w:rsidR="003840A0" w:rsidRPr="00264C71" w:rsidRDefault="00CF757F" w:rsidP="006C46FF">
      <w:pPr>
        <w:tabs>
          <w:tab w:val="right" w:pos="8931"/>
        </w:tabs>
        <w:rPr>
          <w:sz w:val="28"/>
          <w:szCs w:val="28"/>
        </w:rPr>
      </w:pPr>
      <w:r>
        <w:rPr>
          <w:sz w:val="28"/>
          <w:szCs w:val="28"/>
        </w:rPr>
        <w:t>Valsts sekretār</w:t>
      </w:r>
      <w:r w:rsidR="006C46FF">
        <w:rPr>
          <w:sz w:val="28"/>
          <w:szCs w:val="28"/>
        </w:rPr>
        <w:t xml:space="preserve">s </w:t>
      </w:r>
      <w:r w:rsidR="006C46FF">
        <w:rPr>
          <w:sz w:val="28"/>
          <w:szCs w:val="28"/>
        </w:rPr>
        <w:tab/>
        <w:t>M</w:t>
      </w:r>
      <w:r w:rsidR="003840A0" w:rsidRPr="00264C71">
        <w:rPr>
          <w:sz w:val="28"/>
          <w:szCs w:val="28"/>
        </w:rPr>
        <w:t>.</w:t>
      </w:r>
      <w:r>
        <w:rPr>
          <w:sz w:val="28"/>
          <w:szCs w:val="28"/>
        </w:rPr>
        <w:t>L</w:t>
      </w:r>
      <w:r w:rsidR="006C46FF">
        <w:rPr>
          <w:sz w:val="28"/>
          <w:szCs w:val="28"/>
        </w:rPr>
        <w:t>azdovskis</w:t>
      </w:r>
    </w:p>
    <w:p w:rsidR="00422C05" w:rsidRPr="00264C71" w:rsidRDefault="00422C05" w:rsidP="00025B33">
      <w:pPr>
        <w:jc w:val="both"/>
        <w:rPr>
          <w:sz w:val="18"/>
          <w:szCs w:val="18"/>
          <w:u w:val="single"/>
        </w:rPr>
      </w:pPr>
    </w:p>
    <w:p w:rsidR="0079598D" w:rsidRPr="00264C71" w:rsidRDefault="0079598D" w:rsidP="00025B33">
      <w:pPr>
        <w:jc w:val="both"/>
        <w:rPr>
          <w:sz w:val="18"/>
          <w:szCs w:val="18"/>
          <w:u w:val="single"/>
        </w:rPr>
      </w:pPr>
    </w:p>
    <w:p w:rsidR="00271604" w:rsidRPr="00264C71" w:rsidRDefault="00CE2E7C" w:rsidP="00025B33">
      <w:pPr>
        <w:jc w:val="both"/>
        <w:rPr>
          <w:sz w:val="20"/>
        </w:rPr>
      </w:pPr>
      <w:r>
        <w:rPr>
          <w:sz w:val="20"/>
        </w:rPr>
        <w:t>16</w:t>
      </w:r>
      <w:r w:rsidR="00CF757F">
        <w:rPr>
          <w:sz w:val="20"/>
        </w:rPr>
        <w:t>.0</w:t>
      </w:r>
      <w:r w:rsidR="00F330B1">
        <w:rPr>
          <w:sz w:val="20"/>
        </w:rPr>
        <w:t>5</w:t>
      </w:r>
      <w:r w:rsidR="00271604" w:rsidRPr="00264C71">
        <w:rPr>
          <w:sz w:val="20"/>
        </w:rPr>
        <w:t>.201</w:t>
      </w:r>
      <w:r w:rsidR="00F330B1">
        <w:rPr>
          <w:sz w:val="20"/>
        </w:rPr>
        <w:t>4</w:t>
      </w:r>
      <w:r w:rsidR="001911A5">
        <w:rPr>
          <w:sz w:val="20"/>
        </w:rPr>
        <w:t xml:space="preserve">. </w:t>
      </w:r>
      <w:r w:rsidR="00E2152E">
        <w:rPr>
          <w:sz w:val="20"/>
        </w:rPr>
        <w:t>15</w:t>
      </w:r>
      <w:r w:rsidR="00271604" w:rsidRPr="00264C71">
        <w:rPr>
          <w:sz w:val="20"/>
        </w:rPr>
        <w:t>:</w:t>
      </w:r>
      <w:r w:rsidR="00CF757F">
        <w:rPr>
          <w:sz w:val="20"/>
        </w:rPr>
        <w:t>0</w:t>
      </w:r>
      <w:r w:rsidR="00E90C2F">
        <w:rPr>
          <w:sz w:val="20"/>
        </w:rPr>
        <w:t>0</w:t>
      </w:r>
    </w:p>
    <w:p w:rsidR="00447246" w:rsidRPr="00264C71" w:rsidRDefault="004D1754" w:rsidP="00025B33">
      <w:pPr>
        <w:jc w:val="both"/>
        <w:rPr>
          <w:sz w:val="20"/>
          <w:szCs w:val="18"/>
        </w:rPr>
      </w:pPr>
      <w:r w:rsidRPr="00264C71">
        <w:rPr>
          <w:sz w:val="28"/>
        </w:rPr>
        <w:fldChar w:fldCharType="begin"/>
      </w:r>
      <w:r w:rsidRPr="00264C71">
        <w:rPr>
          <w:sz w:val="28"/>
        </w:rPr>
        <w:instrText xml:space="preserve"> NUMWORDS   \* MERGEFORMAT </w:instrText>
      </w:r>
      <w:r w:rsidRPr="00264C71">
        <w:rPr>
          <w:sz w:val="28"/>
        </w:rPr>
        <w:fldChar w:fldCharType="separate"/>
      </w:r>
      <w:r w:rsidR="00D5386B" w:rsidRPr="00D5386B">
        <w:rPr>
          <w:noProof/>
          <w:sz w:val="20"/>
          <w:szCs w:val="18"/>
        </w:rPr>
        <w:t>3396</w:t>
      </w:r>
      <w:r w:rsidRPr="00264C71">
        <w:rPr>
          <w:sz w:val="20"/>
          <w:szCs w:val="18"/>
        </w:rPr>
        <w:fldChar w:fldCharType="end"/>
      </w:r>
      <w:bookmarkStart w:id="2" w:name="_GoBack"/>
      <w:bookmarkEnd w:id="2"/>
    </w:p>
    <w:p w:rsidR="00447246" w:rsidRPr="00264C71" w:rsidRDefault="00DC4512" w:rsidP="00025B33">
      <w:pPr>
        <w:jc w:val="both"/>
        <w:rPr>
          <w:sz w:val="20"/>
          <w:szCs w:val="18"/>
        </w:rPr>
      </w:pPr>
      <w:r w:rsidRPr="00264C71">
        <w:rPr>
          <w:sz w:val="20"/>
          <w:szCs w:val="18"/>
        </w:rPr>
        <w:t>K</w:t>
      </w:r>
      <w:r w:rsidR="00447246" w:rsidRPr="00264C71">
        <w:rPr>
          <w:sz w:val="20"/>
          <w:szCs w:val="18"/>
        </w:rPr>
        <w:t>.</w:t>
      </w:r>
      <w:r w:rsidRPr="00264C71">
        <w:rPr>
          <w:sz w:val="20"/>
          <w:szCs w:val="18"/>
        </w:rPr>
        <w:t>Stabiņš</w:t>
      </w:r>
    </w:p>
    <w:p w:rsidR="00447246" w:rsidRPr="00264C71" w:rsidRDefault="00447246" w:rsidP="00025B33">
      <w:pPr>
        <w:jc w:val="both"/>
        <w:rPr>
          <w:sz w:val="20"/>
          <w:szCs w:val="18"/>
        </w:rPr>
      </w:pPr>
      <w:r w:rsidRPr="00264C71">
        <w:rPr>
          <w:sz w:val="20"/>
          <w:szCs w:val="18"/>
        </w:rPr>
        <w:t>Ekonomikas ministrijas</w:t>
      </w:r>
    </w:p>
    <w:p w:rsidR="00447246" w:rsidRPr="00264C71" w:rsidRDefault="00447246" w:rsidP="00025B33">
      <w:pPr>
        <w:jc w:val="both"/>
        <w:rPr>
          <w:sz w:val="20"/>
          <w:szCs w:val="18"/>
        </w:rPr>
      </w:pPr>
      <w:r w:rsidRPr="00264C71">
        <w:rPr>
          <w:sz w:val="20"/>
          <w:szCs w:val="18"/>
        </w:rPr>
        <w:t>Ārējo ekonomisko attiecību departaments</w:t>
      </w:r>
    </w:p>
    <w:p w:rsidR="00447246" w:rsidRPr="00264C71" w:rsidRDefault="00DC4512" w:rsidP="00025B33">
      <w:pPr>
        <w:jc w:val="both"/>
        <w:rPr>
          <w:sz w:val="32"/>
          <w:szCs w:val="28"/>
        </w:rPr>
      </w:pPr>
      <w:r w:rsidRPr="00264C71">
        <w:rPr>
          <w:sz w:val="20"/>
          <w:szCs w:val="18"/>
        </w:rPr>
        <w:t>67013046</w:t>
      </w:r>
      <w:r w:rsidR="00447246" w:rsidRPr="00264C71">
        <w:rPr>
          <w:sz w:val="20"/>
          <w:szCs w:val="18"/>
        </w:rPr>
        <w:t xml:space="preserve">, </w:t>
      </w:r>
      <w:r w:rsidRPr="00264C71">
        <w:rPr>
          <w:sz w:val="20"/>
          <w:szCs w:val="18"/>
        </w:rPr>
        <w:t>Kaspars</w:t>
      </w:r>
      <w:r w:rsidR="00447246" w:rsidRPr="00264C71">
        <w:rPr>
          <w:sz w:val="20"/>
          <w:szCs w:val="18"/>
        </w:rPr>
        <w:t>.</w:t>
      </w:r>
      <w:r w:rsidRPr="00264C71">
        <w:rPr>
          <w:sz w:val="20"/>
          <w:szCs w:val="18"/>
        </w:rPr>
        <w:t>Stabins</w:t>
      </w:r>
      <w:r w:rsidR="00447246" w:rsidRPr="00264C71">
        <w:rPr>
          <w:sz w:val="20"/>
          <w:szCs w:val="18"/>
        </w:rPr>
        <w:t xml:space="preserve">@em.gov.lv </w:t>
      </w:r>
    </w:p>
    <w:sectPr w:rsidR="00447246" w:rsidRPr="00264C71" w:rsidSect="00FB544A">
      <w:headerReference w:type="default" r:id="rId9"/>
      <w:footerReference w:type="default" r:id="rId10"/>
      <w:footerReference w:type="first" r:id="rId11"/>
      <w:pgSz w:w="11906" w:h="16838"/>
      <w:pgMar w:top="993"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02" w:rsidRDefault="00F33D02" w:rsidP="0079342A">
      <w:r>
        <w:separator/>
      </w:r>
    </w:p>
  </w:endnote>
  <w:endnote w:type="continuationSeparator" w:id="0">
    <w:p w:rsidR="00F33D02" w:rsidRDefault="00F33D02" w:rsidP="0079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69" w:rsidRPr="0019113E" w:rsidRDefault="00F330B1" w:rsidP="0019113E">
    <w:pPr>
      <w:rPr>
        <w:szCs w:val="20"/>
      </w:rPr>
    </w:pPr>
    <w:r>
      <w:rPr>
        <w:sz w:val="20"/>
        <w:szCs w:val="20"/>
        <w:lang w:eastAsia="en-US"/>
      </w:rPr>
      <w:t>EMZino_2005</w:t>
    </w:r>
    <w:r w:rsidR="0019113E" w:rsidRPr="00A95769">
      <w:rPr>
        <w:sz w:val="20"/>
        <w:szCs w:val="20"/>
        <w:lang w:eastAsia="en-US"/>
      </w:rPr>
      <w:t>1</w:t>
    </w:r>
    <w:r w:rsidR="0019113E">
      <w:rPr>
        <w:sz w:val="20"/>
        <w:szCs w:val="20"/>
        <w:lang w:eastAsia="en-US"/>
      </w:rPr>
      <w:t>4</w:t>
    </w:r>
    <w:r w:rsidR="0019113E" w:rsidRPr="00A95769">
      <w:rPr>
        <w:sz w:val="20"/>
        <w:szCs w:val="20"/>
        <w:lang w:eastAsia="en-US"/>
      </w:rPr>
      <w:t>_COMPET; Informatīvais zi</w:t>
    </w:r>
    <w:r w:rsidR="0019113E">
      <w:rPr>
        <w:sz w:val="20"/>
        <w:szCs w:val="20"/>
        <w:lang w:eastAsia="en-US"/>
      </w:rPr>
      <w:t>ņojums par</w:t>
    </w:r>
    <w:r w:rsidR="0019113E" w:rsidRPr="00A95769">
      <w:rPr>
        <w:sz w:val="20"/>
        <w:szCs w:val="20"/>
        <w:lang w:eastAsia="en-US"/>
      </w:rPr>
      <w:t xml:space="preserve"> Latvijas Republikas nostāju Eiropas Savienības Konkurētspē</w:t>
    </w:r>
    <w:r w:rsidR="0019113E">
      <w:rPr>
        <w:sz w:val="20"/>
        <w:szCs w:val="20"/>
        <w:lang w:eastAsia="en-US"/>
      </w:rPr>
      <w:t>jas ministru padomes 2014.gada 2</w:t>
    </w:r>
    <w:r>
      <w:rPr>
        <w:sz w:val="20"/>
        <w:szCs w:val="20"/>
        <w:lang w:eastAsia="en-US"/>
      </w:rPr>
      <w:t>6</w:t>
    </w:r>
    <w:r w:rsidR="0019113E" w:rsidRPr="00A95769">
      <w:rPr>
        <w:sz w:val="20"/>
        <w:szCs w:val="20"/>
        <w:lang w:eastAsia="en-US"/>
      </w:rPr>
      <w:t>.</w:t>
    </w:r>
    <w:r>
      <w:rPr>
        <w:sz w:val="20"/>
        <w:szCs w:val="20"/>
        <w:lang w:eastAsia="en-US"/>
      </w:rPr>
      <w:t>maija</w:t>
    </w:r>
    <w:r w:rsidR="0019113E" w:rsidRPr="00A95769">
      <w:rPr>
        <w:sz w:val="20"/>
        <w:szCs w:val="20"/>
        <w:lang w:eastAsia="en-US"/>
      </w:rPr>
      <w:t xml:space="preserve"> sanāksmē izskatāmajos jautājumos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92" w:rsidRPr="00F330B1" w:rsidRDefault="00F330B1" w:rsidP="00F330B1">
    <w:pPr>
      <w:rPr>
        <w:szCs w:val="20"/>
      </w:rPr>
    </w:pPr>
    <w:r>
      <w:rPr>
        <w:sz w:val="20"/>
        <w:szCs w:val="20"/>
        <w:lang w:eastAsia="en-US"/>
      </w:rPr>
      <w:t>EMZino_2005</w:t>
    </w:r>
    <w:r w:rsidRPr="00A95769">
      <w:rPr>
        <w:sz w:val="20"/>
        <w:szCs w:val="20"/>
        <w:lang w:eastAsia="en-US"/>
      </w:rPr>
      <w:t>1</w:t>
    </w:r>
    <w:r>
      <w:rPr>
        <w:sz w:val="20"/>
        <w:szCs w:val="20"/>
        <w:lang w:eastAsia="en-US"/>
      </w:rPr>
      <w:t>4</w:t>
    </w:r>
    <w:r w:rsidRPr="00A95769">
      <w:rPr>
        <w:sz w:val="20"/>
        <w:szCs w:val="20"/>
        <w:lang w:eastAsia="en-US"/>
      </w:rPr>
      <w:t>_COMPET; Informatīvais zi</w:t>
    </w:r>
    <w:r>
      <w:rPr>
        <w:sz w:val="20"/>
        <w:szCs w:val="20"/>
        <w:lang w:eastAsia="en-US"/>
      </w:rPr>
      <w:t>ņojums par</w:t>
    </w:r>
    <w:r w:rsidRPr="00A95769">
      <w:rPr>
        <w:sz w:val="20"/>
        <w:szCs w:val="20"/>
        <w:lang w:eastAsia="en-US"/>
      </w:rPr>
      <w:t xml:space="preserve"> Latvijas Republikas nostāju Eiropas Savienības Konkurētspē</w:t>
    </w:r>
    <w:r>
      <w:rPr>
        <w:sz w:val="20"/>
        <w:szCs w:val="20"/>
        <w:lang w:eastAsia="en-US"/>
      </w:rPr>
      <w:t>jas ministru padomes 2014.gada 26</w:t>
    </w:r>
    <w:r w:rsidRPr="00A95769">
      <w:rPr>
        <w:sz w:val="20"/>
        <w:szCs w:val="20"/>
        <w:lang w:eastAsia="en-US"/>
      </w:rPr>
      <w:t>.</w:t>
    </w:r>
    <w:r>
      <w:rPr>
        <w:sz w:val="20"/>
        <w:szCs w:val="20"/>
        <w:lang w:eastAsia="en-US"/>
      </w:rPr>
      <w:t>maija</w:t>
    </w:r>
    <w:r w:rsidRPr="00A95769">
      <w:rPr>
        <w:sz w:val="20"/>
        <w:szCs w:val="20"/>
        <w:lang w:eastAsia="en-US"/>
      </w:rPr>
      <w:t xml:space="preserve"> sanāksmē izskatāmajos jautājumos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02" w:rsidRDefault="00F33D02" w:rsidP="0079342A">
      <w:r>
        <w:separator/>
      </w:r>
    </w:p>
  </w:footnote>
  <w:footnote w:type="continuationSeparator" w:id="0">
    <w:p w:rsidR="00F33D02" w:rsidRDefault="00F33D02" w:rsidP="0079342A">
      <w:r>
        <w:continuationSeparator/>
      </w:r>
    </w:p>
  </w:footnote>
  <w:footnote w:id="1">
    <w:p w:rsidR="00BD7248" w:rsidRPr="00CF6745" w:rsidRDefault="00BD7248" w:rsidP="00CF6745">
      <w:pPr>
        <w:pStyle w:val="FootnoteText"/>
        <w:jc w:val="both"/>
        <w:rPr>
          <w:sz w:val="24"/>
          <w:szCs w:val="24"/>
        </w:rPr>
      </w:pPr>
      <w:r w:rsidRPr="00CF6745">
        <w:rPr>
          <w:rStyle w:val="FootnoteReference"/>
          <w:sz w:val="24"/>
          <w:szCs w:val="24"/>
        </w:rPr>
        <w:footnoteRef/>
      </w:r>
      <w:r w:rsidRPr="00CF6745">
        <w:rPr>
          <w:sz w:val="24"/>
          <w:szCs w:val="24"/>
        </w:rPr>
        <w:t xml:space="preserve"> Spēkā ir LR nacionālā pozīcija Nr.1 „Par Eiropas Komisijas priekšlikumu Eiropas Parlamenta un Padomes Direktīvai, ar ko tuvina dalībvalstu tiesību aktus attiecībā uz preču zīmēm, un par Eiropas Komisijas priekšlikumu Eiropas Parlamenta un Padomes Regulai, ar ko groza Padomes regulu (EK) Nr.207/2009 par Kopienas preču zīmi” (Apstiprināta 2013. gada 26. novembra MK sēdē, prot.Nr.63 57.§, TA-3432).</w:t>
      </w:r>
    </w:p>
  </w:footnote>
  <w:footnote w:id="2">
    <w:p w:rsidR="002B5C3A" w:rsidRPr="00CF6745" w:rsidRDefault="002B5C3A" w:rsidP="00CF6745">
      <w:pPr>
        <w:pStyle w:val="FootnoteText"/>
        <w:jc w:val="both"/>
        <w:rPr>
          <w:sz w:val="24"/>
          <w:szCs w:val="24"/>
        </w:rPr>
      </w:pPr>
      <w:r w:rsidRPr="00CF6745">
        <w:rPr>
          <w:rStyle w:val="FootnoteReference"/>
          <w:sz w:val="24"/>
          <w:szCs w:val="24"/>
        </w:rPr>
        <w:footnoteRef/>
      </w:r>
      <w:r w:rsidRPr="00CF6745">
        <w:rPr>
          <w:sz w:val="24"/>
          <w:szCs w:val="24"/>
        </w:rPr>
        <w:t xml:space="preserve"> </w:t>
      </w:r>
      <w:r w:rsidRPr="00CF6745">
        <w:rPr>
          <w:sz w:val="24"/>
          <w:szCs w:val="24"/>
        </w:rPr>
        <w:t>Spēkā ir 2013.</w:t>
      </w:r>
      <w:r w:rsidR="00CF6745" w:rsidRPr="00CF6745">
        <w:rPr>
          <w:sz w:val="24"/>
          <w:szCs w:val="24"/>
        </w:rPr>
        <w:t>gada 4.novembr</w:t>
      </w:r>
      <w:r w:rsidR="00CF6745">
        <w:rPr>
          <w:sz w:val="24"/>
          <w:szCs w:val="24"/>
        </w:rPr>
        <w:t>ī apstiprinātā</w:t>
      </w:r>
      <w:r w:rsidRPr="00CF6745">
        <w:rPr>
          <w:sz w:val="24"/>
          <w:szCs w:val="24"/>
        </w:rPr>
        <w:t xml:space="preserve"> </w:t>
      </w:r>
      <w:r w:rsidR="00424CB3" w:rsidRPr="00CF6745">
        <w:rPr>
          <w:sz w:val="24"/>
          <w:szCs w:val="24"/>
        </w:rPr>
        <w:t xml:space="preserve">sākotnējā nacionālā </w:t>
      </w:r>
      <w:r w:rsidRPr="00CF6745">
        <w:rPr>
          <w:sz w:val="24"/>
          <w:szCs w:val="24"/>
        </w:rPr>
        <w:t xml:space="preserve">pozīcija </w:t>
      </w:r>
      <w:proofErr w:type="spellStart"/>
      <w:r w:rsidRPr="00CF6745">
        <w:rPr>
          <w:sz w:val="24"/>
          <w:szCs w:val="24"/>
        </w:rPr>
        <w:t>Nr</w:t>
      </w:r>
      <w:proofErr w:type="spellEnd"/>
      <w:r w:rsidRPr="00CF6745">
        <w:rPr>
          <w:sz w:val="24"/>
          <w:szCs w:val="24"/>
        </w:rPr>
        <w:t xml:space="preserve">. 1 „Par Priekšlikumu Eiropas Parlamenta un Padomes direktīvai par kompleksiem ceļojumiem un atbalstītiem ceļojumu pakalpojumiem, ar ko groza Regulu (EK) </w:t>
      </w:r>
      <w:proofErr w:type="spellStart"/>
      <w:r w:rsidRPr="00CF6745">
        <w:rPr>
          <w:sz w:val="24"/>
          <w:szCs w:val="24"/>
        </w:rPr>
        <w:t>Nr</w:t>
      </w:r>
      <w:proofErr w:type="spellEnd"/>
      <w:r w:rsidRPr="00CF6745">
        <w:rPr>
          <w:sz w:val="24"/>
          <w:szCs w:val="24"/>
        </w:rPr>
        <w:t>. 2006/2004, Direktīvu 2011/83/ES un atceļ padomes Direktīvu 90/314/EEK”.</w:t>
      </w:r>
    </w:p>
  </w:footnote>
  <w:footnote w:id="3">
    <w:p w:rsidR="00A91A15" w:rsidRPr="00CF6745" w:rsidRDefault="00A91A15" w:rsidP="00CF6745">
      <w:pPr>
        <w:pStyle w:val="FootnoteText"/>
        <w:jc w:val="both"/>
        <w:rPr>
          <w:sz w:val="24"/>
          <w:szCs w:val="24"/>
        </w:rPr>
      </w:pPr>
      <w:r w:rsidRPr="00CF6745">
        <w:rPr>
          <w:rStyle w:val="FootnoteReference"/>
          <w:sz w:val="24"/>
          <w:szCs w:val="24"/>
        </w:rPr>
        <w:footnoteRef/>
      </w:r>
      <w:r w:rsidRPr="00CF6745">
        <w:rPr>
          <w:sz w:val="24"/>
          <w:szCs w:val="24"/>
        </w:rPr>
        <w:t xml:space="preserve"> </w:t>
      </w:r>
      <w:r w:rsidRPr="00CF6745">
        <w:rPr>
          <w:sz w:val="24"/>
          <w:szCs w:val="24"/>
        </w:rPr>
        <w:t>Spēkā ir 2013.</w:t>
      </w:r>
      <w:r w:rsidR="00CF6745">
        <w:rPr>
          <w:sz w:val="24"/>
          <w:szCs w:val="24"/>
        </w:rPr>
        <w:t>gada 12.septembrī</w:t>
      </w:r>
      <w:r w:rsidRPr="00CF6745">
        <w:rPr>
          <w:sz w:val="24"/>
          <w:szCs w:val="24"/>
        </w:rPr>
        <w:t xml:space="preserve"> apstiprinātā sākotnējā nacionālā pozīcija</w:t>
      </w:r>
      <w:r w:rsidR="00CF6745" w:rsidRPr="00CF6745">
        <w:rPr>
          <w:sz w:val="24"/>
          <w:szCs w:val="24"/>
        </w:rPr>
        <w:t xml:space="preserve"> „Priekšlikums Eiropas Parlamenta un Padomes Regulai  par tipa apstiprinājuma prasībām </w:t>
      </w:r>
      <w:proofErr w:type="spellStart"/>
      <w:r w:rsidR="00CF6745" w:rsidRPr="00CF6745">
        <w:rPr>
          <w:sz w:val="24"/>
          <w:szCs w:val="24"/>
        </w:rPr>
        <w:t>eCall</w:t>
      </w:r>
      <w:proofErr w:type="spellEnd"/>
      <w:r w:rsidR="00CF6745" w:rsidRPr="00CF6745">
        <w:rPr>
          <w:sz w:val="24"/>
          <w:szCs w:val="24"/>
        </w:rPr>
        <w:t xml:space="preserve"> transportlīdzekļa sistēmas izveidošanai un par grozījumiem Direktīvā 2007/46/EK”</w:t>
      </w:r>
      <w:r w:rsidRPr="00CF6745">
        <w:rPr>
          <w:sz w:val="24"/>
          <w:szCs w:val="24"/>
        </w:rPr>
        <w:t>.</w:t>
      </w:r>
    </w:p>
  </w:footnote>
  <w:footnote w:id="4">
    <w:p w:rsidR="00946271" w:rsidRPr="00CF6745" w:rsidRDefault="00946271" w:rsidP="00CF6745">
      <w:pPr>
        <w:pStyle w:val="FootnoteText"/>
        <w:jc w:val="both"/>
        <w:rPr>
          <w:rFonts w:eastAsiaTheme="minorHAnsi"/>
          <w:sz w:val="24"/>
          <w:szCs w:val="24"/>
          <w:lang w:eastAsia="en-US"/>
        </w:rPr>
      </w:pPr>
      <w:r w:rsidRPr="00CF6745">
        <w:rPr>
          <w:rStyle w:val="FootnoteReference"/>
          <w:sz w:val="24"/>
          <w:szCs w:val="24"/>
        </w:rPr>
        <w:t>[1]</w:t>
      </w:r>
      <w:r w:rsidRPr="00CF6745">
        <w:rPr>
          <w:sz w:val="24"/>
          <w:szCs w:val="24"/>
        </w:rPr>
        <w:t xml:space="preserve"> </w:t>
      </w:r>
      <w:r w:rsidRPr="00CF6745">
        <w:rPr>
          <w:sz w:val="24"/>
          <w:szCs w:val="24"/>
        </w:rPr>
        <w:t>LV ir pievienojusies šai iniciatīvai</w:t>
      </w:r>
    </w:p>
  </w:footnote>
  <w:footnote w:id="5">
    <w:p w:rsidR="00946271" w:rsidRPr="00CF6745" w:rsidRDefault="00946271" w:rsidP="00CF6745">
      <w:pPr>
        <w:pStyle w:val="FootnoteText"/>
        <w:jc w:val="both"/>
        <w:rPr>
          <w:sz w:val="24"/>
          <w:szCs w:val="24"/>
        </w:rPr>
      </w:pPr>
      <w:r w:rsidRPr="00CF6745">
        <w:rPr>
          <w:rStyle w:val="FootnoteReference"/>
          <w:sz w:val="24"/>
          <w:szCs w:val="24"/>
        </w:rPr>
        <w:t>[2]</w:t>
      </w:r>
      <w:r w:rsidRPr="00CF6745">
        <w:rPr>
          <w:sz w:val="24"/>
          <w:szCs w:val="24"/>
        </w:rPr>
        <w:t xml:space="preserve"> </w:t>
      </w:r>
      <w:r w:rsidRPr="00CF6745">
        <w:rPr>
          <w:sz w:val="24"/>
          <w:szCs w:val="24"/>
        </w:rPr>
        <w:t>LV ir pievienojusies šai iniciatīvai</w:t>
      </w:r>
    </w:p>
  </w:footnote>
  <w:footnote w:id="6">
    <w:p w:rsidR="0031238A" w:rsidRPr="00CF6745" w:rsidRDefault="0031238A" w:rsidP="00CF6745">
      <w:pPr>
        <w:pStyle w:val="FootnoteText"/>
        <w:jc w:val="both"/>
        <w:rPr>
          <w:sz w:val="24"/>
          <w:szCs w:val="24"/>
        </w:rPr>
      </w:pPr>
      <w:r w:rsidRPr="00CF6745">
        <w:rPr>
          <w:rStyle w:val="FootnoteReference"/>
          <w:sz w:val="24"/>
          <w:szCs w:val="24"/>
        </w:rPr>
        <w:footnoteRef/>
      </w:r>
      <w:r w:rsidRPr="00CF6745">
        <w:rPr>
          <w:sz w:val="24"/>
          <w:szCs w:val="24"/>
        </w:rPr>
        <w:t xml:space="preserve"> </w:t>
      </w:r>
      <w:r w:rsidRPr="00CF6745">
        <w:rPr>
          <w:sz w:val="24"/>
          <w:szCs w:val="24"/>
        </w:rPr>
        <w:t xml:space="preserve">EK 2009.gada 7.oktobra darba dokuments </w:t>
      </w:r>
      <w:proofErr w:type="spellStart"/>
      <w:r w:rsidRPr="00CF6745">
        <w:rPr>
          <w:sz w:val="24"/>
          <w:szCs w:val="24"/>
        </w:rPr>
        <w:t>Nr</w:t>
      </w:r>
      <w:proofErr w:type="spellEnd"/>
      <w:r w:rsidRPr="00CF6745">
        <w:rPr>
          <w:sz w:val="24"/>
          <w:szCs w:val="24"/>
        </w:rPr>
        <w:t>. 13000/09.</w:t>
      </w:r>
    </w:p>
  </w:footnote>
  <w:footnote w:id="7">
    <w:p w:rsidR="00A339BD" w:rsidRDefault="00A339BD">
      <w:pPr>
        <w:pStyle w:val="FootnoteText"/>
      </w:pPr>
      <w:r w:rsidRPr="00A339BD">
        <w:rPr>
          <w:rStyle w:val="FootnoteReference"/>
          <w:sz w:val="24"/>
          <w:szCs w:val="24"/>
        </w:rPr>
        <w:footnoteRef/>
      </w:r>
      <w:r w:rsidRPr="00A339BD">
        <w:rPr>
          <w:rStyle w:val="FootnoteReference"/>
          <w:sz w:val="24"/>
          <w:szCs w:val="24"/>
        </w:rPr>
        <w:t xml:space="preserve"> </w:t>
      </w:r>
      <w:r w:rsidRPr="00A339BD">
        <w:rPr>
          <w:sz w:val="24"/>
          <w:szCs w:val="24"/>
        </w:rPr>
        <w:t>COM(2012)341</w:t>
      </w:r>
      <w:r>
        <w:rPr>
          <w:sz w:val="24"/>
          <w:szCs w:val="24"/>
        </w:rPr>
        <w:t>.</w:t>
      </w:r>
    </w:p>
  </w:footnote>
  <w:footnote w:id="8">
    <w:p w:rsidR="008718DE" w:rsidRDefault="008718DE">
      <w:pPr>
        <w:pStyle w:val="FootnoteText"/>
      </w:pPr>
      <w:r w:rsidRPr="008718DE">
        <w:rPr>
          <w:rStyle w:val="FootnoteReference"/>
          <w:sz w:val="24"/>
          <w:szCs w:val="24"/>
        </w:rPr>
        <w:footnoteRef/>
      </w:r>
      <w:r w:rsidRPr="008718DE">
        <w:rPr>
          <w:rStyle w:val="FootnoteReference"/>
          <w:sz w:val="24"/>
          <w:szCs w:val="24"/>
        </w:rPr>
        <w:t xml:space="preserve"> </w:t>
      </w:r>
      <w:r w:rsidRPr="008718DE">
        <w:t>COM(2012)82</w:t>
      </w:r>
      <w:r w:rsidR="003E3F5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564"/>
      <w:docPartObj>
        <w:docPartGallery w:val="Page Numbers (Top of Page)"/>
        <w:docPartUnique/>
      </w:docPartObj>
    </w:sdtPr>
    <w:sdtEndPr/>
    <w:sdtContent>
      <w:p w:rsidR="00713692" w:rsidRDefault="00713692">
        <w:pPr>
          <w:pStyle w:val="Header"/>
          <w:jc w:val="center"/>
        </w:pPr>
        <w:r>
          <w:fldChar w:fldCharType="begin"/>
        </w:r>
        <w:r>
          <w:instrText xml:space="preserve"> PAGE   \* MERGEFORMAT </w:instrText>
        </w:r>
        <w:r>
          <w:fldChar w:fldCharType="separate"/>
        </w:r>
        <w:r w:rsidR="00D5386B">
          <w:rPr>
            <w:noProof/>
          </w:rPr>
          <w:t>13</w:t>
        </w:r>
        <w:r>
          <w:rPr>
            <w:noProof/>
          </w:rPr>
          <w:fldChar w:fldCharType="end"/>
        </w:r>
      </w:p>
    </w:sdtContent>
  </w:sdt>
  <w:p w:rsidR="00713692" w:rsidRDefault="00713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8F4"/>
    <w:multiLevelType w:val="hybridMultilevel"/>
    <w:tmpl w:val="9C70F2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617A08"/>
    <w:multiLevelType w:val="hybridMultilevel"/>
    <w:tmpl w:val="A8927DAA"/>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7823B45"/>
    <w:multiLevelType w:val="hybridMultilevel"/>
    <w:tmpl w:val="0F8239F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94B3B29"/>
    <w:multiLevelType w:val="hybridMultilevel"/>
    <w:tmpl w:val="CB2E3394"/>
    <w:lvl w:ilvl="0" w:tplc="9ABED88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9BA1FC6"/>
    <w:multiLevelType w:val="hybridMultilevel"/>
    <w:tmpl w:val="90D6F2E8"/>
    <w:lvl w:ilvl="0" w:tplc="6114C73C">
      <w:start w:val="1"/>
      <w:numFmt w:val="decimal"/>
      <w:lvlText w:val="%1)"/>
      <w:lvlJc w:val="left"/>
      <w:pPr>
        <w:ind w:left="1069" w:hanging="360"/>
      </w:pPr>
      <w:rPr>
        <w:rFonts w:ascii="Times New Roman" w:eastAsia="Calibri" w:hAnsi="Times New Roman" w:cs="Times New Roman"/>
        <w:b w:val="0"/>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5">
    <w:nsid w:val="241A2CAB"/>
    <w:multiLevelType w:val="hybridMultilevel"/>
    <w:tmpl w:val="8C503D8C"/>
    <w:lvl w:ilvl="0" w:tplc="9ABED88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5305623"/>
    <w:multiLevelType w:val="hybridMultilevel"/>
    <w:tmpl w:val="7430BE64"/>
    <w:lvl w:ilvl="0" w:tplc="9ABED884">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5902D69"/>
    <w:multiLevelType w:val="hybridMultilevel"/>
    <w:tmpl w:val="C4BAC8BC"/>
    <w:lvl w:ilvl="0" w:tplc="04260001">
      <w:start w:val="1"/>
      <w:numFmt w:val="bullet"/>
      <w:lvlText w:val=""/>
      <w:lvlJc w:val="left"/>
      <w:pPr>
        <w:ind w:left="720" w:hanging="720"/>
      </w:pPr>
      <w:rPr>
        <w:rFonts w:ascii="Symbol" w:hAnsi="Symbol" w:hint="default"/>
      </w:rPr>
    </w:lvl>
    <w:lvl w:ilvl="1" w:tplc="998E5CB4">
      <w:start w:val="3"/>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278D7E75"/>
    <w:multiLevelType w:val="hybridMultilevel"/>
    <w:tmpl w:val="2436888C"/>
    <w:lvl w:ilvl="0" w:tplc="326E097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1B2526"/>
    <w:multiLevelType w:val="hybridMultilevel"/>
    <w:tmpl w:val="C0E487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9AA2C27"/>
    <w:multiLevelType w:val="hybridMultilevel"/>
    <w:tmpl w:val="A00C5286"/>
    <w:lvl w:ilvl="0" w:tplc="26E0C4A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6C4E45"/>
    <w:multiLevelType w:val="hybridMultilevel"/>
    <w:tmpl w:val="F59C1A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24A0EC2"/>
    <w:multiLevelType w:val="hybridMultilevel"/>
    <w:tmpl w:val="CECE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2DC4FED"/>
    <w:multiLevelType w:val="hybridMultilevel"/>
    <w:tmpl w:val="823E21FE"/>
    <w:lvl w:ilvl="0" w:tplc="326E0970">
      <w:start w:val="2"/>
      <w:numFmt w:val="bullet"/>
      <w:lvlText w:val="-"/>
      <w:lvlJc w:val="left"/>
      <w:pPr>
        <w:ind w:left="720" w:hanging="360"/>
      </w:pPr>
      <w:rPr>
        <w:rFonts w:ascii="Times New Roman" w:eastAsia="Times New Roman" w:hAnsi="Times New Roman" w:cs="Times New Roman" w:hint="default"/>
      </w:rPr>
    </w:lvl>
    <w:lvl w:ilvl="1" w:tplc="8F8EA106">
      <w:start w:val="2"/>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5263F0A"/>
    <w:multiLevelType w:val="hybridMultilevel"/>
    <w:tmpl w:val="861A36A8"/>
    <w:lvl w:ilvl="0" w:tplc="DF3EF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5345C21"/>
    <w:multiLevelType w:val="hybridMultilevel"/>
    <w:tmpl w:val="54049E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C0012B3"/>
    <w:multiLevelType w:val="hybridMultilevel"/>
    <w:tmpl w:val="2C3C4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C317450"/>
    <w:multiLevelType w:val="hybridMultilevel"/>
    <w:tmpl w:val="D4CAF70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3E767367"/>
    <w:multiLevelType w:val="hybridMultilevel"/>
    <w:tmpl w:val="7116C6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3F270B14"/>
    <w:multiLevelType w:val="hybridMultilevel"/>
    <w:tmpl w:val="6D42E30C"/>
    <w:lvl w:ilvl="0" w:tplc="22E6521C">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0984D00"/>
    <w:multiLevelType w:val="hybridMultilevel"/>
    <w:tmpl w:val="58308EF8"/>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42E33128"/>
    <w:multiLevelType w:val="hybridMultilevel"/>
    <w:tmpl w:val="1CF446B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48B622CD"/>
    <w:multiLevelType w:val="hybridMultilevel"/>
    <w:tmpl w:val="49BAC8F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0DA1177"/>
    <w:multiLevelType w:val="hybridMultilevel"/>
    <w:tmpl w:val="4A5ADB44"/>
    <w:lvl w:ilvl="0" w:tplc="4F526DA8">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5124198D"/>
    <w:multiLevelType w:val="hybridMultilevel"/>
    <w:tmpl w:val="C2E66D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4410760"/>
    <w:multiLevelType w:val="hybridMultilevel"/>
    <w:tmpl w:val="2020BDD4"/>
    <w:lvl w:ilvl="0" w:tplc="4F526DA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78313D6"/>
    <w:multiLevelType w:val="hybridMultilevel"/>
    <w:tmpl w:val="7116C6F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5ACD35B1"/>
    <w:multiLevelType w:val="multilevel"/>
    <w:tmpl w:val="081C7E2A"/>
    <w:lvl w:ilvl="0">
      <w:start w:val="1"/>
      <w:numFmt w:val="decimal"/>
      <w:lvlText w:val="%1."/>
      <w:lvlJc w:val="left"/>
      <w:pPr>
        <w:ind w:left="525" w:hanging="525"/>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28">
    <w:nsid w:val="64C51F1E"/>
    <w:multiLevelType w:val="hybridMultilevel"/>
    <w:tmpl w:val="EAC07582"/>
    <w:lvl w:ilvl="0" w:tplc="4F526DA8">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nsid w:val="66982112"/>
    <w:multiLevelType w:val="hybridMultilevel"/>
    <w:tmpl w:val="DC820456"/>
    <w:lvl w:ilvl="0" w:tplc="22E6521C">
      <w:start w:val="1"/>
      <w:numFmt w:val="decimal"/>
      <w:lvlText w:val="%1)"/>
      <w:lvlJc w:val="left"/>
      <w:pPr>
        <w:ind w:left="720" w:hanging="720"/>
      </w:pPr>
      <w:rPr>
        <w:rFonts w:hint="default"/>
      </w:rPr>
    </w:lvl>
    <w:lvl w:ilvl="1" w:tplc="998E5CB4">
      <w:start w:val="3"/>
      <w:numFmt w:val="bullet"/>
      <w:lvlText w:val="-"/>
      <w:lvlJc w:val="left"/>
      <w:pPr>
        <w:ind w:left="1440" w:hanging="720"/>
      </w:pPr>
      <w:rPr>
        <w:rFonts w:ascii="Times New Roman" w:eastAsia="Times New Roman" w:hAnsi="Times New Roman" w:cs="Times New Roman"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68E90F99"/>
    <w:multiLevelType w:val="hybridMultilevel"/>
    <w:tmpl w:val="118A4B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692324DD"/>
    <w:multiLevelType w:val="hybridMultilevel"/>
    <w:tmpl w:val="F4A876D8"/>
    <w:lvl w:ilvl="0" w:tplc="326E097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BBE2AF2"/>
    <w:multiLevelType w:val="hybridMultilevel"/>
    <w:tmpl w:val="30CED7D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0D036D7"/>
    <w:multiLevelType w:val="hybridMultilevel"/>
    <w:tmpl w:val="330844EE"/>
    <w:lvl w:ilvl="0" w:tplc="26E0C4A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7D5756B"/>
    <w:multiLevelType w:val="hybridMultilevel"/>
    <w:tmpl w:val="FE6C0B2A"/>
    <w:lvl w:ilvl="0" w:tplc="326E0970">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77D90279"/>
    <w:multiLevelType w:val="hybridMultilevel"/>
    <w:tmpl w:val="D2E885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nsid w:val="7C2440B5"/>
    <w:multiLevelType w:val="hybridMultilevel"/>
    <w:tmpl w:val="658291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2"/>
  </w:num>
  <w:num w:numId="2">
    <w:abstractNumId w:val="2"/>
  </w:num>
  <w:num w:numId="3">
    <w:abstractNumId w:val="18"/>
  </w:num>
  <w:num w:numId="4">
    <w:abstractNumId w:val="11"/>
  </w:num>
  <w:num w:numId="5">
    <w:abstractNumId w:val="26"/>
  </w:num>
  <w:num w:numId="6">
    <w:abstractNumId w:val="17"/>
  </w:num>
  <w:num w:numId="7">
    <w:abstractNumId w:val="35"/>
  </w:num>
  <w:num w:numId="8">
    <w:abstractNumId w:val="29"/>
  </w:num>
  <w:num w:numId="9">
    <w:abstractNumId w:val="0"/>
  </w:num>
  <w:num w:numId="10">
    <w:abstractNumId w:val="7"/>
  </w:num>
  <w:num w:numId="11">
    <w:abstractNumId w:val="21"/>
  </w:num>
  <w:num w:numId="12">
    <w:abstractNumId w:val="5"/>
  </w:num>
  <w:num w:numId="13">
    <w:abstractNumId w:val="19"/>
  </w:num>
  <w:num w:numId="14">
    <w:abstractNumId w:val="25"/>
  </w:num>
  <w:num w:numId="15">
    <w:abstractNumId w:val="23"/>
  </w:num>
  <w:num w:numId="16">
    <w:abstractNumId w:val="28"/>
  </w:num>
  <w:num w:numId="17">
    <w:abstractNumId w:val="3"/>
  </w:num>
  <w:num w:numId="18">
    <w:abstractNumId w:val="6"/>
  </w:num>
  <w:num w:numId="19">
    <w:abstractNumId w:val="27"/>
  </w:num>
  <w:num w:numId="20">
    <w:abstractNumId w:val="20"/>
  </w:num>
  <w:num w:numId="21">
    <w:abstractNumId w:val="15"/>
  </w:num>
  <w:num w:numId="22">
    <w:abstractNumId w:val="1"/>
  </w:num>
  <w:num w:numId="23">
    <w:abstractNumId w:val="32"/>
  </w:num>
  <w:num w:numId="24">
    <w:abstractNumId w:val="12"/>
  </w:num>
  <w:num w:numId="25">
    <w:abstractNumId w:val="13"/>
  </w:num>
  <w:num w:numId="26">
    <w:abstractNumId w:val="31"/>
  </w:num>
  <w:num w:numId="27">
    <w:abstractNumId w:val="8"/>
  </w:num>
  <w:num w:numId="28">
    <w:abstractNumId w:val="34"/>
  </w:num>
  <w:num w:numId="29">
    <w:abstractNumId w:val="14"/>
  </w:num>
  <w:num w:numId="30">
    <w:abstractNumId w:val="24"/>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lvlOverride w:ilvl="2"/>
    <w:lvlOverride w:ilvl="3"/>
    <w:lvlOverride w:ilvl="4"/>
    <w:lvlOverride w:ilvl="5"/>
    <w:lvlOverride w:ilvl="6"/>
    <w:lvlOverride w:ilvl="7"/>
    <w:lvlOverride w:ilvl="8"/>
  </w:num>
  <w:num w:numId="33">
    <w:abstractNumId w:val="36"/>
  </w:num>
  <w:num w:numId="34">
    <w:abstractNumId w:val="16"/>
  </w:num>
  <w:num w:numId="35">
    <w:abstractNumId w:val="10"/>
  </w:num>
  <w:num w:numId="36">
    <w:abstractNumId w:val="33"/>
  </w:num>
  <w:num w:numId="37">
    <w:abstractNumId w:val="9"/>
  </w:num>
  <w:num w:numId="3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48"/>
    <w:rsid w:val="000017A5"/>
    <w:rsid w:val="0000312B"/>
    <w:rsid w:val="00010DE8"/>
    <w:rsid w:val="000134AA"/>
    <w:rsid w:val="00013A67"/>
    <w:rsid w:val="00014E4E"/>
    <w:rsid w:val="000163A1"/>
    <w:rsid w:val="00017CA9"/>
    <w:rsid w:val="00022163"/>
    <w:rsid w:val="000230C6"/>
    <w:rsid w:val="00025575"/>
    <w:rsid w:val="00025B33"/>
    <w:rsid w:val="000304D8"/>
    <w:rsid w:val="00030F27"/>
    <w:rsid w:val="00033500"/>
    <w:rsid w:val="0003473A"/>
    <w:rsid w:val="00037E43"/>
    <w:rsid w:val="00041C3F"/>
    <w:rsid w:val="00041EC0"/>
    <w:rsid w:val="00042326"/>
    <w:rsid w:val="00045380"/>
    <w:rsid w:val="00053471"/>
    <w:rsid w:val="000538D0"/>
    <w:rsid w:val="00054145"/>
    <w:rsid w:val="00060563"/>
    <w:rsid w:val="00060751"/>
    <w:rsid w:val="00071F6B"/>
    <w:rsid w:val="00074A8E"/>
    <w:rsid w:val="0007554C"/>
    <w:rsid w:val="00075A47"/>
    <w:rsid w:val="00076994"/>
    <w:rsid w:val="00077875"/>
    <w:rsid w:val="0008031F"/>
    <w:rsid w:val="00084744"/>
    <w:rsid w:val="00086D78"/>
    <w:rsid w:val="00090630"/>
    <w:rsid w:val="0009144F"/>
    <w:rsid w:val="0009145C"/>
    <w:rsid w:val="00091A36"/>
    <w:rsid w:val="00096172"/>
    <w:rsid w:val="000A4149"/>
    <w:rsid w:val="000A4383"/>
    <w:rsid w:val="000A4384"/>
    <w:rsid w:val="000A5454"/>
    <w:rsid w:val="000A599E"/>
    <w:rsid w:val="000A61D6"/>
    <w:rsid w:val="000A7576"/>
    <w:rsid w:val="000A7F3E"/>
    <w:rsid w:val="000B028B"/>
    <w:rsid w:val="000B468F"/>
    <w:rsid w:val="000B5EF5"/>
    <w:rsid w:val="000B5F1C"/>
    <w:rsid w:val="000B652B"/>
    <w:rsid w:val="000C1FAA"/>
    <w:rsid w:val="000C343D"/>
    <w:rsid w:val="000C4CBE"/>
    <w:rsid w:val="000C5C3C"/>
    <w:rsid w:val="000C66EB"/>
    <w:rsid w:val="000C6C6B"/>
    <w:rsid w:val="000D0931"/>
    <w:rsid w:val="000D3178"/>
    <w:rsid w:val="000D4D8D"/>
    <w:rsid w:val="000D7F7C"/>
    <w:rsid w:val="000E0775"/>
    <w:rsid w:val="000E26C6"/>
    <w:rsid w:val="000E2988"/>
    <w:rsid w:val="000E727E"/>
    <w:rsid w:val="000F3D38"/>
    <w:rsid w:val="000F4195"/>
    <w:rsid w:val="00101390"/>
    <w:rsid w:val="00102C66"/>
    <w:rsid w:val="00107D5E"/>
    <w:rsid w:val="001118E5"/>
    <w:rsid w:val="001129BD"/>
    <w:rsid w:val="00115604"/>
    <w:rsid w:val="0011567F"/>
    <w:rsid w:val="00115BF7"/>
    <w:rsid w:val="001169E7"/>
    <w:rsid w:val="001172C0"/>
    <w:rsid w:val="00117654"/>
    <w:rsid w:val="00117904"/>
    <w:rsid w:val="00121DEA"/>
    <w:rsid w:val="00122F72"/>
    <w:rsid w:val="00124E9B"/>
    <w:rsid w:val="00126A02"/>
    <w:rsid w:val="00130680"/>
    <w:rsid w:val="00130EEA"/>
    <w:rsid w:val="0013164E"/>
    <w:rsid w:val="001341F1"/>
    <w:rsid w:val="00134B9F"/>
    <w:rsid w:val="001350F0"/>
    <w:rsid w:val="001445E2"/>
    <w:rsid w:val="00144612"/>
    <w:rsid w:val="0014548F"/>
    <w:rsid w:val="00150BB3"/>
    <w:rsid w:val="00151AE5"/>
    <w:rsid w:val="0015570E"/>
    <w:rsid w:val="00155A62"/>
    <w:rsid w:val="0015651B"/>
    <w:rsid w:val="00156ECD"/>
    <w:rsid w:val="00157C4A"/>
    <w:rsid w:val="0016098B"/>
    <w:rsid w:val="001620EA"/>
    <w:rsid w:val="0016420F"/>
    <w:rsid w:val="00165624"/>
    <w:rsid w:val="001659A7"/>
    <w:rsid w:val="0016779A"/>
    <w:rsid w:val="00170158"/>
    <w:rsid w:val="00171CF1"/>
    <w:rsid w:val="001734C8"/>
    <w:rsid w:val="001754CA"/>
    <w:rsid w:val="001829A7"/>
    <w:rsid w:val="00183CCB"/>
    <w:rsid w:val="00184B27"/>
    <w:rsid w:val="00185F79"/>
    <w:rsid w:val="00185F95"/>
    <w:rsid w:val="0018606F"/>
    <w:rsid w:val="001865A3"/>
    <w:rsid w:val="00190A30"/>
    <w:rsid w:val="0019113E"/>
    <w:rsid w:val="001911A5"/>
    <w:rsid w:val="001917E7"/>
    <w:rsid w:val="00191F45"/>
    <w:rsid w:val="00191FBE"/>
    <w:rsid w:val="001A45A3"/>
    <w:rsid w:val="001A59C1"/>
    <w:rsid w:val="001A65F8"/>
    <w:rsid w:val="001A67EB"/>
    <w:rsid w:val="001B0568"/>
    <w:rsid w:val="001B24AB"/>
    <w:rsid w:val="001B3F3D"/>
    <w:rsid w:val="001B697D"/>
    <w:rsid w:val="001C0868"/>
    <w:rsid w:val="001C32B3"/>
    <w:rsid w:val="001C7C93"/>
    <w:rsid w:val="001D1B26"/>
    <w:rsid w:val="001D356E"/>
    <w:rsid w:val="001D37E5"/>
    <w:rsid w:val="001D3D90"/>
    <w:rsid w:val="001D4277"/>
    <w:rsid w:val="001E5AD7"/>
    <w:rsid w:val="001E6160"/>
    <w:rsid w:val="001E7413"/>
    <w:rsid w:val="001E7D11"/>
    <w:rsid w:val="001F4412"/>
    <w:rsid w:val="002025A8"/>
    <w:rsid w:val="00202961"/>
    <w:rsid w:val="00202CFB"/>
    <w:rsid w:val="002041E0"/>
    <w:rsid w:val="002045B3"/>
    <w:rsid w:val="002077AF"/>
    <w:rsid w:val="0021101E"/>
    <w:rsid w:val="002148A4"/>
    <w:rsid w:val="00216286"/>
    <w:rsid w:val="002173E3"/>
    <w:rsid w:val="00224DC4"/>
    <w:rsid w:val="00225EEF"/>
    <w:rsid w:val="002270DA"/>
    <w:rsid w:val="00227FFB"/>
    <w:rsid w:val="00230201"/>
    <w:rsid w:val="0023457E"/>
    <w:rsid w:val="0023512B"/>
    <w:rsid w:val="002357E6"/>
    <w:rsid w:val="002365AA"/>
    <w:rsid w:val="00242E0C"/>
    <w:rsid w:val="0024322A"/>
    <w:rsid w:val="002443C6"/>
    <w:rsid w:val="00246F3B"/>
    <w:rsid w:val="002508A5"/>
    <w:rsid w:val="0025119E"/>
    <w:rsid w:val="00254C7B"/>
    <w:rsid w:val="002609E5"/>
    <w:rsid w:val="00264C71"/>
    <w:rsid w:val="00271604"/>
    <w:rsid w:val="00272097"/>
    <w:rsid w:val="00272170"/>
    <w:rsid w:val="0027559A"/>
    <w:rsid w:val="00276553"/>
    <w:rsid w:val="0028329A"/>
    <w:rsid w:val="002837CA"/>
    <w:rsid w:val="002855EB"/>
    <w:rsid w:val="00287A6A"/>
    <w:rsid w:val="00287D76"/>
    <w:rsid w:val="002902E4"/>
    <w:rsid w:val="002948F4"/>
    <w:rsid w:val="00294946"/>
    <w:rsid w:val="002973F7"/>
    <w:rsid w:val="002975B6"/>
    <w:rsid w:val="00297798"/>
    <w:rsid w:val="002A3921"/>
    <w:rsid w:val="002A76B0"/>
    <w:rsid w:val="002B0D2A"/>
    <w:rsid w:val="002B221A"/>
    <w:rsid w:val="002B5C3A"/>
    <w:rsid w:val="002B7000"/>
    <w:rsid w:val="002B79EE"/>
    <w:rsid w:val="002B7AA4"/>
    <w:rsid w:val="002C06DC"/>
    <w:rsid w:val="002C5959"/>
    <w:rsid w:val="002C657D"/>
    <w:rsid w:val="002D40CD"/>
    <w:rsid w:val="002D5915"/>
    <w:rsid w:val="002D63C1"/>
    <w:rsid w:val="002D6A46"/>
    <w:rsid w:val="002E3144"/>
    <w:rsid w:val="002F2F94"/>
    <w:rsid w:val="002F40AD"/>
    <w:rsid w:val="002F4A07"/>
    <w:rsid w:val="002F6F25"/>
    <w:rsid w:val="002F7E81"/>
    <w:rsid w:val="0030477F"/>
    <w:rsid w:val="0031238A"/>
    <w:rsid w:val="00314886"/>
    <w:rsid w:val="003148EC"/>
    <w:rsid w:val="003159AD"/>
    <w:rsid w:val="00316C2A"/>
    <w:rsid w:val="0032198E"/>
    <w:rsid w:val="003221A2"/>
    <w:rsid w:val="00322629"/>
    <w:rsid w:val="00322A7A"/>
    <w:rsid w:val="00324917"/>
    <w:rsid w:val="00327E46"/>
    <w:rsid w:val="003313D6"/>
    <w:rsid w:val="00332C3B"/>
    <w:rsid w:val="003345BD"/>
    <w:rsid w:val="00340539"/>
    <w:rsid w:val="00340656"/>
    <w:rsid w:val="00340D8E"/>
    <w:rsid w:val="0034189E"/>
    <w:rsid w:val="00342A27"/>
    <w:rsid w:val="00342B16"/>
    <w:rsid w:val="00343912"/>
    <w:rsid w:val="00347129"/>
    <w:rsid w:val="00350705"/>
    <w:rsid w:val="003529E3"/>
    <w:rsid w:val="0035644F"/>
    <w:rsid w:val="00356D6C"/>
    <w:rsid w:val="00360015"/>
    <w:rsid w:val="00361012"/>
    <w:rsid w:val="00362AD7"/>
    <w:rsid w:val="00365CDE"/>
    <w:rsid w:val="00370A43"/>
    <w:rsid w:val="00373C0C"/>
    <w:rsid w:val="003761F1"/>
    <w:rsid w:val="003840A0"/>
    <w:rsid w:val="0039412A"/>
    <w:rsid w:val="00395770"/>
    <w:rsid w:val="00396164"/>
    <w:rsid w:val="00397317"/>
    <w:rsid w:val="003A2C6E"/>
    <w:rsid w:val="003A2FBC"/>
    <w:rsid w:val="003A3A6A"/>
    <w:rsid w:val="003A3D93"/>
    <w:rsid w:val="003A5335"/>
    <w:rsid w:val="003A66DB"/>
    <w:rsid w:val="003A7387"/>
    <w:rsid w:val="003B0E9A"/>
    <w:rsid w:val="003B1ECE"/>
    <w:rsid w:val="003B32E1"/>
    <w:rsid w:val="003C03DD"/>
    <w:rsid w:val="003C0B95"/>
    <w:rsid w:val="003C323C"/>
    <w:rsid w:val="003C7819"/>
    <w:rsid w:val="003D004F"/>
    <w:rsid w:val="003D097B"/>
    <w:rsid w:val="003D478B"/>
    <w:rsid w:val="003D62AC"/>
    <w:rsid w:val="003D6992"/>
    <w:rsid w:val="003D70C6"/>
    <w:rsid w:val="003E049B"/>
    <w:rsid w:val="003E1378"/>
    <w:rsid w:val="003E1585"/>
    <w:rsid w:val="003E3F59"/>
    <w:rsid w:val="003E5A59"/>
    <w:rsid w:val="003E5D30"/>
    <w:rsid w:val="003E5E3E"/>
    <w:rsid w:val="003E6BBB"/>
    <w:rsid w:val="003E7BA4"/>
    <w:rsid w:val="003F0D2C"/>
    <w:rsid w:val="003F290F"/>
    <w:rsid w:val="003F3BE3"/>
    <w:rsid w:val="003F5E8D"/>
    <w:rsid w:val="003F69B8"/>
    <w:rsid w:val="003F6E3F"/>
    <w:rsid w:val="00400142"/>
    <w:rsid w:val="0040145B"/>
    <w:rsid w:val="004022D4"/>
    <w:rsid w:val="00403309"/>
    <w:rsid w:val="00405269"/>
    <w:rsid w:val="0041089F"/>
    <w:rsid w:val="00411A4F"/>
    <w:rsid w:val="0041577A"/>
    <w:rsid w:val="00415CBE"/>
    <w:rsid w:val="00416C71"/>
    <w:rsid w:val="00422C05"/>
    <w:rsid w:val="00422C77"/>
    <w:rsid w:val="00424CB3"/>
    <w:rsid w:val="00425B59"/>
    <w:rsid w:val="00426FD3"/>
    <w:rsid w:val="00433B0A"/>
    <w:rsid w:val="00434636"/>
    <w:rsid w:val="00440F51"/>
    <w:rsid w:val="00441C49"/>
    <w:rsid w:val="004459DC"/>
    <w:rsid w:val="00447246"/>
    <w:rsid w:val="0046554A"/>
    <w:rsid w:val="00467EE3"/>
    <w:rsid w:val="004718E2"/>
    <w:rsid w:val="00473B73"/>
    <w:rsid w:val="004806CF"/>
    <w:rsid w:val="00481031"/>
    <w:rsid w:val="00484651"/>
    <w:rsid w:val="00485409"/>
    <w:rsid w:val="00485CF8"/>
    <w:rsid w:val="00485EC4"/>
    <w:rsid w:val="00487328"/>
    <w:rsid w:val="00487A4D"/>
    <w:rsid w:val="00492379"/>
    <w:rsid w:val="00492566"/>
    <w:rsid w:val="00492CE1"/>
    <w:rsid w:val="0049471A"/>
    <w:rsid w:val="004973D5"/>
    <w:rsid w:val="004A0174"/>
    <w:rsid w:val="004A20A2"/>
    <w:rsid w:val="004A242B"/>
    <w:rsid w:val="004A40D6"/>
    <w:rsid w:val="004A45FE"/>
    <w:rsid w:val="004A5B6D"/>
    <w:rsid w:val="004A5BAC"/>
    <w:rsid w:val="004A623B"/>
    <w:rsid w:val="004A70CD"/>
    <w:rsid w:val="004B1495"/>
    <w:rsid w:val="004B1EFF"/>
    <w:rsid w:val="004B295C"/>
    <w:rsid w:val="004B6217"/>
    <w:rsid w:val="004C1552"/>
    <w:rsid w:val="004C3599"/>
    <w:rsid w:val="004C5258"/>
    <w:rsid w:val="004C559D"/>
    <w:rsid w:val="004C79B5"/>
    <w:rsid w:val="004C79CA"/>
    <w:rsid w:val="004C7C91"/>
    <w:rsid w:val="004D1284"/>
    <w:rsid w:val="004D1754"/>
    <w:rsid w:val="004D3C1B"/>
    <w:rsid w:val="004D7766"/>
    <w:rsid w:val="004E4F37"/>
    <w:rsid w:val="004E6111"/>
    <w:rsid w:val="004F0096"/>
    <w:rsid w:val="004F1BA9"/>
    <w:rsid w:val="004F6998"/>
    <w:rsid w:val="004F7D9E"/>
    <w:rsid w:val="005000A7"/>
    <w:rsid w:val="00500822"/>
    <w:rsid w:val="00505AE3"/>
    <w:rsid w:val="005064B6"/>
    <w:rsid w:val="00510883"/>
    <w:rsid w:val="005125D9"/>
    <w:rsid w:val="00512B4C"/>
    <w:rsid w:val="00513109"/>
    <w:rsid w:val="00513117"/>
    <w:rsid w:val="005137AA"/>
    <w:rsid w:val="00513E2C"/>
    <w:rsid w:val="005140D4"/>
    <w:rsid w:val="0051795D"/>
    <w:rsid w:val="00517B0E"/>
    <w:rsid w:val="00521DE7"/>
    <w:rsid w:val="00527AAD"/>
    <w:rsid w:val="00532023"/>
    <w:rsid w:val="005331F4"/>
    <w:rsid w:val="00543611"/>
    <w:rsid w:val="00546424"/>
    <w:rsid w:val="00546D6E"/>
    <w:rsid w:val="00550122"/>
    <w:rsid w:val="005506F5"/>
    <w:rsid w:val="005530C8"/>
    <w:rsid w:val="0055451E"/>
    <w:rsid w:val="00557BF9"/>
    <w:rsid w:val="005600F0"/>
    <w:rsid w:val="005605FC"/>
    <w:rsid w:val="00560716"/>
    <w:rsid w:val="0056075A"/>
    <w:rsid w:val="00562471"/>
    <w:rsid w:val="005628B2"/>
    <w:rsid w:val="00562B16"/>
    <w:rsid w:val="00567871"/>
    <w:rsid w:val="00573207"/>
    <w:rsid w:val="00573A04"/>
    <w:rsid w:val="00576A9E"/>
    <w:rsid w:val="005814EA"/>
    <w:rsid w:val="005832F8"/>
    <w:rsid w:val="005854CF"/>
    <w:rsid w:val="00590FA5"/>
    <w:rsid w:val="00594E8C"/>
    <w:rsid w:val="0059689F"/>
    <w:rsid w:val="005A0176"/>
    <w:rsid w:val="005A080A"/>
    <w:rsid w:val="005A18ED"/>
    <w:rsid w:val="005A7F37"/>
    <w:rsid w:val="005B2C5A"/>
    <w:rsid w:val="005B2D33"/>
    <w:rsid w:val="005B3E55"/>
    <w:rsid w:val="005B51CA"/>
    <w:rsid w:val="005C2D2C"/>
    <w:rsid w:val="005C4CFD"/>
    <w:rsid w:val="005C626C"/>
    <w:rsid w:val="005C627A"/>
    <w:rsid w:val="005C725A"/>
    <w:rsid w:val="005D0EFD"/>
    <w:rsid w:val="005E12D5"/>
    <w:rsid w:val="005E3C2B"/>
    <w:rsid w:val="005E404D"/>
    <w:rsid w:val="005E628E"/>
    <w:rsid w:val="005E7680"/>
    <w:rsid w:val="005F1DED"/>
    <w:rsid w:val="005F3CCB"/>
    <w:rsid w:val="005F63AD"/>
    <w:rsid w:val="00600516"/>
    <w:rsid w:val="006009B7"/>
    <w:rsid w:val="00601F9C"/>
    <w:rsid w:val="006031F7"/>
    <w:rsid w:val="00603AFF"/>
    <w:rsid w:val="00604D12"/>
    <w:rsid w:val="006062D3"/>
    <w:rsid w:val="00615445"/>
    <w:rsid w:val="006165B4"/>
    <w:rsid w:val="00616F83"/>
    <w:rsid w:val="00617AE4"/>
    <w:rsid w:val="00622251"/>
    <w:rsid w:val="0062313A"/>
    <w:rsid w:val="00624224"/>
    <w:rsid w:val="006243F4"/>
    <w:rsid w:val="00624F83"/>
    <w:rsid w:val="006257E0"/>
    <w:rsid w:val="0062606F"/>
    <w:rsid w:val="00627E80"/>
    <w:rsid w:val="00630538"/>
    <w:rsid w:val="00633000"/>
    <w:rsid w:val="00634469"/>
    <w:rsid w:val="006344FD"/>
    <w:rsid w:val="006362E2"/>
    <w:rsid w:val="00644203"/>
    <w:rsid w:val="00644F61"/>
    <w:rsid w:val="00645A81"/>
    <w:rsid w:val="00650183"/>
    <w:rsid w:val="0065425C"/>
    <w:rsid w:val="006575C9"/>
    <w:rsid w:val="00657C82"/>
    <w:rsid w:val="0066198E"/>
    <w:rsid w:val="00662796"/>
    <w:rsid w:val="00662FF5"/>
    <w:rsid w:val="00663C87"/>
    <w:rsid w:val="00664033"/>
    <w:rsid w:val="00664870"/>
    <w:rsid w:val="0066585F"/>
    <w:rsid w:val="00667663"/>
    <w:rsid w:val="00675A3F"/>
    <w:rsid w:val="00677633"/>
    <w:rsid w:val="0068024B"/>
    <w:rsid w:val="00680623"/>
    <w:rsid w:val="00681AEA"/>
    <w:rsid w:val="006839D7"/>
    <w:rsid w:val="00683E64"/>
    <w:rsid w:val="0068539B"/>
    <w:rsid w:val="006864E7"/>
    <w:rsid w:val="00695AE0"/>
    <w:rsid w:val="006A351C"/>
    <w:rsid w:val="006A42EE"/>
    <w:rsid w:val="006A6785"/>
    <w:rsid w:val="006B1326"/>
    <w:rsid w:val="006B4243"/>
    <w:rsid w:val="006B6817"/>
    <w:rsid w:val="006B7C72"/>
    <w:rsid w:val="006C1461"/>
    <w:rsid w:val="006C46FF"/>
    <w:rsid w:val="006C47A5"/>
    <w:rsid w:val="006C6B13"/>
    <w:rsid w:val="006D079F"/>
    <w:rsid w:val="006D0D2A"/>
    <w:rsid w:val="006E0C4F"/>
    <w:rsid w:val="006E1708"/>
    <w:rsid w:val="006E6817"/>
    <w:rsid w:val="006F14FA"/>
    <w:rsid w:val="006F20B1"/>
    <w:rsid w:val="006F3D48"/>
    <w:rsid w:val="006F43E3"/>
    <w:rsid w:val="006F63B2"/>
    <w:rsid w:val="006F75AF"/>
    <w:rsid w:val="0070096F"/>
    <w:rsid w:val="00701C77"/>
    <w:rsid w:val="00704A96"/>
    <w:rsid w:val="00710606"/>
    <w:rsid w:val="00711538"/>
    <w:rsid w:val="00713692"/>
    <w:rsid w:val="00715746"/>
    <w:rsid w:val="00722983"/>
    <w:rsid w:val="00723271"/>
    <w:rsid w:val="00723387"/>
    <w:rsid w:val="0072363B"/>
    <w:rsid w:val="00730AEA"/>
    <w:rsid w:val="00734C81"/>
    <w:rsid w:val="00737E3E"/>
    <w:rsid w:val="0074076F"/>
    <w:rsid w:val="00746BF8"/>
    <w:rsid w:val="00751190"/>
    <w:rsid w:val="007549E1"/>
    <w:rsid w:val="0075704F"/>
    <w:rsid w:val="00763907"/>
    <w:rsid w:val="0076578F"/>
    <w:rsid w:val="00766219"/>
    <w:rsid w:val="007662DA"/>
    <w:rsid w:val="00767288"/>
    <w:rsid w:val="00767B38"/>
    <w:rsid w:val="00767D2C"/>
    <w:rsid w:val="007742B9"/>
    <w:rsid w:val="00775AA0"/>
    <w:rsid w:val="00777E82"/>
    <w:rsid w:val="00785D93"/>
    <w:rsid w:val="00786F42"/>
    <w:rsid w:val="00792331"/>
    <w:rsid w:val="0079342A"/>
    <w:rsid w:val="00793C52"/>
    <w:rsid w:val="00793F22"/>
    <w:rsid w:val="0079483C"/>
    <w:rsid w:val="0079598D"/>
    <w:rsid w:val="00795FBC"/>
    <w:rsid w:val="007967D1"/>
    <w:rsid w:val="00796BEA"/>
    <w:rsid w:val="007A1C1C"/>
    <w:rsid w:val="007A66B5"/>
    <w:rsid w:val="007A68F6"/>
    <w:rsid w:val="007B7E2A"/>
    <w:rsid w:val="007C28E9"/>
    <w:rsid w:val="007C418C"/>
    <w:rsid w:val="007C77E8"/>
    <w:rsid w:val="007D1D18"/>
    <w:rsid w:val="007D243D"/>
    <w:rsid w:val="007D422C"/>
    <w:rsid w:val="007D4502"/>
    <w:rsid w:val="007D78C9"/>
    <w:rsid w:val="007E262E"/>
    <w:rsid w:val="007F00EE"/>
    <w:rsid w:val="007F4FBC"/>
    <w:rsid w:val="0080086C"/>
    <w:rsid w:val="00802906"/>
    <w:rsid w:val="00803F04"/>
    <w:rsid w:val="00806061"/>
    <w:rsid w:val="00811DD9"/>
    <w:rsid w:val="00813445"/>
    <w:rsid w:val="008172F3"/>
    <w:rsid w:val="008227B5"/>
    <w:rsid w:val="00835194"/>
    <w:rsid w:val="008441C1"/>
    <w:rsid w:val="00845033"/>
    <w:rsid w:val="00846BE1"/>
    <w:rsid w:val="00850787"/>
    <w:rsid w:val="00850B6B"/>
    <w:rsid w:val="00852EFF"/>
    <w:rsid w:val="00855C37"/>
    <w:rsid w:val="0085787A"/>
    <w:rsid w:val="008603D6"/>
    <w:rsid w:val="00861264"/>
    <w:rsid w:val="0086412A"/>
    <w:rsid w:val="00867BB1"/>
    <w:rsid w:val="008700B2"/>
    <w:rsid w:val="00870885"/>
    <w:rsid w:val="00870F11"/>
    <w:rsid w:val="008718DE"/>
    <w:rsid w:val="008821AF"/>
    <w:rsid w:val="00887393"/>
    <w:rsid w:val="00887D0C"/>
    <w:rsid w:val="008944A8"/>
    <w:rsid w:val="00894FC9"/>
    <w:rsid w:val="00895A74"/>
    <w:rsid w:val="00897AEF"/>
    <w:rsid w:val="00897C3C"/>
    <w:rsid w:val="008A2C1F"/>
    <w:rsid w:val="008A3947"/>
    <w:rsid w:val="008A3E73"/>
    <w:rsid w:val="008A7414"/>
    <w:rsid w:val="008B10DC"/>
    <w:rsid w:val="008B61E4"/>
    <w:rsid w:val="008B6386"/>
    <w:rsid w:val="008B7440"/>
    <w:rsid w:val="008C1EAB"/>
    <w:rsid w:val="008C25BB"/>
    <w:rsid w:val="008C37EF"/>
    <w:rsid w:val="008C4101"/>
    <w:rsid w:val="008D4FE7"/>
    <w:rsid w:val="008E021A"/>
    <w:rsid w:val="008E3674"/>
    <w:rsid w:val="008E6DD3"/>
    <w:rsid w:val="008F0EB0"/>
    <w:rsid w:val="008F12DE"/>
    <w:rsid w:val="00903C50"/>
    <w:rsid w:val="00904C0B"/>
    <w:rsid w:val="00906EEA"/>
    <w:rsid w:val="00913690"/>
    <w:rsid w:val="00916B92"/>
    <w:rsid w:val="00920D5B"/>
    <w:rsid w:val="00923F93"/>
    <w:rsid w:val="00924B70"/>
    <w:rsid w:val="00924C1F"/>
    <w:rsid w:val="00934B08"/>
    <w:rsid w:val="00937056"/>
    <w:rsid w:val="0093740A"/>
    <w:rsid w:val="009403BB"/>
    <w:rsid w:val="00943764"/>
    <w:rsid w:val="00946271"/>
    <w:rsid w:val="00951B2F"/>
    <w:rsid w:val="00951C74"/>
    <w:rsid w:val="009571CF"/>
    <w:rsid w:val="00963DAB"/>
    <w:rsid w:val="0096439C"/>
    <w:rsid w:val="00964FC6"/>
    <w:rsid w:val="00966CAE"/>
    <w:rsid w:val="009673C3"/>
    <w:rsid w:val="00971262"/>
    <w:rsid w:val="00972DB8"/>
    <w:rsid w:val="0097688B"/>
    <w:rsid w:val="00976A48"/>
    <w:rsid w:val="00977A26"/>
    <w:rsid w:val="00977FEC"/>
    <w:rsid w:val="00980300"/>
    <w:rsid w:val="009831FF"/>
    <w:rsid w:val="0098644A"/>
    <w:rsid w:val="00987F99"/>
    <w:rsid w:val="009904D2"/>
    <w:rsid w:val="009908C1"/>
    <w:rsid w:val="00995EC6"/>
    <w:rsid w:val="009A2C41"/>
    <w:rsid w:val="009A3B70"/>
    <w:rsid w:val="009B1561"/>
    <w:rsid w:val="009B22CA"/>
    <w:rsid w:val="009B4B2E"/>
    <w:rsid w:val="009B5AB5"/>
    <w:rsid w:val="009C20E7"/>
    <w:rsid w:val="009C3BAD"/>
    <w:rsid w:val="009C3C35"/>
    <w:rsid w:val="009C3E08"/>
    <w:rsid w:val="009D085B"/>
    <w:rsid w:val="009D1C3F"/>
    <w:rsid w:val="009D2DE7"/>
    <w:rsid w:val="009D3FB4"/>
    <w:rsid w:val="009D65A5"/>
    <w:rsid w:val="009D70F9"/>
    <w:rsid w:val="009E0216"/>
    <w:rsid w:val="009E5CC0"/>
    <w:rsid w:val="009F0BE2"/>
    <w:rsid w:val="009F46B9"/>
    <w:rsid w:val="009F5B9C"/>
    <w:rsid w:val="00A004FB"/>
    <w:rsid w:val="00A00574"/>
    <w:rsid w:val="00A005C0"/>
    <w:rsid w:val="00A00831"/>
    <w:rsid w:val="00A02671"/>
    <w:rsid w:val="00A03143"/>
    <w:rsid w:val="00A03833"/>
    <w:rsid w:val="00A0668A"/>
    <w:rsid w:val="00A0761F"/>
    <w:rsid w:val="00A07FC8"/>
    <w:rsid w:val="00A1088E"/>
    <w:rsid w:val="00A10DC8"/>
    <w:rsid w:val="00A11799"/>
    <w:rsid w:val="00A12727"/>
    <w:rsid w:val="00A1553F"/>
    <w:rsid w:val="00A16DF9"/>
    <w:rsid w:val="00A17A32"/>
    <w:rsid w:val="00A20530"/>
    <w:rsid w:val="00A210CC"/>
    <w:rsid w:val="00A21436"/>
    <w:rsid w:val="00A2191E"/>
    <w:rsid w:val="00A235C1"/>
    <w:rsid w:val="00A25F66"/>
    <w:rsid w:val="00A27AF2"/>
    <w:rsid w:val="00A3041B"/>
    <w:rsid w:val="00A30479"/>
    <w:rsid w:val="00A30D3A"/>
    <w:rsid w:val="00A30FB4"/>
    <w:rsid w:val="00A339BD"/>
    <w:rsid w:val="00A33C17"/>
    <w:rsid w:val="00A349CE"/>
    <w:rsid w:val="00A37CB5"/>
    <w:rsid w:val="00A4226A"/>
    <w:rsid w:val="00A50C8B"/>
    <w:rsid w:val="00A50CE7"/>
    <w:rsid w:val="00A55C2C"/>
    <w:rsid w:val="00A57BEB"/>
    <w:rsid w:val="00A62015"/>
    <w:rsid w:val="00A751AE"/>
    <w:rsid w:val="00A80535"/>
    <w:rsid w:val="00A847B8"/>
    <w:rsid w:val="00A86514"/>
    <w:rsid w:val="00A87A3A"/>
    <w:rsid w:val="00A91A15"/>
    <w:rsid w:val="00A95769"/>
    <w:rsid w:val="00A96A1F"/>
    <w:rsid w:val="00AA11F8"/>
    <w:rsid w:val="00AA384A"/>
    <w:rsid w:val="00AA3A1E"/>
    <w:rsid w:val="00AA3CE0"/>
    <w:rsid w:val="00AA4E1F"/>
    <w:rsid w:val="00AA5E1C"/>
    <w:rsid w:val="00AB05BE"/>
    <w:rsid w:val="00AB0BB3"/>
    <w:rsid w:val="00AB14BA"/>
    <w:rsid w:val="00AB3E2F"/>
    <w:rsid w:val="00AB472F"/>
    <w:rsid w:val="00AB4F38"/>
    <w:rsid w:val="00AB56C6"/>
    <w:rsid w:val="00AB57F3"/>
    <w:rsid w:val="00AC4C9E"/>
    <w:rsid w:val="00AC618A"/>
    <w:rsid w:val="00AC730D"/>
    <w:rsid w:val="00AC75DB"/>
    <w:rsid w:val="00AC7D60"/>
    <w:rsid w:val="00AC7E1F"/>
    <w:rsid w:val="00AD06FC"/>
    <w:rsid w:val="00AD16CF"/>
    <w:rsid w:val="00AD2445"/>
    <w:rsid w:val="00AD3DE8"/>
    <w:rsid w:val="00AD78E8"/>
    <w:rsid w:val="00AE0A6E"/>
    <w:rsid w:val="00AE6BB9"/>
    <w:rsid w:val="00AF0F88"/>
    <w:rsid w:val="00AF1DE3"/>
    <w:rsid w:val="00AF201D"/>
    <w:rsid w:val="00AF5DCC"/>
    <w:rsid w:val="00AF61D5"/>
    <w:rsid w:val="00B0050E"/>
    <w:rsid w:val="00B006D2"/>
    <w:rsid w:val="00B011C1"/>
    <w:rsid w:val="00B03397"/>
    <w:rsid w:val="00B04358"/>
    <w:rsid w:val="00B05021"/>
    <w:rsid w:val="00B05824"/>
    <w:rsid w:val="00B07601"/>
    <w:rsid w:val="00B120E4"/>
    <w:rsid w:val="00B13B5D"/>
    <w:rsid w:val="00B15B25"/>
    <w:rsid w:val="00B16ADB"/>
    <w:rsid w:val="00B16D01"/>
    <w:rsid w:val="00B17F0A"/>
    <w:rsid w:val="00B213AE"/>
    <w:rsid w:val="00B21D93"/>
    <w:rsid w:val="00B222DB"/>
    <w:rsid w:val="00B26C64"/>
    <w:rsid w:val="00B26E36"/>
    <w:rsid w:val="00B30030"/>
    <w:rsid w:val="00B3370D"/>
    <w:rsid w:val="00B347A6"/>
    <w:rsid w:val="00B35468"/>
    <w:rsid w:val="00B4215A"/>
    <w:rsid w:val="00B42764"/>
    <w:rsid w:val="00B47898"/>
    <w:rsid w:val="00B5276D"/>
    <w:rsid w:val="00B54D3B"/>
    <w:rsid w:val="00B56BD0"/>
    <w:rsid w:val="00B608EA"/>
    <w:rsid w:val="00B64213"/>
    <w:rsid w:val="00B65751"/>
    <w:rsid w:val="00B67FB5"/>
    <w:rsid w:val="00B7324C"/>
    <w:rsid w:val="00B736DE"/>
    <w:rsid w:val="00B743B8"/>
    <w:rsid w:val="00B76071"/>
    <w:rsid w:val="00B768EB"/>
    <w:rsid w:val="00B77079"/>
    <w:rsid w:val="00B80E99"/>
    <w:rsid w:val="00B81671"/>
    <w:rsid w:val="00B87D94"/>
    <w:rsid w:val="00B92A91"/>
    <w:rsid w:val="00B93D2C"/>
    <w:rsid w:val="00B96B51"/>
    <w:rsid w:val="00B9793B"/>
    <w:rsid w:val="00B97E85"/>
    <w:rsid w:val="00BA4A5B"/>
    <w:rsid w:val="00BA4D1F"/>
    <w:rsid w:val="00BB0CC4"/>
    <w:rsid w:val="00BB3D23"/>
    <w:rsid w:val="00BB7090"/>
    <w:rsid w:val="00BC2BEF"/>
    <w:rsid w:val="00BC5C11"/>
    <w:rsid w:val="00BC6383"/>
    <w:rsid w:val="00BC63CF"/>
    <w:rsid w:val="00BC652F"/>
    <w:rsid w:val="00BC6BF9"/>
    <w:rsid w:val="00BD3934"/>
    <w:rsid w:val="00BD6689"/>
    <w:rsid w:val="00BD7248"/>
    <w:rsid w:val="00BE4738"/>
    <w:rsid w:val="00BF1FF9"/>
    <w:rsid w:val="00BF2422"/>
    <w:rsid w:val="00C02122"/>
    <w:rsid w:val="00C03FB0"/>
    <w:rsid w:val="00C04858"/>
    <w:rsid w:val="00C04CB6"/>
    <w:rsid w:val="00C05062"/>
    <w:rsid w:val="00C053B2"/>
    <w:rsid w:val="00C055AE"/>
    <w:rsid w:val="00C1024F"/>
    <w:rsid w:val="00C11E9F"/>
    <w:rsid w:val="00C16B4C"/>
    <w:rsid w:val="00C177D7"/>
    <w:rsid w:val="00C23657"/>
    <w:rsid w:val="00C25DFD"/>
    <w:rsid w:val="00C26BFC"/>
    <w:rsid w:val="00C333F6"/>
    <w:rsid w:val="00C34C3A"/>
    <w:rsid w:val="00C36131"/>
    <w:rsid w:val="00C40A5F"/>
    <w:rsid w:val="00C41C4F"/>
    <w:rsid w:val="00C4225A"/>
    <w:rsid w:val="00C43201"/>
    <w:rsid w:val="00C5515B"/>
    <w:rsid w:val="00C56D9B"/>
    <w:rsid w:val="00C608C5"/>
    <w:rsid w:val="00C6196F"/>
    <w:rsid w:val="00C6391A"/>
    <w:rsid w:val="00C70903"/>
    <w:rsid w:val="00C71669"/>
    <w:rsid w:val="00C71685"/>
    <w:rsid w:val="00C718DB"/>
    <w:rsid w:val="00C7312E"/>
    <w:rsid w:val="00C749ED"/>
    <w:rsid w:val="00C81DB9"/>
    <w:rsid w:val="00C87A7A"/>
    <w:rsid w:val="00C90A02"/>
    <w:rsid w:val="00C93E8A"/>
    <w:rsid w:val="00C94ACC"/>
    <w:rsid w:val="00C95F26"/>
    <w:rsid w:val="00C96037"/>
    <w:rsid w:val="00CA0BEE"/>
    <w:rsid w:val="00CA2A1A"/>
    <w:rsid w:val="00CA30F2"/>
    <w:rsid w:val="00CA35A0"/>
    <w:rsid w:val="00CA4B5F"/>
    <w:rsid w:val="00CA6651"/>
    <w:rsid w:val="00CA75DE"/>
    <w:rsid w:val="00CB1158"/>
    <w:rsid w:val="00CB1FD8"/>
    <w:rsid w:val="00CB6938"/>
    <w:rsid w:val="00CB7ADD"/>
    <w:rsid w:val="00CC0AAE"/>
    <w:rsid w:val="00CC60DE"/>
    <w:rsid w:val="00CD0C6C"/>
    <w:rsid w:val="00CD14A8"/>
    <w:rsid w:val="00CD417C"/>
    <w:rsid w:val="00CD6990"/>
    <w:rsid w:val="00CD7727"/>
    <w:rsid w:val="00CD7E2D"/>
    <w:rsid w:val="00CE2E7C"/>
    <w:rsid w:val="00CE31B1"/>
    <w:rsid w:val="00CE3AEA"/>
    <w:rsid w:val="00CF2763"/>
    <w:rsid w:val="00CF6745"/>
    <w:rsid w:val="00CF757F"/>
    <w:rsid w:val="00D00F9B"/>
    <w:rsid w:val="00D02635"/>
    <w:rsid w:val="00D0626A"/>
    <w:rsid w:val="00D114E1"/>
    <w:rsid w:val="00D16D0F"/>
    <w:rsid w:val="00D209C6"/>
    <w:rsid w:val="00D20CA0"/>
    <w:rsid w:val="00D24C05"/>
    <w:rsid w:val="00D2629B"/>
    <w:rsid w:val="00D32171"/>
    <w:rsid w:val="00D34A1A"/>
    <w:rsid w:val="00D354CF"/>
    <w:rsid w:val="00D35CDE"/>
    <w:rsid w:val="00D40A79"/>
    <w:rsid w:val="00D40C4A"/>
    <w:rsid w:val="00D41260"/>
    <w:rsid w:val="00D41A3A"/>
    <w:rsid w:val="00D469F2"/>
    <w:rsid w:val="00D51484"/>
    <w:rsid w:val="00D53188"/>
    <w:rsid w:val="00D536C0"/>
    <w:rsid w:val="00D5386B"/>
    <w:rsid w:val="00D54109"/>
    <w:rsid w:val="00D5482D"/>
    <w:rsid w:val="00D563DD"/>
    <w:rsid w:val="00D603C1"/>
    <w:rsid w:val="00D6075A"/>
    <w:rsid w:val="00D62AE4"/>
    <w:rsid w:val="00D67C1F"/>
    <w:rsid w:val="00D704EC"/>
    <w:rsid w:val="00D739DF"/>
    <w:rsid w:val="00D75B14"/>
    <w:rsid w:val="00D773D0"/>
    <w:rsid w:val="00D813CF"/>
    <w:rsid w:val="00D86467"/>
    <w:rsid w:val="00D86711"/>
    <w:rsid w:val="00D91B93"/>
    <w:rsid w:val="00D94E99"/>
    <w:rsid w:val="00D96C7D"/>
    <w:rsid w:val="00D96F1C"/>
    <w:rsid w:val="00DA05BD"/>
    <w:rsid w:val="00DA50ED"/>
    <w:rsid w:val="00DB28C9"/>
    <w:rsid w:val="00DC0DC2"/>
    <w:rsid w:val="00DC4512"/>
    <w:rsid w:val="00DC522E"/>
    <w:rsid w:val="00DC570D"/>
    <w:rsid w:val="00DC6AEB"/>
    <w:rsid w:val="00DC7C9D"/>
    <w:rsid w:val="00DD2747"/>
    <w:rsid w:val="00DD3197"/>
    <w:rsid w:val="00DD59D6"/>
    <w:rsid w:val="00DD5D86"/>
    <w:rsid w:val="00DE07DD"/>
    <w:rsid w:val="00DE50F6"/>
    <w:rsid w:val="00DE740D"/>
    <w:rsid w:val="00DF2148"/>
    <w:rsid w:val="00DF2B1E"/>
    <w:rsid w:val="00DF5049"/>
    <w:rsid w:val="00E01BC1"/>
    <w:rsid w:val="00E01CA3"/>
    <w:rsid w:val="00E0563D"/>
    <w:rsid w:val="00E07C92"/>
    <w:rsid w:val="00E106A0"/>
    <w:rsid w:val="00E110BE"/>
    <w:rsid w:val="00E1217B"/>
    <w:rsid w:val="00E128DA"/>
    <w:rsid w:val="00E14379"/>
    <w:rsid w:val="00E145F1"/>
    <w:rsid w:val="00E14B01"/>
    <w:rsid w:val="00E204B9"/>
    <w:rsid w:val="00E2152E"/>
    <w:rsid w:val="00E21948"/>
    <w:rsid w:val="00E24AB6"/>
    <w:rsid w:val="00E32C1F"/>
    <w:rsid w:val="00E32F93"/>
    <w:rsid w:val="00E34604"/>
    <w:rsid w:val="00E3585B"/>
    <w:rsid w:val="00E369AA"/>
    <w:rsid w:val="00E44D2E"/>
    <w:rsid w:val="00E517BF"/>
    <w:rsid w:val="00E56454"/>
    <w:rsid w:val="00E618DC"/>
    <w:rsid w:val="00E626F6"/>
    <w:rsid w:val="00E63036"/>
    <w:rsid w:val="00E64BD1"/>
    <w:rsid w:val="00E64D23"/>
    <w:rsid w:val="00E65BD6"/>
    <w:rsid w:val="00E668E7"/>
    <w:rsid w:val="00E700F3"/>
    <w:rsid w:val="00E730E6"/>
    <w:rsid w:val="00E73BA7"/>
    <w:rsid w:val="00E752DA"/>
    <w:rsid w:val="00E75342"/>
    <w:rsid w:val="00E80E96"/>
    <w:rsid w:val="00E84405"/>
    <w:rsid w:val="00E847E3"/>
    <w:rsid w:val="00E85613"/>
    <w:rsid w:val="00E85892"/>
    <w:rsid w:val="00E90C2F"/>
    <w:rsid w:val="00E91A3C"/>
    <w:rsid w:val="00E92428"/>
    <w:rsid w:val="00EA0064"/>
    <w:rsid w:val="00EA2D67"/>
    <w:rsid w:val="00EA682D"/>
    <w:rsid w:val="00EB53B9"/>
    <w:rsid w:val="00EC1C6A"/>
    <w:rsid w:val="00EC2B9B"/>
    <w:rsid w:val="00EC36F9"/>
    <w:rsid w:val="00EC7A4B"/>
    <w:rsid w:val="00ED2A26"/>
    <w:rsid w:val="00ED4F7F"/>
    <w:rsid w:val="00ED5E87"/>
    <w:rsid w:val="00ED6E57"/>
    <w:rsid w:val="00EE285B"/>
    <w:rsid w:val="00EE47E2"/>
    <w:rsid w:val="00EE66F8"/>
    <w:rsid w:val="00EF384A"/>
    <w:rsid w:val="00EF4F93"/>
    <w:rsid w:val="00EF5A24"/>
    <w:rsid w:val="00F0020B"/>
    <w:rsid w:val="00F0485B"/>
    <w:rsid w:val="00F048D2"/>
    <w:rsid w:val="00F05D6B"/>
    <w:rsid w:val="00F06F52"/>
    <w:rsid w:val="00F11439"/>
    <w:rsid w:val="00F13033"/>
    <w:rsid w:val="00F13757"/>
    <w:rsid w:val="00F155F0"/>
    <w:rsid w:val="00F207AC"/>
    <w:rsid w:val="00F22C8B"/>
    <w:rsid w:val="00F24451"/>
    <w:rsid w:val="00F24D17"/>
    <w:rsid w:val="00F25B38"/>
    <w:rsid w:val="00F330B1"/>
    <w:rsid w:val="00F33A79"/>
    <w:rsid w:val="00F33C04"/>
    <w:rsid w:val="00F33D02"/>
    <w:rsid w:val="00F34569"/>
    <w:rsid w:val="00F354C7"/>
    <w:rsid w:val="00F35C72"/>
    <w:rsid w:val="00F363BE"/>
    <w:rsid w:val="00F36847"/>
    <w:rsid w:val="00F40DA5"/>
    <w:rsid w:val="00F42B98"/>
    <w:rsid w:val="00F44044"/>
    <w:rsid w:val="00F46112"/>
    <w:rsid w:val="00F4730C"/>
    <w:rsid w:val="00F476CA"/>
    <w:rsid w:val="00F50CEC"/>
    <w:rsid w:val="00F5276D"/>
    <w:rsid w:val="00F56B55"/>
    <w:rsid w:val="00F56DFF"/>
    <w:rsid w:val="00F608A4"/>
    <w:rsid w:val="00F618D1"/>
    <w:rsid w:val="00F62D75"/>
    <w:rsid w:val="00F66029"/>
    <w:rsid w:val="00F71F1B"/>
    <w:rsid w:val="00F74CC4"/>
    <w:rsid w:val="00F76A94"/>
    <w:rsid w:val="00F772B8"/>
    <w:rsid w:val="00F80F85"/>
    <w:rsid w:val="00F8125F"/>
    <w:rsid w:val="00F8565C"/>
    <w:rsid w:val="00F87D49"/>
    <w:rsid w:val="00F930E0"/>
    <w:rsid w:val="00F93416"/>
    <w:rsid w:val="00F93FFB"/>
    <w:rsid w:val="00FB168B"/>
    <w:rsid w:val="00FB544A"/>
    <w:rsid w:val="00FC09B8"/>
    <w:rsid w:val="00FC1619"/>
    <w:rsid w:val="00FC1C37"/>
    <w:rsid w:val="00FC2F31"/>
    <w:rsid w:val="00FC3D6C"/>
    <w:rsid w:val="00FD1332"/>
    <w:rsid w:val="00FD2BBE"/>
    <w:rsid w:val="00FD335D"/>
    <w:rsid w:val="00FD5BAA"/>
    <w:rsid w:val="00FD7764"/>
    <w:rsid w:val="00FE28C5"/>
    <w:rsid w:val="00FF342E"/>
    <w:rsid w:val="00FF5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C1"/>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821AF"/>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8821A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 w:type="character" w:customStyle="1" w:styleId="ListParagraphChar">
    <w:name w:val="List Paragraph Char"/>
    <w:link w:val="ListParagraph"/>
    <w:uiPriority w:val="34"/>
    <w:locked/>
    <w:rsid w:val="0035644F"/>
    <w:rPr>
      <w:rFonts w:ascii="Times New Roman" w:eastAsia="Times New Roman" w:hAnsi="Times New Roman" w:cs="Times New Roman"/>
      <w:sz w:val="24"/>
      <w:szCs w:val="24"/>
      <w:lang w:eastAsia="lv-LV"/>
    </w:rPr>
  </w:style>
  <w:style w:type="character" w:styleId="Strong">
    <w:name w:val="Strong"/>
    <w:uiPriority w:val="22"/>
    <w:qFormat/>
    <w:rsid w:val="0035644F"/>
    <w:rPr>
      <w:b/>
      <w:bCs/>
    </w:rPr>
  </w:style>
  <w:style w:type="paragraph" w:customStyle="1" w:styleId="EntRefer">
    <w:name w:val="EntRefer"/>
    <w:basedOn w:val="Normal"/>
    <w:rsid w:val="0035644F"/>
    <w:rPr>
      <w:b/>
      <w:szCs w:val="20"/>
      <w:lang w:eastAsia="fr-BE"/>
    </w:rPr>
  </w:style>
  <w:style w:type="paragraph" w:customStyle="1" w:styleId="PointManual2">
    <w:name w:val="Point Manual (2)"/>
    <w:basedOn w:val="Normal"/>
    <w:rsid w:val="00AB14BA"/>
    <w:pPr>
      <w:ind w:left="1701" w:hanging="567"/>
      <w:outlineLvl w:val="1"/>
    </w:pPr>
    <w:rPr>
      <w:lang w:bidi="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C1"/>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link w:val="ListParagraphChar"/>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aliases w:val="Footnote,Fußnote,Footnote Text Char1,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8821AF"/>
    <w:rPr>
      <w:sz w:val="20"/>
      <w:szCs w:val="20"/>
    </w:rPr>
  </w:style>
  <w:style w:type="character" w:customStyle="1" w:styleId="FootnoteTextChar">
    <w:name w:val="Footnote Text Char"/>
    <w:aliases w:val="Footnote Char,Fußnote Char,Footnote Text Char1 Char,Vēres teksts Char Char Char Char Char Char Char Char Char Char Char Char1 Char,Char Char Char Char Char Char Char Char Char Char Char Char Char Char Char Char Char Char Char1 Char"/>
    <w:basedOn w:val="DefaultParagraphFont"/>
    <w:link w:val="FootnoteText"/>
    <w:uiPriority w:val="99"/>
    <w:rsid w:val="008821A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basedOn w:val="DefaultParagraphFont"/>
    <w:uiPriority w:val="99"/>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 w:type="paragraph" w:customStyle="1" w:styleId="naiskr">
    <w:name w:val="naiskr"/>
    <w:basedOn w:val="Normal"/>
    <w:rsid w:val="00BD6689"/>
    <w:pPr>
      <w:spacing w:before="100" w:beforeAutospacing="1" w:after="100" w:afterAutospacing="1"/>
    </w:pPr>
    <w:rPr>
      <w:lang w:eastAsia="en-US"/>
    </w:rPr>
  </w:style>
  <w:style w:type="paragraph" w:styleId="BodyText">
    <w:name w:val="Body Text"/>
    <w:basedOn w:val="Normal"/>
    <w:link w:val="BodyTextChar"/>
    <w:rsid w:val="00A00574"/>
    <w:pPr>
      <w:spacing w:after="120"/>
    </w:pPr>
  </w:style>
  <w:style w:type="character" w:customStyle="1" w:styleId="BodyTextChar">
    <w:name w:val="Body Text Char"/>
    <w:basedOn w:val="DefaultParagraphFont"/>
    <w:link w:val="BodyText"/>
    <w:rsid w:val="00A0057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16DF9"/>
    <w:rPr>
      <w:sz w:val="16"/>
      <w:szCs w:val="16"/>
    </w:rPr>
  </w:style>
  <w:style w:type="paragraph" w:styleId="CommentSubject">
    <w:name w:val="annotation subject"/>
    <w:basedOn w:val="CommentText"/>
    <w:next w:val="CommentText"/>
    <w:link w:val="CommentSubjectChar"/>
    <w:uiPriority w:val="99"/>
    <w:semiHidden/>
    <w:unhideWhenUsed/>
    <w:rsid w:val="00A16DF9"/>
    <w:rPr>
      <w:b/>
      <w:bCs/>
      <w:lang w:val="lv-LV" w:eastAsia="lv-LV"/>
    </w:rPr>
  </w:style>
  <w:style w:type="character" w:customStyle="1" w:styleId="CommentSubjectChar">
    <w:name w:val="Comment Subject Char"/>
    <w:basedOn w:val="CommentTextChar"/>
    <w:link w:val="CommentSubject"/>
    <w:uiPriority w:val="99"/>
    <w:semiHidden/>
    <w:rsid w:val="00A16DF9"/>
    <w:rPr>
      <w:rFonts w:ascii="Times New Roman" w:eastAsia="Times New Roman" w:hAnsi="Times New Roman" w:cs="Times New Roman"/>
      <w:b/>
      <w:bCs/>
      <w:sz w:val="20"/>
      <w:szCs w:val="20"/>
      <w:lang w:val="en-GB" w:eastAsia="lv-LV"/>
    </w:rPr>
  </w:style>
  <w:style w:type="character" w:customStyle="1" w:styleId="ListParagraphChar">
    <w:name w:val="List Paragraph Char"/>
    <w:link w:val="ListParagraph"/>
    <w:uiPriority w:val="34"/>
    <w:locked/>
    <w:rsid w:val="0035644F"/>
    <w:rPr>
      <w:rFonts w:ascii="Times New Roman" w:eastAsia="Times New Roman" w:hAnsi="Times New Roman" w:cs="Times New Roman"/>
      <w:sz w:val="24"/>
      <w:szCs w:val="24"/>
      <w:lang w:eastAsia="lv-LV"/>
    </w:rPr>
  </w:style>
  <w:style w:type="character" w:styleId="Strong">
    <w:name w:val="Strong"/>
    <w:uiPriority w:val="22"/>
    <w:qFormat/>
    <w:rsid w:val="0035644F"/>
    <w:rPr>
      <w:b/>
      <w:bCs/>
    </w:rPr>
  </w:style>
  <w:style w:type="paragraph" w:customStyle="1" w:styleId="EntRefer">
    <w:name w:val="EntRefer"/>
    <w:basedOn w:val="Normal"/>
    <w:rsid w:val="0035644F"/>
    <w:rPr>
      <w:b/>
      <w:szCs w:val="20"/>
      <w:lang w:eastAsia="fr-BE"/>
    </w:rPr>
  </w:style>
  <w:style w:type="paragraph" w:customStyle="1" w:styleId="PointManual2">
    <w:name w:val="Point Manual (2)"/>
    <w:basedOn w:val="Normal"/>
    <w:rsid w:val="00AB14BA"/>
    <w:pPr>
      <w:ind w:left="1701" w:hanging="567"/>
      <w:outlineLvl w:val="1"/>
    </w:pPr>
    <w:rPr>
      <w:lang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184294766">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1525018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555052301">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937063143">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381246733">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14091470">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6240810">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006515892">
      <w:bodyDiv w:val="1"/>
      <w:marLeft w:val="0"/>
      <w:marRight w:val="0"/>
      <w:marTop w:val="0"/>
      <w:marBottom w:val="0"/>
      <w:divBdr>
        <w:top w:val="none" w:sz="0" w:space="0" w:color="auto"/>
        <w:left w:val="none" w:sz="0" w:space="0" w:color="auto"/>
        <w:bottom w:val="none" w:sz="0" w:space="0" w:color="auto"/>
        <w:right w:val="none" w:sz="0" w:space="0" w:color="auto"/>
      </w:divBdr>
    </w:div>
    <w:div w:id="2084789003">
      <w:bodyDiv w:val="1"/>
      <w:marLeft w:val="0"/>
      <w:marRight w:val="0"/>
      <w:marTop w:val="0"/>
      <w:marBottom w:val="0"/>
      <w:divBdr>
        <w:top w:val="none" w:sz="0" w:space="0" w:color="auto"/>
        <w:left w:val="none" w:sz="0" w:space="0" w:color="auto"/>
        <w:bottom w:val="none" w:sz="0" w:space="0" w:color="auto"/>
        <w:right w:val="none" w:sz="0" w:space="0" w:color="auto"/>
      </w:divBdr>
      <w:divsChild>
        <w:div w:id="220292595">
          <w:marLeft w:val="284"/>
          <w:marRight w:val="0"/>
          <w:marTop w:val="0"/>
          <w:marBottom w:val="0"/>
          <w:divBdr>
            <w:top w:val="none" w:sz="0" w:space="0" w:color="auto"/>
            <w:left w:val="none" w:sz="0" w:space="0" w:color="auto"/>
            <w:bottom w:val="none" w:sz="0" w:space="0" w:color="auto"/>
            <w:right w:val="none" w:sz="0" w:space="0" w:color="auto"/>
          </w:divBdr>
        </w:div>
        <w:div w:id="946351809">
          <w:marLeft w:val="0"/>
          <w:marRight w:val="0"/>
          <w:marTop w:val="0"/>
          <w:marBottom w:val="0"/>
          <w:divBdr>
            <w:top w:val="none" w:sz="0" w:space="0" w:color="auto"/>
            <w:left w:val="none" w:sz="0" w:space="0" w:color="auto"/>
            <w:bottom w:val="none" w:sz="0" w:space="0" w:color="auto"/>
            <w:right w:val="none" w:sz="0" w:space="0" w:color="auto"/>
          </w:divBdr>
        </w:div>
        <w:div w:id="979305097">
          <w:marLeft w:val="284"/>
          <w:marRight w:val="0"/>
          <w:marTop w:val="0"/>
          <w:marBottom w:val="0"/>
          <w:divBdr>
            <w:top w:val="none" w:sz="0" w:space="0" w:color="auto"/>
            <w:left w:val="none" w:sz="0" w:space="0" w:color="auto"/>
            <w:bottom w:val="none" w:sz="0" w:space="0" w:color="auto"/>
            <w:right w:val="none" w:sz="0" w:space="0" w:color="auto"/>
          </w:divBdr>
        </w:div>
        <w:div w:id="1284380873">
          <w:marLeft w:val="709"/>
          <w:marRight w:val="0"/>
          <w:marTop w:val="0"/>
          <w:marBottom w:val="0"/>
          <w:divBdr>
            <w:top w:val="none" w:sz="0" w:space="0" w:color="auto"/>
            <w:left w:val="none" w:sz="0" w:space="0" w:color="auto"/>
            <w:bottom w:val="none" w:sz="0" w:space="0" w:color="auto"/>
            <w:right w:val="none" w:sz="0" w:space="0" w:color="auto"/>
          </w:divBdr>
        </w:div>
        <w:div w:id="1418794704">
          <w:marLeft w:val="709"/>
          <w:marRight w:val="0"/>
          <w:marTop w:val="0"/>
          <w:marBottom w:val="0"/>
          <w:divBdr>
            <w:top w:val="none" w:sz="0" w:space="0" w:color="auto"/>
            <w:left w:val="none" w:sz="0" w:space="0" w:color="auto"/>
            <w:bottom w:val="none" w:sz="0" w:space="0" w:color="auto"/>
            <w:right w:val="none" w:sz="0" w:space="0" w:color="auto"/>
          </w:divBdr>
        </w:div>
        <w:div w:id="785733723">
          <w:marLeft w:val="709"/>
          <w:marRight w:val="0"/>
          <w:marTop w:val="0"/>
          <w:marBottom w:val="0"/>
          <w:divBdr>
            <w:top w:val="none" w:sz="0" w:space="0" w:color="auto"/>
            <w:left w:val="none" w:sz="0" w:space="0" w:color="auto"/>
            <w:bottom w:val="none" w:sz="0" w:space="0" w:color="auto"/>
            <w:right w:val="none" w:sz="0" w:space="0" w:color="auto"/>
          </w:divBdr>
        </w:div>
        <w:div w:id="1153178262">
          <w:marLeft w:val="709"/>
          <w:marRight w:val="0"/>
          <w:marTop w:val="0"/>
          <w:marBottom w:val="0"/>
          <w:divBdr>
            <w:top w:val="none" w:sz="0" w:space="0" w:color="auto"/>
            <w:left w:val="none" w:sz="0" w:space="0" w:color="auto"/>
            <w:bottom w:val="none" w:sz="0" w:space="0" w:color="auto"/>
            <w:right w:val="none" w:sz="0" w:space="0" w:color="auto"/>
          </w:divBdr>
        </w:div>
      </w:divsChild>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EC7D-0F3A-4C49-A0D8-D5EC8E65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13</Pages>
  <Words>3409</Words>
  <Characters>24723</Characters>
  <Application>Microsoft Office Word</Application>
  <DocSecurity>0</DocSecurity>
  <Lines>526</Lines>
  <Paragraphs>161</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Zjurikova</dc:creator>
  <cp:lastModifiedBy>Kaspars Stabiņš</cp:lastModifiedBy>
  <cp:revision>82</cp:revision>
  <cp:lastPrinted>2014-05-19T06:30:00Z</cp:lastPrinted>
  <dcterms:created xsi:type="dcterms:W3CDTF">2014-05-14T06:09:00Z</dcterms:created>
  <dcterms:modified xsi:type="dcterms:W3CDTF">2014-05-19T06:49:00Z</dcterms:modified>
</cp:coreProperties>
</file>