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DEC" w:rsidRDefault="00FB5DEC" w:rsidP="009426E4">
      <w:pPr>
        <w:jc w:val="center"/>
        <w:rPr>
          <w:b/>
        </w:rPr>
      </w:pPr>
    </w:p>
    <w:p w:rsidR="00FB5DEC" w:rsidRDefault="00FB5DEC" w:rsidP="009426E4">
      <w:pPr>
        <w:jc w:val="center"/>
        <w:rPr>
          <w:b/>
        </w:rPr>
      </w:pPr>
    </w:p>
    <w:p w:rsidR="00FB5DEC" w:rsidRDefault="00FB5DEC" w:rsidP="009426E4">
      <w:pPr>
        <w:jc w:val="center"/>
        <w:rPr>
          <w:b/>
        </w:rPr>
      </w:pPr>
    </w:p>
    <w:p w:rsidR="00FB5DEC" w:rsidRDefault="00FB5DEC" w:rsidP="009426E4">
      <w:pPr>
        <w:jc w:val="center"/>
        <w:rPr>
          <w:b/>
        </w:rPr>
      </w:pPr>
    </w:p>
    <w:p w:rsidR="00FB5DEC" w:rsidRDefault="00FB5DEC" w:rsidP="009426E4">
      <w:pPr>
        <w:jc w:val="center"/>
        <w:rPr>
          <w:b/>
        </w:rPr>
      </w:pPr>
    </w:p>
    <w:p w:rsidR="002E487D" w:rsidRPr="00AB7B58" w:rsidRDefault="002E487D" w:rsidP="009426E4">
      <w:pPr>
        <w:jc w:val="center"/>
        <w:rPr>
          <w:b/>
        </w:rPr>
      </w:pPr>
      <w:r w:rsidRPr="00AB7B58">
        <w:rPr>
          <w:b/>
        </w:rPr>
        <w:br/>
      </w:r>
    </w:p>
    <w:p w:rsidR="002E487D" w:rsidRPr="00AB7B58" w:rsidRDefault="002E487D" w:rsidP="002E487D">
      <w:pPr>
        <w:jc w:val="center"/>
        <w:rPr>
          <w:b/>
          <w:sz w:val="44"/>
          <w:szCs w:val="40"/>
        </w:rPr>
      </w:pPr>
    </w:p>
    <w:p w:rsidR="002E487D" w:rsidRPr="00AB7B58" w:rsidRDefault="002E487D" w:rsidP="002E487D">
      <w:pPr>
        <w:jc w:val="center"/>
        <w:rPr>
          <w:b/>
          <w:sz w:val="44"/>
          <w:szCs w:val="40"/>
        </w:rPr>
      </w:pPr>
    </w:p>
    <w:p w:rsidR="002E487D" w:rsidRPr="00AB7B58" w:rsidRDefault="002E487D" w:rsidP="002E487D">
      <w:pPr>
        <w:jc w:val="center"/>
        <w:rPr>
          <w:b/>
          <w:sz w:val="44"/>
          <w:szCs w:val="40"/>
        </w:rPr>
      </w:pPr>
    </w:p>
    <w:p w:rsidR="002E487D" w:rsidRPr="00AB7B58" w:rsidRDefault="002E487D" w:rsidP="002E487D">
      <w:pPr>
        <w:jc w:val="center"/>
        <w:rPr>
          <w:b/>
          <w:sz w:val="44"/>
          <w:szCs w:val="40"/>
        </w:rPr>
      </w:pPr>
    </w:p>
    <w:p w:rsidR="002E487D" w:rsidRPr="00AB7B58" w:rsidRDefault="002E487D" w:rsidP="002E487D">
      <w:pPr>
        <w:jc w:val="center"/>
        <w:rPr>
          <w:sz w:val="44"/>
          <w:szCs w:val="40"/>
        </w:rPr>
      </w:pPr>
      <w:r w:rsidRPr="00AB7B58">
        <w:rPr>
          <w:b/>
          <w:sz w:val="44"/>
          <w:szCs w:val="40"/>
        </w:rPr>
        <w:t>Informatīvais ziņojums</w:t>
      </w:r>
    </w:p>
    <w:p w:rsidR="002E487D" w:rsidRPr="00AB7B58" w:rsidRDefault="00C71010" w:rsidP="002E487D">
      <w:pPr>
        <w:jc w:val="center"/>
        <w:rPr>
          <w:b/>
          <w:sz w:val="44"/>
          <w:szCs w:val="40"/>
        </w:rPr>
      </w:pPr>
      <w:r w:rsidRPr="00AB7B58">
        <w:rPr>
          <w:b/>
          <w:sz w:val="44"/>
          <w:szCs w:val="40"/>
        </w:rPr>
        <w:t>p</w:t>
      </w:r>
      <w:r w:rsidR="002E487D" w:rsidRPr="00AB7B58">
        <w:rPr>
          <w:b/>
          <w:sz w:val="44"/>
          <w:szCs w:val="40"/>
        </w:rPr>
        <w:t>ar pasākumiem Krievijas ekonomisko sankciju negatīvo seku mazināšanai</w:t>
      </w:r>
    </w:p>
    <w:p w:rsidR="002E487D" w:rsidRPr="00AB7B58" w:rsidRDefault="002E487D" w:rsidP="002E487D">
      <w:pPr>
        <w:jc w:val="center"/>
      </w:pPr>
    </w:p>
    <w:p w:rsidR="002E487D" w:rsidRPr="00AB7B58" w:rsidRDefault="002E487D" w:rsidP="002E487D">
      <w:pPr>
        <w:jc w:val="center"/>
      </w:pPr>
    </w:p>
    <w:p w:rsidR="002E487D" w:rsidRPr="00AB7B58" w:rsidRDefault="002E487D" w:rsidP="002E487D">
      <w:pPr>
        <w:jc w:val="center"/>
      </w:pPr>
    </w:p>
    <w:p w:rsidR="002E487D" w:rsidRPr="00AB7B58" w:rsidRDefault="002E487D" w:rsidP="002E487D">
      <w:pPr>
        <w:jc w:val="center"/>
      </w:pPr>
    </w:p>
    <w:p w:rsidR="002E487D" w:rsidRPr="00AB7B58" w:rsidRDefault="002E487D" w:rsidP="002E487D">
      <w:pPr>
        <w:jc w:val="center"/>
      </w:pPr>
    </w:p>
    <w:p w:rsidR="002E487D" w:rsidRPr="00AB7B58" w:rsidRDefault="002E487D" w:rsidP="002E487D">
      <w:pPr>
        <w:jc w:val="center"/>
      </w:pPr>
    </w:p>
    <w:p w:rsidR="002E487D" w:rsidRPr="00AB7B58" w:rsidRDefault="002E487D" w:rsidP="002E487D">
      <w:pPr>
        <w:jc w:val="center"/>
      </w:pPr>
    </w:p>
    <w:p w:rsidR="002E487D" w:rsidRPr="00AB7B58" w:rsidRDefault="002E487D" w:rsidP="002E487D">
      <w:pPr>
        <w:jc w:val="center"/>
      </w:pPr>
    </w:p>
    <w:p w:rsidR="002E487D" w:rsidRPr="00AB7B58" w:rsidRDefault="002E487D" w:rsidP="002E487D">
      <w:pPr>
        <w:jc w:val="center"/>
      </w:pPr>
    </w:p>
    <w:p w:rsidR="002E487D" w:rsidRPr="00AB7B58" w:rsidRDefault="002E487D" w:rsidP="002E487D">
      <w:pPr>
        <w:jc w:val="center"/>
      </w:pPr>
    </w:p>
    <w:p w:rsidR="002E487D" w:rsidRPr="00AB7B58" w:rsidRDefault="002E487D" w:rsidP="002E487D">
      <w:pPr>
        <w:jc w:val="center"/>
      </w:pPr>
    </w:p>
    <w:p w:rsidR="002E487D" w:rsidRPr="00AB7B58" w:rsidRDefault="002E487D" w:rsidP="002E487D">
      <w:pPr>
        <w:jc w:val="center"/>
      </w:pPr>
    </w:p>
    <w:p w:rsidR="00D959D8" w:rsidRPr="00AB7B58" w:rsidRDefault="00031E81" w:rsidP="00D959D8">
      <w:pPr>
        <w:tabs>
          <w:tab w:val="left" w:pos="3480"/>
          <w:tab w:val="center" w:pos="5103"/>
        </w:tabs>
      </w:pPr>
      <w:r w:rsidRPr="00AB7B58">
        <w:tab/>
      </w:r>
      <w:r w:rsidRPr="00AB7B58">
        <w:tab/>
      </w:r>
    </w:p>
    <w:p w:rsidR="00D959D8" w:rsidRPr="00AB7B58" w:rsidRDefault="00D959D8" w:rsidP="00D959D8">
      <w:pPr>
        <w:tabs>
          <w:tab w:val="left" w:pos="3480"/>
          <w:tab w:val="center" w:pos="5103"/>
        </w:tabs>
      </w:pPr>
    </w:p>
    <w:p w:rsidR="00D959D8" w:rsidRPr="00AB7B58" w:rsidRDefault="00D959D8" w:rsidP="00D959D8">
      <w:pPr>
        <w:tabs>
          <w:tab w:val="left" w:pos="3480"/>
          <w:tab w:val="center" w:pos="5103"/>
        </w:tabs>
        <w:jc w:val="center"/>
      </w:pPr>
    </w:p>
    <w:p w:rsidR="00D959D8" w:rsidRPr="00AB7B58" w:rsidRDefault="00D959D8" w:rsidP="00D959D8">
      <w:pPr>
        <w:tabs>
          <w:tab w:val="left" w:pos="3480"/>
          <w:tab w:val="center" w:pos="5103"/>
        </w:tabs>
        <w:jc w:val="center"/>
      </w:pPr>
    </w:p>
    <w:p w:rsidR="00D959D8" w:rsidRPr="00AB7B58" w:rsidRDefault="00D959D8" w:rsidP="00D959D8">
      <w:pPr>
        <w:tabs>
          <w:tab w:val="left" w:pos="3480"/>
          <w:tab w:val="center" w:pos="5103"/>
        </w:tabs>
        <w:jc w:val="center"/>
      </w:pPr>
    </w:p>
    <w:p w:rsidR="00D959D8" w:rsidRPr="00AB7B58" w:rsidRDefault="00D959D8" w:rsidP="00D959D8">
      <w:pPr>
        <w:tabs>
          <w:tab w:val="left" w:pos="3480"/>
          <w:tab w:val="center" w:pos="5103"/>
        </w:tabs>
        <w:jc w:val="center"/>
      </w:pPr>
    </w:p>
    <w:p w:rsidR="00D959D8" w:rsidRPr="00AB7B58" w:rsidRDefault="00D959D8" w:rsidP="00D959D8">
      <w:pPr>
        <w:tabs>
          <w:tab w:val="left" w:pos="3480"/>
          <w:tab w:val="center" w:pos="5103"/>
        </w:tabs>
        <w:jc w:val="center"/>
      </w:pPr>
    </w:p>
    <w:p w:rsidR="00D959D8" w:rsidRPr="00AB7B58" w:rsidRDefault="00D959D8" w:rsidP="00D959D8">
      <w:pPr>
        <w:tabs>
          <w:tab w:val="left" w:pos="3480"/>
          <w:tab w:val="center" w:pos="5103"/>
        </w:tabs>
        <w:jc w:val="center"/>
      </w:pPr>
    </w:p>
    <w:p w:rsidR="002E487D" w:rsidRPr="00AB7B58" w:rsidRDefault="002E487D" w:rsidP="00D959D8">
      <w:pPr>
        <w:tabs>
          <w:tab w:val="left" w:pos="3480"/>
          <w:tab w:val="center" w:pos="5103"/>
        </w:tabs>
        <w:jc w:val="center"/>
      </w:pPr>
      <w:r w:rsidRPr="00AB7B58">
        <w:t>RĪGA</w:t>
      </w:r>
    </w:p>
    <w:p w:rsidR="002E487D" w:rsidRPr="00AB7B58" w:rsidRDefault="002E487D" w:rsidP="002E487D">
      <w:pPr>
        <w:jc w:val="center"/>
      </w:pPr>
      <w:r w:rsidRPr="00AB7B58">
        <w:t xml:space="preserve">2014.gada </w:t>
      </w:r>
      <w:r w:rsidR="00D748E9">
        <w:t>novembris</w:t>
      </w:r>
    </w:p>
    <w:p w:rsidR="002E487D" w:rsidRPr="00AB7B58" w:rsidRDefault="002E487D" w:rsidP="002E487D">
      <w:pPr>
        <w:jc w:val="center"/>
      </w:pPr>
    </w:p>
    <w:p w:rsidR="002E487D" w:rsidRPr="00AB7B58" w:rsidRDefault="002E487D" w:rsidP="002E487D">
      <w:pPr>
        <w:jc w:val="center"/>
        <w:rPr>
          <w:bCs/>
        </w:rPr>
      </w:pPr>
    </w:p>
    <w:p w:rsidR="002E487D" w:rsidRPr="00AB7B58" w:rsidRDefault="002E487D" w:rsidP="002E487D">
      <w:pPr>
        <w:jc w:val="center"/>
        <w:rPr>
          <w:bCs/>
        </w:rPr>
      </w:pPr>
    </w:p>
    <w:p w:rsidR="00451671" w:rsidRPr="00AB7B58" w:rsidRDefault="00451671" w:rsidP="00FB5DEC">
      <w:pPr>
        <w:rPr>
          <w:rFonts w:cs="Times New Roman"/>
          <w:b/>
          <w:bCs/>
          <w:szCs w:val="26"/>
        </w:rPr>
      </w:pPr>
      <w:r w:rsidRPr="00AB7B58">
        <w:rPr>
          <w:rFonts w:cs="Times New Roman"/>
          <w:b/>
          <w:bCs/>
          <w:szCs w:val="26"/>
        </w:rPr>
        <w:lastRenderedPageBreak/>
        <w:t>Ievads</w:t>
      </w:r>
    </w:p>
    <w:p w:rsidR="00451671" w:rsidRPr="00AB7B58" w:rsidRDefault="00451671" w:rsidP="00FC0F22">
      <w:pPr>
        <w:ind w:firstLine="426"/>
        <w:jc w:val="both"/>
        <w:rPr>
          <w:rFonts w:cs="Times New Roman"/>
          <w:sz w:val="26"/>
          <w:szCs w:val="26"/>
        </w:rPr>
      </w:pPr>
    </w:p>
    <w:p w:rsidR="00D05193" w:rsidRPr="00AB7B58" w:rsidRDefault="00B11F3F" w:rsidP="00FC0F22">
      <w:pPr>
        <w:ind w:firstLine="709"/>
        <w:jc w:val="both"/>
        <w:rPr>
          <w:rFonts w:cs="Times New Roman"/>
          <w:sz w:val="26"/>
          <w:szCs w:val="26"/>
        </w:rPr>
      </w:pPr>
      <w:r w:rsidRPr="00AB7B58">
        <w:rPr>
          <w:rFonts w:cs="Times New Roman"/>
          <w:sz w:val="26"/>
          <w:szCs w:val="26"/>
        </w:rPr>
        <w:t>Atbilstoši Krievijas Federācijas valdības 2014.gada 7.augusta lēmumam Krievija ievie</w:t>
      </w:r>
      <w:r w:rsidR="00C71010" w:rsidRPr="00AB7B58">
        <w:rPr>
          <w:rFonts w:cs="Times New Roman"/>
          <w:sz w:val="26"/>
          <w:szCs w:val="26"/>
        </w:rPr>
        <w:t>sa</w:t>
      </w:r>
      <w:r w:rsidRPr="00AB7B58">
        <w:rPr>
          <w:rFonts w:cs="Times New Roman"/>
          <w:sz w:val="26"/>
          <w:szCs w:val="26"/>
        </w:rPr>
        <w:t xml:space="preserve"> pilnīgu embargo lauksaimniecības produktiem, izejvielām un pārtikas precēm (liellopu gaļai, cūkgaļai, augļiem, dārzeņiem, mājputniem, zivīm, sieram, pienam un piena produktiem) no ES, ASV, Austrālijas, Kanādas un Norvēģijas uz vienu gadu. </w:t>
      </w:r>
    </w:p>
    <w:p w:rsidR="004A167F" w:rsidRPr="00AB7B58" w:rsidRDefault="001B60A5" w:rsidP="00FC0F22">
      <w:pPr>
        <w:ind w:firstLine="709"/>
        <w:jc w:val="both"/>
        <w:rPr>
          <w:rFonts w:cs="Times New Roman"/>
          <w:sz w:val="26"/>
          <w:szCs w:val="26"/>
        </w:rPr>
      </w:pPr>
      <w:r w:rsidRPr="00AB7B58">
        <w:rPr>
          <w:rFonts w:cs="Times New Roman"/>
          <w:sz w:val="26"/>
          <w:szCs w:val="26"/>
        </w:rPr>
        <w:t xml:space="preserve">Papildus, </w:t>
      </w:r>
      <w:r w:rsidR="004A167F" w:rsidRPr="00AB7B58">
        <w:rPr>
          <w:rFonts w:cs="Times New Roman"/>
          <w:sz w:val="26"/>
          <w:szCs w:val="26"/>
        </w:rPr>
        <w:t xml:space="preserve">Krievijā šā gada 21.oktobrī stājās spēkā importa aizlieguma paplašinājums, aizliedzot ievest no Eiropas Savienības (ES) liellopa gaļas subproduktus un putnu taukus. </w:t>
      </w:r>
      <w:r w:rsidR="000C088F" w:rsidRPr="00AB7B58">
        <w:rPr>
          <w:rFonts w:cs="Times New Roman"/>
          <w:sz w:val="26"/>
          <w:szCs w:val="26"/>
        </w:rPr>
        <w:t xml:space="preserve">Saskaņā ar statistikas datiem Latvija 2014.gadā uz Krieviju neeksportēja ne liellopu gaļas subproduktus (ietilpst 0206 grupā – dzīvnieku subprodukti), ne putnu taukus (ietilpst grupā 0209 – cūku un mājputnu tauki). Tādējādi tieša ietekme šim aizliegumam uz Latvijas ražotājiem nav, vienlaikus jāņem vērā, ka </w:t>
      </w:r>
      <w:r w:rsidR="002C6D74" w:rsidRPr="00AB7B58">
        <w:rPr>
          <w:rFonts w:cs="Times New Roman"/>
          <w:sz w:val="26"/>
          <w:szCs w:val="26"/>
        </w:rPr>
        <w:t>var pieaugt iekšējā konkurence Eiropas tirgū.</w:t>
      </w:r>
    </w:p>
    <w:p w:rsidR="001B60A5" w:rsidRPr="00AB7B58" w:rsidRDefault="001B60A5" w:rsidP="00FC0F22">
      <w:pPr>
        <w:ind w:firstLine="709"/>
        <w:jc w:val="both"/>
        <w:rPr>
          <w:rFonts w:cs="Times New Roman"/>
          <w:sz w:val="26"/>
          <w:szCs w:val="26"/>
        </w:rPr>
      </w:pPr>
    </w:p>
    <w:p w:rsidR="001B60A5" w:rsidRPr="00AB7B58" w:rsidRDefault="001B60A5" w:rsidP="00FC0F22">
      <w:pPr>
        <w:ind w:firstLine="709"/>
        <w:jc w:val="both"/>
        <w:rPr>
          <w:rFonts w:cs="Times New Roman"/>
          <w:sz w:val="26"/>
          <w:szCs w:val="26"/>
        </w:rPr>
      </w:pPr>
      <w:r w:rsidRPr="00AB7B58">
        <w:rPr>
          <w:rFonts w:cs="Times New Roman"/>
          <w:sz w:val="26"/>
          <w:szCs w:val="26"/>
        </w:rPr>
        <w:t>Lai nodrošinātu aktuālās informācijas par Krievijas ieviestā importa aizlieguma ietekmi uz skartajām nozarēm – lauksaimniecības un pārtikas pārstrādes, kā arī transporta sektori</w:t>
      </w:r>
      <w:r w:rsidR="00D748E9">
        <w:rPr>
          <w:rFonts w:cs="Times New Roman"/>
          <w:sz w:val="26"/>
          <w:szCs w:val="26"/>
        </w:rPr>
        <w:t xml:space="preserve">em, Ekonomikas ministrija </w:t>
      </w:r>
      <w:proofErr w:type="spellStart"/>
      <w:r w:rsidR="00D748E9">
        <w:rPr>
          <w:rFonts w:cs="Times New Roman"/>
          <w:sz w:val="26"/>
          <w:szCs w:val="26"/>
        </w:rPr>
        <w:t>š.g</w:t>
      </w:r>
      <w:proofErr w:type="spellEnd"/>
      <w:r w:rsidR="00D748E9">
        <w:rPr>
          <w:rFonts w:cs="Times New Roman"/>
          <w:sz w:val="26"/>
          <w:szCs w:val="26"/>
        </w:rPr>
        <w:t>. 20.novembrī</w:t>
      </w:r>
      <w:r w:rsidRPr="00AB7B58">
        <w:rPr>
          <w:rFonts w:cs="Times New Roman"/>
          <w:sz w:val="26"/>
          <w:szCs w:val="26"/>
        </w:rPr>
        <w:t xml:space="preserve"> organizēja sanāksmi ar nozaru, kā arī atbildīgo institūciju pārstāvjiem, lai pārrunātu </w:t>
      </w:r>
      <w:r w:rsidR="00D748E9">
        <w:rPr>
          <w:rFonts w:cs="Times New Roman"/>
          <w:sz w:val="26"/>
          <w:szCs w:val="26"/>
        </w:rPr>
        <w:t xml:space="preserve">situācijas izmaiņas, kopš </w:t>
      </w:r>
      <w:proofErr w:type="spellStart"/>
      <w:r w:rsidR="00D748E9">
        <w:rPr>
          <w:rFonts w:cs="Times New Roman"/>
          <w:sz w:val="26"/>
          <w:szCs w:val="26"/>
        </w:rPr>
        <w:t>š.g</w:t>
      </w:r>
      <w:proofErr w:type="spellEnd"/>
      <w:r w:rsidR="00D748E9">
        <w:rPr>
          <w:rFonts w:cs="Times New Roman"/>
          <w:sz w:val="26"/>
          <w:szCs w:val="26"/>
        </w:rPr>
        <w:t>. 23.oktobra</w:t>
      </w:r>
      <w:r w:rsidRPr="00AB7B58">
        <w:rPr>
          <w:rFonts w:cs="Times New Roman"/>
          <w:sz w:val="26"/>
          <w:szCs w:val="26"/>
        </w:rPr>
        <w:t xml:space="preserve">, kā arī diskutētu par Ministru kabineta, kopš </w:t>
      </w:r>
      <w:proofErr w:type="spellStart"/>
      <w:r w:rsidRPr="00AB7B58">
        <w:rPr>
          <w:rFonts w:cs="Times New Roman"/>
          <w:sz w:val="26"/>
          <w:szCs w:val="26"/>
        </w:rPr>
        <w:t>š.g</w:t>
      </w:r>
      <w:proofErr w:type="spellEnd"/>
      <w:r w:rsidRPr="00AB7B58">
        <w:rPr>
          <w:rFonts w:cs="Times New Roman"/>
          <w:sz w:val="26"/>
          <w:szCs w:val="26"/>
        </w:rPr>
        <w:t>.</w:t>
      </w:r>
      <w:r w:rsidR="00EE48C0" w:rsidRPr="00AB7B58">
        <w:rPr>
          <w:rFonts w:cs="Times New Roman"/>
          <w:sz w:val="26"/>
          <w:szCs w:val="26"/>
        </w:rPr>
        <w:t xml:space="preserve"> </w:t>
      </w:r>
      <w:r w:rsidRPr="00AB7B58">
        <w:rPr>
          <w:rFonts w:cs="Times New Roman"/>
          <w:sz w:val="26"/>
          <w:szCs w:val="26"/>
        </w:rPr>
        <w:t>augusta, atbalstīto pasākumu ieviešanas gaitu.</w:t>
      </w:r>
    </w:p>
    <w:p w:rsidR="00A94975" w:rsidRPr="00AB7B58" w:rsidRDefault="00A94975" w:rsidP="00FC0F22">
      <w:pPr>
        <w:ind w:firstLine="709"/>
        <w:jc w:val="both"/>
        <w:rPr>
          <w:rFonts w:cs="Times New Roman"/>
          <w:sz w:val="26"/>
          <w:szCs w:val="26"/>
        </w:rPr>
      </w:pPr>
    </w:p>
    <w:p w:rsidR="00DE152E" w:rsidRPr="00AB7B58" w:rsidRDefault="00DE152E" w:rsidP="00DE152E">
      <w:pPr>
        <w:jc w:val="both"/>
        <w:rPr>
          <w:rFonts w:cs="Times New Roman"/>
          <w:b/>
          <w:sz w:val="26"/>
          <w:szCs w:val="26"/>
        </w:rPr>
      </w:pPr>
    </w:p>
    <w:p w:rsidR="00DE152E" w:rsidRPr="00AB7B58" w:rsidRDefault="00DE152E" w:rsidP="00DE152E">
      <w:pPr>
        <w:rPr>
          <w:rFonts w:cs="Times New Roman"/>
          <w:b/>
          <w:sz w:val="26"/>
          <w:szCs w:val="26"/>
        </w:rPr>
      </w:pPr>
    </w:p>
    <w:p w:rsidR="00DE152E" w:rsidRPr="00AB7B58" w:rsidRDefault="00DE152E" w:rsidP="00DE152E">
      <w:pPr>
        <w:rPr>
          <w:rFonts w:cs="Times New Roman"/>
          <w:b/>
          <w:bCs/>
          <w:szCs w:val="26"/>
        </w:rPr>
      </w:pPr>
      <w:r w:rsidRPr="00AB7B58">
        <w:rPr>
          <w:rFonts w:cs="Times New Roman"/>
          <w:b/>
          <w:bCs/>
          <w:szCs w:val="26"/>
        </w:rPr>
        <w:t>Saturs</w:t>
      </w:r>
    </w:p>
    <w:sdt>
      <w:sdtPr>
        <w:rPr>
          <w:rFonts w:ascii="Times New Roman" w:eastAsiaTheme="minorHAnsi" w:hAnsi="Times New Roman" w:cs="Times New Roman"/>
          <w:b w:val="0"/>
          <w:bCs w:val="0"/>
          <w:color w:val="auto"/>
          <w:sz w:val="26"/>
          <w:szCs w:val="26"/>
          <w:lang w:val="lv-LV" w:eastAsia="en-US"/>
        </w:rPr>
        <w:id w:val="1925374463"/>
        <w:docPartObj>
          <w:docPartGallery w:val="Table of Contents"/>
          <w:docPartUnique/>
        </w:docPartObj>
      </w:sdtPr>
      <w:sdtEndPr>
        <w:rPr>
          <w:noProof/>
        </w:rPr>
      </w:sdtEndPr>
      <w:sdtContent>
        <w:p w:rsidR="00DE152E" w:rsidRPr="009570CA" w:rsidRDefault="00DE152E" w:rsidP="00DE152E">
          <w:pPr>
            <w:pStyle w:val="TOCHeading"/>
            <w:rPr>
              <w:rFonts w:ascii="Times New Roman" w:hAnsi="Times New Roman" w:cs="Times New Roman"/>
              <w:color w:val="auto"/>
              <w:szCs w:val="26"/>
              <w:lang w:val="lv-LV"/>
            </w:rPr>
          </w:pPr>
        </w:p>
        <w:p w:rsidR="00EC7D79" w:rsidRPr="00EC7D79" w:rsidRDefault="00DE152E">
          <w:pPr>
            <w:pStyle w:val="TOC1"/>
            <w:rPr>
              <w:rFonts w:asciiTheme="minorHAnsi" w:eastAsiaTheme="minorEastAsia" w:hAnsiTheme="minorHAnsi" w:cstheme="minorBidi"/>
              <w:b w:val="0"/>
              <w:sz w:val="26"/>
              <w:szCs w:val="26"/>
              <w:lang w:eastAsia="lv-LV"/>
            </w:rPr>
          </w:pPr>
          <w:r w:rsidRPr="00EC7D79">
            <w:rPr>
              <w:sz w:val="26"/>
              <w:szCs w:val="26"/>
            </w:rPr>
            <w:fldChar w:fldCharType="begin"/>
          </w:r>
          <w:r w:rsidRPr="00EC7D79">
            <w:rPr>
              <w:sz w:val="26"/>
              <w:szCs w:val="26"/>
            </w:rPr>
            <w:instrText xml:space="preserve"> TOC \o "1-3" \h \z \u </w:instrText>
          </w:r>
          <w:r w:rsidRPr="00EC7D79">
            <w:rPr>
              <w:sz w:val="26"/>
              <w:szCs w:val="26"/>
            </w:rPr>
            <w:fldChar w:fldCharType="separate"/>
          </w:r>
          <w:hyperlink w:anchor="_Toc404413737" w:history="1">
            <w:r w:rsidR="00EC7D79" w:rsidRPr="00EC7D79">
              <w:rPr>
                <w:rStyle w:val="Hyperlink"/>
                <w:sz w:val="26"/>
                <w:szCs w:val="26"/>
              </w:rPr>
              <w:t>1.</w:t>
            </w:r>
            <w:r w:rsidR="00EC7D79" w:rsidRPr="00EC7D79">
              <w:rPr>
                <w:rFonts w:asciiTheme="minorHAnsi" w:eastAsiaTheme="minorEastAsia" w:hAnsiTheme="minorHAnsi" w:cstheme="minorBidi"/>
                <w:b w:val="0"/>
                <w:sz w:val="26"/>
                <w:szCs w:val="26"/>
                <w:lang w:eastAsia="lv-LV"/>
              </w:rPr>
              <w:tab/>
            </w:r>
            <w:r w:rsidR="00EC7D79" w:rsidRPr="00EC7D79">
              <w:rPr>
                <w:rStyle w:val="Hyperlink"/>
                <w:sz w:val="26"/>
                <w:szCs w:val="26"/>
              </w:rPr>
              <w:t>Krievijas importa embargo ietekme</w:t>
            </w:r>
            <w:r w:rsidR="00EC7D79" w:rsidRPr="00EC7D79">
              <w:rPr>
                <w:webHidden/>
                <w:sz w:val="26"/>
                <w:szCs w:val="26"/>
              </w:rPr>
              <w:tab/>
            </w:r>
            <w:r w:rsidR="00EC7D79" w:rsidRPr="00EC7D79">
              <w:rPr>
                <w:webHidden/>
                <w:sz w:val="26"/>
                <w:szCs w:val="26"/>
              </w:rPr>
              <w:fldChar w:fldCharType="begin"/>
            </w:r>
            <w:r w:rsidR="00EC7D79" w:rsidRPr="00EC7D79">
              <w:rPr>
                <w:webHidden/>
                <w:sz w:val="26"/>
                <w:szCs w:val="26"/>
              </w:rPr>
              <w:instrText xml:space="preserve"> PAGEREF _Toc404413737 \h </w:instrText>
            </w:r>
            <w:r w:rsidR="00EC7D79" w:rsidRPr="00EC7D79">
              <w:rPr>
                <w:webHidden/>
                <w:sz w:val="26"/>
                <w:szCs w:val="26"/>
              </w:rPr>
            </w:r>
            <w:r w:rsidR="00EC7D79" w:rsidRPr="00EC7D79">
              <w:rPr>
                <w:webHidden/>
                <w:sz w:val="26"/>
                <w:szCs w:val="26"/>
              </w:rPr>
              <w:fldChar w:fldCharType="separate"/>
            </w:r>
            <w:r w:rsidR="00EC7D79">
              <w:rPr>
                <w:webHidden/>
                <w:sz w:val="26"/>
                <w:szCs w:val="26"/>
              </w:rPr>
              <w:t>3</w:t>
            </w:r>
            <w:r w:rsidR="00EC7D79" w:rsidRPr="00EC7D79">
              <w:rPr>
                <w:webHidden/>
                <w:sz w:val="26"/>
                <w:szCs w:val="26"/>
              </w:rPr>
              <w:fldChar w:fldCharType="end"/>
            </w:r>
          </w:hyperlink>
        </w:p>
        <w:p w:rsidR="00EC7D79" w:rsidRPr="00EC7D79" w:rsidRDefault="00EC7D79">
          <w:pPr>
            <w:pStyle w:val="TOC1"/>
            <w:rPr>
              <w:rFonts w:asciiTheme="minorHAnsi" w:eastAsiaTheme="minorEastAsia" w:hAnsiTheme="minorHAnsi" w:cstheme="minorBidi"/>
              <w:b w:val="0"/>
              <w:sz w:val="26"/>
              <w:szCs w:val="26"/>
              <w:lang w:eastAsia="lv-LV"/>
            </w:rPr>
          </w:pPr>
          <w:hyperlink w:anchor="_Toc404413738" w:history="1">
            <w:r w:rsidRPr="00EC7D79">
              <w:rPr>
                <w:rStyle w:val="Hyperlink"/>
                <w:sz w:val="26"/>
                <w:szCs w:val="26"/>
              </w:rPr>
              <w:t>2.</w:t>
            </w:r>
            <w:r w:rsidRPr="00EC7D79">
              <w:rPr>
                <w:rFonts w:asciiTheme="minorHAnsi" w:eastAsiaTheme="minorEastAsia" w:hAnsiTheme="minorHAnsi" w:cstheme="minorBidi"/>
                <w:b w:val="0"/>
                <w:sz w:val="26"/>
                <w:szCs w:val="26"/>
                <w:lang w:eastAsia="lv-LV"/>
              </w:rPr>
              <w:tab/>
            </w:r>
            <w:r w:rsidRPr="00EC7D79">
              <w:rPr>
                <w:rStyle w:val="Hyperlink"/>
                <w:sz w:val="26"/>
                <w:szCs w:val="26"/>
              </w:rPr>
              <w:t>Atbalsta pasākumi Krievijas sankciju skartajiem uzņēmumiem</w:t>
            </w:r>
            <w:r w:rsidRPr="00EC7D79">
              <w:rPr>
                <w:webHidden/>
                <w:sz w:val="26"/>
                <w:szCs w:val="26"/>
              </w:rPr>
              <w:tab/>
            </w:r>
            <w:r w:rsidRPr="00EC7D79">
              <w:rPr>
                <w:webHidden/>
                <w:sz w:val="26"/>
                <w:szCs w:val="26"/>
              </w:rPr>
              <w:fldChar w:fldCharType="begin"/>
            </w:r>
            <w:r w:rsidRPr="00EC7D79">
              <w:rPr>
                <w:webHidden/>
                <w:sz w:val="26"/>
                <w:szCs w:val="26"/>
              </w:rPr>
              <w:instrText xml:space="preserve"> PAGEREF _Toc404413738 \h </w:instrText>
            </w:r>
            <w:r w:rsidRPr="00EC7D79">
              <w:rPr>
                <w:webHidden/>
                <w:sz w:val="26"/>
                <w:szCs w:val="26"/>
              </w:rPr>
            </w:r>
            <w:r w:rsidRPr="00EC7D79">
              <w:rPr>
                <w:webHidden/>
                <w:sz w:val="26"/>
                <w:szCs w:val="26"/>
              </w:rPr>
              <w:fldChar w:fldCharType="separate"/>
            </w:r>
            <w:r>
              <w:rPr>
                <w:webHidden/>
                <w:sz w:val="26"/>
                <w:szCs w:val="26"/>
              </w:rPr>
              <w:t>6</w:t>
            </w:r>
            <w:r w:rsidRPr="00EC7D79">
              <w:rPr>
                <w:webHidden/>
                <w:sz w:val="26"/>
                <w:szCs w:val="26"/>
              </w:rPr>
              <w:fldChar w:fldCharType="end"/>
            </w:r>
          </w:hyperlink>
        </w:p>
        <w:p w:rsidR="00EC7D79" w:rsidRPr="00EC7D79" w:rsidRDefault="00EC7D79">
          <w:pPr>
            <w:pStyle w:val="TOC2"/>
            <w:rPr>
              <w:rFonts w:asciiTheme="minorHAnsi" w:eastAsiaTheme="minorEastAsia" w:hAnsiTheme="minorHAnsi"/>
              <w:noProof/>
              <w:sz w:val="26"/>
              <w:szCs w:val="26"/>
              <w:lang w:eastAsia="lv-LV"/>
            </w:rPr>
          </w:pPr>
          <w:hyperlink w:anchor="_Toc404413739" w:history="1">
            <w:r w:rsidRPr="00EC7D79">
              <w:rPr>
                <w:rStyle w:val="Hyperlink"/>
                <w:noProof/>
                <w:sz w:val="26"/>
                <w:szCs w:val="26"/>
              </w:rPr>
              <w:t>2.1.</w:t>
            </w:r>
            <w:r w:rsidRPr="00EC7D79">
              <w:rPr>
                <w:rFonts w:asciiTheme="minorHAnsi" w:eastAsiaTheme="minorEastAsia" w:hAnsiTheme="minorHAnsi"/>
                <w:noProof/>
                <w:sz w:val="26"/>
                <w:szCs w:val="26"/>
                <w:lang w:eastAsia="lv-LV"/>
              </w:rPr>
              <w:tab/>
            </w:r>
            <w:r w:rsidRPr="00EC7D79">
              <w:rPr>
                <w:rStyle w:val="Hyperlink"/>
                <w:noProof/>
                <w:sz w:val="26"/>
                <w:szCs w:val="26"/>
              </w:rPr>
              <w:t>Atbalsts lauksaimniecības, zivsaimniecības un pārtikas produktu ražotājiem</w:t>
            </w:r>
            <w:r w:rsidRPr="00EC7D79">
              <w:rPr>
                <w:noProof/>
                <w:webHidden/>
                <w:sz w:val="26"/>
                <w:szCs w:val="26"/>
              </w:rPr>
              <w:tab/>
            </w:r>
            <w:r w:rsidRPr="00EC7D79">
              <w:rPr>
                <w:noProof/>
                <w:webHidden/>
                <w:sz w:val="26"/>
                <w:szCs w:val="26"/>
              </w:rPr>
              <w:fldChar w:fldCharType="begin"/>
            </w:r>
            <w:r w:rsidRPr="00EC7D79">
              <w:rPr>
                <w:noProof/>
                <w:webHidden/>
                <w:sz w:val="26"/>
                <w:szCs w:val="26"/>
              </w:rPr>
              <w:instrText xml:space="preserve"> PAGEREF _Toc404413739 \h </w:instrText>
            </w:r>
            <w:r w:rsidRPr="00EC7D79">
              <w:rPr>
                <w:noProof/>
                <w:webHidden/>
                <w:sz w:val="26"/>
                <w:szCs w:val="26"/>
              </w:rPr>
            </w:r>
            <w:r w:rsidRPr="00EC7D79">
              <w:rPr>
                <w:noProof/>
                <w:webHidden/>
                <w:sz w:val="26"/>
                <w:szCs w:val="26"/>
              </w:rPr>
              <w:fldChar w:fldCharType="separate"/>
            </w:r>
            <w:r>
              <w:rPr>
                <w:noProof/>
                <w:webHidden/>
                <w:sz w:val="26"/>
                <w:szCs w:val="26"/>
              </w:rPr>
              <w:t>6</w:t>
            </w:r>
            <w:r w:rsidRPr="00EC7D79">
              <w:rPr>
                <w:noProof/>
                <w:webHidden/>
                <w:sz w:val="26"/>
                <w:szCs w:val="26"/>
              </w:rPr>
              <w:fldChar w:fldCharType="end"/>
            </w:r>
          </w:hyperlink>
        </w:p>
        <w:p w:rsidR="00EC7D79" w:rsidRPr="00EC7D79" w:rsidRDefault="00EC7D79">
          <w:pPr>
            <w:pStyle w:val="TOC2"/>
            <w:rPr>
              <w:rFonts w:asciiTheme="minorHAnsi" w:eastAsiaTheme="minorEastAsia" w:hAnsiTheme="minorHAnsi"/>
              <w:noProof/>
              <w:sz w:val="26"/>
              <w:szCs w:val="26"/>
              <w:lang w:eastAsia="lv-LV"/>
            </w:rPr>
          </w:pPr>
          <w:hyperlink w:anchor="_Toc404413740" w:history="1">
            <w:r w:rsidRPr="00EC7D79">
              <w:rPr>
                <w:rStyle w:val="Hyperlink"/>
                <w:noProof/>
                <w:sz w:val="26"/>
                <w:szCs w:val="26"/>
              </w:rPr>
              <w:t>2.2.</w:t>
            </w:r>
            <w:r w:rsidRPr="00EC7D79">
              <w:rPr>
                <w:rFonts w:asciiTheme="minorHAnsi" w:eastAsiaTheme="minorEastAsia" w:hAnsiTheme="minorHAnsi"/>
                <w:noProof/>
                <w:sz w:val="26"/>
                <w:szCs w:val="26"/>
                <w:lang w:eastAsia="lv-LV"/>
              </w:rPr>
              <w:tab/>
            </w:r>
            <w:r w:rsidRPr="00EC7D79">
              <w:rPr>
                <w:rStyle w:val="Hyperlink"/>
                <w:noProof/>
                <w:sz w:val="26"/>
                <w:szCs w:val="26"/>
              </w:rPr>
              <w:t>Atbalsts tranzīta un loģistikas nozares komersantiem</w:t>
            </w:r>
            <w:r w:rsidRPr="00EC7D79">
              <w:rPr>
                <w:noProof/>
                <w:webHidden/>
                <w:sz w:val="26"/>
                <w:szCs w:val="26"/>
              </w:rPr>
              <w:tab/>
            </w:r>
            <w:r w:rsidRPr="00EC7D79">
              <w:rPr>
                <w:noProof/>
                <w:webHidden/>
                <w:sz w:val="26"/>
                <w:szCs w:val="26"/>
              </w:rPr>
              <w:fldChar w:fldCharType="begin"/>
            </w:r>
            <w:r w:rsidRPr="00EC7D79">
              <w:rPr>
                <w:noProof/>
                <w:webHidden/>
                <w:sz w:val="26"/>
                <w:szCs w:val="26"/>
              </w:rPr>
              <w:instrText xml:space="preserve"> PAGEREF _Toc404413740 \h </w:instrText>
            </w:r>
            <w:r w:rsidRPr="00EC7D79">
              <w:rPr>
                <w:noProof/>
                <w:webHidden/>
                <w:sz w:val="26"/>
                <w:szCs w:val="26"/>
              </w:rPr>
            </w:r>
            <w:r w:rsidRPr="00EC7D79">
              <w:rPr>
                <w:noProof/>
                <w:webHidden/>
                <w:sz w:val="26"/>
                <w:szCs w:val="26"/>
              </w:rPr>
              <w:fldChar w:fldCharType="separate"/>
            </w:r>
            <w:r>
              <w:rPr>
                <w:noProof/>
                <w:webHidden/>
                <w:sz w:val="26"/>
                <w:szCs w:val="26"/>
              </w:rPr>
              <w:t>7</w:t>
            </w:r>
            <w:r w:rsidRPr="00EC7D79">
              <w:rPr>
                <w:noProof/>
                <w:webHidden/>
                <w:sz w:val="26"/>
                <w:szCs w:val="26"/>
              </w:rPr>
              <w:fldChar w:fldCharType="end"/>
            </w:r>
          </w:hyperlink>
        </w:p>
        <w:p w:rsidR="00EC7D79" w:rsidRPr="00EC7D79" w:rsidRDefault="00EC7D79">
          <w:pPr>
            <w:pStyle w:val="TOC2"/>
            <w:rPr>
              <w:rFonts w:asciiTheme="minorHAnsi" w:eastAsiaTheme="minorEastAsia" w:hAnsiTheme="minorHAnsi"/>
              <w:noProof/>
              <w:sz w:val="26"/>
              <w:szCs w:val="26"/>
              <w:lang w:eastAsia="lv-LV"/>
            </w:rPr>
          </w:pPr>
          <w:hyperlink w:anchor="_Toc404413741" w:history="1">
            <w:r w:rsidRPr="00EC7D79">
              <w:rPr>
                <w:rStyle w:val="Hyperlink"/>
                <w:noProof/>
                <w:sz w:val="26"/>
                <w:szCs w:val="26"/>
              </w:rPr>
              <w:t>2.3.</w:t>
            </w:r>
            <w:r w:rsidRPr="00EC7D79">
              <w:rPr>
                <w:rFonts w:asciiTheme="minorHAnsi" w:eastAsiaTheme="minorEastAsia" w:hAnsiTheme="minorHAnsi"/>
                <w:noProof/>
                <w:sz w:val="26"/>
                <w:szCs w:val="26"/>
                <w:lang w:eastAsia="lv-LV"/>
              </w:rPr>
              <w:tab/>
            </w:r>
            <w:r w:rsidRPr="00EC7D79">
              <w:rPr>
                <w:rStyle w:val="Hyperlink"/>
                <w:noProof/>
                <w:sz w:val="26"/>
                <w:szCs w:val="26"/>
              </w:rPr>
              <w:t>Atbalsts likviditātes problēmu risināšanai</w:t>
            </w:r>
            <w:r w:rsidRPr="00EC7D79">
              <w:rPr>
                <w:noProof/>
                <w:webHidden/>
                <w:sz w:val="26"/>
                <w:szCs w:val="26"/>
              </w:rPr>
              <w:tab/>
            </w:r>
            <w:r w:rsidRPr="00EC7D79">
              <w:rPr>
                <w:noProof/>
                <w:webHidden/>
                <w:sz w:val="26"/>
                <w:szCs w:val="26"/>
              </w:rPr>
              <w:fldChar w:fldCharType="begin"/>
            </w:r>
            <w:r w:rsidRPr="00EC7D79">
              <w:rPr>
                <w:noProof/>
                <w:webHidden/>
                <w:sz w:val="26"/>
                <w:szCs w:val="26"/>
              </w:rPr>
              <w:instrText xml:space="preserve"> PAGEREF _Toc404413741 \h </w:instrText>
            </w:r>
            <w:r w:rsidRPr="00EC7D79">
              <w:rPr>
                <w:noProof/>
                <w:webHidden/>
                <w:sz w:val="26"/>
                <w:szCs w:val="26"/>
              </w:rPr>
            </w:r>
            <w:r w:rsidRPr="00EC7D79">
              <w:rPr>
                <w:noProof/>
                <w:webHidden/>
                <w:sz w:val="26"/>
                <w:szCs w:val="26"/>
              </w:rPr>
              <w:fldChar w:fldCharType="separate"/>
            </w:r>
            <w:r>
              <w:rPr>
                <w:noProof/>
                <w:webHidden/>
                <w:sz w:val="26"/>
                <w:szCs w:val="26"/>
              </w:rPr>
              <w:t>8</w:t>
            </w:r>
            <w:r w:rsidRPr="00EC7D79">
              <w:rPr>
                <w:noProof/>
                <w:webHidden/>
                <w:sz w:val="26"/>
                <w:szCs w:val="26"/>
              </w:rPr>
              <w:fldChar w:fldCharType="end"/>
            </w:r>
          </w:hyperlink>
        </w:p>
        <w:p w:rsidR="00EC7D79" w:rsidRPr="00EC7D79" w:rsidRDefault="00EC7D79">
          <w:pPr>
            <w:pStyle w:val="TOC2"/>
            <w:rPr>
              <w:rFonts w:asciiTheme="minorHAnsi" w:eastAsiaTheme="minorEastAsia" w:hAnsiTheme="minorHAnsi"/>
              <w:noProof/>
              <w:sz w:val="26"/>
              <w:szCs w:val="26"/>
              <w:lang w:eastAsia="lv-LV"/>
            </w:rPr>
          </w:pPr>
          <w:hyperlink w:anchor="_Toc404413742" w:history="1">
            <w:r w:rsidRPr="00EC7D79">
              <w:rPr>
                <w:rStyle w:val="Hyperlink"/>
                <w:noProof/>
                <w:sz w:val="26"/>
                <w:szCs w:val="26"/>
              </w:rPr>
              <w:t>2.4.</w:t>
            </w:r>
            <w:r w:rsidRPr="00EC7D79">
              <w:rPr>
                <w:rFonts w:asciiTheme="minorHAnsi" w:eastAsiaTheme="minorEastAsia" w:hAnsiTheme="minorHAnsi"/>
                <w:noProof/>
                <w:sz w:val="26"/>
                <w:szCs w:val="26"/>
                <w:lang w:eastAsia="lv-LV"/>
              </w:rPr>
              <w:tab/>
            </w:r>
            <w:r w:rsidRPr="00EC7D79">
              <w:rPr>
                <w:rStyle w:val="Hyperlink"/>
                <w:noProof/>
                <w:sz w:val="26"/>
                <w:szCs w:val="26"/>
              </w:rPr>
              <w:t>Eksporta tirgu pārorientācija</w:t>
            </w:r>
            <w:r w:rsidRPr="00EC7D79">
              <w:rPr>
                <w:noProof/>
                <w:webHidden/>
                <w:sz w:val="26"/>
                <w:szCs w:val="26"/>
              </w:rPr>
              <w:tab/>
            </w:r>
            <w:r w:rsidRPr="00EC7D79">
              <w:rPr>
                <w:noProof/>
                <w:webHidden/>
                <w:sz w:val="26"/>
                <w:szCs w:val="26"/>
              </w:rPr>
              <w:fldChar w:fldCharType="begin"/>
            </w:r>
            <w:r w:rsidRPr="00EC7D79">
              <w:rPr>
                <w:noProof/>
                <w:webHidden/>
                <w:sz w:val="26"/>
                <w:szCs w:val="26"/>
              </w:rPr>
              <w:instrText xml:space="preserve"> PAGEREF _Toc404413742 \h </w:instrText>
            </w:r>
            <w:r w:rsidRPr="00EC7D79">
              <w:rPr>
                <w:noProof/>
                <w:webHidden/>
                <w:sz w:val="26"/>
                <w:szCs w:val="26"/>
              </w:rPr>
            </w:r>
            <w:r w:rsidRPr="00EC7D79">
              <w:rPr>
                <w:noProof/>
                <w:webHidden/>
                <w:sz w:val="26"/>
                <w:szCs w:val="26"/>
              </w:rPr>
              <w:fldChar w:fldCharType="separate"/>
            </w:r>
            <w:r>
              <w:rPr>
                <w:noProof/>
                <w:webHidden/>
                <w:sz w:val="26"/>
                <w:szCs w:val="26"/>
              </w:rPr>
              <w:t>9</w:t>
            </w:r>
            <w:r w:rsidRPr="00EC7D79">
              <w:rPr>
                <w:noProof/>
                <w:webHidden/>
                <w:sz w:val="26"/>
                <w:szCs w:val="26"/>
              </w:rPr>
              <w:fldChar w:fldCharType="end"/>
            </w:r>
          </w:hyperlink>
        </w:p>
        <w:p w:rsidR="00DE152E" w:rsidRPr="00AB7B58" w:rsidRDefault="00DE152E" w:rsidP="00DE152E">
          <w:pPr>
            <w:rPr>
              <w:rFonts w:cs="Times New Roman"/>
              <w:sz w:val="26"/>
              <w:szCs w:val="26"/>
            </w:rPr>
          </w:pPr>
          <w:r w:rsidRPr="00EC7D79">
            <w:rPr>
              <w:rFonts w:cs="Times New Roman"/>
              <w:b/>
              <w:bCs/>
              <w:noProof/>
              <w:sz w:val="26"/>
              <w:szCs w:val="26"/>
            </w:rPr>
            <w:fldChar w:fldCharType="end"/>
          </w:r>
        </w:p>
      </w:sdtContent>
    </w:sdt>
    <w:p w:rsidR="00DE152E" w:rsidRPr="00AB7B58" w:rsidRDefault="00DE152E" w:rsidP="00DE152E">
      <w:pPr>
        <w:jc w:val="center"/>
        <w:rPr>
          <w:rFonts w:cs="Times New Roman"/>
          <w:sz w:val="26"/>
          <w:szCs w:val="26"/>
        </w:rPr>
      </w:pPr>
    </w:p>
    <w:p w:rsidR="00DE152E" w:rsidRPr="00AB7B58" w:rsidRDefault="00DE152E" w:rsidP="00DE152E">
      <w:pPr>
        <w:jc w:val="center"/>
        <w:rPr>
          <w:rFonts w:cs="Times New Roman"/>
          <w:sz w:val="26"/>
          <w:szCs w:val="26"/>
        </w:rPr>
      </w:pPr>
    </w:p>
    <w:p w:rsidR="00DE152E" w:rsidRPr="00AB7B58" w:rsidRDefault="00DE152E" w:rsidP="00DE152E">
      <w:pPr>
        <w:jc w:val="center"/>
        <w:rPr>
          <w:rFonts w:cs="Times New Roman"/>
          <w:sz w:val="26"/>
          <w:szCs w:val="26"/>
        </w:rPr>
      </w:pPr>
    </w:p>
    <w:p w:rsidR="00DE152E" w:rsidRPr="00AB7B58" w:rsidRDefault="00DE152E" w:rsidP="00DE152E">
      <w:pPr>
        <w:rPr>
          <w:rFonts w:cs="Times New Roman"/>
          <w:b/>
          <w:sz w:val="26"/>
          <w:szCs w:val="26"/>
        </w:rPr>
      </w:pPr>
    </w:p>
    <w:p w:rsidR="00DE152E" w:rsidRPr="00AB7B58" w:rsidRDefault="00DE152E" w:rsidP="00DE152E">
      <w:pPr>
        <w:rPr>
          <w:rFonts w:cs="Times New Roman"/>
          <w:b/>
          <w:sz w:val="26"/>
          <w:szCs w:val="26"/>
        </w:rPr>
      </w:pPr>
    </w:p>
    <w:p w:rsidR="00DE152E" w:rsidRPr="00AB7B58" w:rsidRDefault="00DE152E" w:rsidP="00064E6E">
      <w:pPr>
        <w:pStyle w:val="Heading1"/>
        <w:numPr>
          <w:ilvl w:val="0"/>
          <w:numId w:val="46"/>
        </w:numPr>
        <w:rPr>
          <w:rFonts w:ascii="Times New Roman" w:hAnsi="Times New Roman" w:cs="Times New Roman"/>
          <w:color w:val="auto"/>
          <w:sz w:val="26"/>
          <w:szCs w:val="26"/>
        </w:rPr>
      </w:pPr>
      <w:r w:rsidRPr="00AB7B58">
        <w:rPr>
          <w:rFonts w:ascii="Times New Roman" w:hAnsi="Times New Roman" w:cs="Times New Roman"/>
          <w:color w:val="auto"/>
          <w:sz w:val="26"/>
          <w:szCs w:val="26"/>
        </w:rPr>
        <w:br w:type="page"/>
      </w:r>
      <w:bookmarkStart w:id="0" w:name="_Toc404413737"/>
      <w:r w:rsidRPr="00AB7B58">
        <w:rPr>
          <w:rFonts w:ascii="Times New Roman" w:hAnsi="Times New Roman" w:cs="Times New Roman"/>
          <w:color w:val="auto"/>
          <w:sz w:val="26"/>
          <w:szCs w:val="26"/>
        </w:rPr>
        <w:lastRenderedPageBreak/>
        <w:t>Krievijas importa embargo ietekme</w:t>
      </w:r>
      <w:bookmarkEnd w:id="0"/>
    </w:p>
    <w:p w:rsidR="00064E6E" w:rsidRPr="00AB7B58" w:rsidRDefault="00064E6E" w:rsidP="00064E6E"/>
    <w:p w:rsidR="00D27A4B" w:rsidRPr="00D9043E" w:rsidRDefault="00D27A4B" w:rsidP="00FC0F22">
      <w:pPr>
        <w:ind w:firstLine="709"/>
        <w:jc w:val="both"/>
        <w:rPr>
          <w:rFonts w:cs="Times New Roman"/>
          <w:sz w:val="26"/>
          <w:szCs w:val="26"/>
        </w:rPr>
      </w:pPr>
      <w:r w:rsidRPr="00D9043E">
        <w:rPr>
          <w:rFonts w:cs="Times New Roman"/>
          <w:sz w:val="26"/>
          <w:szCs w:val="26"/>
        </w:rPr>
        <w:t>Preces kuras iekļautas Krievijas importa embargo sarakstā 2013.gadā sastādīja 4,5% no Latvijas kopēja preču eksporta, jeb 0,2% līmenī no Latvijas IKP.</w:t>
      </w:r>
      <w:r w:rsidRPr="00D9043E">
        <w:rPr>
          <w:rFonts w:cs="Times New Roman"/>
          <w:sz w:val="26"/>
          <w:szCs w:val="26"/>
        </w:rPr>
        <w:tab/>
      </w:r>
    </w:p>
    <w:p w:rsidR="00D9043E" w:rsidRDefault="00D9043E" w:rsidP="00D9043E">
      <w:pPr>
        <w:spacing w:after="120" w:line="276" w:lineRule="auto"/>
        <w:jc w:val="center"/>
        <w:rPr>
          <w:rFonts w:cs="Times New Roman"/>
          <w:b/>
          <w:sz w:val="26"/>
          <w:szCs w:val="26"/>
        </w:rPr>
      </w:pPr>
    </w:p>
    <w:p w:rsidR="00D9043E" w:rsidRPr="00D9043E" w:rsidRDefault="00D9043E" w:rsidP="00D9043E">
      <w:pPr>
        <w:spacing w:after="120" w:line="276" w:lineRule="auto"/>
        <w:jc w:val="center"/>
        <w:rPr>
          <w:rFonts w:cs="Times New Roman"/>
          <w:b/>
          <w:sz w:val="26"/>
          <w:szCs w:val="26"/>
        </w:rPr>
      </w:pPr>
      <w:r w:rsidRPr="00D9043E">
        <w:rPr>
          <w:rFonts w:cs="Times New Roman"/>
          <w:b/>
          <w:sz w:val="26"/>
          <w:szCs w:val="26"/>
        </w:rPr>
        <w:t>Krievijas importa embargo ietekme uz Latvijas eksportu</w:t>
      </w:r>
    </w:p>
    <w:tbl>
      <w:tblPr>
        <w:tblW w:w="9355" w:type="dxa"/>
        <w:tblInd w:w="93" w:type="dxa"/>
        <w:tblLook w:val="04A0" w:firstRow="1" w:lastRow="0" w:firstColumn="1" w:lastColumn="0" w:noHBand="0" w:noVBand="1"/>
      </w:tblPr>
      <w:tblGrid>
        <w:gridCol w:w="5953"/>
        <w:gridCol w:w="1134"/>
        <w:gridCol w:w="1134"/>
        <w:gridCol w:w="1134"/>
      </w:tblGrid>
      <w:tr w:rsidR="00D9043E" w:rsidRPr="00D9043E" w:rsidTr="006D1659">
        <w:trPr>
          <w:trHeight w:val="113"/>
        </w:trPr>
        <w:tc>
          <w:tcPr>
            <w:tcW w:w="5953" w:type="dxa"/>
            <w:vMerge w:val="restart"/>
            <w:tcBorders>
              <w:top w:val="single" w:sz="4" w:space="0" w:color="auto"/>
            </w:tcBorders>
            <w:shd w:val="clear" w:color="auto" w:fill="EEECE1" w:themeFill="background2"/>
            <w:noWrap/>
          </w:tcPr>
          <w:p w:rsidR="00D9043E" w:rsidRPr="00D9043E" w:rsidRDefault="00D9043E" w:rsidP="00D9043E">
            <w:pPr>
              <w:spacing w:line="276" w:lineRule="auto"/>
              <w:rPr>
                <w:rFonts w:ascii="Arial Narrow" w:eastAsia="Times New Roman" w:hAnsi="Arial Narrow" w:cs="Times New Roman"/>
                <w:sz w:val="18"/>
                <w:szCs w:val="18"/>
                <w:lang w:eastAsia="lv-LV"/>
              </w:rPr>
            </w:pPr>
            <w:r w:rsidRPr="00D9043E">
              <w:rPr>
                <w:rFonts w:ascii="Arial Narrow" w:eastAsia="Times New Roman" w:hAnsi="Arial Narrow" w:cs="Times New Roman"/>
                <w:sz w:val="18"/>
                <w:szCs w:val="18"/>
                <w:lang w:eastAsia="lv-LV"/>
              </w:rPr>
              <w:t> </w:t>
            </w:r>
          </w:p>
        </w:tc>
        <w:tc>
          <w:tcPr>
            <w:tcW w:w="1134" w:type="dxa"/>
            <w:vMerge w:val="restart"/>
            <w:tcBorders>
              <w:top w:val="single" w:sz="4" w:space="0" w:color="auto"/>
            </w:tcBorders>
            <w:shd w:val="clear" w:color="auto" w:fill="EEECE1" w:themeFill="background2"/>
            <w:noWrap/>
            <w:vAlign w:val="center"/>
          </w:tcPr>
          <w:p w:rsidR="00D9043E" w:rsidRPr="00D9043E" w:rsidRDefault="00D9043E" w:rsidP="00D9043E">
            <w:pPr>
              <w:spacing w:before="40" w:after="40"/>
              <w:jc w:val="center"/>
              <w:rPr>
                <w:rFonts w:ascii="Arial Narrow" w:eastAsia="Times New Roman" w:hAnsi="Arial Narrow" w:cs="Times New Roman"/>
                <w:b/>
                <w:bCs/>
                <w:sz w:val="24"/>
                <w:szCs w:val="24"/>
                <w:lang w:eastAsia="lv-LV"/>
              </w:rPr>
            </w:pPr>
            <w:r w:rsidRPr="00D9043E">
              <w:rPr>
                <w:rFonts w:ascii="Arial Narrow" w:eastAsia="Times New Roman" w:hAnsi="Arial Narrow" w:cs="Times New Roman"/>
                <w:b/>
                <w:bCs/>
                <w:sz w:val="24"/>
                <w:szCs w:val="24"/>
                <w:lang w:eastAsia="lv-LV"/>
              </w:rPr>
              <w:t>2013</w:t>
            </w:r>
          </w:p>
        </w:tc>
        <w:tc>
          <w:tcPr>
            <w:tcW w:w="2268" w:type="dxa"/>
            <w:gridSpan w:val="2"/>
            <w:tcBorders>
              <w:top w:val="single" w:sz="4" w:space="0" w:color="auto"/>
            </w:tcBorders>
            <w:shd w:val="clear" w:color="auto" w:fill="EEECE1" w:themeFill="background2"/>
            <w:noWrap/>
            <w:vAlign w:val="center"/>
          </w:tcPr>
          <w:p w:rsidR="00D9043E" w:rsidRPr="00D9043E" w:rsidRDefault="00D9043E" w:rsidP="00D9043E">
            <w:pPr>
              <w:spacing w:before="40" w:after="40"/>
              <w:jc w:val="center"/>
              <w:rPr>
                <w:rFonts w:ascii="Arial Narrow" w:eastAsia="Times New Roman" w:hAnsi="Arial Narrow" w:cs="Times New Roman"/>
                <w:b/>
                <w:bCs/>
                <w:sz w:val="24"/>
                <w:szCs w:val="24"/>
                <w:lang w:eastAsia="lv-LV"/>
              </w:rPr>
            </w:pPr>
            <w:r w:rsidRPr="00D9043E">
              <w:rPr>
                <w:rFonts w:ascii="Arial Narrow" w:eastAsia="Times New Roman" w:hAnsi="Arial Narrow" w:cs="Times New Roman"/>
                <w:b/>
                <w:bCs/>
                <w:sz w:val="24"/>
                <w:szCs w:val="24"/>
                <w:lang w:eastAsia="lv-LV"/>
              </w:rPr>
              <w:t>2014</w:t>
            </w:r>
          </w:p>
        </w:tc>
      </w:tr>
      <w:tr w:rsidR="00D9043E" w:rsidRPr="00D9043E" w:rsidTr="006D1659">
        <w:trPr>
          <w:trHeight w:val="212"/>
        </w:trPr>
        <w:tc>
          <w:tcPr>
            <w:tcW w:w="5953" w:type="dxa"/>
            <w:vMerge/>
            <w:tcBorders>
              <w:bottom w:val="single" w:sz="4" w:space="0" w:color="auto"/>
            </w:tcBorders>
            <w:shd w:val="clear" w:color="auto" w:fill="F2F2F2" w:themeFill="background1" w:themeFillShade="F2"/>
            <w:noWrap/>
            <w:hideMark/>
          </w:tcPr>
          <w:p w:rsidR="00D9043E" w:rsidRPr="00D9043E" w:rsidRDefault="00D9043E" w:rsidP="00D9043E">
            <w:pPr>
              <w:spacing w:line="276" w:lineRule="auto"/>
              <w:rPr>
                <w:rFonts w:ascii="Arial Narrow" w:eastAsia="Times New Roman" w:hAnsi="Arial Narrow" w:cs="Times New Roman"/>
                <w:sz w:val="18"/>
                <w:szCs w:val="18"/>
                <w:lang w:eastAsia="lv-LV"/>
              </w:rPr>
            </w:pPr>
          </w:p>
        </w:tc>
        <w:tc>
          <w:tcPr>
            <w:tcW w:w="1134" w:type="dxa"/>
            <w:vMerge/>
            <w:tcBorders>
              <w:bottom w:val="single" w:sz="4" w:space="0" w:color="auto"/>
            </w:tcBorders>
            <w:shd w:val="clear" w:color="auto" w:fill="F2F2F2" w:themeFill="background1" w:themeFillShade="F2"/>
            <w:noWrap/>
            <w:vAlign w:val="center"/>
            <w:hideMark/>
          </w:tcPr>
          <w:p w:rsidR="00D9043E" w:rsidRPr="00D9043E" w:rsidRDefault="00D9043E" w:rsidP="00D9043E">
            <w:pPr>
              <w:spacing w:before="40" w:after="40"/>
              <w:jc w:val="center"/>
              <w:rPr>
                <w:rFonts w:ascii="Arial Narrow" w:eastAsia="Times New Roman" w:hAnsi="Arial Narrow" w:cs="Times New Roman"/>
                <w:b/>
                <w:bCs/>
                <w:sz w:val="24"/>
                <w:szCs w:val="24"/>
                <w:lang w:eastAsia="lv-LV"/>
              </w:rPr>
            </w:pPr>
          </w:p>
        </w:tc>
        <w:tc>
          <w:tcPr>
            <w:tcW w:w="1134" w:type="dxa"/>
            <w:tcBorders>
              <w:bottom w:val="single" w:sz="4" w:space="0" w:color="auto"/>
            </w:tcBorders>
            <w:shd w:val="clear" w:color="auto" w:fill="EEECE1" w:themeFill="background2"/>
            <w:noWrap/>
            <w:vAlign w:val="center"/>
            <w:hideMark/>
          </w:tcPr>
          <w:p w:rsidR="00D9043E" w:rsidRPr="00D9043E" w:rsidRDefault="00D9043E" w:rsidP="00D9043E">
            <w:pPr>
              <w:spacing w:before="40" w:after="40"/>
              <w:jc w:val="center"/>
              <w:rPr>
                <w:rFonts w:ascii="Arial Narrow" w:eastAsia="Times New Roman" w:hAnsi="Arial Narrow" w:cs="Times New Roman"/>
                <w:b/>
                <w:bCs/>
                <w:sz w:val="24"/>
                <w:szCs w:val="24"/>
                <w:lang w:eastAsia="lv-LV"/>
              </w:rPr>
            </w:pPr>
            <w:proofErr w:type="spellStart"/>
            <w:r w:rsidRPr="00D9043E">
              <w:rPr>
                <w:rFonts w:ascii="Arial Narrow" w:eastAsia="Times New Roman" w:hAnsi="Arial Narrow" w:cs="Times New Roman"/>
                <w:b/>
                <w:bCs/>
                <w:sz w:val="24"/>
                <w:szCs w:val="24"/>
                <w:lang w:eastAsia="lv-LV"/>
              </w:rPr>
              <w:t>Jan-Jūl</w:t>
            </w:r>
            <w:proofErr w:type="spellEnd"/>
          </w:p>
        </w:tc>
        <w:tc>
          <w:tcPr>
            <w:tcW w:w="1134" w:type="dxa"/>
            <w:tcBorders>
              <w:bottom w:val="single" w:sz="4" w:space="0" w:color="auto"/>
            </w:tcBorders>
            <w:shd w:val="clear" w:color="auto" w:fill="EEECE1" w:themeFill="background2"/>
            <w:vAlign w:val="center"/>
          </w:tcPr>
          <w:p w:rsidR="00D9043E" w:rsidRPr="00D9043E" w:rsidRDefault="00D9043E" w:rsidP="00D9043E">
            <w:pPr>
              <w:spacing w:before="40" w:after="40"/>
              <w:jc w:val="center"/>
              <w:rPr>
                <w:rFonts w:ascii="Arial Narrow" w:eastAsia="Times New Roman" w:hAnsi="Arial Narrow" w:cs="Times New Roman"/>
                <w:b/>
                <w:bCs/>
                <w:sz w:val="24"/>
                <w:szCs w:val="24"/>
                <w:lang w:eastAsia="lv-LV"/>
              </w:rPr>
            </w:pPr>
            <w:r w:rsidRPr="00D9043E">
              <w:rPr>
                <w:rFonts w:ascii="Arial Narrow" w:eastAsia="Times New Roman" w:hAnsi="Arial Narrow" w:cs="Times New Roman"/>
                <w:b/>
                <w:bCs/>
                <w:sz w:val="24"/>
                <w:szCs w:val="24"/>
                <w:lang w:eastAsia="lv-LV"/>
              </w:rPr>
              <w:t>Aug</w:t>
            </w:r>
          </w:p>
        </w:tc>
      </w:tr>
      <w:tr w:rsidR="00D9043E" w:rsidRPr="00D9043E" w:rsidTr="006D1659">
        <w:trPr>
          <w:trHeight w:val="310"/>
        </w:trPr>
        <w:tc>
          <w:tcPr>
            <w:tcW w:w="5953" w:type="dxa"/>
            <w:tcBorders>
              <w:top w:val="single" w:sz="4" w:space="0" w:color="auto"/>
            </w:tcBorders>
            <w:shd w:val="clear" w:color="auto" w:fill="auto"/>
            <w:noWrap/>
            <w:vAlign w:val="center"/>
            <w:hideMark/>
          </w:tcPr>
          <w:p w:rsidR="00D9043E" w:rsidRPr="00D9043E" w:rsidRDefault="00D9043E" w:rsidP="00D9043E">
            <w:pPr>
              <w:spacing w:line="276" w:lineRule="auto"/>
              <w:rPr>
                <w:rFonts w:ascii="Arial Narrow" w:eastAsia="Times New Roman" w:hAnsi="Arial Narrow" w:cs="Times New Roman"/>
                <w:sz w:val="20"/>
                <w:szCs w:val="20"/>
                <w:lang w:eastAsia="lv-LV"/>
              </w:rPr>
            </w:pPr>
            <w:r w:rsidRPr="00D9043E">
              <w:rPr>
                <w:rFonts w:ascii="Arial Narrow" w:eastAsia="Times New Roman" w:hAnsi="Arial Narrow" w:cs="Times New Roman"/>
                <w:sz w:val="20"/>
                <w:szCs w:val="20"/>
                <w:lang w:eastAsia="lv-LV"/>
              </w:rPr>
              <w:t xml:space="preserve">Kopējais preču eksports, </w:t>
            </w:r>
            <w:proofErr w:type="spellStart"/>
            <w:r w:rsidRPr="00D9043E">
              <w:rPr>
                <w:rFonts w:ascii="Arial Narrow" w:eastAsia="Times New Roman" w:hAnsi="Arial Narrow" w:cs="Times New Roman"/>
                <w:i/>
                <w:sz w:val="20"/>
                <w:szCs w:val="20"/>
                <w:lang w:eastAsia="lv-LV"/>
              </w:rPr>
              <w:t>milj</w:t>
            </w:r>
            <w:proofErr w:type="spellEnd"/>
            <w:r w:rsidRPr="00D9043E">
              <w:rPr>
                <w:rFonts w:ascii="Arial Narrow" w:eastAsia="Times New Roman" w:hAnsi="Arial Narrow" w:cs="Times New Roman"/>
                <w:i/>
                <w:sz w:val="20"/>
                <w:szCs w:val="20"/>
                <w:lang w:eastAsia="lv-LV"/>
              </w:rPr>
              <w:t>. EUR</w:t>
            </w:r>
          </w:p>
        </w:tc>
        <w:tc>
          <w:tcPr>
            <w:tcW w:w="1134" w:type="dxa"/>
            <w:tcBorders>
              <w:top w:val="single" w:sz="4" w:space="0" w:color="auto"/>
            </w:tcBorders>
            <w:shd w:val="clear" w:color="auto" w:fill="auto"/>
            <w:noWrap/>
            <w:vAlign w:val="center"/>
            <w:hideMark/>
          </w:tcPr>
          <w:p w:rsidR="00D9043E" w:rsidRPr="00D9043E" w:rsidRDefault="00D9043E" w:rsidP="00D9043E">
            <w:pPr>
              <w:spacing w:line="276" w:lineRule="auto"/>
              <w:jc w:val="center"/>
              <w:rPr>
                <w:rFonts w:ascii="Arial Narrow" w:eastAsia="Times New Roman" w:hAnsi="Arial Narrow" w:cs="Times New Roman"/>
                <w:sz w:val="20"/>
                <w:szCs w:val="20"/>
                <w:lang w:eastAsia="lv-LV"/>
              </w:rPr>
            </w:pPr>
            <w:r w:rsidRPr="00D9043E">
              <w:rPr>
                <w:rFonts w:ascii="Arial Narrow" w:eastAsia="Times New Roman" w:hAnsi="Arial Narrow" w:cs="Times New Roman"/>
                <w:sz w:val="20"/>
                <w:szCs w:val="20"/>
                <w:lang w:eastAsia="lv-LV"/>
              </w:rPr>
              <w:t>10 021,3</w:t>
            </w:r>
          </w:p>
        </w:tc>
        <w:tc>
          <w:tcPr>
            <w:tcW w:w="1134" w:type="dxa"/>
            <w:tcBorders>
              <w:top w:val="single" w:sz="4" w:space="0" w:color="auto"/>
            </w:tcBorders>
            <w:shd w:val="clear" w:color="auto" w:fill="auto"/>
            <w:noWrap/>
            <w:vAlign w:val="center"/>
            <w:hideMark/>
          </w:tcPr>
          <w:p w:rsidR="00D9043E" w:rsidRPr="00D9043E" w:rsidRDefault="00D9043E" w:rsidP="00D9043E">
            <w:pPr>
              <w:spacing w:line="276" w:lineRule="auto"/>
              <w:jc w:val="center"/>
              <w:rPr>
                <w:rFonts w:ascii="Arial Narrow" w:eastAsia="Times New Roman" w:hAnsi="Arial Narrow" w:cs="Times New Roman"/>
                <w:sz w:val="20"/>
                <w:szCs w:val="20"/>
                <w:lang w:eastAsia="lv-LV"/>
              </w:rPr>
            </w:pPr>
            <w:r w:rsidRPr="00D9043E">
              <w:rPr>
                <w:rFonts w:ascii="Arial Narrow" w:eastAsia="Times New Roman" w:hAnsi="Arial Narrow" w:cs="Times New Roman"/>
                <w:sz w:val="20"/>
                <w:szCs w:val="20"/>
                <w:lang w:eastAsia="lv-LV"/>
              </w:rPr>
              <w:t>5 717,2</w:t>
            </w:r>
          </w:p>
        </w:tc>
        <w:tc>
          <w:tcPr>
            <w:tcW w:w="1134" w:type="dxa"/>
            <w:tcBorders>
              <w:top w:val="single" w:sz="4" w:space="0" w:color="auto"/>
            </w:tcBorders>
            <w:vAlign w:val="center"/>
          </w:tcPr>
          <w:p w:rsidR="00D9043E" w:rsidRPr="00D9043E" w:rsidRDefault="00D9043E" w:rsidP="00D9043E">
            <w:pPr>
              <w:spacing w:line="276" w:lineRule="auto"/>
              <w:jc w:val="center"/>
              <w:rPr>
                <w:rFonts w:ascii="Arial Narrow" w:eastAsia="Times New Roman" w:hAnsi="Arial Narrow" w:cs="Times New Roman"/>
                <w:sz w:val="20"/>
                <w:szCs w:val="20"/>
                <w:lang w:eastAsia="lv-LV"/>
              </w:rPr>
            </w:pPr>
            <w:r w:rsidRPr="00D9043E">
              <w:rPr>
                <w:rFonts w:ascii="Arial Narrow" w:eastAsia="Times New Roman" w:hAnsi="Arial Narrow" w:cs="Times New Roman"/>
                <w:sz w:val="20"/>
                <w:szCs w:val="20"/>
                <w:lang w:eastAsia="lv-LV"/>
              </w:rPr>
              <w:t>811,2</w:t>
            </w:r>
          </w:p>
        </w:tc>
      </w:tr>
      <w:tr w:rsidR="00D9043E" w:rsidRPr="00D9043E" w:rsidTr="006D1659">
        <w:trPr>
          <w:trHeight w:val="310"/>
        </w:trPr>
        <w:tc>
          <w:tcPr>
            <w:tcW w:w="5953" w:type="dxa"/>
            <w:shd w:val="clear" w:color="auto" w:fill="auto"/>
            <w:noWrap/>
            <w:vAlign w:val="center"/>
            <w:hideMark/>
          </w:tcPr>
          <w:p w:rsidR="00D9043E" w:rsidRPr="00D9043E" w:rsidRDefault="00D9043E" w:rsidP="00D9043E">
            <w:pPr>
              <w:spacing w:line="276" w:lineRule="auto"/>
              <w:rPr>
                <w:rFonts w:ascii="Arial Narrow" w:eastAsia="Times New Roman" w:hAnsi="Arial Narrow" w:cs="Times New Roman"/>
                <w:sz w:val="20"/>
                <w:szCs w:val="20"/>
                <w:lang w:eastAsia="lv-LV"/>
              </w:rPr>
            </w:pPr>
            <w:r w:rsidRPr="00D9043E">
              <w:rPr>
                <w:rFonts w:ascii="Arial Narrow" w:eastAsia="Times New Roman" w:hAnsi="Arial Narrow" w:cs="Times New Roman"/>
                <w:sz w:val="20"/>
                <w:szCs w:val="20"/>
                <w:lang w:eastAsia="lv-LV"/>
              </w:rPr>
              <w:t xml:space="preserve">Preču eksports uz Krieviju, </w:t>
            </w:r>
            <w:proofErr w:type="spellStart"/>
            <w:r w:rsidRPr="00D9043E">
              <w:rPr>
                <w:rFonts w:ascii="Arial Narrow" w:eastAsia="Times New Roman" w:hAnsi="Arial Narrow" w:cs="Times New Roman"/>
                <w:i/>
                <w:sz w:val="20"/>
                <w:szCs w:val="20"/>
                <w:lang w:eastAsia="lv-LV"/>
              </w:rPr>
              <w:t>milj</w:t>
            </w:r>
            <w:proofErr w:type="spellEnd"/>
            <w:r w:rsidRPr="00D9043E">
              <w:rPr>
                <w:rFonts w:ascii="Arial Narrow" w:eastAsia="Times New Roman" w:hAnsi="Arial Narrow" w:cs="Times New Roman"/>
                <w:i/>
                <w:sz w:val="20"/>
                <w:szCs w:val="20"/>
                <w:lang w:eastAsia="lv-LV"/>
              </w:rPr>
              <w:t>. EUR</w:t>
            </w:r>
          </w:p>
        </w:tc>
        <w:tc>
          <w:tcPr>
            <w:tcW w:w="1134" w:type="dxa"/>
            <w:shd w:val="clear" w:color="auto" w:fill="auto"/>
            <w:noWrap/>
            <w:vAlign w:val="center"/>
            <w:hideMark/>
          </w:tcPr>
          <w:p w:rsidR="00D9043E" w:rsidRPr="00D9043E" w:rsidRDefault="00D9043E" w:rsidP="00D9043E">
            <w:pPr>
              <w:spacing w:line="276" w:lineRule="auto"/>
              <w:jc w:val="center"/>
              <w:rPr>
                <w:rFonts w:ascii="Arial Narrow" w:eastAsia="Times New Roman" w:hAnsi="Arial Narrow" w:cs="Times New Roman"/>
                <w:sz w:val="20"/>
                <w:szCs w:val="20"/>
                <w:lang w:eastAsia="lv-LV"/>
              </w:rPr>
            </w:pPr>
            <w:r w:rsidRPr="00D9043E">
              <w:rPr>
                <w:rFonts w:ascii="Arial Narrow" w:eastAsia="Times New Roman" w:hAnsi="Arial Narrow" w:cs="Times New Roman"/>
                <w:sz w:val="20"/>
                <w:szCs w:val="20"/>
                <w:lang w:eastAsia="lv-LV"/>
              </w:rPr>
              <w:t>1 163,1</w:t>
            </w:r>
          </w:p>
        </w:tc>
        <w:tc>
          <w:tcPr>
            <w:tcW w:w="1134" w:type="dxa"/>
            <w:shd w:val="clear" w:color="auto" w:fill="auto"/>
            <w:noWrap/>
            <w:vAlign w:val="center"/>
            <w:hideMark/>
          </w:tcPr>
          <w:p w:rsidR="00D9043E" w:rsidRPr="00D9043E" w:rsidRDefault="00D9043E" w:rsidP="00D9043E">
            <w:pPr>
              <w:spacing w:line="276" w:lineRule="auto"/>
              <w:jc w:val="center"/>
              <w:rPr>
                <w:rFonts w:ascii="Arial Narrow" w:eastAsia="Times New Roman" w:hAnsi="Arial Narrow" w:cs="Times New Roman"/>
                <w:sz w:val="20"/>
                <w:szCs w:val="20"/>
                <w:lang w:eastAsia="lv-LV"/>
              </w:rPr>
            </w:pPr>
            <w:r w:rsidRPr="00D9043E">
              <w:rPr>
                <w:rFonts w:ascii="Arial Narrow" w:eastAsia="Times New Roman" w:hAnsi="Arial Narrow" w:cs="Times New Roman"/>
                <w:sz w:val="20"/>
                <w:szCs w:val="20"/>
                <w:lang w:eastAsia="lv-LV"/>
              </w:rPr>
              <w:t>567,5</w:t>
            </w:r>
          </w:p>
        </w:tc>
        <w:tc>
          <w:tcPr>
            <w:tcW w:w="1134" w:type="dxa"/>
            <w:vAlign w:val="center"/>
          </w:tcPr>
          <w:p w:rsidR="00D9043E" w:rsidRPr="00D9043E" w:rsidRDefault="00D9043E" w:rsidP="00D9043E">
            <w:pPr>
              <w:spacing w:line="276" w:lineRule="auto"/>
              <w:jc w:val="center"/>
              <w:rPr>
                <w:rFonts w:ascii="Arial Narrow" w:eastAsia="Times New Roman" w:hAnsi="Arial Narrow" w:cs="Times New Roman"/>
                <w:sz w:val="20"/>
                <w:szCs w:val="20"/>
                <w:lang w:eastAsia="lv-LV"/>
              </w:rPr>
            </w:pPr>
            <w:r w:rsidRPr="00D9043E">
              <w:rPr>
                <w:rFonts w:ascii="Arial Narrow" w:eastAsia="Times New Roman" w:hAnsi="Arial Narrow" w:cs="Times New Roman"/>
                <w:sz w:val="20"/>
                <w:szCs w:val="20"/>
                <w:lang w:eastAsia="lv-LV"/>
              </w:rPr>
              <w:t>102,8</w:t>
            </w:r>
          </w:p>
        </w:tc>
      </w:tr>
      <w:tr w:rsidR="00D9043E" w:rsidRPr="00D9043E" w:rsidTr="006D1659">
        <w:trPr>
          <w:trHeight w:val="310"/>
        </w:trPr>
        <w:tc>
          <w:tcPr>
            <w:tcW w:w="5953" w:type="dxa"/>
            <w:tcBorders>
              <w:bottom w:val="single" w:sz="4" w:space="0" w:color="auto"/>
            </w:tcBorders>
            <w:shd w:val="clear" w:color="auto" w:fill="auto"/>
            <w:noWrap/>
            <w:vAlign w:val="center"/>
            <w:hideMark/>
          </w:tcPr>
          <w:p w:rsidR="00D9043E" w:rsidRPr="00D9043E" w:rsidRDefault="00D9043E" w:rsidP="00D9043E">
            <w:pPr>
              <w:spacing w:line="276" w:lineRule="auto"/>
              <w:rPr>
                <w:rFonts w:ascii="Arial Narrow" w:eastAsia="Times New Roman" w:hAnsi="Arial Narrow" w:cs="Times New Roman"/>
                <w:sz w:val="20"/>
                <w:szCs w:val="20"/>
                <w:lang w:eastAsia="lv-LV"/>
              </w:rPr>
            </w:pPr>
            <w:r w:rsidRPr="00D9043E">
              <w:rPr>
                <w:rFonts w:ascii="Arial Narrow" w:eastAsia="Times New Roman" w:hAnsi="Arial Narrow" w:cs="Times New Roman"/>
                <w:sz w:val="20"/>
                <w:szCs w:val="20"/>
                <w:lang w:eastAsia="lv-LV"/>
              </w:rPr>
              <w:t xml:space="preserve">Eksports uz Krieviju </w:t>
            </w:r>
            <w:r w:rsidRPr="00D9043E">
              <w:rPr>
                <w:rFonts w:ascii="Arial Narrow" w:eastAsia="Times New Roman" w:hAnsi="Arial Narrow" w:cs="Times New Roman"/>
                <w:i/>
                <w:sz w:val="20"/>
                <w:szCs w:val="20"/>
                <w:lang w:eastAsia="lv-LV"/>
              </w:rPr>
              <w:t>%</w:t>
            </w:r>
            <w:r w:rsidRPr="00D9043E">
              <w:rPr>
                <w:rFonts w:ascii="Arial Narrow" w:eastAsia="Times New Roman" w:hAnsi="Arial Narrow" w:cs="Times New Roman"/>
                <w:sz w:val="20"/>
                <w:szCs w:val="20"/>
                <w:lang w:eastAsia="lv-LV"/>
              </w:rPr>
              <w:t xml:space="preserve"> no kopējā preču eksporta</w:t>
            </w:r>
          </w:p>
        </w:tc>
        <w:tc>
          <w:tcPr>
            <w:tcW w:w="1134" w:type="dxa"/>
            <w:tcBorders>
              <w:bottom w:val="single" w:sz="4" w:space="0" w:color="auto"/>
            </w:tcBorders>
            <w:shd w:val="clear" w:color="auto" w:fill="auto"/>
            <w:noWrap/>
            <w:vAlign w:val="center"/>
            <w:hideMark/>
          </w:tcPr>
          <w:p w:rsidR="00D9043E" w:rsidRPr="00D9043E" w:rsidRDefault="00D9043E" w:rsidP="00D9043E">
            <w:pPr>
              <w:spacing w:line="276" w:lineRule="auto"/>
              <w:jc w:val="center"/>
              <w:rPr>
                <w:rFonts w:ascii="Arial Narrow" w:eastAsia="Times New Roman" w:hAnsi="Arial Narrow" w:cs="Times New Roman"/>
                <w:sz w:val="20"/>
                <w:szCs w:val="20"/>
                <w:lang w:eastAsia="lv-LV"/>
              </w:rPr>
            </w:pPr>
            <w:r w:rsidRPr="00D9043E">
              <w:rPr>
                <w:rFonts w:ascii="Arial Narrow" w:eastAsia="Times New Roman" w:hAnsi="Arial Narrow" w:cs="Times New Roman"/>
                <w:sz w:val="20"/>
                <w:szCs w:val="20"/>
                <w:lang w:eastAsia="lv-LV"/>
              </w:rPr>
              <w:t>11,6%</w:t>
            </w:r>
          </w:p>
        </w:tc>
        <w:tc>
          <w:tcPr>
            <w:tcW w:w="1134" w:type="dxa"/>
            <w:tcBorders>
              <w:bottom w:val="single" w:sz="4" w:space="0" w:color="auto"/>
            </w:tcBorders>
            <w:shd w:val="clear" w:color="auto" w:fill="auto"/>
            <w:noWrap/>
            <w:vAlign w:val="center"/>
            <w:hideMark/>
          </w:tcPr>
          <w:p w:rsidR="00D9043E" w:rsidRPr="00D9043E" w:rsidRDefault="00D9043E" w:rsidP="00D9043E">
            <w:pPr>
              <w:spacing w:line="276" w:lineRule="auto"/>
              <w:jc w:val="center"/>
              <w:rPr>
                <w:rFonts w:ascii="Arial Narrow" w:eastAsia="Times New Roman" w:hAnsi="Arial Narrow" w:cs="Times New Roman"/>
                <w:sz w:val="20"/>
                <w:szCs w:val="20"/>
                <w:lang w:eastAsia="lv-LV"/>
              </w:rPr>
            </w:pPr>
            <w:r w:rsidRPr="00D9043E">
              <w:rPr>
                <w:rFonts w:ascii="Arial Narrow" w:eastAsia="Times New Roman" w:hAnsi="Arial Narrow" w:cs="Times New Roman"/>
                <w:sz w:val="20"/>
                <w:szCs w:val="20"/>
                <w:lang w:eastAsia="lv-LV"/>
              </w:rPr>
              <w:t>9,9%</w:t>
            </w:r>
          </w:p>
        </w:tc>
        <w:tc>
          <w:tcPr>
            <w:tcW w:w="1134" w:type="dxa"/>
            <w:tcBorders>
              <w:bottom w:val="single" w:sz="4" w:space="0" w:color="auto"/>
            </w:tcBorders>
            <w:vAlign w:val="center"/>
          </w:tcPr>
          <w:p w:rsidR="00D9043E" w:rsidRPr="00D9043E" w:rsidRDefault="00D9043E" w:rsidP="00D9043E">
            <w:pPr>
              <w:spacing w:line="276" w:lineRule="auto"/>
              <w:jc w:val="center"/>
              <w:rPr>
                <w:rFonts w:ascii="Arial Narrow" w:eastAsia="Times New Roman" w:hAnsi="Arial Narrow" w:cs="Times New Roman"/>
                <w:sz w:val="20"/>
                <w:szCs w:val="20"/>
                <w:lang w:eastAsia="lv-LV"/>
              </w:rPr>
            </w:pPr>
            <w:r w:rsidRPr="00D9043E">
              <w:rPr>
                <w:rFonts w:ascii="Arial Narrow" w:eastAsia="Times New Roman" w:hAnsi="Arial Narrow" w:cs="Times New Roman"/>
                <w:sz w:val="20"/>
                <w:szCs w:val="20"/>
                <w:lang w:eastAsia="lv-LV"/>
              </w:rPr>
              <w:t>12,7%</w:t>
            </w:r>
          </w:p>
        </w:tc>
      </w:tr>
      <w:tr w:rsidR="00D9043E" w:rsidRPr="002359F4" w:rsidTr="006D1659">
        <w:trPr>
          <w:trHeight w:val="340"/>
        </w:trPr>
        <w:tc>
          <w:tcPr>
            <w:tcW w:w="5953" w:type="dxa"/>
            <w:tcBorders>
              <w:top w:val="single" w:sz="4" w:space="0" w:color="auto"/>
            </w:tcBorders>
            <w:shd w:val="clear" w:color="auto" w:fill="auto"/>
            <w:noWrap/>
            <w:vAlign w:val="center"/>
          </w:tcPr>
          <w:p w:rsidR="00D9043E" w:rsidRPr="002359F4" w:rsidRDefault="00D9043E" w:rsidP="006D1659">
            <w:pPr>
              <w:rPr>
                <w:rFonts w:ascii="Arial Narrow" w:eastAsia="Times New Roman" w:hAnsi="Arial Narrow"/>
                <w:b/>
                <w:sz w:val="20"/>
                <w:szCs w:val="20"/>
                <w:lang w:eastAsia="lv-LV"/>
              </w:rPr>
            </w:pPr>
            <w:r w:rsidRPr="002359F4">
              <w:rPr>
                <w:rFonts w:ascii="Arial Narrow" w:eastAsia="Times New Roman" w:hAnsi="Arial Narrow"/>
                <w:b/>
                <w:sz w:val="20"/>
                <w:szCs w:val="20"/>
                <w:lang w:eastAsia="lv-LV"/>
              </w:rPr>
              <w:t xml:space="preserve">Sankciju skartā preču daļa no kopējā eksporta uz Krieviju, </w:t>
            </w:r>
            <w:r w:rsidRPr="002359F4">
              <w:rPr>
                <w:rFonts w:ascii="Arial Narrow" w:eastAsia="Times New Roman" w:hAnsi="Arial Narrow"/>
                <w:b/>
                <w:i/>
                <w:sz w:val="20"/>
                <w:szCs w:val="20"/>
                <w:lang w:eastAsia="lv-LV"/>
              </w:rPr>
              <w:t>%</w:t>
            </w:r>
          </w:p>
        </w:tc>
        <w:tc>
          <w:tcPr>
            <w:tcW w:w="1134" w:type="dxa"/>
            <w:tcBorders>
              <w:top w:val="single" w:sz="4" w:space="0" w:color="auto"/>
            </w:tcBorders>
            <w:shd w:val="clear" w:color="auto" w:fill="auto"/>
            <w:noWrap/>
            <w:vAlign w:val="center"/>
          </w:tcPr>
          <w:p w:rsidR="00D9043E" w:rsidRPr="002359F4" w:rsidRDefault="00D9043E" w:rsidP="006D1659">
            <w:pPr>
              <w:jc w:val="center"/>
              <w:rPr>
                <w:rFonts w:ascii="Arial Narrow" w:eastAsia="Times New Roman" w:hAnsi="Arial Narrow"/>
                <w:b/>
                <w:sz w:val="20"/>
                <w:szCs w:val="20"/>
                <w:lang w:eastAsia="lv-LV"/>
              </w:rPr>
            </w:pPr>
            <w:r w:rsidRPr="002359F4">
              <w:rPr>
                <w:rFonts w:ascii="Arial Narrow" w:eastAsia="Times New Roman" w:hAnsi="Arial Narrow"/>
                <w:b/>
                <w:sz w:val="20"/>
                <w:szCs w:val="20"/>
                <w:lang w:eastAsia="lv-LV"/>
              </w:rPr>
              <w:t>4,5%</w:t>
            </w:r>
          </w:p>
        </w:tc>
        <w:tc>
          <w:tcPr>
            <w:tcW w:w="1134" w:type="dxa"/>
            <w:tcBorders>
              <w:top w:val="single" w:sz="4" w:space="0" w:color="auto"/>
            </w:tcBorders>
            <w:shd w:val="clear" w:color="auto" w:fill="auto"/>
            <w:noWrap/>
            <w:vAlign w:val="center"/>
          </w:tcPr>
          <w:p w:rsidR="00D9043E" w:rsidRPr="002359F4" w:rsidRDefault="00D9043E" w:rsidP="006D1659">
            <w:pPr>
              <w:jc w:val="center"/>
              <w:rPr>
                <w:rFonts w:ascii="Arial Narrow" w:eastAsia="Times New Roman" w:hAnsi="Arial Narrow"/>
                <w:b/>
                <w:sz w:val="20"/>
                <w:szCs w:val="20"/>
                <w:lang w:eastAsia="lv-LV"/>
              </w:rPr>
            </w:pPr>
            <w:r w:rsidRPr="002359F4">
              <w:rPr>
                <w:rFonts w:ascii="Arial Narrow" w:eastAsia="Times New Roman" w:hAnsi="Arial Narrow"/>
                <w:b/>
                <w:sz w:val="20"/>
                <w:szCs w:val="20"/>
                <w:lang w:eastAsia="lv-LV"/>
              </w:rPr>
              <w:t>8,3%</w:t>
            </w:r>
          </w:p>
        </w:tc>
        <w:tc>
          <w:tcPr>
            <w:tcW w:w="1134" w:type="dxa"/>
            <w:tcBorders>
              <w:top w:val="single" w:sz="4" w:space="0" w:color="auto"/>
            </w:tcBorders>
            <w:vAlign w:val="center"/>
          </w:tcPr>
          <w:p w:rsidR="00D9043E" w:rsidRPr="002359F4" w:rsidRDefault="00D9043E" w:rsidP="006D1659">
            <w:pPr>
              <w:jc w:val="center"/>
              <w:rPr>
                <w:rFonts w:ascii="Arial Narrow" w:eastAsia="Times New Roman" w:hAnsi="Arial Narrow"/>
                <w:b/>
                <w:sz w:val="20"/>
                <w:szCs w:val="20"/>
                <w:lang w:eastAsia="lv-LV"/>
              </w:rPr>
            </w:pPr>
            <w:r w:rsidRPr="002359F4">
              <w:rPr>
                <w:rFonts w:ascii="Arial Narrow" w:eastAsia="Times New Roman" w:hAnsi="Arial Narrow"/>
                <w:b/>
                <w:sz w:val="20"/>
                <w:szCs w:val="20"/>
                <w:lang w:eastAsia="lv-LV"/>
              </w:rPr>
              <w:t>1,6%</w:t>
            </w:r>
          </w:p>
        </w:tc>
      </w:tr>
      <w:tr w:rsidR="00D9043E" w:rsidRPr="002359F4" w:rsidTr="006D1659">
        <w:trPr>
          <w:trHeight w:val="340"/>
        </w:trPr>
        <w:tc>
          <w:tcPr>
            <w:tcW w:w="5953" w:type="dxa"/>
            <w:tcBorders>
              <w:bottom w:val="single" w:sz="4" w:space="0" w:color="auto"/>
            </w:tcBorders>
            <w:shd w:val="clear" w:color="auto" w:fill="auto"/>
            <w:noWrap/>
            <w:vAlign w:val="center"/>
          </w:tcPr>
          <w:p w:rsidR="00D9043E" w:rsidRPr="002359F4" w:rsidRDefault="00D9043E" w:rsidP="006D1659">
            <w:pPr>
              <w:rPr>
                <w:rFonts w:ascii="Arial Narrow" w:eastAsia="Times New Roman" w:hAnsi="Arial Narrow"/>
                <w:b/>
                <w:sz w:val="20"/>
                <w:szCs w:val="20"/>
                <w:lang w:eastAsia="lv-LV"/>
              </w:rPr>
            </w:pPr>
            <w:r w:rsidRPr="002359F4">
              <w:rPr>
                <w:rFonts w:ascii="Arial Narrow" w:eastAsia="Times New Roman" w:hAnsi="Arial Narrow"/>
                <w:b/>
                <w:sz w:val="20"/>
                <w:szCs w:val="20"/>
                <w:lang w:eastAsia="lv-LV"/>
              </w:rPr>
              <w:t xml:space="preserve">Sankciju skartā preču daļa no kopējā preču eksporta, </w:t>
            </w:r>
            <w:r w:rsidRPr="002359F4">
              <w:rPr>
                <w:rFonts w:ascii="Arial Narrow" w:eastAsia="Times New Roman" w:hAnsi="Arial Narrow"/>
                <w:b/>
                <w:i/>
                <w:sz w:val="20"/>
                <w:szCs w:val="20"/>
                <w:lang w:eastAsia="lv-LV"/>
              </w:rPr>
              <w:t>%</w:t>
            </w:r>
          </w:p>
        </w:tc>
        <w:tc>
          <w:tcPr>
            <w:tcW w:w="1134" w:type="dxa"/>
            <w:tcBorders>
              <w:bottom w:val="single" w:sz="4" w:space="0" w:color="auto"/>
            </w:tcBorders>
            <w:shd w:val="clear" w:color="auto" w:fill="auto"/>
            <w:noWrap/>
            <w:vAlign w:val="center"/>
          </w:tcPr>
          <w:p w:rsidR="00D9043E" w:rsidRPr="002359F4" w:rsidRDefault="00D9043E" w:rsidP="006D1659">
            <w:pPr>
              <w:jc w:val="center"/>
              <w:rPr>
                <w:rFonts w:ascii="Arial Narrow" w:eastAsia="Times New Roman" w:hAnsi="Arial Narrow"/>
                <w:b/>
                <w:sz w:val="20"/>
                <w:szCs w:val="20"/>
                <w:lang w:eastAsia="lv-LV"/>
              </w:rPr>
            </w:pPr>
            <w:r w:rsidRPr="002359F4">
              <w:rPr>
                <w:rFonts w:ascii="Arial Narrow" w:eastAsia="Times New Roman" w:hAnsi="Arial Narrow"/>
                <w:b/>
                <w:sz w:val="20"/>
                <w:szCs w:val="20"/>
                <w:lang w:eastAsia="lv-LV"/>
              </w:rPr>
              <w:t>0,5%</w:t>
            </w:r>
          </w:p>
        </w:tc>
        <w:tc>
          <w:tcPr>
            <w:tcW w:w="1134" w:type="dxa"/>
            <w:tcBorders>
              <w:bottom w:val="single" w:sz="4" w:space="0" w:color="auto"/>
            </w:tcBorders>
            <w:shd w:val="clear" w:color="auto" w:fill="auto"/>
            <w:noWrap/>
            <w:vAlign w:val="center"/>
          </w:tcPr>
          <w:p w:rsidR="00D9043E" w:rsidRPr="002359F4" w:rsidRDefault="00D9043E" w:rsidP="006D1659">
            <w:pPr>
              <w:jc w:val="center"/>
              <w:rPr>
                <w:rFonts w:ascii="Arial Narrow" w:eastAsia="Times New Roman" w:hAnsi="Arial Narrow"/>
                <w:b/>
                <w:sz w:val="20"/>
                <w:szCs w:val="20"/>
                <w:lang w:eastAsia="lv-LV"/>
              </w:rPr>
            </w:pPr>
            <w:r w:rsidRPr="002359F4">
              <w:rPr>
                <w:rFonts w:ascii="Arial Narrow" w:eastAsia="Times New Roman" w:hAnsi="Arial Narrow"/>
                <w:b/>
                <w:sz w:val="20"/>
                <w:szCs w:val="20"/>
                <w:lang w:eastAsia="lv-LV"/>
              </w:rPr>
              <w:t>0,8%</w:t>
            </w:r>
          </w:p>
        </w:tc>
        <w:tc>
          <w:tcPr>
            <w:tcW w:w="1134" w:type="dxa"/>
            <w:tcBorders>
              <w:bottom w:val="single" w:sz="4" w:space="0" w:color="auto"/>
            </w:tcBorders>
            <w:vAlign w:val="center"/>
          </w:tcPr>
          <w:p w:rsidR="00D9043E" w:rsidRPr="002359F4" w:rsidRDefault="00D9043E" w:rsidP="006D1659">
            <w:pPr>
              <w:jc w:val="center"/>
              <w:rPr>
                <w:rFonts w:ascii="Arial Narrow" w:eastAsia="Times New Roman" w:hAnsi="Arial Narrow"/>
                <w:b/>
                <w:sz w:val="20"/>
                <w:szCs w:val="20"/>
                <w:lang w:eastAsia="lv-LV"/>
              </w:rPr>
            </w:pPr>
            <w:r w:rsidRPr="002359F4">
              <w:rPr>
                <w:rFonts w:ascii="Arial Narrow" w:eastAsia="Times New Roman" w:hAnsi="Arial Narrow"/>
                <w:b/>
                <w:sz w:val="20"/>
                <w:szCs w:val="20"/>
                <w:lang w:eastAsia="lv-LV"/>
              </w:rPr>
              <w:t>0,2%</w:t>
            </w:r>
          </w:p>
        </w:tc>
      </w:tr>
    </w:tbl>
    <w:p w:rsidR="00D9043E" w:rsidRDefault="00D9043E" w:rsidP="00FC0F22">
      <w:pPr>
        <w:ind w:firstLine="709"/>
        <w:jc w:val="both"/>
        <w:rPr>
          <w:rFonts w:cs="Times New Roman"/>
          <w:sz w:val="26"/>
          <w:szCs w:val="26"/>
        </w:rPr>
      </w:pPr>
      <w:r w:rsidRPr="00D9043E">
        <w:rPr>
          <w:rFonts w:cs="Times New Roman"/>
          <w:sz w:val="26"/>
          <w:szCs w:val="26"/>
        </w:rPr>
        <w:tab/>
      </w:r>
    </w:p>
    <w:p w:rsidR="00D9043E" w:rsidRDefault="00D9043E" w:rsidP="00FC0F22">
      <w:pPr>
        <w:ind w:firstLine="709"/>
        <w:jc w:val="both"/>
        <w:rPr>
          <w:rFonts w:cs="Times New Roman"/>
          <w:sz w:val="26"/>
          <w:szCs w:val="26"/>
          <w:highlight w:val="yellow"/>
        </w:rPr>
      </w:pPr>
      <w:r w:rsidRPr="00D9043E">
        <w:rPr>
          <w:rFonts w:cs="Times New Roman"/>
          <w:sz w:val="26"/>
          <w:szCs w:val="26"/>
        </w:rPr>
        <w:t>Savukārt 2014.gada astoņos mēnešos Krievijas importa embargo sarakstā iekļauto preču īpatsvars kopējā Latvijas eksportā uz Krieviju sasniedza 7,2%. Īpatsvara pieaugums lielā mērā bija saistīts ar straujo šo preču eksporta kāpumu 2013.gada nogalē. Savukārt šogad  jau no gada sākuma Krievijas importa embargo sarakstā iekļauto preču eksporta apjomi samazinājās, ko lielā mērā noteica ekonomiskās situācijas pasliktināšanās Krievijā.</w:t>
      </w:r>
    </w:p>
    <w:p w:rsidR="00D9043E" w:rsidRDefault="00D9043E" w:rsidP="00FC0F22">
      <w:pPr>
        <w:ind w:firstLine="709"/>
        <w:jc w:val="both"/>
        <w:rPr>
          <w:rFonts w:cs="Times New Roman"/>
          <w:sz w:val="26"/>
          <w:szCs w:val="26"/>
          <w:highlight w:val="yellow"/>
        </w:rPr>
      </w:pPr>
    </w:p>
    <w:p w:rsidR="000E3098" w:rsidRPr="000E3098" w:rsidRDefault="000E3098" w:rsidP="000E3098">
      <w:pPr>
        <w:spacing w:line="276" w:lineRule="auto"/>
        <w:ind w:firstLine="567"/>
        <w:jc w:val="center"/>
        <w:rPr>
          <w:rFonts w:cs="Times New Roman"/>
          <w:b/>
          <w:sz w:val="26"/>
          <w:szCs w:val="26"/>
        </w:rPr>
      </w:pPr>
      <w:r w:rsidRPr="000E3098">
        <w:rPr>
          <w:rFonts w:cs="Times New Roman"/>
          <w:b/>
          <w:sz w:val="26"/>
          <w:szCs w:val="26"/>
        </w:rPr>
        <w:t>Preču eksports uz Krieviju</w:t>
      </w:r>
    </w:p>
    <w:p w:rsidR="000E3098" w:rsidRPr="000E3098" w:rsidRDefault="000E3098" w:rsidP="000E3098">
      <w:pPr>
        <w:spacing w:line="276" w:lineRule="auto"/>
        <w:ind w:firstLine="567"/>
        <w:jc w:val="center"/>
        <w:rPr>
          <w:rFonts w:cs="Times New Roman"/>
          <w:sz w:val="8"/>
          <w:szCs w:val="8"/>
        </w:rPr>
      </w:pPr>
    </w:p>
    <w:tbl>
      <w:tblPr>
        <w:tblW w:w="9642" w:type="dxa"/>
        <w:jc w:val="center"/>
        <w:tblLook w:val="01E0" w:firstRow="1" w:lastRow="1" w:firstColumn="1" w:lastColumn="1" w:noHBand="0" w:noVBand="0"/>
      </w:tblPr>
      <w:tblGrid>
        <w:gridCol w:w="4821"/>
        <w:gridCol w:w="4821"/>
      </w:tblGrid>
      <w:tr w:rsidR="000E3098" w:rsidRPr="000E3098" w:rsidTr="00B70870">
        <w:trPr>
          <w:jc w:val="center"/>
        </w:trPr>
        <w:tc>
          <w:tcPr>
            <w:tcW w:w="4821" w:type="dxa"/>
          </w:tcPr>
          <w:p w:rsidR="000E3098" w:rsidRPr="000E3098" w:rsidRDefault="000E3098" w:rsidP="000E3098">
            <w:pPr>
              <w:tabs>
                <w:tab w:val="center" w:pos="2409"/>
              </w:tabs>
              <w:jc w:val="center"/>
              <w:rPr>
                <w:rFonts w:eastAsia="Times New Roman" w:cs="Times New Roman"/>
                <w:bCs/>
                <w:color w:val="000000"/>
                <w:sz w:val="22"/>
                <w:szCs w:val="20"/>
              </w:rPr>
            </w:pPr>
            <w:r w:rsidRPr="000E3098">
              <w:rPr>
                <w:rFonts w:eastAsia="Times New Roman" w:cs="Times New Roman"/>
                <w:bCs/>
                <w:color w:val="000000"/>
                <w:sz w:val="22"/>
                <w:szCs w:val="20"/>
              </w:rPr>
              <w:t xml:space="preserve">Kopējais preču eksports uz Krieviju, </w:t>
            </w:r>
          </w:p>
          <w:p w:rsidR="000E3098" w:rsidRPr="000E3098" w:rsidRDefault="000E3098" w:rsidP="000E3098">
            <w:pPr>
              <w:tabs>
                <w:tab w:val="center" w:pos="2409"/>
              </w:tabs>
              <w:jc w:val="center"/>
              <w:rPr>
                <w:rFonts w:eastAsia="Times New Roman" w:cs="Times New Roman"/>
                <w:bCs/>
                <w:color w:val="000000"/>
                <w:sz w:val="22"/>
                <w:szCs w:val="20"/>
              </w:rPr>
            </w:pPr>
            <w:proofErr w:type="spellStart"/>
            <w:r w:rsidRPr="000E3098">
              <w:rPr>
                <w:rFonts w:eastAsia="Times New Roman" w:cs="Times New Roman"/>
                <w:bCs/>
                <w:color w:val="000000"/>
                <w:sz w:val="22"/>
                <w:szCs w:val="20"/>
              </w:rPr>
              <w:t>milj</w:t>
            </w:r>
            <w:proofErr w:type="spellEnd"/>
            <w:r w:rsidRPr="000E3098">
              <w:rPr>
                <w:rFonts w:eastAsia="Times New Roman" w:cs="Times New Roman"/>
                <w:bCs/>
                <w:color w:val="000000"/>
                <w:sz w:val="22"/>
                <w:szCs w:val="20"/>
              </w:rPr>
              <w:t>. EUR</w:t>
            </w:r>
          </w:p>
        </w:tc>
        <w:tc>
          <w:tcPr>
            <w:tcW w:w="4821" w:type="dxa"/>
          </w:tcPr>
          <w:p w:rsidR="000E3098" w:rsidRPr="000E3098" w:rsidRDefault="000E3098" w:rsidP="000E3098">
            <w:pPr>
              <w:tabs>
                <w:tab w:val="center" w:pos="2415"/>
              </w:tabs>
              <w:jc w:val="center"/>
              <w:rPr>
                <w:rFonts w:eastAsia="Times New Roman" w:cs="Times New Roman"/>
                <w:sz w:val="22"/>
                <w:szCs w:val="20"/>
                <w:lang w:eastAsia="lv-LV"/>
              </w:rPr>
            </w:pPr>
            <w:r w:rsidRPr="000E3098">
              <w:rPr>
                <w:rFonts w:eastAsia="Times New Roman" w:cs="Times New Roman"/>
                <w:bCs/>
                <w:color w:val="000000"/>
                <w:sz w:val="22"/>
                <w:szCs w:val="20"/>
              </w:rPr>
              <w:t xml:space="preserve">Krievijas importa embargo sarakstā iekļauto preču eksports, </w:t>
            </w:r>
            <w:proofErr w:type="spellStart"/>
            <w:r w:rsidRPr="000E3098">
              <w:rPr>
                <w:rFonts w:eastAsia="Times New Roman" w:cs="Times New Roman"/>
                <w:bCs/>
                <w:color w:val="000000"/>
                <w:sz w:val="22"/>
                <w:szCs w:val="20"/>
              </w:rPr>
              <w:t>milj</w:t>
            </w:r>
            <w:proofErr w:type="spellEnd"/>
            <w:r w:rsidRPr="000E3098">
              <w:rPr>
                <w:rFonts w:eastAsia="Times New Roman" w:cs="Times New Roman"/>
                <w:bCs/>
                <w:color w:val="000000"/>
                <w:sz w:val="22"/>
                <w:szCs w:val="20"/>
              </w:rPr>
              <w:t>. EUR</w:t>
            </w:r>
          </w:p>
        </w:tc>
      </w:tr>
      <w:tr w:rsidR="000E3098" w:rsidRPr="000E3098" w:rsidTr="00B70870">
        <w:trPr>
          <w:trHeight w:val="2818"/>
          <w:jc w:val="center"/>
        </w:trPr>
        <w:tc>
          <w:tcPr>
            <w:tcW w:w="4821" w:type="dxa"/>
          </w:tcPr>
          <w:p w:rsidR="000E3098" w:rsidRPr="000E3098" w:rsidRDefault="000E3098" w:rsidP="000E3098">
            <w:pPr>
              <w:spacing w:line="276" w:lineRule="auto"/>
              <w:rPr>
                <w:rFonts w:eastAsia="Times New Roman" w:cs="Times New Roman"/>
              </w:rPr>
            </w:pPr>
            <w:r w:rsidRPr="000E3098">
              <w:rPr>
                <w:rFonts w:eastAsia="Times New Roman" w:cs="Times New Roman"/>
                <w:noProof/>
                <w:sz w:val="20"/>
                <w:szCs w:val="20"/>
                <w:lang w:eastAsia="lv-LV"/>
              </w:rPr>
              <w:drawing>
                <wp:inline distT="0" distB="0" distL="0" distR="0" wp14:anchorId="6753ED66" wp14:editId="19C76123">
                  <wp:extent cx="2924355" cy="1630392"/>
                  <wp:effectExtent l="0" t="0" r="0" b="0"/>
                  <wp:docPr id="1" name="Objec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4821" w:type="dxa"/>
          </w:tcPr>
          <w:p w:rsidR="000E3098" w:rsidRPr="000E3098" w:rsidRDefault="000E3098" w:rsidP="000E3098">
            <w:pPr>
              <w:spacing w:line="276" w:lineRule="auto"/>
              <w:rPr>
                <w:rFonts w:eastAsia="Times New Roman" w:cs="Times New Roman"/>
              </w:rPr>
            </w:pPr>
            <w:r w:rsidRPr="000E3098">
              <w:rPr>
                <w:rFonts w:eastAsia="Times New Roman" w:cs="Times New Roman"/>
                <w:noProof/>
                <w:sz w:val="20"/>
                <w:szCs w:val="20"/>
                <w:lang w:eastAsia="lv-LV"/>
              </w:rPr>
              <w:drawing>
                <wp:inline distT="0" distB="0" distL="0" distR="0" wp14:anchorId="10E63197" wp14:editId="6A093855">
                  <wp:extent cx="2924355" cy="1630392"/>
                  <wp:effectExtent l="0" t="0" r="0" b="0"/>
                  <wp:docPr id="2" name="Objec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D9043E" w:rsidRDefault="00B70870" w:rsidP="00FC0F22">
      <w:pPr>
        <w:ind w:firstLine="709"/>
        <w:jc w:val="both"/>
        <w:rPr>
          <w:rFonts w:cs="Times New Roman"/>
          <w:sz w:val="26"/>
          <w:szCs w:val="26"/>
        </w:rPr>
      </w:pPr>
      <w:r w:rsidRPr="00B70870">
        <w:rPr>
          <w:rFonts w:cs="Times New Roman"/>
          <w:sz w:val="26"/>
          <w:szCs w:val="26"/>
        </w:rPr>
        <w:t>Līdzīgas tendences bija vērojamas arī kopējam preču eksportam uz Krieviju. Lielā mērā pateicoties augstajam līmenim 2013.gada nogalē, arī 2014.gada pirmajos mēnešos preču eksporta apjomi uz Krieviju saglabājās salīdzinoši augsti. Pavājinoties pieprasījumam Krievijas tirgū, kopš marta kopējie eksporta apjomi jau atpalika no pagājušā gada līmeņa. Vienlaikus jāatzīmē preču eksporta neraksturīgais pieaugums augustā, kad, neraugoties uz atsevišķu pārtikas produktu embargo ieviešanu, kopējie preču eksporta apjomi mēneša laikā pieauga par 9,4% un bija pat nedaudz lielāki nekā 2013.gada augustā. Kāpumu noteica alkoholisko dzērienu eksporta apjomu būtisks pieaugums (alkoholiskie dzērieni veido 25% no kopējā preču eksporta uz Krieviju).</w:t>
      </w:r>
    </w:p>
    <w:p w:rsidR="00B70870" w:rsidRDefault="00B70870" w:rsidP="00FC0F22">
      <w:pPr>
        <w:ind w:firstLine="709"/>
        <w:jc w:val="both"/>
        <w:rPr>
          <w:rFonts w:cs="Times New Roman"/>
          <w:sz w:val="26"/>
          <w:szCs w:val="26"/>
        </w:rPr>
      </w:pPr>
      <w:r w:rsidRPr="00B70870">
        <w:rPr>
          <w:rFonts w:cs="Times New Roman"/>
          <w:sz w:val="26"/>
          <w:szCs w:val="26"/>
        </w:rPr>
        <w:lastRenderedPageBreak/>
        <w:t>Kā jau bija gaidāms, tad augustā Krievijas importa embargo sarakstā iekļauto preču eksporta apjomi bija caurmērā 20-25% līmenī no jūlija eksporta apjoma un Krieviju. Vienlaikus jāatzīmē, ka augustā sankcijām pakļauto preču grupu eksporta apjomi saruka visos Latvijas eksporta tirgos – ne tikai Krievijā, bet arī Lietuvā, Igaunijā, pārējās ES dalībvalstīs, kā arī trešajās valstīs.</w:t>
      </w:r>
    </w:p>
    <w:p w:rsidR="00B70870" w:rsidRDefault="0008101D" w:rsidP="00FC0F22">
      <w:pPr>
        <w:ind w:firstLine="709"/>
        <w:jc w:val="both"/>
        <w:rPr>
          <w:rFonts w:cs="Times New Roman"/>
          <w:sz w:val="26"/>
          <w:szCs w:val="26"/>
          <w:highlight w:val="yellow"/>
        </w:rPr>
      </w:pPr>
      <w:r>
        <w:rPr>
          <w:rFonts w:cs="Times New Roman"/>
          <w:sz w:val="26"/>
          <w:szCs w:val="26"/>
        </w:rPr>
        <w:t>Liel</w:t>
      </w:r>
      <w:r w:rsidR="00B70870" w:rsidRPr="00B70870">
        <w:rPr>
          <w:rFonts w:cs="Times New Roman"/>
          <w:sz w:val="26"/>
          <w:szCs w:val="26"/>
        </w:rPr>
        <w:t>ākā preču grupa, kas ir pakļauta Krievijas sankcijām ir piens un piena produkti. 2014.gada astoņos mēnešos no visa eksportētā piena un piena produktiem Krievijas tirgus veidoja 21%. Lielākais Latvijas eksporta piena un piena produktu noieta tirgus ir Lietuva un kuru augustā tika eksportēts par 21% mazāk piena un piena produktu nekā jūlijā, kas pakārtoti ir saistītas ar Krievijas sankcijām.</w:t>
      </w:r>
    </w:p>
    <w:p w:rsidR="00D9043E" w:rsidRPr="00E8278F" w:rsidRDefault="00D9043E" w:rsidP="00FC0F22">
      <w:pPr>
        <w:ind w:firstLine="709"/>
        <w:jc w:val="both"/>
        <w:rPr>
          <w:rFonts w:cs="Times New Roman"/>
          <w:sz w:val="26"/>
          <w:szCs w:val="26"/>
          <w:highlight w:val="yellow"/>
        </w:rPr>
      </w:pPr>
    </w:p>
    <w:p w:rsidR="00064E6E" w:rsidRPr="00830468" w:rsidRDefault="00064E6E" w:rsidP="00830468">
      <w:pPr>
        <w:rPr>
          <w:b/>
          <w:sz w:val="26"/>
          <w:szCs w:val="26"/>
        </w:rPr>
      </w:pPr>
      <w:r w:rsidRPr="00830468">
        <w:rPr>
          <w:b/>
          <w:sz w:val="26"/>
          <w:szCs w:val="26"/>
        </w:rPr>
        <w:t>Ietekme uz embargo skartajām tautsaimniecības nozarēm</w:t>
      </w:r>
    </w:p>
    <w:p w:rsidR="00830468" w:rsidRDefault="00830468" w:rsidP="00064E6E">
      <w:pPr>
        <w:ind w:firstLine="709"/>
        <w:jc w:val="both"/>
        <w:rPr>
          <w:rFonts w:cs="Times New Roman"/>
          <w:b/>
          <w:i/>
          <w:sz w:val="26"/>
          <w:szCs w:val="26"/>
        </w:rPr>
      </w:pPr>
    </w:p>
    <w:p w:rsidR="00440136" w:rsidRPr="00440136" w:rsidRDefault="00064E6E" w:rsidP="00440136">
      <w:pPr>
        <w:ind w:firstLine="709"/>
        <w:jc w:val="both"/>
        <w:rPr>
          <w:rFonts w:cs="Times New Roman"/>
          <w:b/>
          <w:i/>
          <w:sz w:val="26"/>
          <w:szCs w:val="26"/>
        </w:rPr>
      </w:pPr>
      <w:r w:rsidRPr="00AB7B58">
        <w:rPr>
          <w:rFonts w:cs="Times New Roman"/>
          <w:b/>
          <w:i/>
          <w:sz w:val="26"/>
          <w:szCs w:val="26"/>
        </w:rPr>
        <w:t>Piena nozare</w:t>
      </w:r>
    </w:p>
    <w:p w:rsidR="00440136" w:rsidRPr="00440136" w:rsidRDefault="00440136" w:rsidP="00440136">
      <w:pPr>
        <w:ind w:firstLine="709"/>
        <w:jc w:val="both"/>
        <w:rPr>
          <w:rFonts w:cs="Times New Roman"/>
          <w:sz w:val="26"/>
          <w:szCs w:val="26"/>
        </w:rPr>
      </w:pPr>
      <w:r w:rsidRPr="00440136">
        <w:rPr>
          <w:rFonts w:cs="Times New Roman"/>
          <w:sz w:val="26"/>
          <w:szCs w:val="26"/>
        </w:rPr>
        <w:t xml:space="preserve">Piena nozare no Krievijas embargo cieš visvairāk - piena produkti, it īpaši siers, aizņēma lielāko daļu aizliegumam pakļauto Latvijas produktu eksportā. Situācija piena nozarē kopš embargo ieviešanas ir būtiski pasliktinājusies, daudzos gadījumos tā ir kritiska. </w:t>
      </w:r>
    </w:p>
    <w:p w:rsidR="00440136" w:rsidRDefault="00440136" w:rsidP="00440136">
      <w:pPr>
        <w:ind w:firstLine="709"/>
        <w:jc w:val="both"/>
        <w:rPr>
          <w:rFonts w:cs="Times New Roman"/>
          <w:sz w:val="26"/>
          <w:szCs w:val="26"/>
        </w:rPr>
      </w:pPr>
      <w:r w:rsidRPr="00440136">
        <w:rPr>
          <w:rFonts w:cs="Times New Roman"/>
          <w:sz w:val="26"/>
          <w:szCs w:val="26"/>
        </w:rPr>
        <w:t>Zemkopības ministrija vērtē, ka oktobrī piena iepirkuma cena ir samazinājusies jau par 25 %, salīdzinot ar cenu jūlijā, kas bija 293,2 EUR/t. Bez tam, piena pircēju sniegtie dati ļauj secināt, ka cenas samazinājuma apmēru praktiski neietekmē saimniecības lielums, kā arī tas, vai saimniecība pienu pārdod uzņēmumam, kas ražoja produktus Krievijas tirgum, vai vietējas/reģionālas darbības mēroga uzņēmumam. Būtiski pazeminājušās arī piena produktu tirgus cenas tiem uzņēmumiem, kuri eksportēja piena produktus uz Krieviju, kas arī neļauj pārstrādes uzņēmumiem uzturēt piena iepirkuma cenu. Piemēram, kā liecina šo uzņēmumu sniegtā informācija, vājpiena pulverim cena pazeminājusies līdz 35 %, sieriem līdz 20 %, sviestam līdz 19 %.</w:t>
      </w:r>
    </w:p>
    <w:p w:rsidR="00064E6E" w:rsidRPr="00AB7B58" w:rsidRDefault="00064E6E" w:rsidP="00064E6E">
      <w:pPr>
        <w:ind w:firstLine="709"/>
        <w:jc w:val="both"/>
        <w:rPr>
          <w:rFonts w:cs="Times New Roman"/>
          <w:sz w:val="26"/>
          <w:szCs w:val="26"/>
        </w:rPr>
      </w:pPr>
    </w:p>
    <w:p w:rsidR="00064E6E" w:rsidRPr="00AB7B58" w:rsidRDefault="00064E6E" w:rsidP="00064E6E">
      <w:pPr>
        <w:ind w:firstLine="709"/>
        <w:jc w:val="both"/>
        <w:rPr>
          <w:rFonts w:cs="Times New Roman"/>
          <w:i/>
          <w:sz w:val="26"/>
          <w:szCs w:val="26"/>
        </w:rPr>
      </w:pPr>
      <w:r w:rsidRPr="00AB7B58">
        <w:rPr>
          <w:rFonts w:cs="Times New Roman"/>
          <w:b/>
          <w:i/>
          <w:sz w:val="26"/>
          <w:szCs w:val="26"/>
        </w:rPr>
        <w:t>Cūkgaļas nozare</w:t>
      </w:r>
    </w:p>
    <w:p w:rsidR="00064E6E" w:rsidRDefault="00B70870" w:rsidP="00064E6E">
      <w:pPr>
        <w:ind w:firstLine="709"/>
        <w:jc w:val="both"/>
        <w:rPr>
          <w:rFonts w:cs="Times New Roman"/>
          <w:sz w:val="26"/>
          <w:szCs w:val="26"/>
        </w:rPr>
      </w:pPr>
      <w:r w:rsidRPr="00B70870">
        <w:rPr>
          <w:rFonts w:cs="Times New Roman"/>
          <w:sz w:val="26"/>
          <w:szCs w:val="26"/>
        </w:rPr>
        <w:t xml:space="preserve">Cūkgaļas nozarē Latvijā saasinās situācija, jo Krievijas embargo netiešā ietekme šobrīd pastiprina Āfrikas cūku mēra dēļ noteikto gaļas aprites ierobežojumu radītās problēmas. Laikā </w:t>
      </w:r>
      <w:r>
        <w:rPr>
          <w:rFonts w:cs="Times New Roman"/>
          <w:sz w:val="26"/>
          <w:szCs w:val="26"/>
        </w:rPr>
        <w:t xml:space="preserve">no </w:t>
      </w:r>
      <w:r w:rsidRPr="00B70870">
        <w:rPr>
          <w:rFonts w:cs="Times New Roman"/>
          <w:sz w:val="26"/>
          <w:szCs w:val="26"/>
        </w:rPr>
        <w:t xml:space="preserve">septembra vidus, kad cenās iezīmējās īpaši izteikta lejupslīde, līdz novembra sākumam cūkgaļas E klases liemeņiem vidējā iepirkuma cena Latvijā pazeminājusies par 12%, bet salīdzinot ar situāciju pirms embargo, samazinājums ir pat 18% noslīdot līdz 146,11 EUR/100 kg. Pašreizējais cūkgaļas iepirkuma cenas līmenis nesedz ražošanas pašizmaksu, tādēļ cūkaudzētājiem rodas ievērojamas rentabilitātes problēmas un citi finansiālie sarežģījumi. Tā kā no pieejamiem informācijas avotiem cenas samazinājums vērojams arī citās dalībvalstīs, Zemkopības ministrija secina, ka šo tendenci veicina arī Krievijas embargo cūkgaļas izstrādājumiem (desām </w:t>
      </w:r>
      <w:proofErr w:type="spellStart"/>
      <w:r w:rsidRPr="00B70870">
        <w:rPr>
          <w:rFonts w:cs="Times New Roman"/>
          <w:sz w:val="26"/>
          <w:szCs w:val="26"/>
        </w:rPr>
        <w:t>utml</w:t>
      </w:r>
      <w:proofErr w:type="spellEnd"/>
      <w:r w:rsidRPr="00B70870">
        <w:rPr>
          <w:rFonts w:cs="Times New Roman"/>
          <w:sz w:val="26"/>
          <w:szCs w:val="26"/>
        </w:rPr>
        <w:t>.), jo eksporta tirgus zaudēšanas rezultātā tiek pārstrādāti mazāki gaļas daudzumi, kas savukārt palielina svaigas, atdzesētas un saldētas cūkgaļas piedāvājumu ES iekšējā tirgū.</w:t>
      </w:r>
    </w:p>
    <w:p w:rsidR="0033208D" w:rsidRPr="00B70870" w:rsidRDefault="0033208D" w:rsidP="00B70870">
      <w:pPr>
        <w:jc w:val="both"/>
        <w:rPr>
          <w:rFonts w:cs="Times New Roman"/>
          <w:sz w:val="26"/>
          <w:szCs w:val="26"/>
        </w:rPr>
      </w:pPr>
    </w:p>
    <w:p w:rsidR="00064E6E" w:rsidRPr="00AB7B58" w:rsidRDefault="00064E6E" w:rsidP="00064E6E">
      <w:pPr>
        <w:ind w:firstLine="709"/>
        <w:jc w:val="both"/>
        <w:rPr>
          <w:rFonts w:cs="Times New Roman"/>
          <w:sz w:val="26"/>
          <w:szCs w:val="26"/>
        </w:rPr>
      </w:pPr>
      <w:r w:rsidRPr="00AB7B58">
        <w:rPr>
          <w:rFonts w:cs="Times New Roman"/>
          <w:b/>
          <w:i/>
          <w:sz w:val="26"/>
          <w:szCs w:val="26"/>
        </w:rPr>
        <w:t>Augļu un dārzeņu nozare</w:t>
      </w:r>
    </w:p>
    <w:p w:rsidR="00650D8C" w:rsidRPr="00650D8C" w:rsidRDefault="00650D8C" w:rsidP="00650D8C">
      <w:pPr>
        <w:ind w:firstLine="709"/>
        <w:jc w:val="both"/>
        <w:rPr>
          <w:rFonts w:cs="Times New Roman"/>
          <w:sz w:val="26"/>
          <w:szCs w:val="26"/>
        </w:rPr>
      </w:pPr>
      <w:r w:rsidRPr="00650D8C">
        <w:rPr>
          <w:rFonts w:cs="Times New Roman"/>
          <w:sz w:val="26"/>
          <w:szCs w:val="26"/>
        </w:rPr>
        <w:t xml:space="preserve">Lai arī Latvija nav starp lielākajiem augļu un dārzeņu ražotājiem un eksportētājiem, tomēr Latvijas mērogā tā ir svarīga lauksaimniecības nozare. Kopumā </w:t>
      </w:r>
      <w:r w:rsidRPr="00650D8C">
        <w:rPr>
          <w:rFonts w:cs="Times New Roman"/>
          <w:sz w:val="26"/>
          <w:szCs w:val="26"/>
        </w:rPr>
        <w:lastRenderedPageBreak/>
        <w:t>nozare Krievijas sankciju ietekmē ir cietusi tieši tirgus piedāvājuma straujā pieauguma un citu valstu produkcijas importa būtiskas palielināšanās ietekmē.</w:t>
      </w:r>
    </w:p>
    <w:p w:rsidR="00064E6E" w:rsidRDefault="00650D8C" w:rsidP="00650D8C">
      <w:pPr>
        <w:ind w:firstLine="709"/>
        <w:jc w:val="both"/>
        <w:rPr>
          <w:rFonts w:cs="Times New Roman"/>
          <w:sz w:val="26"/>
          <w:szCs w:val="26"/>
        </w:rPr>
      </w:pPr>
      <w:r w:rsidRPr="00650D8C">
        <w:rPr>
          <w:rFonts w:cs="Times New Roman"/>
          <w:sz w:val="26"/>
          <w:szCs w:val="26"/>
        </w:rPr>
        <w:t>Vidēji dārzeņu sektorā cena samazinājusies par 30% - 50% atkarībā no produkta, piemēram, kāpostu cena laikā no jūlija līdz septembrim šogad bija samazinājusies par 33 %, savukārt burkānu cena – par 48%.</w:t>
      </w:r>
    </w:p>
    <w:p w:rsidR="00064E6E" w:rsidRPr="00AB7B58" w:rsidRDefault="00064E6E" w:rsidP="00064E6E">
      <w:pPr>
        <w:ind w:firstLine="709"/>
        <w:jc w:val="both"/>
        <w:rPr>
          <w:rFonts w:cs="Times New Roman"/>
          <w:sz w:val="26"/>
          <w:szCs w:val="26"/>
        </w:rPr>
      </w:pPr>
    </w:p>
    <w:p w:rsidR="00EE48C0" w:rsidRPr="008A452A" w:rsidRDefault="008A452A" w:rsidP="00313A86">
      <w:pPr>
        <w:ind w:firstLine="709"/>
        <w:rPr>
          <w:rFonts w:cs="Times New Roman"/>
          <w:b/>
          <w:i/>
          <w:sz w:val="26"/>
          <w:szCs w:val="26"/>
        </w:rPr>
      </w:pPr>
      <w:r w:rsidRPr="008A452A">
        <w:rPr>
          <w:rFonts w:cs="Times New Roman"/>
          <w:b/>
          <w:i/>
          <w:sz w:val="26"/>
          <w:szCs w:val="26"/>
        </w:rPr>
        <w:t>S</w:t>
      </w:r>
      <w:r w:rsidR="00064E6E" w:rsidRPr="008A452A">
        <w:rPr>
          <w:rFonts w:cs="Times New Roman"/>
          <w:b/>
          <w:i/>
          <w:sz w:val="26"/>
          <w:szCs w:val="26"/>
        </w:rPr>
        <w:t>ituācijas novērtējums tranzīta un loģistikas sektorā</w:t>
      </w:r>
    </w:p>
    <w:p w:rsidR="00064E6E" w:rsidRPr="00AB7B58" w:rsidRDefault="00064E6E" w:rsidP="00064E6E">
      <w:pPr>
        <w:ind w:firstLine="709"/>
        <w:jc w:val="both"/>
        <w:rPr>
          <w:rFonts w:cs="Times New Roman"/>
          <w:sz w:val="26"/>
          <w:szCs w:val="26"/>
        </w:rPr>
      </w:pPr>
      <w:r w:rsidRPr="00AB7B58">
        <w:rPr>
          <w:rFonts w:cs="Times New Roman"/>
          <w:sz w:val="26"/>
          <w:szCs w:val="26"/>
        </w:rPr>
        <w:t xml:space="preserve">Saskaņā ar Satiksmes ministrijas novērtējumu, attiecību ar Krieviju pasliktināšanās gadījumā pastāv risks zaudēt eksporta pakalpojumu apjomu tuvu pie 1 </w:t>
      </w:r>
      <w:proofErr w:type="spellStart"/>
      <w:r w:rsidRPr="00AB7B58">
        <w:rPr>
          <w:rFonts w:cs="Times New Roman"/>
          <w:sz w:val="26"/>
          <w:szCs w:val="26"/>
        </w:rPr>
        <w:t>mld</w:t>
      </w:r>
      <w:proofErr w:type="spellEnd"/>
      <w:r w:rsidRPr="00AB7B58">
        <w:rPr>
          <w:rFonts w:cs="Times New Roman"/>
          <w:sz w:val="26"/>
          <w:szCs w:val="26"/>
        </w:rPr>
        <w:t xml:space="preserve"> </w:t>
      </w:r>
      <w:proofErr w:type="spellStart"/>
      <w:r w:rsidR="00886310">
        <w:rPr>
          <w:rFonts w:cs="Times New Roman"/>
          <w:sz w:val="26"/>
          <w:szCs w:val="26"/>
        </w:rPr>
        <w:t>eu</w:t>
      </w:r>
      <w:r w:rsidR="00650D8C">
        <w:rPr>
          <w:rFonts w:cs="Times New Roman"/>
          <w:sz w:val="26"/>
          <w:szCs w:val="26"/>
        </w:rPr>
        <w:t>ro</w:t>
      </w:r>
      <w:proofErr w:type="spellEnd"/>
      <w:r w:rsidRPr="00AB7B58">
        <w:rPr>
          <w:rFonts w:cs="Times New Roman"/>
          <w:sz w:val="26"/>
          <w:szCs w:val="26"/>
        </w:rPr>
        <w:t xml:space="preserve">. Tas tieši skartu dzelzceļa nozari, ostu terminālus, autopārvadātājus, maģistrālo naftas un naftas produktu cauruļvadu jomu, kā arī pakalpojumu sniedzējus. </w:t>
      </w:r>
    </w:p>
    <w:p w:rsidR="00064E6E" w:rsidRPr="00AB7B58" w:rsidRDefault="00064E6E" w:rsidP="00064E6E">
      <w:pPr>
        <w:ind w:firstLine="709"/>
        <w:jc w:val="both"/>
        <w:rPr>
          <w:rFonts w:cs="Times New Roman"/>
          <w:sz w:val="26"/>
          <w:szCs w:val="26"/>
        </w:rPr>
      </w:pPr>
      <w:r w:rsidRPr="00AB7B58">
        <w:rPr>
          <w:rFonts w:cs="Times New Roman"/>
          <w:sz w:val="26"/>
          <w:szCs w:val="26"/>
        </w:rPr>
        <w:t xml:space="preserve">Krievijas ieviestā embargo atsevišķiem lauksaimniecības produktiem sekas izjūt auto pārvadātāji Latvijā, jo īpaši mazās autopārvadātāju kompānijas ar salīdzinoši mazu autoparku. Satiksmes ministrijas Autosatiksmes departaments </w:t>
      </w:r>
      <w:r w:rsidRPr="00650D8C">
        <w:rPr>
          <w:rFonts w:cs="Times New Roman"/>
          <w:sz w:val="26"/>
          <w:szCs w:val="26"/>
        </w:rPr>
        <w:t xml:space="preserve">ir </w:t>
      </w:r>
      <w:r w:rsidR="00650D8C" w:rsidRPr="00650D8C">
        <w:rPr>
          <w:rFonts w:cs="Times New Roman"/>
          <w:sz w:val="26"/>
          <w:szCs w:val="26"/>
        </w:rPr>
        <w:t>apkopojis</w:t>
      </w:r>
      <w:r w:rsidRPr="00650D8C">
        <w:rPr>
          <w:rFonts w:cs="Times New Roman"/>
          <w:sz w:val="26"/>
          <w:szCs w:val="26"/>
        </w:rPr>
        <w:t xml:space="preserve"> informāciju no nozares asociācijām par Krievijas importa aizlieguma ietekmi. Analizējot nozares asociāciju iesniegto informāciju,</w:t>
      </w:r>
      <w:r w:rsidRPr="00AB7B58">
        <w:rPr>
          <w:rFonts w:cs="Times New Roman"/>
          <w:sz w:val="26"/>
          <w:szCs w:val="26"/>
        </w:rPr>
        <w:t xml:space="preserve"> var secināt, ka Latvijas lielās autopārvadātāju kompānijas nosaka nepamatoti zemas pārvadājumu cenas un mazie nozares uzņēmumi nespēj vienlīdzīgi konkurēt. Sakarā ar Krievijas Federācijas noteiktajām sankcijām, Latvijas refrižeratoru autoparkam liegti 12.4% </w:t>
      </w:r>
      <w:r w:rsidR="00650D8C">
        <w:rPr>
          <w:rFonts w:cs="Times New Roman"/>
          <w:sz w:val="26"/>
          <w:szCs w:val="26"/>
        </w:rPr>
        <w:t xml:space="preserve">(13765 autopārvadājumi) </w:t>
      </w:r>
      <w:r w:rsidRPr="00AB7B58">
        <w:rPr>
          <w:rFonts w:cs="Times New Roman"/>
          <w:sz w:val="26"/>
          <w:szCs w:val="26"/>
        </w:rPr>
        <w:t xml:space="preserve">pārvadājumu no kopējiem uz Krieviju </w:t>
      </w:r>
      <w:r w:rsidR="00650D8C">
        <w:rPr>
          <w:rFonts w:cs="Times New Roman"/>
          <w:sz w:val="26"/>
          <w:szCs w:val="26"/>
        </w:rPr>
        <w:t>veiktajiem 111011 pārvadājumiem</w:t>
      </w:r>
      <w:r w:rsidRPr="00AB7B58">
        <w:rPr>
          <w:rFonts w:cs="Times New Roman"/>
          <w:sz w:val="26"/>
          <w:szCs w:val="26"/>
        </w:rPr>
        <w:t>. Naudas izteiksmē netiks saņemti ~20</w:t>
      </w:r>
      <w:r w:rsidR="00650D8C">
        <w:rPr>
          <w:rFonts w:cs="Times New Roman"/>
          <w:sz w:val="26"/>
          <w:szCs w:val="26"/>
        </w:rPr>
        <w:t>,5milj.</w:t>
      </w:r>
      <w:r w:rsidRPr="00AB7B58">
        <w:rPr>
          <w:rFonts w:cs="Times New Roman"/>
          <w:sz w:val="26"/>
          <w:szCs w:val="26"/>
        </w:rPr>
        <w:t xml:space="preserve"> </w:t>
      </w:r>
      <w:proofErr w:type="spellStart"/>
      <w:r w:rsidR="00650D8C">
        <w:rPr>
          <w:rFonts w:cs="Times New Roman"/>
          <w:sz w:val="26"/>
          <w:szCs w:val="26"/>
        </w:rPr>
        <w:t>e</w:t>
      </w:r>
      <w:r w:rsidR="00886310">
        <w:rPr>
          <w:rFonts w:cs="Times New Roman"/>
          <w:sz w:val="26"/>
          <w:szCs w:val="26"/>
        </w:rPr>
        <w:t>u</w:t>
      </w:r>
      <w:r w:rsidR="00650D8C">
        <w:rPr>
          <w:rFonts w:cs="Times New Roman"/>
          <w:sz w:val="26"/>
          <w:szCs w:val="26"/>
        </w:rPr>
        <w:t>ro</w:t>
      </w:r>
      <w:proofErr w:type="spellEnd"/>
      <w:r w:rsidRPr="00AB7B58">
        <w:rPr>
          <w:rFonts w:cs="Times New Roman"/>
          <w:sz w:val="26"/>
          <w:szCs w:val="26"/>
        </w:rPr>
        <w:t xml:space="preserve">, pēc asociācijas  „Latvijas Auto” rīcībā esošās informācijas autotransporta uzņēmumu līzinga maksājumi veido 34% no starptautiskā komercpārvadājumu </w:t>
      </w:r>
      <w:proofErr w:type="spellStart"/>
      <w:r w:rsidRPr="00AB7B58">
        <w:rPr>
          <w:rFonts w:cs="Times New Roman"/>
          <w:sz w:val="26"/>
          <w:szCs w:val="26"/>
        </w:rPr>
        <w:t>frakta</w:t>
      </w:r>
      <w:proofErr w:type="spellEnd"/>
      <w:r w:rsidRPr="00AB7B58">
        <w:rPr>
          <w:rFonts w:cs="Times New Roman"/>
          <w:sz w:val="26"/>
          <w:szCs w:val="26"/>
        </w:rPr>
        <w:t xml:space="preserve"> cenas, līdz ar to uzņēmējiem būs jākompensē zaudējumi no saviem līdzekļiem, kas veido ~ 7 </w:t>
      </w:r>
      <w:proofErr w:type="spellStart"/>
      <w:r w:rsidR="00650D8C">
        <w:rPr>
          <w:rFonts w:cs="Times New Roman"/>
          <w:sz w:val="26"/>
          <w:szCs w:val="26"/>
        </w:rPr>
        <w:t>milj</w:t>
      </w:r>
      <w:proofErr w:type="spellEnd"/>
      <w:r w:rsidR="00650D8C">
        <w:rPr>
          <w:rFonts w:cs="Times New Roman"/>
          <w:sz w:val="26"/>
          <w:szCs w:val="26"/>
        </w:rPr>
        <w:t>.</w:t>
      </w:r>
      <w:r w:rsidRPr="00AB7B58">
        <w:rPr>
          <w:rFonts w:cs="Times New Roman"/>
          <w:sz w:val="26"/>
          <w:szCs w:val="26"/>
        </w:rPr>
        <w:t xml:space="preserve"> </w:t>
      </w:r>
      <w:proofErr w:type="spellStart"/>
      <w:r w:rsidR="00650D8C">
        <w:rPr>
          <w:rFonts w:cs="Times New Roman"/>
          <w:sz w:val="26"/>
          <w:szCs w:val="26"/>
        </w:rPr>
        <w:t>e</w:t>
      </w:r>
      <w:r w:rsidR="00886310">
        <w:rPr>
          <w:rFonts w:cs="Times New Roman"/>
          <w:sz w:val="26"/>
          <w:szCs w:val="26"/>
        </w:rPr>
        <w:t>u</w:t>
      </w:r>
      <w:r w:rsidR="00650D8C">
        <w:rPr>
          <w:rFonts w:cs="Times New Roman"/>
          <w:sz w:val="26"/>
          <w:szCs w:val="26"/>
        </w:rPr>
        <w:t>ro</w:t>
      </w:r>
      <w:proofErr w:type="spellEnd"/>
      <w:r w:rsidRPr="00AB7B58">
        <w:rPr>
          <w:rFonts w:cs="Times New Roman"/>
          <w:sz w:val="26"/>
          <w:szCs w:val="26"/>
        </w:rPr>
        <w:t>.</w:t>
      </w:r>
    </w:p>
    <w:p w:rsidR="00FC368C" w:rsidRPr="00FC368C" w:rsidRDefault="00FC368C" w:rsidP="00FC368C">
      <w:pPr>
        <w:ind w:firstLine="709"/>
        <w:jc w:val="both"/>
        <w:rPr>
          <w:rFonts w:cs="Times New Roman"/>
          <w:sz w:val="26"/>
          <w:szCs w:val="26"/>
        </w:rPr>
      </w:pPr>
      <w:r w:rsidRPr="00FC368C">
        <w:rPr>
          <w:rFonts w:cs="Times New Roman"/>
          <w:sz w:val="26"/>
          <w:szCs w:val="26"/>
        </w:rPr>
        <w:t xml:space="preserve">Šobrīd Latvijas ostu kravu apgrozījuma statistika nenorāda uz nopietnu Krievijas ekonomisko sankciju ietekmi. Latvijas ostās šī gada 10 mēnešos ir vērojams 4.8% kravu apgrozījuma pieaugums. Bet, ja analizē atsevišķas ostas, tad Ventspils ostā kravu apgrozījumam 10 mēnešos ir vērojams būtisks kritums -7.3%. Līdz ar Krievijas ekonomisko sankciju ieviešanu Ventspils brīvostā ir būtiski samazinājies pārkrauto ogļu un naftas produktu apjoms pēdējos mēnešos. Ventspils brīvosta līdz gada beigām prognozē ogļu apjoma kritumu līdz 1.5 </w:t>
      </w:r>
      <w:proofErr w:type="spellStart"/>
      <w:r w:rsidRPr="00FC368C">
        <w:rPr>
          <w:rFonts w:cs="Times New Roman"/>
          <w:sz w:val="26"/>
          <w:szCs w:val="26"/>
        </w:rPr>
        <w:t>milj.tonnām</w:t>
      </w:r>
      <w:proofErr w:type="spellEnd"/>
      <w:r w:rsidRPr="00FC368C">
        <w:rPr>
          <w:rFonts w:cs="Times New Roman"/>
          <w:sz w:val="26"/>
          <w:szCs w:val="26"/>
        </w:rPr>
        <w:t>. Ventspils brīvosta ir aprēķinājusi, ka brīvostas zaudējumi rēķin</w:t>
      </w:r>
      <w:r w:rsidR="00886310">
        <w:rPr>
          <w:rFonts w:cs="Times New Roman"/>
          <w:sz w:val="26"/>
          <w:szCs w:val="26"/>
        </w:rPr>
        <w:t xml:space="preserve">āmi apmēram 500 tūkstošu </w:t>
      </w:r>
      <w:proofErr w:type="spellStart"/>
      <w:r w:rsidR="00886310">
        <w:rPr>
          <w:rFonts w:cs="Times New Roman"/>
          <w:sz w:val="26"/>
          <w:szCs w:val="26"/>
        </w:rPr>
        <w:t>eu</w:t>
      </w:r>
      <w:r w:rsidRPr="00FC368C">
        <w:rPr>
          <w:rFonts w:cs="Times New Roman"/>
          <w:sz w:val="26"/>
          <w:szCs w:val="26"/>
        </w:rPr>
        <w:t>ro</w:t>
      </w:r>
      <w:proofErr w:type="spellEnd"/>
      <w:r w:rsidRPr="00FC368C">
        <w:rPr>
          <w:rFonts w:cs="Times New Roman"/>
          <w:sz w:val="26"/>
          <w:szCs w:val="26"/>
        </w:rPr>
        <w:t xml:space="preserve"> apmērā mēnesī. Rīgas brīvostā šī gada 10 mēnešos ir vērojams kravu pieaugums par 14%, salīdzinot ar analogu periodu pērn. Un Liepājas ostā šī gada 10 mēnešos ir vērojams 7.9% kravu pieaugums, salīdzinot ar pagājušā gada 10 mēnešiem. </w:t>
      </w:r>
    </w:p>
    <w:p w:rsidR="00FC368C" w:rsidRPr="00FC368C" w:rsidRDefault="00FC368C" w:rsidP="00FC368C">
      <w:pPr>
        <w:ind w:firstLine="709"/>
        <w:jc w:val="both"/>
        <w:rPr>
          <w:rFonts w:cs="Times New Roman"/>
          <w:sz w:val="26"/>
          <w:szCs w:val="26"/>
        </w:rPr>
      </w:pPr>
      <w:r w:rsidRPr="00FC368C">
        <w:rPr>
          <w:rFonts w:cs="Times New Roman"/>
          <w:sz w:val="26"/>
          <w:szCs w:val="26"/>
        </w:rPr>
        <w:t xml:space="preserve">VAS„ Latvijas Dzelzceļa”  kravu pārvadājumi vēl ir ar 1.7% kravu pieaugumu, bet atsevišķās kategorijās pēdējos mēnešos ir vērojams būtisks kravu kritums. Par 33.9% ir samazinājušies sauszemes tranzīta pārvadājumi un par 5.4% samazinājies kravu imports dzelzceļa pārvadājumos. Prognozējot kopējos šī gada rādītājus, </w:t>
      </w:r>
      <w:r>
        <w:rPr>
          <w:rFonts w:cs="Times New Roman"/>
          <w:sz w:val="26"/>
          <w:szCs w:val="26"/>
        </w:rPr>
        <w:t xml:space="preserve">Satiksmes ministrija </w:t>
      </w:r>
      <w:r w:rsidRPr="00FC368C">
        <w:rPr>
          <w:rFonts w:cs="Times New Roman"/>
          <w:sz w:val="26"/>
          <w:szCs w:val="26"/>
        </w:rPr>
        <w:t xml:space="preserve">pieļauj, ka dzelzceļa pārvadājumu sektorā un atsevišķu brīvostu kravu apgrozījumā būs vērojams būtisks kravu kritums. </w:t>
      </w:r>
    </w:p>
    <w:p w:rsidR="00FC368C" w:rsidRDefault="00FC368C" w:rsidP="00FC368C">
      <w:pPr>
        <w:ind w:firstLine="709"/>
        <w:jc w:val="both"/>
        <w:rPr>
          <w:rFonts w:cs="Times New Roman"/>
          <w:sz w:val="26"/>
          <w:szCs w:val="26"/>
        </w:rPr>
      </w:pPr>
      <w:r w:rsidRPr="00FC368C">
        <w:rPr>
          <w:rFonts w:cs="Times New Roman"/>
          <w:sz w:val="26"/>
          <w:szCs w:val="26"/>
        </w:rPr>
        <w:t>2014.gada 8.oktobra Transporta, telekomunikāciju un enerģētikas Ministru padomes sanāksmē SM valsts sekretārs uzrunāja klātesošos un transporta komisāru, kur pauda Latvijas nostāju Krievijas sankciju jautājumā.</w:t>
      </w:r>
    </w:p>
    <w:p w:rsidR="00DE152E" w:rsidRPr="00AB7B58" w:rsidRDefault="00DE152E" w:rsidP="00EE48C0">
      <w:pPr>
        <w:pStyle w:val="Heading1"/>
        <w:numPr>
          <w:ilvl w:val="0"/>
          <w:numId w:val="46"/>
        </w:numPr>
        <w:rPr>
          <w:rFonts w:ascii="Times New Roman" w:hAnsi="Times New Roman" w:cs="Times New Roman"/>
          <w:color w:val="auto"/>
          <w:sz w:val="26"/>
          <w:szCs w:val="26"/>
        </w:rPr>
      </w:pPr>
      <w:bookmarkStart w:id="1" w:name="_Toc404413738"/>
      <w:r w:rsidRPr="00AB7B58">
        <w:rPr>
          <w:rFonts w:ascii="Times New Roman" w:hAnsi="Times New Roman" w:cs="Times New Roman"/>
          <w:color w:val="auto"/>
          <w:sz w:val="26"/>
          <w:szCs w:val="26"/>
        </w:rPr>
        <w:lastRenderedPageBreak/>
        <w:t>Atbalsta pasākumi Krievijas sankciju skartajiem uzņēmumiem</w:t>
      </w:r>
      <w:bookmarkEnd w:id="1"/>
    </w:p>
    <w:p w:rsidR="00EE48C0" w:rsidRPr="00AB7B58" w:rsidRDefault="00EE48C0" w:rsidP="00EE48C0">
      <w:pPr>
        <w:pStyle w:val="Heading2"/>
        <w:numPr>
          <w:ilvl w:val="1"/>
          <w:numId w:val="46"/>
        </w:numPr>
        <w:spacing w:after="120"/>
        <w:rPr>
          <w:rFonts w:ascii="Times New Roman" w:hAnsi="Times New Roman"/>
          <w:color w:val="auto"/>
        </w:rPr>
      </w:pPr>
      <w:bookmarkStart w:id="2" w:name="_Toc404413739"/>
      <w:r w:rsidRPr="00AB7B58">
        <w:rPr>
          <w:rFonts w:ascii="Times New Roman" w:hAnsi="Times New Roman"/>
          <w:color w:val="auto"/>
        </w:rPr>
        <w:t>Atbalsts lauksaimniecības, zivsaimniecības un pārtikas produktu ražotājiem</w:t>
      </w:r>
      <w:bookmarkEnd w:id="2"/>
    </w:p>
    <w:p w:rsidR="000D4E54" w:rsidRDefault="000D4E54" w:rsidP="007C1D02">
      <w:pPr>
        <w:pStyle w:val="ListParagraph"/>
        <w:numPr>
          <w:ilvl w:val="0"/>
          <w:numId w:val="49"/>
        </w:numPr>
        <w:spacing w:line="240" w:lineRule="auto"/>
        <w:ind w:left="426"/>
        <w:jc w:val="both"/>
        <w:rPr>
          <w:rFonts w:cs="Times New Roman"/>
          <w:sz w:val="26"/>
          <w:szCs w:val="26"/>
        </w:rPr>
      </w:pPr>
      <w:proofErr w:type="spellStart"/>
      <w:r w:rsidRPr="000A1B27">
        <w:rPr>
          <w:rFonts w:cs="Times New Roman"/>
          <w:sz w:val="26"/>
          <w:szCs w:val="26"/>
        </w:rPr>
        <w:t>Š.g</w:t>
      </w:r>
      <w:proofErr w:type="spellEnd"/>
      <w:r w:rsidRPr="000A1B27">
        <w:rPr>
          <w:rFonts w:cs="Times New Roman"/>
          <w:sz w:val="26"/>
          <w:szCs w:val="26"/>
        </w:rPr>
        <w:t xml:space="preserve">. 2.oktobrī laikrakstā Latvijas Vēstnesis publicēti grozījumi Ministru kabineta 2009.gada 7.jūlija noteikumos Nr.746 „Lauksaimniecības un lauku attīstības kredītu garantēšanas kārtība”, kas paredz palielināt </w:t>
      </w:r>
      <w:proofErr w:type="spellStart"/>
      <w:r w:rsidRPr="000A1B27">
        <w:rPr>
          <w:rFonts w:cs="Times New Roman"/>
          <w:sz w:val="26"/>
          <w:szCs w:val="26"/>
        </w:rPr>
        <w:t>kredītgarantiju</w:t>
      </w:r>
      <w:proofErr w:type="spellEnd"/>
      <w:r w:rsidRPr="000A1B27">
        <w:rPr>
          <w:rFonts w:cs="Times New Roman"/>
          <w:sz w:val="26"/>
          <w:szCs w:val="26"/>
        </w:rPr>
        <w:t xml:space="preserve"> apjomu lauksaimniekiem līdz 1 </w:t>
      </w:r>
      <w:proofErr w:type="spellStart"/>
      <w:r w:rsidRPr="000A1B27">
        <w:rPr>
          <w:rFonts w:cs="Times New Roman"/>
          <w:sz w:val="26"/>
          <w:szCs w:val="26"/>
        </w:rPr>
        <w:t>milj</w:t>
      </w:r>
      <w:proofErr w:type="spellEnd"/>
      <w:r w:rsidRPr="000A1B27">
        <w:rPr>
          <w:rFonts w:cs="Times New Roman"/>
          <w:sz w:val="26"/>
          <w:szCs w:val="26"/>
        </w:rPr>
        <w:t>. EUR.</w:t>
      </w:r>
    </w:p>
    <w:p w:rsidR="000D4E54" w:rsidRPr="00AB7B58" w:rsidRDefault="000D4E54" w:rsidP="007C1D02">
      <w:pPr>
        <w:jc w:val="both"/>
        <w:rPr>
          <w:rFonts w:cs="Times New Roman"/>
          <w:sz w:val="26"/>
          <w:szCs w:val="26"/>
        </w:rPr>
      </w:pPr>
      <w:r w:rsidRPr="00AB7B58">
        <w:rPr>
          <w:rFonts w:cs="Times New Roman"/>
          <w:sz w:val="26"/>
          <w:szCs w:val="26"/>
        </w:rPr>
        <w:t xml:space="preserve">Pēc Lauku attīstības fonda sniegtās informācijas oktobrī ir piešķirtas garantijas </w:t>
      </w:r>
      <w:r>
        <w:rPr>
          <w:rFonts w:cs="Times New Roman"/>
          <w:sz w:val="26"/>
          <w:szCs w:val="26"/>
        </w:rPr>
        <w:t>diviem</w:t>
      </w:r>
      <w:r w:rsidRPr="00AB7B58">
        <w:rPr>
          <w:rFonts w:cs="Times New Roman"/>
          <w:sz w:val="26"/>
          <w:szCs w:val="26"/>
        </w:rPr>
        <w:t xml:space="preserve"> primārās lauksaimniecības produkcijas ražotājam</w:t>
      </w:r>
      <w:r>
        <w:rPr>
          <w:rFonts w:cs="Times New Roman"/>
          <w:sz w:val="26"/>
          <w:szCs w:val="26"/>
        </w:rPr>
        <w:t>, vienam lauksaimniecības produktu pārstrādes ražotājām</w:t>
      </w:r>
      <w:r w:rsidRPr="00AB7B58">
        <w:rPr>
          <w:rFonts w:cs="Times New Roman"/>
          <w:sz w:val="26"/>
          <w:szCs w:val="26"/>
        </w:rPr>
        <w:t xml:space="preserve"> un </w:t>
      </w:r>
      <w:r>
        <w:rPr>
          <w:rFonts w:cs="Times New Roman"/>
          <w:sz w:val="26"/>
          <w:szCs w:val="26"/>
        </w:rPr>
        <w:t>šobrīd vēl trīs uzņēmumu iesniegtie pieteikumi ir izvērtēšanas procesā</w:t>
      </w:r>
      <w:r w:rsidRPr="00AB7B58">
        <w:rPr>
          <w:rFonts w:cs="Times New Roman"/>
          <w:sz w:val="26"/>
          <w:szCs w:val="26"/>
        </w:rPr>
        <w:t>.</w:t>
      </w:r>
    </w:p>
    <w:p w:rsidR="000D4E54" w:rsidRPr="000A1B27" w:rsidRDefault="000D4E54" w:rsidP="007C1D02">
      <w:pPr>
        <w:pStyle w:val="ListParagraph"/>
        <w:numPr>
          <w:ilvl w:val="0"/>
          <w:numId w:val="49"/>
        </w:numPr>
        <w:spacing w:line="240" w:lineRule="auto"/>
        <w:ind w:left="426" w:hanging="426"/>
        <w:jc w:val="both"/>
        <w:rPr>
          <w:rFonts w:cs="Times New Roman"/>
          <w:sz w:val="26"/>
          <w:szCs w:val="26"/>
        </w:rPr>
      </w:pPr>
      <w:r w:rsidRPr="000A1B27">
        <w:rPr>
          <w:rFonts w:cs="Times New Roman"/>
          <w:sz w:val="26"/>
          <w:szCs w:val="26"/>
        </w:rPr>
        <w:t>Grozījumi Ministru kabineta 2014.gada 13.maija noteikumos Nr.243 „Noteikumi par valsts un Eiropas Savienības atbalsta piešķiršanu investīciju veicināšanai lauksaimniecībā” paredz arī lielajiem uzņēmumiem, kurus skāris Krievijas embargo, kredītu procentu daļēju dzēšanu.</w:t>
      </w:r>
    </w:p>
    <w:p w:rsidR="000D4E54" w:rsidRPr="000A1B27" w:rsidRDefault="000D4E54" w:rsidP="007C1D02">
      <w:pPr>
        <w:jc w:val="both"/>
        <w:rPr>
          <w:rFonts w:cs="Times New Roman"/>
          <w:sz w:val="26"/>
          <w:szCs w:val="26"/>
        </w:rPr>
      </w:pPr>
      <w:r w:rsidRPr="00AB7B58">
        <w:rPr>
          <w:rFonts w:cs="Times New Roman"/>
          <w:sz w:val="26"/>
          <w:szCs w:val="26"/>
        </w:rPr>
        <w:t>Uz kredītu procentu daļēju dzēšanu ir pieteikušies</w:t>
      </w:r>
      <w:r>
        <w:rPr>
          <w:rFonts w:cs="Times New Roman"/>
          <w:sz w:val="26"/>
          <w:szCs w:val="26"/>
        </w:rPr>
        <w:t xml:space="preserve"> un apstiprināti</w:t>
      </w:r>
      <w:r w:rsidRPr="00AB7B58">
        <w:rPr>
          <w:rFonts w:cs="Times New Roman"/>
          <w:sz w:val="26"/>
          <w:szCs w:val="26"/>
        </w:rPr>
        <w:t xml:space="preserve"> 11 piena un gaļas pārstrādes uzņēmumi un 7 uzņēmumi, kas nodarbojas ar zvejniecību un zvejas produktu apstrādi. Visu minēto uzņēmumu produkcija ir iekļauta Krievijas Federācijas ekonomisko sankciju pret Latvijas Republiku importa aizlieguma sarakstā.</w:t>
      </w:r>
    </w:p>
    <w:p w:rsidR="000D4E54" w:rsidRDefault="000D4E54" w:rsidP="007C1D02">
      <w:pPr>
        <w:pStyle w:val="ListParagraph"/>
        <w:numPr>
          <w:ilvl w:val="0"/>
          <w:numId w:val="49"/>
        </w:numPr>
        <w:spacing w:line="240" w:lineRule="auto"/>
        <w:ind w:left="426"/>
        <w:jc w:val="both"/>
        <w:rPr>
          <w:rFonts w:cs="Times New Roman"/>
          <w:sz w:val="26"/>
          <w:szCs w:val="26"/>
        </w:rPr>
      </w:pPr>
      <w:r w:rsidRPr="000A1B27">
        <w:rPr>
          <w:rFonts w:cs="Times New Roman"/>
          <w:sz w:val="26"/>
          <w:szCs w:val="26"/>
        </w:rPr>
        <w:t xml:space="preserve">2014.gada 29.septembrī Eiropas Komisija pieņēma lēmumu īstenot turpmākus pagaidu ārkārtas atbalsta pasākumus konkrētu augļu un dārzeņu ražotājiem. Katrai dalībvalstij ir piešķirts noteikts augļu un dārzeņu apjoms tonnās, kura ietvaros var īstenot ārkārtas pasākumus (Latvijai – 3000 t). Atbalsts tiek paredzēts šādiem pasākumiem: izņemšana no tirgus bezmaksas izplatīšanai vai izplatīšanai citiem galamērķiem, ražas nenovākšanai vai ražas priekšlaicīgai novākšanai. </w:t>
      </w:r>
    </w:p>
    <w:p w:rsidR="000D4E54" w:rsidRDefault="000D4E54" w:rsidP="007C1D02">
      <w:pPr>
        <w:ind w:left="68"/>
        <w:jc w:val="both"/>
        <w:rPr>
          <w:rFonts w:cs="Times New Roman"/>
          <w:sz w:val="26"/>
          <w:szCs w:val="26"/>
        </w:rPr>
      </w:pPr>
      <w:r w:rsidRPr="000A1B27">
        <w:rPr>
          <w:rFonts w:cs="Times New Roman"/>
          <w:sz w:val="26"/>
          <w:szCs w:val="26"/>
        </w:rPr>
        <w:t xml:space="preserve">Atbalsts attiecas uz pasākumiem, kas veikti </w:t>
      </w:r>
      <w:r w:rsidRPr="000A1B27">
        <w:rPr>
          <w:rFonts w:cs="Times New Roman"/>
          <w:bCs/>
          <w:sz w:val="26"/>
          <w:szCs w:val="26"/>
        </w:rPr>
        <w:t>no 2014.gada 30.septembra līdz dienai, kad attiecīgie daudzumi attiecīgajā dalībvalstī ir pilnībā izlietoti, vai līdz 2014.gada 31.decembrim</w:t>
      </w:r>
      <w:r w:rsidRPr="000A1B27">
        <w:rPr>
          <w:rFonts w:cs="Times New Roman"/>
          <w:sz w:val="26"/>
          <w:szCs w:val="26"/>
        </w:rPr>
        <w:t>.</w:t>
      </w:r>
      <w:r>
        <w:rPr>
          <w:rFonts w:cs="Times New Roman"/>
          <w:sz w:val="26"/>
          <w:szCs w:val="26"/>
        </w:rPr>
        <w:t xml:space="preserve"> </w:t>
      </w:r>
      <w:r w:rsidRPr="00AB7B58">
        <w:rPr>
          <w:rFonts w:cs="Times New Roman"/>
          <w:sz w:val="26"/>
          <w:szCs w:val="26"/>
        </w:rPr>
        <w:t xml:space="preserve">2014.gada 7.oktobrī MK sēdē tika pieņemti grozījumi Ministru kabineta 2011.gada 21.jūnija noteikumos Nr.453 "Noteikumi par augļu un dārzeņu ražotāju organizāciju atzīšanu, to darbības nosacījumiem un kontroli, kā arī kārtību, kādā piešķir, administrē un uzrauga Eiropas Savienības atbalstu augļu un dārzeņu ražotāju organizācijām". Pašreiz LAD iesniegti </w:t>
      </w:r>
      <w:r>
        <w:rPr>
          <w:rFonts w:cs="Times New Roman"/>
          <w:sz w:val="26"/>
          <w:szCs w:val="26"/>
        </w:rPr>
        <w:t xml:space="preserve">10 </w:t>
      </w:r>
      <w:r w:rsidRPr="00AB7B58">
        <w:rPr>
          <w:rFonts w:cs="Times New Roman"/>
          <w:sz w:val="26"/>
          <w:szCs w:val="26"/>
        </w:rPr>
        <w:t>pieteikumi</w:t>
      </w:r>
      <w:r>
        <w:rPr>
          <w:rFonts w:cs="Times New Roman"/>
          <w:sz w:val="26"/>
          <w:szCs w:val="26"/>
        </w:rPr>
        <w:t xml:space="preserve"> uz atbalstu</w:t>
      </w:r>
      <w:r w:rsidRPr="00AB7B58">
        <w:rPr>
          <w:rFonts w:cs="Times New Roman"/>
          <w:sz w:val="26"/>
          <w:szCs w:val="26"/>
        </w:rPr>
        <w:t>.</w:t>
      </w:r>
    </w:p>
    <w:p w:rsidR="000D4E54" w:rsidRPr="00AD5CCD" w:rsidRDefault="000D4E54" w:rsidP="007C1D02">
      <w:pPr>
        <w:pStyle w:val="ListParagraph"/>
        <w:numPr>
          <w:ilvl w:val="0"/>
          <w:numId w:val="49"/>
        </w:numPr>
        <w:spacing w:line="240" w:lineRule="auto"/>
        <w:ind w:left="426"/>
        <w:jc w:val="both"/>
        <w:rPr>
          <w:rFonts w:cs="Times New Roman"/>
          <w:sz w:val="26"/>
          <w:szCs w:val="26"/>
        </w:rPr>
      </w:pPr>
      <w:r w:rsidRPr="00AD5CCD">
        <w:rPr>
          <w:rFonts w:cs="Times New Roman"/>
          <w:sz w:val="26"/>
          <w:szCs w:val="26"/>
        </w:rPr>
        <w:t xml:space="preserve">Publisko pārtikas produktu piegādes un ēdināšanas pakalpojumu iepirkumu veicējiem no </w:t>
      </w:r>
      <w:proofErr w:type="spellStart"/>
      <w:r w:rsidRPr="00AD5CCD">
        <w:rPr>
          <w:rFonts w:cs="Times New Roman"/>
          <w:sz w:val="26"/>
          <w:szCs w:val="26"/>
        </w:rPr>
        <w:t>š.g</w:t>
      </w:r>
      <w:proofErr w:type="spellEnd"/>
      <w:r w:rsidRPr="00AD5CCD">
        <w:rPr>
          <w:rFonts w:cs="Times New Roman"/>
          <w:sz w:val="26"/>
          <w:szCs w:val="26"/>
        </w:rPr>
        <w:t>. 28.oktobra jāievēro Ministru kabineta noteikumi Nr.673 „Noteikumi par vides kritēriju piemērošanu un piedāvājuma izvēles kritēriju noteikšanu pārtikas produktu piegādes un ēdināšanas pakalpojumu iepirkumiem” noteiktās prasības, kas paredz pārtikas produktu un ēdināšanas pakalpojumu iepirkumus veikt balstoties uz konkrētiem vidi saudzējošiem kritērijiem un principiem.</w:t>
      </w:r>
    </w:p>
    <w:p w:rsidR="000D4E54" w:rsidRPr="000A1B27" w:rsidRDefault="000D4E54" w:rsidP="007C1D02">
      <w:pPr>
        <w:pStyle w:val="ListParagraph"/>
        <w:numPr>
          <w:ilvl w:val="0"/>
          <w:numId w:val="49"/>
        </w:numPr>
        <w:spacing w:line="240" w:lineRule="auto"/>
        <w:ind w:left="426"/>
        <w:jc w:val="both"/>
        <w:rPr>
          <w:rFonts w:cs="Times New Roman"/>
          <w:sz w:val="26"/>
          <w:szCs w:val="26"/>
        </w:rPr>
      </w:pPr>
      <w:proofErr w:type="spellStart"/>
      <w:r w:rsidRPr="000A1B27">
        <w:rPr>
          <w:rFonts w:cs="Times New Roman"/>
          <w:sz w:val="26"/>
          <w:szCs w:val="26"/>
        </w:rPr>
        <w:t>Š.g</w:t>
      </w:r>
      <w:proofErr w:type="spellEnd"/>
      <w:r w:rsidRPr="000A1B27">
        <w:rPr>
          <w:rFonts w:cs="Times New Roman"/>
          <w:sz w:val="26"/>
          <w:szCs w:val="26"/>
        </w:rPr>
        <w:t xml:space="preserve">. 3.novembra Ministru kabineta sēdē tika izskatīts Zemkopības ministrijas sagatavotais informatīvais ziņojums „Par zaudējumiem piena nozarē”, kā rezultātā piešķirtais atbalsts piensaimniecības nozarē par piena šķirņu slaucamo govju produktivitātes datu noteikšanas un izvērtēšanas ciltsdarba pakalpojumu ir </w:t>
      </w:r>
      <w:r w:rsidRPr="000A1B27">
        <w:rPr>
          <w:rFonts w:cs="Times New Roman"/>
          <w:bCs/>
          <w:sz w:val="26"/>
          <w:szCs w:val="26"/>
        </w:rPr>
        <w:t xml:space="preserve">13 993 480 </w:t>
      </w:r>
      <w:proofErr w:type="spellStart"/>
      <w:r w:rsidRPr="000A1B27">
        <w:rPr>
          <w:rFonts w:cs="Times New Roman"/>
          <w:bCs/>
          <w:iCs/>
          <w:sz w:val="26"/>
          <w:szCs w:val="26"/>
        </w:rPr>
        <w:t>e</w:t>
      </w:r>
      <w:r w:rsidR="00886310">
        <w:rPr>
          <w:rFonts w:cs="Times New Roman"/>
          <w:bCs/>
          <w:iCs/>
          <w:sz w:val="26"/>
          <w:szCs w:val="26"/>
        </w:rPr>
        <w:t>u</w:t>
      </w:r>
      <w:r w:rsidRPr="000A1B27">
        <w:rPr>
          <w:rFonts w:cs="Times New Roman"/>
          <w:bCs/>
          <w:iCs/>
          <w:sz w:val="26"/>
          <w:szCs w:val="26"/>
        </w:rPr>
        <w:t>ro</w:t>
      </w:r>
      <w:proofErr w:type="spellEnd"/>
      <w:r w:rsidRPr="000A1B27">
        <w:rPr>
          <w:rFonts w:cs="Times New Roman"/>
          <w:bCs/>
          <w:iCs/>
          <w:sz w:val="26"/>
          <w:szCs w:val="26"/>
        </w:rPr>
        <w:t>.</w:t>
      </w:r>
      <w:r>
        <w:rPr>
          <w:rFonts w:cs="Times New Roman"/>
          <w:bCs/>
          <w:iCs/>
          <w:sz w:val="26"/>
          <w:szCs w:val="26"/>
        </w:rPr>
        <w:t xml:space="preserve"> Ciltsdarba atbalsta atlikušo daļu 7 993 480 </w:t>
      </w:r>
      <w:proofErr w:type="spellStart"/>
      <w:r w:rsidRPr="00D143EB">
        <w:rPr>
          <w:rFonts w:cs="Times New Roman"/>
          <w:bCs/>
          <w:i/>
          <w:iCs/>
          <w:sz w:val="26"/>
          <w:szCs w:val="26"/>
        </w:rPr>
        <w:t>euro</w:t>
      </w:r>
      <w:proofErr w:type="spellEnd"/>
      <w:r>
        <w:rPr>
          <w:rFonts w:cs="Times New Roman"/>
          <w:bCs/>
          <w:iCs/>
          <w:sz w:val="26"/>
          <w:szCs w:val="26"/>
        </w:rPr>
        <w:t xml:space="preserve"> ir plānots izmaksāt 2014.gada decembrī.</w:t>
      </w:r>
    </w:p>
    <w:p w:rsidR="000D4E54" w:rsidRPr="000A1B27" w:rsidRDefault="000D4E54" w:rsidP="007C1D02">
      <w:pPr>
        <w:pStyle w:val="ListParagraph"/>
        <w:numPr>
          <w:ilvl w:val="0"/>
          <w:numId w:val="49"/>
        </w:numPr>
        <w:spacing w:line="240" w:lineRule="auto"/>
        <w:ind w:left="425" w:hanging="357"/>
        <w:jc w:val="both"/>
        <w:rPr>
          <w:rFonts w:cs="Times New Roman"/>
          <w:sz w:val="26"/>
          <w:szCs w:val="26"/>
        </w:rPr>
      </w:pPr>
      <w:proofErr w:type="spellStart"/>
      <w:r w:rsidRPr="000A1B27">
        <w:rPr>
          <w:rFonts w:cs="Times New Roman"/>
          <w:bCs/>
          <w:sz w:val="26"/>
          <w:szCs w:val="26"/>
        </w:rPr>
        <w:lastRenderedPageBreak/>
        <w:t>Š.g</w:t>
      </w:r>
      <w:proofErr w:type="spellEnd"/>
      <w:r w:rsidRPr="000A1B27">
        <w:rPr>
          <w:rFonts w:cs="Times New Roman"/>
          <w:bCs/>
          <w:sz w:val="26"/>
          <w:szCs w:val="26"/>
        </w:rPr>
        <w:t>. 10.novembrī notika</w:t>
      </w:r>
      <w:r w:rsidRPr="000A1B27">
        <w:rPr>
          <w:rFonts w:cs="Times New Roman"/>
          <w:b/>
          <w:bCs/>
          <w:sz w:val="26"/>
          <w:szCs w:val="26"/>
        </w:rPr>
        <w:t xml:space="preserve"> </w:t>
      </w:r>
      <w:r w:rsidRPr="000A1B27">
        <w:rPr>
          <w:rFonts w:cs="Times New Roman"/>
          <w:sz w:val="26"/>
          <w:szCs w:val="26"/>
        </w:rPr>
        <w:t xml:space="preserve">3 Baltijas valstu un Somijas tikšanās ar jauno ES lauksaimniecības un lauku attīstības komisāru </w:t>
      </w:r>
      <w:proofErr w:type="spellStart"/>
      <w:r w:rsidRPr="000A1B27">
        <w:rPr>
          <w:rFonts w:cs="Times New Roman"/>
          <w:sz w:val="26"/>
          <w:szCs w:val="26"/>
        </w:rPr>
        <w:t>F.Hoganu</w:t>
      </w:r>
      <w:proofErr w:type="spellEnd"/>
      <w:r w:rsidRPr="000A1B27">
        <w:rPr>
          <w:rFonts w:cs="Times New Roman"/>
          <w:sz w:val="26"/>
          <w:szCs w:val="26"/>
        </w:rPr>
        <w:t>. Sagatavots un iesniegts dokuments, kurā atkārtoti uzsvērts, ka līdzšinējie pasākumi nav pietiekami un nebija mērķēti uz ražotājiem, pasākumi ir nepieciešami nekavējoties un finansējumam ir jābūt adekvātam.</w:t>
      </w:r>
    </w:p>
    <w:p w:rsidR="000D4E54" w:rsidRDefault="000D4E54" w:rsidP="007C1D02">
      <w:pPr>
        <w:jc w:val="both"/>
        <w:rPr>
          <w:rFonts w:cs="Times New Roman"/>
          <w:sz w:val="26"/>
          <w:szCs w:val="26"/>
        </w:rPr>
      </w:pPr>
      <w:r w:rsidRPr="000A1B27">
        <w:rPr>
          <w:rFonts w:cs="Times New Roman"/>
          <w:sz w:val="26"/>
          <w:szCs w:val="26"/>
        </w:rPr>
        <w:t>Sarunas laikā komisārs pauda sapratni par pastāvošo problēmu, taču arī norādīja, ka vispirms ir budžetā jārod finanšu līdzekļi šādam atbalstam.  </w:t>
      </w:r>
    </w:p>
    <w:p w:rsidR="000D4E54" w:rsidRPr="000D4E54" w:rsidRDefault="000D4E54" w:rsidP="007C1D02">
      <w:pPr>
        <w:pStyle w:val="ListParagraph"/>
        <w:numPr>
          <w:ilvl w:val="0"/>
          <w:numId w:val="50"/>
        </w:numPr>
        <w:spacing w:line="240" w:lineRule="auto"/>
        <w:jc w:val="both"/>
        <w:rPr>
          <w:sz w:val="26"/>
          <w:szCs w:val="26"/>
        </w:rPr>
      </w:pPr>
      <w:r w:rsidRPr="000A1B27">
        <w:rPr>
          <w:sz w:val="26"/>
          <w:szCs w:val="26"/>
        </w:rPr>
        <w:t xml:space="preserve">Eiropas Komisija </w:t>
      </w:r>
      <w:r>
        <w:rPr>
          <w:sz w:val="26"/>
          <w:szCs w:val="26"/>
        </w:rPr>
        <w:t xml:space="preserve">18.novembrī </w:t>
      </w:r>
      <w:r w:rsidRPr="000A1B27">
        <w:rPr>
          <w:sz w:val="26"/>
          <w:szCs w:val="26"/>
        </w:rPr>
        <w:t xml:space="preserve"> ir nākusi klajā ar priekšlikumu piešķirt Baltijas valstu piena ražotājiem finansiālu atbalstu kopējā apmērā 28,661 miljoni </w:t>
      </w:r>
      <w:proofErr w:type="spellStart"/>
      <w:r w:rsidRPr="000A1B27">
        <w:rPr>
          <w:sz w:val="26"/>
          <w:szCs w:val="26"/>
        </w:rPr>
        <w:t>euro</w:t>
      </w:r>
      <w:proofErr w:type="spellEnd"/>
      <w:r w:rsidRPr="000A1B27">
        <w:rPr>
          <w:sz w:val="26"/>
          <w:szCs w:val="26"/>
        </w:rPr>
        <w:t xml:space="preserve">, no tā Latvijai būtu iedalīti 7,72 miljoni </w:t>
      </w:r>
      <w:proofErr w:type="spellStart"/>
      <w:r w:rsidRPr="000A1B27">
        <w:rPr>
          <w:sz w:val="26"/>
          <w:szCs w:val="26"/>
        </w:rPr>
        <w:t>euro</w:t>
      </w:r>
      <w:proofErr w:type="spellEnd"/>
      <w:r w:rsidRPr="000A1B27">
        <w:rPr>
          <w:sz w:val="26"/>
          <w:szCs w:val="26"/>
        </w:rPr>
        <w:t xml:space="preserve">, Lietuvai 14,07 miljoni </w:t>
      </w:r>
      <w:proofErr w:type="spellStart"/>
      <w:r w:rsidRPr="000A1B27">
        <w:rPr>
          <w:sz w:val="26"/>
          <w:szCs w:val="26"/>
        </w:rPr>
        <w:t>euro</w:t>
      </w:r>
      <w:proofErr w:type="spellEnd"/>
      <w:r w:rsidRPr="000A1B27">
        <w:rPr>
          <w:sz w:val="26"/>
          <w:szCs w:val="26"/>
        </w:rPr>
        <w:t xml:space="preserve"> un Igaunijai 6,87 miljoni </w:t>
      </w:r>
      <w:proofErr w:type="spellStart"/>
      <w:r w:rsidRPr="000A1B27">
        <w:rPr>
          <w:sz w:val="26"/>
          <w:szCs w:val="26"/>
        </w:rPr>
        <w:t>euro</w:t>
      </w:r>
      <w:proofErr w:type="spellEnd"/>
      <w:r w:rsidRPr="000A1B27">
        <w:rPr>
          <w:sz w:val="26"/>
          <w:szCs w:val="26"/>
        </w:rPr>
        <w:t>. Kompensāciju apmērus EK rēķin</w:t>
      </w:r>
      <w:r>
        <w:rPr>
          <w:sz w:val="26"/>
          <w:szCs w:val="26"/>
        </w:rPr>
        <w:t>ā</w:t>
      </w:r>
      <w:r w:rsidRPr="000A1B27">
        <w:rPr>
          <w:sz w:val="26"/>
          <w:szCs w:val="26"/>
        </w:rPr>
        <w:t xml:space="preserve">jusi, balstoties uz 2013./2014.kvotas gadā pārstrādei iepirktā piena daudzumiem katrā valstī, kompensējot ~ 10 </w:t>
      </w:r>
      <w:proofErr w:type="spellStart"/>
      <w:r w:rsidRPr="000A1B27">
        <w:rPr>
          <w:sz w:val="26"/>
          <w:szCs w:val="26"/>
        </w:rPr>
        <w:t>euro</w:t>
      </w:r>
      <w:proofErr w:type="spellEnd"/>
      <w:r w:rsidRPr="000A1B27">
        <w:rPr>
          <w:sz w:val="26"/>
          <w:szCs w:val="26"/>
        </w:rPr>
        <w:t xml:space="preserve"> par katru pārstrādei iepirktā piena tonnu. </w:t>
      </w:r>
    </w:p>
    <w:p w:rsidR="000D4E54" w:rsidRPr="00AB7B58" w:rsidRDefault="000D4E54" w:rsidP="00EE48C0">
      <w:pPr>
        <w:ind w:firstLine="709"/>
        <w:jc w:val="both"/>
        <w:rPr>
          <w:rFonts w:cs="Times New Roman"/>
          <w:sz w:val="26"/>
          <w:szCs w:val="26"/>
        </w:rPr>
      </w:pPr>
    </w:p>
    <w:p w:rsidR="00EE48C0" w:rsidRPr="00AB7B58" w:rsidRDefault="00EE48C0" w:rsidP="00E47667">
      <w:pPr>
        <w:pStyle w:val="Heading2"/>
        <w:numPr>
          <w:ilvl w:val="1"/>
          <w:numId w:val="46"/>
        </w:numPr>
        <w:spacing w:after="120"/>
        <w:rPr>
          <w:rFonts w:ascii="Times New Roman" w:hAnsi="Times New Roman"/>
          <w:color w:val="auto"/>
        </w:rPr>
      </w:pPr>
      <w:bookmarkStart w:id="3" w:name="_Toc404413740"/>
      <w:r w:rsidRPr="00AB7B58">
        <w:rPr>
          <w:rFonts w:ascii="Times New Roman" w:hAnsi="Times New Roman"/>
          <w:color w:val="auto"/>
        </w:rPr>
        <w:t>Atbalsts tranzīta un loģistikas nozares komersantiem</w:t>
      </w:r>
      <w:bookmarkEnd w:id="3"/>
    </w:p>
    <w:p w:rsidR="00EE48C0" w:rsidRPr="00AB7B58" w:rsidRDefault="005C7A76" w:rsidP="00313A86">
      <w:pPr>
        <w:pStyle w:val="ListParagraph"/>
        <w:numPr>
          <w:ilvl w:val="1"/>
          <w:numId w:val="44"/>
        </w:numPr>
        <w:spacing w:line="240" w:lineRule="auto"/>
        <w:ind w:left="0" w:firstLine="567"/>
        <w:jc w:val="both"/>
        <w:rPr>
          <w:rFonts w:cs="Times New Roman"/>
          <w:sz w:val="26"/>
          <w:szCs w:val="26"/>
        </w:rPr>
      </w:pPr>
      <w:r>
        <w:rPr>
          <w:rFonts w:cs="Times New Roman"/>
          <w:sz w:val="26"/>
          <w:szCs w:val="26"/>
        </w:rPr>
        <w:t xml:space="preserve"> </w:t>
      </w:r>
      <w:r w:rsidR="00EE48C0" w:rsidRPr="00AB7B58">
        <w:rPr>
          <w:rFonts w:cs="Times New Roman"/>
          <w:sz w:val="26"/>
          <w:szCs w:val="26"/>
        </w:rPr>
        <w:t xml:space="preserve">Grozījumi „Transportlīdzekļa ekspluatācijas nodokļa un uzņēmumu vieglo transportlīdzekļu nodokļa likumā”, kas paredz atcelt transportlīdzekļu ekspluatācijas nodokli transportlīdzekļiem ar pilnu masu virs 3500 kg, bet mazāku par 12000 kg, tika atbalstīti MK 2014.gada 2.septembra sēdē, tomēr ar piebildi, ka likumprojekts stājas spēkā tikai gadījumā, ja no Eiropas Komisijas saņemta pozitīva atbilde. Turpinās diskusijas ar Eiropas Komisiju un </w:t>
      </w:r>
      <w:r w:rsidR="00567A8E">
        <w:rPr>
          <w:rFonts w:cs="Times New Roman"/>
          <w:sz w:val="26"/>
          <w:szCs w:val="26"/>
        </w:rPr>
        <w:t>iesniegta pamatojošā</w:t>
      </w:r>
      <w:r w:rsidR="00EE48C0" w:rsidRPr="00AB7B58">
        <w:rPr>
          <w:rFonts w:cs="Times New Roman"/>
          <w:sz w:val="26"/>
          <w:szCs w:val="26"/>
        </w:rPr>
        <w:t xml:space="preserve"> informācija, tomēr atbilde no Eiropas Komisijas vēl nav saņemta.</w:t>
      </w:r>
    </w:p>
    <w:p w:rsidR="00EE48C0" w:rsidRPr="00AB7B58" w:rsidRDefault="005C7A76" w:rsidP="00313A86">
      <w:pPr>
        <w:pStyle w:val="ListParagraph"/>
        <w:numPr>
          <w:ilvl w:val="1"/>
          <w:numId w:val="44"/>
        </w:numPr>
        <w:spacing w:line="240" w:lineRule="auto"/>
        <w:ind w:left="0" w:firstLine="567"/>
        <w:jc w:val="both"/>
        <w:rPr>
          <w:rFonts w:cs="Times New Roman"/>
          <w:sz w:val="26"/>
          <w:szCs w:val="26"/>
        </w:rPr>
      </w:pPr>
      <w:r>
        <w:rPr>
          <w:rFonts w:cs="Times New Roman"/>
          <w:sz w:val="26"/>
          <w:szCs w:val="26"/>
        </w:rPr>
        <w:t xml:space="preserve"> </w:t>
      </w:r>
      <w:r w:rsidR="00EE48C0" w:rsidRPr="00AB7B58">
        <w:rPr>
          <w:rFonts w:cs="Times New Roman"/>
          <w:sz w:val="26"/>
          <w:szCs w:val="26"/>
        </w:rPr>
        <w:t>2014.gada 30.septembra Ministru kabineta sēdē pieņemti Finanšu ministrijas sagatavotie Ministru kabineta noteikumi muitas jomā- „Pagaidu uzglabāšanas noteikumi”,  „Grozījumi Ministru kabineta 2010.gada 16.novembra noteikumos Nr.1048 „Noteikumi par vienkāršoto deklarēšanu un vietējo muitošanu, atzītā nosūtītāja un atzītā saņēmēja statusu, vienoto atļauju un atzītā komersanta sertifikātu””, „Muitas procedūras-tranzīts-piemērošanas kārtība”. Pieņemtie Ministru kabineta noteikumi atvieglo muitas procesu un noteikumi vairs nenosaka kā obligātu preču pagaidu uzglabāšanas vietas norobežošanu, nosaka, ka tiks samazināts preču loks, kuram aizliegts piemērot vienkāršoto deklarēšanu, kā arī saskaņā ar veiktajām izmaiņām būs iespējams operatīvāk noformēt TIR (starptautisko auto pārvadājumu) procedūras piemērošanu, efektīvāk izmantot komersantam pieejamos darbaspēka un finansiālos resursus, kā arī tiks samazināts administratīvais slogs.</w:t>
      </w:r>
    </w:p>
    <w:p w:rsidR="00EE48C0" w:rsidRDefault="005C7A76" w:rsidP="00313A86">
      <w:pPr>
        <w:pStyle w:val="ListParagraph"/>
        <w:numPr>
          <w:ilvl w:val="1"/>
          <w:numId w:val="44"/>
        </w:numPr>
        <w:spacing w:line="240" w:lineRule="auto"/>
        <w:ind w:left="0" w:firstLine="567"/>
        <w:jc w:val="both"/>
        <w:rPr>
          <w:rFonts w:cs="Times New Roman"/>
          <w:sz w:val="26"/>
          <w:szCs w:val="26"/>
        </w:rPr>
      </w:pPr>
      <w:r>
        <w:rPr>
          <w:rFonts w:cs="Times New Roman"/>
          <w:sz w:val="26"/>
          <w:szCs w:val="26"/>
        </w:rPr>
        <w:t xml:space="preserve"> </w:t>
      </w:r>
      <w:r w:rsidR="00EE48C0" w:rsidRPr="00AB7B58">
        <w:rPr>
          <w:rFonts w:cs="Times New Roman"/>
          <w:sz w:val="26"/>
          <w:szCs w:val="26"/>
        </w:rPr>
        <w:t xml:space="preserve">Saskaņā ar Ministru kabineta </w:t>
      </w:r>
      <w:proofErr w:type="spellStart"/>
      <w:r w:rsidR="00EE48C0" w:rsidRPr="00AB7B58">
        <w:rPr>
          <w:rFonts w:cs="Times New Roman"/>
          <w:sz w:val="26"/>
          <w:szCs w:val="26"/>
        </w:rPr>
        <w:t>š.g</w:t>
      </w:r>
      <w:proofErr w:type="spellEnd"/>
      <w:r w:rsidR="00EE48C0" w:rsidRPr="00AB7B58">
        <w:rPr>
          <w:rFonts w:cs="Times New Roman"/>
          <w:sz w:val="26"/>
          <w:szCs w:val="26"/>
        </w:rPr>
        <w:t>. 30.septembra sēdes protokola (nr.51., 59.§ 3.punktu) Finanšu ministrija turpina diskusijas ar Satiksmes ministriju un nozares pārstāvjiem par tranzīta procedūras jautājumiem, par muitas lietām un akcīzes nodokļa piemērošanas normatīvajos aktos paredzēt regulējumu, kas atļauj apvienot visus muitas un akcīzes jomā iesniedzamos galvojumus zem viena nodrošinājuma – vienas kredītiestādes garantijas vai saistību izpildes apdrošināšanas polises veidā, par dažādu statusu noliktavu apvienošanu,  par jautājumiem attiecībā uz fiskālā pārstāvja darbības uzlabošanu.</w:t>
      </w:r>
    </w:p>
    <w:p w:rsidR="00024113" w:rsidRPr="00024113" w:rsidRDefault="00024113" w:rsidP="00024113">
      <w:pPr>
        <w:jc w:val="both"/>
        <w:rPr>
          <w:rFonts w:cs="Times New Roman"/>
          <w:sz w:val="26"/>
          <w:szCs w:val="26"/>
        </w:rPr>
      </w:pPr>
    </w:p>
    <w:p w:rsidR="005D6FEC" w:rsidRPr="00AB7B58" w:rsidRDefault="008A452A" w:rsidP="00E47667">
      <w:pPr>
        <w:pStyle w:val="Heading2"/>
        <w:numPr>
          <w:ilvl w:val="1"/>
          <w:numId w:val="46"/>
        </w:numPr>
        <w:spacing w:after="120"/>
        <w:rPr>
          <w:rFonts w:ascii="Times New Roman" w:hAnsi="Times New Roman"/>
          <w:color w:val="auto"/>
        </w:rPr>
      </w:pPr>
      <w:bookmarkStart w:id="4" w:name="_Toc404413741"/>
      <w:r>
        <w:rPr>
          <w:rFonts w:ascii="Times New Roman" w:hAnsi="Times New Roman"/>
          <w:color w:val="auto"/>
        </w:rPr>
        <w:lastRenderedPageBreak/>
        <w:t>Atbalsts</w:t>
      </w:r>
      <w:r w:rsidR="00E54476">
        <w:rPr>
          <w:rFonts w:ascii="Times New Roman" w:hAnsi="Times New Roman"/>
          <w:color w:val="auto"/>
        </w:rPr>
        <w:t xml:space="preserve"> likviditātes problēmu risināšana</w:t>
      </w:r>
      <w:r>
        <w:rPr>
          <w:rFonts w:ascii="Times New Roman" w:hAnsi="Times New Roman"/>
          <w:color w:val="auto"/>
        </w:rPr>
        <w:t>i</w:t>
      </w:r>
      <w:bookmarkEnd w:id="4"/>
    </w:p>
    <w:p w:rsidR="005D6FEC" w:rsidRPr="00AB7B58" w:rsidRDefault="005D6FEC" w:rsidP="00FC0F22">
      <w:pPr>
        <w:ind w:firstLine="709"/>
        <w:jc w:val="both"/>
        <w:rPr>
          <w:rFonts w:cs="Times New Roman"/>
          <w:sz w:val="26"/>
          <w:szCs w:val="26"/>
        </w:rPr>
      </w:pPr>
      <w:r w:rsidRPr="00AB7B58">
        <w:rPr>
          <w:rFonts w:cs="Times New Roman"/>
          <w:sz w:val="26"/>
          <w:szCs w:val="26"/>
        </w:rPr>
        <w:t>Sākot ar 2014.gada augustu, Valsts ieņēmumu dienests nodrošina atbalsta pasākumus nodokļu maksātājiem Krievijas ekonomisko sankciju negatīvo seku mazināšanai, piemēram uzņēmumiem, kurus tieši skāruši Krievijas Federācijas noteiktie importa ierobežojumi un uzņēmumiem, kurus Krievijas embargo skāris pastarpināti, piešķir:</w:t>
      </w:r>
    </w:p>
    <w:p w:rsidR="005D6FEC" w:rsidRPr="00AB7B58" w:rsidRDefault="005D6FEC" w:rsidP="00FC0F22">
      <w:pPr>
        <w:pStyle w:val="ListParagraph"/>
        <w:numPr>
          <w:ilvl w:val="0"/>
          <w:numId w:val="42"/>
        </w:numPr>
        <w:spacing w:line="240" w:lineRule="auto"/>
        <w:ind w:left="993" w:hanging="284"/>
        <w:jc w:val="both"/>
        <w:rPr>
          <w:rFonts w:cs="Times New Roman"/>
          <w:sz w:val="26"/>
          <w:szCs w:val="26"/>
        </w:rPr>
      </w:pPr>
      <w:r w:rsidRPr="00AB7B58">
        <w:rPr>
          <w:rFonts w:cs="Times New Roman"/>
          <w:sz w:val="26"/>
          <w:szCs w:val="26"/>
        </w:rPr>
        <w:t xml:space="preserve">nodokļu samaksas termiņa pagarinājumus saskaņā ar likuma “Par nodokļiem un nodevām” 24.pantu, kā arī </w:t>
      </w:r>
    </w:p>
    <w:p w:rsidR="005D6FEC" w:rsidRPr="00AB7B58" w:rsidRDefault="005D6FEC" w:rsidP="00FC0F22">
      <w:pPr>
        <w:pStyle w:val="ListParagraph"/>
        <w:numPr>
          <w:ilvl w:val="0"/>
          <w:numId w:val="42"/>
        </w:numPr>
        <w:spacing w:line="240" w:lineRule="auto"/>
        <w:ind w:left="993" w:hanging="284"/>
        <w:jc w:val="both"/>
        <w:rPr>
          <w:rFonts w:cs="Times New Roman"/>
          <w:sz w:val="26"/>
          <w:szCs w:val="26"/>
        </w:rPr>
      </w:pPr>
      <w:r w:rsidRPr="00AB7B58">
        <w:rPr>
          <w:rFonts w:cs="Times New Roman"/>
          <w:sz w:val="26"/>
          <w:szCs w:val="26"/>
        </w:rPr>
        <w:t xml:space="preserve">pārskata nodokļu maksātājiem aprēķinātos uzņēmumu ienākuma nodokļa avansa maksājumus saskaņā ar likuma „Par uzņēmumu ienākuma nodokli” 23.pantu. </w:t>
      </w:r>
    </w:p>
    <w:p w:rsidR="005D6FEC" w:rsidRPr="00AB7B58" w:rsidRDefault="005D6FEC" w:rsidP="00FC0F22">
      <w:pPr>
        <w:ind w:firstLine="709"/>
        <w:jc w:val="both"/>
        <w:rPr>
          <w:rFonts w:cs="Times New Roman"/>
          <w:sz w:val="26"/>
          <w:szCs w:val="26"/>
        </w:rPr>
      </w:pPr>
      <w:r w:rsidRPr="00AB7B58">
        <w:rPr>
          <w:rFonts w:cs="Times New Roman"/>
          <w:sz w:val="26"/>
          <w:szCs w:val="26"/>
        </w:rPr>
        <w:t xml:space="preserve">Jāatzīmē, ka visi faktori ir savstarpēji cieši saistīti, iesniegumos nodokļu maksātāji norāda, ka politiskā situācija un sankcijas būtiski ietekmē komersantu naudas plūsmu un debitoru naudas plūsmu, izraisa preču un pakalpojumu cenu samazinājumu tirgū un komersantu ienākumu samazinājumu. </w:t>
      </w:r>
    </w:p>
    <w:p w:rsidR="002D3ACB" w:rsidRPr="002D3ACB" w:rsidRDefault="002D3ACB" w:rsidP="002D3ACB">
      <w:pPr>
        <w:ind w:firstLine="709"/>
        <w:jc w:val="both"/>
        <w:rPr>
          <w:rFonts w:cs="Times New Roman"/>
          <w:sz w:val="26"/>
          <w:szCs w:val="26"/>
        </w:rPr>
      </w:pPr>
      <w:r w:rsidRPr="002D3ACB">
        <w:rPr>
          <w:rFonts w:cs="Times New Roman"/>
          <w:sz w:val="26"/>
          <w:szCs w:val="26"/>
        </w:rPr>
        <w:t>Laika periodā no 2014.gada 14.augusta līdz 2014.gada 1.oktobrim saskaņā ar likuma „Par nodokļiem un nodevām” 24.panta pirmās daļas 1.un 3.punktu 27 nodokļu maksātāji VID ir iesnieguši 33 iesniegumus par  nodokļu samaksas termiņa pagarinājuma piešķiršanu, kuri kā iemeslu nodokļu sadalīšanai termiņos min situāciju Krievijas tirgū un eksporta samazinājumu uz Krieviju. Šobrīd VID ir sagatavojis 19 pozitīvos lēmumus pēc vispārējā regulējuma un sadalījis nodokļu samaksu, 6 iesniegumi ir atsaukti, 1 lēmuma pieņemšana ir atlikta līdz VID ģenerāldirektora lēmuma pieņemšanai audita lietā, 5 gadījumos atteikts sadalīt termiņos nodokļu samaksu, 2 iesniegumi ir izskatīšanas procesā. Atteikumu iemesli – nodokļu maksātāju nodokļu parādi, iepriekš piešķirto nodokļu termiņa pagarinājumu grafiku neievērošana, nodokļu un informatīvo deklarāciju iesniegšanas termiņu neievērošana, kā arī sakarā ar nodokļu maksātāju neizrādīto vēlmi sadarboties ar VID (nodokļu maksātāji neiesniedza pieprasītos dokumentus). </w:t>
      </w:r>
    </w:p>
    <w:p w:rsidR="00567A8E" w:rsidRDefault="00567A8E" w:rsidP="00567A8E">
      <w:pPr>
        <w:ind w:firstLine="709"/>
        <w:jc w:val="both"/>
        <w:rPr>
          <w:rFonts w:cs="Times New Roman"/>
          <w:sz w:val="26"/>
          <w:szCs w:val="26"/>
        </w:rPr>
      </w:pPr>
      <w:r w:rsidRPr="002D3ACB">
        <w:rPr>
          <w:rFonts w:cs="Times New Roman"/>
          <w:sz w:val="26"/>
          <w:szCs w:val="26"/>
        </w:rPr>
        <w:t xml:space="preserve">Laika periodā no 2014.gada 1.oktobra līdz 2014.gada 19.novembrim saskaņā ar likuma „Par nodokļiem un nodevām” 24.panta pirmās daļas 9.punktu 7 nodokļu maksātāji VID ir iesnieguši 7 iesniegumus par  nodokļu samaksas termiņa pagarinājuma piešķiršanu, kuri kā iemeslu nodokļu sadalīšanai termiņos min Krievijas noteikto embargo pārtikas produktu importam un eksporta samazinājumu uz Krieviju. Šobrīd VID ir sagatavojis 1 pozitīvo lēmumu pēc vispārējā regulējuma un sadalījis nodokļu samaksu, 1 iesniegums ir atsaukts un 5 iesniegumi ir izskatīšanas procesā. </w:t>
      </w:r>
    </w:p>
    <w:p w:rsidR="002D3ACB" w:rsidRPr="002D3ACB" w:rsidRDefault="002D3ACB" w:rsidP="002D3ACB">
      <w:pPr>
        <w:ind w:firstLine="709"/>
        <w:jc w:val="both"/>
        <w:rPr>
          <w:rFonts w:cs="Times New Roman"/>
          <w:sz w:val="26"/>
          <w:szCs w:val="26"/>
        </w:rPr>
      </w:pPr>
      <w:r w:rsidRPr="002D3ACB">
        <w:rPr>
          <w:rFonts w:cs="Times New Roman"/>
          <w:sz w:val="26"/>
          <w:szCs w:val="26"/>
        </w:rPr>
        <w:t>Laika periodā no 2014.gada 22.augusta līdz 2014.gada 19.novembrim VID 19 nodokļu maksātājiem saskaņā ar likuma „Par uzņēmumu ienākuma nodokli” 23.pantu pārskatījis UIN avansu maksājumus, kuri iesniegumā kā pieprasījuma pamatojumu min Krievijas piemēroto preču embargo.</w:t>
      </w:r>
    </w:p>
    <w:p w:rsidR="0016201D" w:rsidRPr="00BB0BA3" w:rsidRDefault="0016201D" w:rsidP="0016201D">
      <w:pPr>
        <w:ind w:firstLine="709"/>
        <w:jc w:val="both"/>
        <w:rPr>
          <w:rFonts w:cs="Times New Roman"/>
          <w:sz w:val="26"/>
          <w:szCs w:val="26"/>
        </w:rPr>
      </w:pPr>
      <w:r w:rsidRPr="00BB0BA3">
        <w:rPr>
          <w:rFonts w:cs="Times New Roman"/>
          <w:sz w:val="26"/>
          <w:szCs w:val="26"/>
        </w:rPr>
        <w:t xml:space="preserve">Lai sniegtu atbalstu saimnieciskās darbības veicējiem Latvijā, kas Krievijas importa ierobežojumu rezultātā saskarsies ar akūtām likviditātes problēmām vai nonāks finanšu grūtībās, ir sagatavots Ministru kabineta noteikumu projekts atbalsta sniegšanai grūtībās nonākušu saimnieciskās darbības veicēju glābšanai, pagaidu pārstrukturēšanai un pārstrukturēšanai. </w:t>
      </w:r>
      <w:r w:rsidR="00BB0BA3" w:rsidRPr="00BB0BA3">
        <w:rPr>
          <w:rFonts w:cs="Times New Roman"/>
          <w:sz w:val="26"/>
          <w:szCs w:val="26"/>
        </w:rPr>
        <w:t>K</w:t>
      </w:r>
      <w:r w:rsidRPr="00BB0BA3">
        <w:rPr>
          <w:rFonts w:cs="Times New Roman"/>
          <w:sz w:val="26"/>
          <w:szCs w:val="26"/>
        </w:rPr>
        <w:t>opēja</w:t>
      </w:r>
      <w:r w:rsidR="00BB0BA3" w:rsidRPr="00BB0BA3">
        <w:rPr>
          <w:rFonts w:cs="Times New Roman"/>
          <w:sz w:val="26"/>
          <w:szCs w:val="26"/>
        </w:rPr>
        <w:t>is</w:t>
      </w:r>
      <w:r w:rsidRPr="00BB0BA3">
        <w:rPr>
          <w:rFonts w:cs="Times New Roman"/>
          <w:sz w:val="26"/>
          <w:szCs w:val="26"/>
        </w:rPr>
        <w:t xml:space="preserve"> atbalsta apmēr</w:t>
      </w:r>
      <w:r w:rsidR="00BB0BA3" w:rsidRPr="00BB0BA3">
        <w:rPr>
          <w:rFonts w:cs="Times New Roman"/>
          <w:sz w:val="26"/>
          <w:szCs w:val="26"/>
        </w:rPr>
        <w:t>s</w:t>
      </w:r>
      <w:r w:rsidRPr="00BB0BA3">
        <w:rPr>
          <w:rFonts w:cs="Times New Roman"/>
          <w:sz w:val="26"/>
          <w:szCs w:val="26"/>
        </w:rPr>
        <w:t xml:space="preserve"> nepārsniedz 10 miljonus </w:t>
      </w:r>
      <w:proofErr w:type="spellStart"/>
      <w:r w:rsidRPr="00BB0BA3">
        <w:rPr>
          <w:rFonts w:cs="Times New Roman"/>
          <w:sz w:val="26"/>
          <w:szCs w:val="26"/>
        </w:rPr>
        <w:t>euro</w:t>
      </w:r>
      <w:proofErr w:type="spellEnd"/>
      <w:r w:rsidRPr="00BB0BA3">
        <w:rPr>
          <w:rFonts w:cs="Times New Roman"/>
          <w:sz w:val="26"/>
          <w:szCs w:val="26"/>
        </w:rPr>
        <w:t xml:space="preserve">. Atbalsts tiks piešķirts uz maksimāli īsu laika periodu, kas nepieciešams saimnieciskā darbības veicēja dzīvotspējas atjaunošanai ilgtermiņā. Atbalstu paredzēts </w:t>
      </w:r>
      <w:r w:rsidRPr="00BB0BA3">
        <w:rPr>
          <w:rFonts w:cs="Times New Roman"/>
          <w:sz w:val="26"/>
          <w:szCs w:val="26"/>
        </w:rPr>
        <w:lastRenderedPageBreak/>
        <w:t>sniegt aizdevuma, garantijas formā. Savukārt pārstrukturēšanas atbalsta gadījumā ir paredzēta arī grantu komponente, lai segtu pārstrukturēšanas plāna izstrādes izmaksas. Lai nekropļotu tirgu, atbalsta saņemšanas laikā saimnieciskās darbības veicējam nebūs atļauts veikt paplašināšanos un palielināt saimnieciskās darbības veicēja jaudu. Indikatīvais pieejamais finansējums atbalst</w:t>
      </w:r>
      <w:r w:rsidR="00BB0BA3" w:rsidRPr="00BB0BA3">
        <w:rPr>
          <w:rFonts w:cs="Times New Roman"/>
          <w:sz w:val="26"/>
          <w:szCs w:val="26"/>
        </w:rPr>
        <w:t xml:space="preserve">a sniegšanai ir 40 miljoni </w:t>
      </w:r>
      <w:proofErr w:type="spellStart"/>
      <w:r w:rsidR="00BB0BA3" w:rsidRPr="00BB0BA3">
        <w:rPr>
          <w:rFonts w:cs="Times New Roman"/>
          <w:sz w:val="26"/>
          <w:szCs w:val="26"/>
        </w:rPr>
        <w:t>euro</w:t>
      </w:r>
      <w:proofErr w:type="spellEnd"/>
      <w:r w:rsidRPr="00BB0BA3">
        <w:rPr>
          <w:rFonts w:cs="Times New Roman"/>
          <w:sz w:val="26"/>
          <w:szCs w:val="26"/>
        </w:rPr>
        <w:t>.</w:t>
      </w:r>
    </w:p>
    <w:p w:rsidR="00F16C44" w:rsidRDefault="0016201D" w:rsidP="0016201D">
      <w:pPr>
        <w:ind w:firstLine="709"/>
        <w:jc w:val="both"/>
        <w:rPr>
          <w:rFonts w:cs="Times New Roman"/>
          <w:sz w:val="26"/>
          <w:szCs w:val="26"/>
        </w:rPr>
      </w:pPr>
      <w:r w:rsidRPr="00BB0BA3">
        <w:rPr>
          <w:rFonts w:cs="Times New Roman"/>
          <w:sz w:val="26"/>
          <w:szCs w:val="26"/>
        </w:rPr>
        <w:t xml:space="preserve">Pirms Ministru kabineta noteikumu projekta virzīšanas apstiprināšanai valdībā, atbilstoši ES valsts atbalsta pamatnostādnēm „Pamatnostādnes par valsts atbalstu grūtībās nonākušu </w:t>
      </w:r>
      <w:proofErr w:type="spellStart"/>
      <w:r w:rsidRPr="00BB0BA3">
        <w:rPr>
          <w:rFonts w:cs="Times New Roman"/>
          <w:sz w:val="26"/>
          <w:szCs w:val="26"/>
        </w:rPr>
        <w:t>nefinanšu</w:t>
      </w:r>
      <w:proofErr w:type="spellEnd"/>
      <w:r w:rsidRPr="00BB0BA3">
        <w:rPr>
          <w:rFonts w:cs="Times New Roman"/>
          <w:sz w:val="26"/>
          <w:szCs w:val="26"/>
        </w:rPr>
        <w:t xml:space="preserve"> uzņēmumu glābšanai un pārstrukturēšanai”, sagatavotais noteikumu projekts  tiks saskaņots ar Eiropas Komisiju. Ministru kabineta noteikumi tiks iesniegti apstiprināšanai Eiropas Komisijai līdz </w:t>
      </w:r>
      <w:proofErr w:type="spellStart"/>
      <w:r w:rsidRPr="00BB0BA3">
        <w:rPr>
          <w:rFonts w:cs="Times New Roman"/>
          <w:sz w:val="26"/>
          <w:szCs w:val="26"/>
        </w:rPr>
        <w:t>š.g</w:t>
      </w:r>
      <w:proofErr w:type="spellEnd"/>
      <w:r w:rsidRPr="00BB0BA3">
        <w:rPr>
          <w:rFonts w:cs="Times New Roman"/>
          <w:sz w:val="26"/>
          <w:szCs w:val="26"/>
        </w:rPr>
        <w:t>. decembra beigām. Ja Eiropas Komisija saskaņos noteikumu projektu bez iebildumiem, tad noteikumu projekts varētu tikt iesniegts Ministru kabinetā līdz 2015.gada marta beigām.</w:t>
      </w:r>
    </w:p>
    <w:p w:rsidR="00024113" w:rsidRPr="00313A86" w:rsidRDefault="00024113" w:rsidP="0016201D">
      <w:pPr>
        <w:ind w:firstLine="709"/>
        <w:jc w:val="both"/>
        <w:rPr>
          <w:rFonts w:cs="Times New Roman"/>
          <w:sz w:val="22"/>
          <w:szCs w:val="26"/>
        </w:rPr>
      </w:pPr>
    </w:p>
    <w:p w:rsidR="008A6A67" w:rsidRPr="00AB7B58" w:rsidRDefault="008A452A" w:rsidP="00E47667">
      <w:pPr>
        <w:pStyle w:val="Heading2"/>
        <w:numPr>
          <w:ilvl w:val="1"/>
          <w:numId w:val="46"/>
        </w:numPr>
        <w:spacing w:after="120"/>
        <w:rPr>
          <w:rFonts w:ascii="Times New Roman" w:hAnsi="Times New Roman"/>
          <w:color w:val="auto"/>
        </w:rPr>
      </w:pPr>
      <w:bookmarkStart w:id="5" w:name="_Toc404413742"/>
      <w:r>
        <w:rPr>
          <w:rFonts w:ascii="Times New Roman" w:hAnsi="Times New Roman"/>
          <w:color w:val="auto"/>
        </w:rPr>
        <w:t>E</w:t>
      </w:r>
      <w:r w:rsidR="008A6A67" w:rsidRPr="00AB7B58">
        <w:rPr>
          <w:rFonts w:ascii="Times New Roman" w:hAnsi="Times New Roman"/>
          <w:color w:val="auto"/>
        </w:rPr>
        <w:t>ksporta tirgu pārorientācija</w:t>
      </w:r>
      <w:bookmarkEnd w:id="5"/>
    </w:p>
    <w:p w:rsidR="008A6A67" w:rsidRDefault="00BA0C63" w:rsidP="008A6A67">
      <w:pPr>
        <w:ind w:firstLine="709"/>
        <w:jc w:val="both"/>
        <w:rPr>
          <w:rFonts w:cs="Times New Roman"/>
          <w:sz w:val="26"/>
          <w:szCs w:val="26"/>
        </w:rPr>
      </w:pPr>
      <w:r w:rsidRPr="00AB7B58">
        <w:rPr>
          <w:rFonts w:cs="Times New Roman"/>
          <w:sz w:val="26"/>
          <w:szCs w:val="26"/>
        </w:rPr>
        <w:t>Šā gada 14</w:t>
      </w:r>
      <w:r w:rsidR="00A64A70">
        <w:rPr>
          <w:rFonts w:cs="Times New Roman"/>
          <w:sz w:val="26"/>
          <w:szCs w:val="26"/>
        </w:rPr>
        <w:t>.oktobra MK sēdē tika atbalstīts</w:t>
      </w:r>
      <w:r w:rsidRPr="00AB7B58">
        <w:rPr>
          <w:rFonts w:cs="Times New Roman"/>
          <w:sz w:val="26"/>
          <w:szCs w:val="26"/>
        </w:rPr>
        <w:t xml:space="preserve"> Ekonomikas ministrijas sagatavotais  noteikumu projekts "Grozījumi Ministru kabineta 2009.gada 17.jūnija noteikumos Nr.582 "Noteikumi par darbības programmas "Uzņēmējdarbība un inovācijas" papildinājuma 2.3.1.1.1.apakšaktivitātes "Ārējo tirgu apgūšana–ārējais mārketings" sesto un turpmākajām kārtām""</w:t>
      </w:r>
      <w:r w:rsidR="008A6A67" w:rsidRPr="00AB7B58">
        <w:rPr>
          <w:rFonts w:cs="Times New Roman"/>
          <w:sz w:val="26"/>
          <w:szCs w:val="26"/>
        </w:rPr>
        <w:t xml:space="preserve"> </w:t>
      </w:r>
      <w:r w:rsidRPr="00AB7B58">
        <w:rPr>
          <w:rFonts w:cs="Times New Roman"/>
          <w:sz w:val="26"/>
          <w:szCs w:val="26"/>
        </w:rPr>
        <w:t>(MK sēdes protokols Nr.55, 44.§) un noteikumu projekts "Grozījumi Ministru kabineta 2010.gada 21.septembra noteikumos Nr.887 "Noteikumi par darbības programmas "Uzņēmējdarbība un inovācijas"" papildinājuma 2.3.1.1.aktivitātes "Ārējo tirgu apgūšana" 2.3.1.1.2.apakšaktivitāti "Ārējo tirgu apgūšana–nozaru starptautiskās konkurētspējas stiprināšana""" (MK sēdes protokols Nr.55, 45.§).</w:t>
      </w:r>
    </w:p>
    <w:p w:rsidR="001043D8" w:rsidRDefault="001043D8" w:rsidP="008A6A67">
      <w:pPr>
        <w:ind w:firstLine="709"/>
        <w:jc w:val="both"/>
        <w:rPr>
          <w:rFonts w:cs="Times New Roman"/>
          <w:sz w:val="26"/>
          <w:szCs w:val="26"/>
        </w:rPr>
      </w:pPr>
      <w:r>
        <w:rPr>
          <w:rFonts w:cs="Times New Roman"/>
          <w:sz w:val="26"/>
          <w:szCs w:val="26"/>
        </w:rPr>
        <w:t>MK noteikumi Nr.582 tika papildināti ar jaunām atbalstāmām</w:t>
      </w:r>
      <w:r w:rsidRPr="001043D8">
        <w:rPr>
          <w:rFonts w:cs="Times New Roman"/>
          <w:sz w:val="26"/>
          <w:szCs w:val="26"/>
        </w:rPr>
        <w:t xml:space="preserve"> darbīb</w:t>
      </w:r>
      <w:r>
        <w:rPr>
          <w:rFonts w:cs="Times New Roman"/>
          <w:sz w:val="26"/>
          <w:szCs w:val="26"/>
        </w:rPr>
        <w:t>ām</w:t>
      </w:r>
      <w:r w:rsidRPr="001043D8">
        <w:rPr>
          <w:rFonts w:cs="Times New Roman"/>
          <w:sz w:val="26"/>
          <w:szCs w:val="26"/>
        </w:rPr>
        <w:t xml:space="preserve"> - individuālās vizītes pie sadarbības partneriem mērķa tirgos ārvalstīs, ko organizē Latvijas Investīciju un attīstības aģentūra </w:t>
      </w:r>
      <w:r>
        <w:rPr>
          <w:rFonts w:cs="Times New Roman"/>
          <w:sz w:val="26"/>
          <w:szCs w:val="26"/>
        </w:rPr>
        <w:t xml:space="preserve">vai biedrība vai nodibinājums; </w:t>
      </w:r>
      <w:r w:rsidRPr="001043D8">
        <w:rPr>
          <w:rFonts w:cs="Times New Roman"/>
          <w:sz w:val="26"/>
          <w:szCs w:val="26"/>
        </w:rPr>
        <w:t>ražotņu un produktu atbilstības  novērtēšana ja šāda atbilstības novērtēšana ir obligāts priekšnosacījums, lai uzsāktu produktu tirdzniecībai ārvalstu tirgos</w:t>
      </w:r>
      <w:r>
        <w:rPr>
          <w:rFonts w:cs="Times New Roman"/>
          <w:sz w:val="26"/>
          <w:szCs w:val="26"/>
        </w:rPr>
        <w:t xml:space="preserve">; </w:t>
      </w:r>
      <w:r w:rsidRPr="001043D8">
        <w:rPr>
          <w:rFonts w:cs="Times New Roman"/>
          <w:sz w:val="26"/>
          <w:szCs w:val="26"/>
        </w:rPr>
        <w:t>paredzēts atbalsts arī liela mēroga starptautisko konferenču rīkošanai</w:t>
      </w:r>
      <w:r>
        <w:rPr>
          <w:rFonts w:cs="Times New Roman"/>
          <w:sz w:val="26"/>
          <w:szCs w:val="26"/>
        </w:rPr>
        <w:t xml:space="preserve"> Latvijā. Vienlaikus tika arī </w:t>
      </w:r>
      <w:r w:rsidRPr="001043D8">
        <w:rPr>
          <w:rFonts w:cs="Times New Roman"/>
          <w:sz w:val="26"/>
          <w:szCs w:val="26"/>
        </w:rPr>
        <w:t>palielināta ES fondu līdzfinansējuma atbalsta intensitāte</w:t>
      </w:r>
      <w:r>
        <w:rPr>
          <w:rFonts w:cs="Times New Roman"/>
          <w:sz w:val="26"/>
          <w:szCs w:val="26"/>
        </w:rPr>
        <w:t xml:space="preserve"> uz 70%.</w:t>
      </w:r>
    </w:p>
    <w:p w:rsidR="008A6A67" w:rsidRPr="00AB7B58" w:rsidRDefault="00CE2FA3" w:rsidP="008A6A67">
      <w:pPr>
        <w:ind w:firstLine="709"/>
        <w:jc w:val="both"/>
        <w:rPr>
          <w:rFonts w:cs="Times New Roman"/>
          <w:sz w:val="26"/>
          <w:szCs w:val="26"/>
        </w:rPr>
      </w:pPr>
      <w:r>
        <w:rPr>
          <w:rFonts w:cs="Times New Roman"/>
          <w:sz w:val="26"/>
          <w:szCs w:val="26"/>
        </w:rPr>
        <w:t>Papildus individuālajām komersantu eksporta tirgu apgūšanas aktivitātēm</w:t>
      </w:r>
      <w:r w:rsidR="005735D2">
        <w:rPr>
          <w:rFonts w:cs="Times New Roman"/>
          <w:sz w:val="26"/>
          <w:szCs w:val="26"/>
        </w:rPr>
        <w:t>, e</w:t>
      </w:r>
      <w:r w:rsidR="008A6A67" w:rsidRPr="00AB7B58">
        <w:rPr>
          <w:rFonts w:cs="Times New Roman"/>
          <w:sz w:val="26"/>
          <w:szCs w:val="26"/>
        </w:rPr>
        <w:t xml:space="preserve">ksporta tirgu apgūšanu paredzēts organizēt </w:t>
      </w:r>
      <w:r>
        <w:rPr>
          <w:rFonts w:cs="Times New Roman"/>
          <w:sz w:val="26"/>
          <w:szCs w:val="26"/>
        </w:rPr>
        <w:t xml:space="preserve">arī </w:t>
      </w:r>
      <w:r w:rsidR="008A6A67" w:rsidRPr="00AB7B58">
        <w:rPr>
          <w:rFonts w:cs="Times New Roman"/>
          <w:sz w:val="26"/>
          <w:szCs w:val="26"/>
        </w:rPr>
        <w:t xml:space="preserve">pamatojoties uz nozaru asociāciju un LIAA sadarbības līguma pamata, kura ietvaros nozaru asociācijas identificē prioritāros tirgus un tajos veicamās aktivitātes, piemēram tirdzniecības misijas, nozaru pārstāvji mērķa tirgū, dalība starptautiskās izstādēs </w:t>
      </w:r>
      <w:proofErr w:type="spellStart"/>
      <w:r w:rsidR="008A6A67" w:rsidRPr="00AB7B58">
        <w:rPr>
          <w:rFonts w:cs="Times New Roman"/>
          <w:sz w:val="26"/>
          <w:szCs w:val="26"/>
        </w:rPr>
        <w:t>u.c</w:t>
      </w:r>
      <w:proofErr w:type="spellEnd"/>
      <w:r w:rsidR="008A6A67" w:rsidRPr="00AB7B58">
        <w:rPr>
          <w:rFonts w:cs="Times New Roman"/>
          <w:sz w:val="26"/>
          <w:szCs w:val="26"/>
        </w:rPr>
        <w:t>. un atbilstoši šīm asociāciju izvirzītajām prioritātēm LIAA nodrošina to īstenošanu. Būtisks elements ir asociāciju aktīva iesaiste ne tikai aktivitāšu definēšanā, bet līdzdalība visā procesā un īstenoto aktivitāšu rezultātu un kvalitātes novērtēšanā, kā arī nozares uzņēmumu iesaistīšanā aktivitāšu īstenošanā.</w:t>
      </w:r>
    </w:p>
    <w:p w:rsidR="00BA0C63" w:rsidRPr="00AB7B58" w:rsidRDefault="00BA0C63" w:rsidP="008A6A67">
      <w:pPr>
        <w:ind w:firstLine="709"/>
        <w:jc w:val="both"/>
        <w:rPr>
          <w:rFonts w:cs="Times New Roman"/>
          <w:sz w:val="26"/>
          <w:szCs w:val="26"/>
        </w:rPr>
      </w:pPr>
      <w:r w:rsidRPr="00AB7B58">
        <w:rPr>
          <w:rFonts w:cs="Times New Roman"/>
          <w:sz w:val="26"/>
          <w:szCs w:val="26"/>
        </w:rPr>
        <w:t xml:space="preserve">Uz </w:t>
      </w:r>
      <w:proofErr w:type="spellStart"/>
      <w:r w:rsidRPr="00AB7B58">
        <w:rPr>
          <w:rFonts w:cs="Times New Roman"/>
          <w:sz w:val="26"/>
          <w:szCs w:val="26"/>
        </w:rPr>
        <w:t>š.g</w:t>
      </w:r>
      <w:proofErr w:type="spellEnd"/>
      <w:r w:rsidRPr="00AB7B58">
        <w:rPr>
          <w:rFonts w:cs="Times New Roman"/>
          <w:sz w:val="26"/>
          <w:szCs w:val="26"/>
        </w:rPr>
        <w:t>.</w:t>
      </w:r>
      <w:r w:rsidR="00A64A70">
        <w:rPr>
          <w:rFonts w:cs="Times New Roman"/>
          <w:sz w:val="26"/>
          <w:szCs w:val="26"/>
        </w:rPr>
        <w:t xml:space="preserve"> 20.novembri</w:t>
      </w:r>
      <w:r w:rsidRPr="00AB7B58">
        <w:rPr>
          <w:rFonts w:cs="Times New Roman"/>
          <w:sz w:val="26"/>
          <w:szCs w:val="26"/>
        </w:rPr>
        <w:t xml:space="preserve"> jau ir noslēgti sadarbības līgumi ar Latvijas </w:t>
      </w:r>
      <w:r w:rsidR="00A64A70">
        <w:rPr>
          <w:rFonts w:cs="Times New Roman"/>
          <w:sz w:val="26"/>
          <w:szCs w:val="26"/>
        </w:rPr>
        <w:t xml:space="preserve">Pārtikas uzņēmumu federāciju, </w:t>
      </w:r>
      <w:r w:rsidRPr="00AB7B58">
        <w:rPr>
          <w:rFonts w:cs="Times New Roman"/>
          <w:sz w:val="26"/>
          <w:szCs w:val="26"/>
        </w:rPr>
        <w:t>asociāciju „Latvijas Auto”,</w:t>
      </w:r>
      <w:r w:rsidR="00A64A70">
        <w:rPr>
          <w:rFonts w:cs="Times New Roman"/>
          <w:sz w:val="26"/>
          <w:szCs w:val="26"/>
        </w:rPr>
        <w:t xml:space="preserve"> Latvijas Ķīmijas un farmācijas uzņēmumu asociāciju un Vieglās rūpniecības uzņēmumu asociāciju</w:t>
      </w:r>
      <w:r w:rsidRPr="00AB7B58">
        <w:rPr>
          <w:rFonts w:cs="Times New Roman"/>
          <w:sz w:val="26"/>
          <w:szCs w:val="26"/>
        </w:rPr>
        <w:t xml:space="preserve"> par sadarbību eksporta aktivitāšu īstenošanā, vienlaikus notiek līguma projektu saskaņošana arī ar pārējām darba devēju organizācijām.</w:t>
      </w:r>
    </w:p>
    <w:p w:rsidR="008A6A67" w:rsidRPr="00AB7B58" w:rsidRDefault="008A6A67" w:rsidP="008A6A67">
      <w:pPr>
        <w:ind w:firstLine="709"/>
        <w:jc w:val="both"/>
        <w:rPr>
          <w:rFonts w:cs="Times New Roman"/>
          <w:sz w:val="26"/>
          <w:szCs w:val="26"/>
        </w:rPr>
      </w:pPr>
      <w:r w:rsidRPr="00AB7B58">
        <w:rPr>
          <w:rFonts w:cs="Times New Roman"/>
          <w:sz w:val="26"/>
          <w:szCs w:val="26"/>
        </w:rPr>
        <w:lastRenderedPageBreak/>
        <w:t>Šobrīd</w:t>
      </w:r>
      <w:r w:rsidR="00BA0C63" w:rsidRPr="00AB7B58">
        <w:rPr>
          <w:rFonts w:cs="Times New Roman"/>
          <w:sz w:val="26"/>
          <w:szCs w:val="26"/>
        </w:rPr>
        <w:t>,</w:t>
      </w:r>
      <w:r w:rsidRPr="00AB7B58">
        <w:rPr>
          <w:rFonts w:cs="Times New Roman"/>
          <w:sz w:val="26"/>
          <w:szCs w:val="26"/>
        </w:rPr>
        <w:t xml:space="preserve"> </w:t>
      </w:r>
      <w:r w:rsidR="00BA0C63" w:rsidRPr="00AB7B58">
        <w:rPr>
          <w:rFonts w:cs="Times New Roman"/>
          <w:sz w:val="26"/>
          <w:szCs w:val="26"/>
        </w:rPr>
        <w:t xml:space="preserve">papildus jau iepriekš plānotajām aktivitātēm, </w:t>
      </w:r>
      <w:r w:rsidR="0053568A">
        <w:rPr>
          <w:rFonts w:cs="Times New Roman"/>
          <w:sz w:val="26"/>
          <w:szCs w:val="26"/>
        </w:rPr>
        <w:t>ir identificētas</w:t>
      </w:r>
      <w:r w:rsidRPr="00AB7B58">
        <w:rPr>
          <w:rFonts w:cs="Times New Roman"/>
          <w:sz w:val="26"/>
          <w:szCs w:val="26"/>
        </w:rPr>
        <w:t xml:space="preserve"> tirdzniecības misijas</w:t>
      </w:r>
      <w:r w:rsidR="0053568A">
        <w:rPr>
          <w:rFonts w:cs="Times New Roman"/>
          <w:sz w:val="26"/>
          <w:szCs w:val="26"/>
        </w:rPr>
        <w:t xml:space="preserve"> uz 10 jauniem tirgiem (Azerbaidžāna, Kazahstāna, Uzbekistāna, ASV, Brazīlija, Singapūra, Mongolija, AAE, Irāna, Kanāda)</w:t>
      </w:r>
      <w:r w:rsidRPr="00AB7B58">
        <w:rPr>
          <w:rFonts w:cs="Times New Roman"/>
          <w:sz w:val="26"/>
          <w:szCs w:val="26"/>
        </w:rPr>
        <w:t>, kas tiks īstenotas līdz 2015.gada beigām, vairāk par 30 starptautiskām izstādēm, kurās tiks nodrošināta Latvijas uzņēmumu dalība nacionālajos stendos, 5 Latvijas dienu organizēšana</w:t>
      </w:r>
      <w:r w:rsidR="00567A8E">
        <w:rPr>
          <w:rFonts w:cs="Times New Roman"/>
          <w:sz w:val="26"/>
          <w:szCs w:val="26"/>
        </w:rPr>
        <w:t>.</w:t>
      </w:r>
      <w:r w:rsidR="0053568A">
        <w:rPr>
          <w:rFonts w:cs="Times New Roman"/>
          <w:sz w:val="26"/>
          <w:szCs w:val="26"/>
        </w:rPr>
        <w:t xml:space="preserve"> </w:t>
      </w:r>
      <w:r w:rsidR="00567A8E">
        <w:rPr>
          <w:rFonts w:cs="Times New Roman"/>
          <w:sz w:val="26"/>
          <w:szCs w:val="26"/>
        </w:rPr>
        <w:t>P</w:t>
      </w:r>
      <w:r w:rsidR="0053568A">
        <w:rPr>
          <w:rFonts w:cs="Times New Roman"/>
          <w:sz w:val="26"/>
          <w:szCs w:val="26"/>
        </w:rPr>
        <w:t xml:space="preserve">irmā Latvijas dienu mārketinga kampaņa </w:t>
      </w:r>
      <w:r w:rsidR="00170236">
        <w:rPr>
          <w:rFonts w:cs="Times New Roman"/>
          <w:sz w:val="26"/>
          <w:szCs w:val="26"/>
        </w:rPr>
        <w:t xml:space="preserve">norisinās Gruzijā, </w:t>
      </w:r>
      <w:r w:rsidR="0053568A">
        <w:rPr>
          <w:rFonts w:cs="Times New Roman"/>
          <w:sz w:val="26"/>
          <w:szCs w:val="26"/>
        </w:rPr>
        <w:t xml:space="preserve">no </w:t>
      </w:r>
      <w:proofErr w:type="spellStart"/>
      <w:r w:rsidR="00170236">
        <w:rPr>
          <w:rFonts w:cs="Times New Roman"/>
          <w:sz w:val="26"/>
          <w:szCs w:val="26"/>
        </w:rPr>
        <w:t>š.g</w:t>
      </w:r>
      <w:proofErr w:type="spellEnd"/>
      <w:r w:rsidR="00170236">
        <w:rPr>
          <w:rFonts w:cs="Times New Roman"/>
          <w:sz w:val="26"/>
          <w:szCs w:val="26"/>
        </w:rPr>
        <w:t xml:space="preserve">. </w:t>
      </w:r>
      <w:r w:rsidR="0053568A">
        <w:rPr>
          <w:rFonts w:cs="Times New Roman"/>
          <w:sz w:val="26"/>
          <w:szCs w:val="26"/>
        </w:rPr>
        <w:t>24.novembra</w:t>
      </w:r>
      <w:r w:rsidRPr="00AB7B58">
        <w:rPr>
          <w:rFonts w:cs="Times New Roman"/>
          <w:sz w:val="26"/>
          <w:szCs w:val="26"/>
        </w:rPr>
        <w:t xml:space="preserve">. </w:t>
      </w:r>
      <w:r w:rsidR="005735D2">
        <w:rPr>
          <w:rFonts w:cs="Times New Roman"/>
          <w:sz w:val="26"/>
          <w:szCs w:val="26"/>
        </w:rPr>
        <w:t>Tāpat i</w:t>
      </w:r>
      <w:r w:rsidR="00BA0C63" w:rsidRPr="00AB7B58">
        <w:rPr>
          <w:rFonts w:cs="Times New Roman"/>
          <w:sz w:val="26"/>
          <w:szCs w:val="26"/>
        </w:rPr>
        <w:t xml:space="preserve">r sagatavota iepirkuma dokumentācija „Piena pārstrādes nozares </w:t>
      </w:r>
      <w:proofErr w:type="spellStart"/>
      <w:r w:rsidR="00BA0C63" w:rsidRPr="00AB7B58">
        <w:rPr>
          <w:rFonts w:cs="Times New Roman"/>
          <w:sz w:val="26"/>
          <w:szCs w:val="26"/>
        </w:rPr>
        <w:t>eksportspējas</w:t>
      </w:r>
      <w:proofErr w:type="spellEnd"/>
      <w:r w:rsidR="00BA0C63" w:rsidRPr="00AB7B58">
        <w:rPr>
          <w:rFonts w:cs="Times New Roman"/>
          <w:sz w:val="26"/>
          <w:szCs w:val="26"/>
        </w:rPr>
        <w:t xml:space="preserve"> un eksporta tirgu novērtējums”, kas </w:t>
      </w:r>
      <w:r w:rsidR="00567A8E">
        <w:rPr>
          <w:rFonts w:cs="Times New Roman"/>
          <w:sz w:val="26"/>
          <w:szCs w:val="26"/>
        </w:rPr>
        <w:t>ir</w:t>
      </w:r>
      <w:r w:rsidR="00BA0C63" w:rsidRPr="00AB7B58">
        <w:rPr>
          <w:rFonts w:cs="Times New Roman"/>
          <w:sz w:val="26"/>
          <w:szCs w:val="26"/>
        </w:rPr>
        <w:t xml:space="preserve"> skaņota ar nozari pārstāvošajām darba devēju </w:t>
      </w:r>
      <w:r w:rsidR="005735D2">
        <w:rPr>
          <w:rFonts w:cs="Times New Roman"/>
          <w:sz w:val="26"/>
          <w:szCs w:val="26"/>
        </w:rPr>
        <w:t xml:space="preserve">organizācijām un tuvākajā laikā tiks izsludināts iepirkuma konkurss. </w:t>
      </w:r>
      <w:r w:rsidR="00574531" w:rsidRPr="00AB7B58">
        <w:rPr>
          <w:rFonts w:cs="Times New Roman"/>
          <w:sz w:val="26"/>
          <w:szCs w:val="26"/>
        </w:rPr>
        <w:t xml:space="preserve">Iepirkuma ietvaros tiks </w:t>
      </w:r>
      <w:r w:rsidRPr="00AB7B58">
        <w:rPr>
          <w:rFonts w:cs="Times New Roman"/>
          <w:sz w:val="26"/>
          <w:szCs w:val="26"/>
        </w:rPr>
        <w:t>veikt</w:t>
      </w:r>
      <w:r w:rsidR="00574531" w:rsidRPr="00AB7B58">
        <w:rPr>
          <w:rFonts w:cs="Times New Roman"/>
          <w:sz w:val="26"/>
          <w:szCs w:val="26"/>
        </w:rPr>
        <w:t>a padziļināta</w:t>
      </w:r>
      <w:r w:rsidRPr="00AB7B58">
        <w:rPr>
          <w:rFonts w:cs="Times New Roman"/>
          <w:sz w:val="26"/>
          <w:szCs w:val="26"/>
        </w:rPr>
        <w:t xml:space="preserve"> vēl neapgūto tirgu analīz</w:t>
      </w:r>
      <w:r w:rsidR="00574531" w:rsidRPr="00AB7B58">
        <w:rPr>
          <w:rFonts w:cs="Times New Roman"/>
          <w:sz w:val="26"/>
          <w:szCs w:val="26"/>
        </w:rPr>
        <w:t>e</w:t>
      </w:r>
      <w:r w:rsidRPr="00AB7B58">
        <w:rPr>
          <w:rFonts w:cs="Times New Roman"/>
          <w:sz w:val="26"/>
          <w:szCs w:val="26"/>
        </w:rPr>
        <w:t xml:space="preserve"> un identificēt</w:t>
      </w:r>
      <w:r w:rsidR="00574531" w:rsidRPr="00AB7B58">
        <w:rPr>
          <w:rFonts w:cs="Times New Roman"/>
          <w:sz w:val="26"/>
          <w:szCs w:val="26"/>
        </w:rPr>
        <w:t>as</w:t>
      </w:r>
      <w:r w:rsidRPr="00AB7B58">
        <w:rPr>
          <w:rFonts w:cs="Times New Roman"/>
          <w:sz w:val="26"/>
          <w:szCs w:val="26"/>
        </w:rPr>
        <w:t xml:space="preserve"> iespējamās produkcijas noieta nišas, kā arī analizēt</w:t>
      </w:r>
      <w:r w:rsidR="00574531" w:rsidRPr="00AB7B58">
        <w:rPr>
          <w:rFonts w:cs="Times New Roman"/>
          <w:sz w:val="26"/>
          <w:szCs w:val="26"/>
        </w:rPr>
        <w:t>i</w:t>
      </w:r>
      <w:r w:rsidRPr="00AB7B58">
        <w:rPr>
          <w:rFonts w:cs="Times New Roman"/>
          <w:sz w:val="26"/>
          <w:szCs w:val="26"/>
        </w:rPr>
        <w:t xml:space="preserve"> Latvijas pārstrādes uzņēmum</w:t>
      </w:r>
      <w:r w:rsidR="00574531" w:rsidRPr="00AB7B58">
        <w:rPr>
          <w:rFonts w:cs="Times New Roman"/>
          <w:sz w:val="26"/>
          <w:szCs w:val="26"/>
        </w:rPr>
        <w:t>i</w:t>
      </w:r>
      <w:r w:rsidRPr="00AB7B58">
        <w:rPr>
          <w:rFonts w:cs="Times New Roman"/>
          <w:sz w:val="26"/>
          <w:szCs w:val="26"/>
        </w:rPr>
        <w:t xml:space="preserve"> un sagatavot</w:t>
      </w:r>
      <w:r w:rsidR="00574531" w:rsidRPr="00AB7B58">
        <w:rPr>
          <w:rFonts w:cs="Times New Roman"/>
          <w:sz w:val="26"/>
          <w:szCs w:val="26"/>
        </w:rPr>
        <w:t>i</w:t>
      </w:r>
      <w:r w:rsidRPr="00AB7B58">
        <w:rPr>
          <w:rFonts w:cs="Times New Roman"/>
          <w:sz w:val="26"/>
          <w:szCs w:val="26"/>
        </w:rPr>
        <w:t xml:space="preserve"> priekšlikum</w:t>
      </w:r>
      <w:r w:rsidR="00574531" w:rsidRPr="00AB7B58">
        <w:rPr>
          <w:rFonts w:cs="Times New Roman"/>
          <w:sz w:val="26"/>
          <w:szCs w:val="26"/>
        </w:rPr>
        <w:t>i</w:t>
      </w:r>
      <w:r w:rsidRPr="00AB7B58">
        <w:rPr>
          <w:rFonts w:cs="Times New Roman"/>
          <w:sz w:val="26"/>
          <w:szCs w:val="26"/>
        </w:rPr>
        <w:t xml:space="preserve"> gan </w:t>
      </w:r>
      <w:proofErr w:type="spellStart"/>
      <w:r w:rsidRPr="00AB7B58">
        <w:rPr>
          <w:rFonts w:cs="Times New Roman"/>
          <w:sz w:val="26"/>
          <w:szCs w:val="26"/>
        </w:rPr>
        <w:t>eksportstpējas</w:t>
      </w:r>
      <w:proofErr w:type="spellEnd"/>
      <w:r w:rsidRPr="00AB7B58">
        <w:rPr>
          <w:rFonts w:cs="Times New Roman"/>
          <w:sz w:val="26"/>
          <w:szCs w:val="26"/>
        </w:rPr>
        <w:t xml:space="preserve"> kāpināšanai, gan produkcijas pielāgošanai konkrētā tirgus prasībām. </w:t>
      </w:r>
      <w:r w:rsidR="00574531" w:rsidRPr="00AB7B58">
        <w:rPr>
          <w:rFonts w:cs="Times New Roman"/>
          <w:sz w:val="26"/>
          <w:szCs w:val="26"/>
        </w:rPr>
        <w:t xml:space="preserve">Tāpat ir identificēta nepieciešamība organizēt iepirkumus specifisku  datu, produktu analīzes </w:t>
      </w:r>
      <w:proofErr w:type="spellStart"/>
      <w:r w:rsidR="00574531" w:rsidRPr="00AB7B58">
        <w:rPr>
          <w:rFonts w:cs="Times New Roman"/>
          <w:sz w:val="26"/>
          <w:szCs w:val="26"/>
        </w:rPr>
        <w:t>u.c</w:t>
      </w:r>
      <w:proofErr w:type="spellEnd"/>
      <w:r w:rsidR="005735D2">
        <w:rPr>
          <w:rFonts w:cs="Times New Roman"/>
          <w:sz w:val="26"/>
          <w:szCs w:val="26"/>
        </w:rPr>
        <w:t>. ieguvei no dažādām datu bāzēm. Tiek turpināts darbs pie papildus veicamo aktivitāšu identificēšanas.</w:t>
      </w:r>
    </w:p>
    <w:p w:rsidR="00574531" w:rsidRPr="00AB7B58" w:rsidRDefault="00574531" w:rsidP="008A6A67">
      <w:pPr>
        <w:ind w:firstLine="709"/>
        <w:jc w:val="both"/>
        <w:rPr>
          <w:rFonts w:cs="Times New Roman"/>
          <w:sz w:val="26"/>
          <w:szCs w:val="26"/>
        </w:rPr>
      </w:pPr>
      <w:r w:rsidRPr="00AB7B58">
        <w:rPr>
          <w:rFonts w:cs="Times New Roman"/>
          <w:sz w:val="26"/>
          <w:szCs w:val="26"/>
        </w:rPr>
        <w:t xml:space="preserve">Lai nodrošinātu Latvijas uzņēmēju pārstāvību 2015.gadā notiekošajā starptautiskajā izstādē „EXPO </w:t>
      </w:r>
      <w:proofErr w:type="spellStart"/>
      <w:r w:rsidRPr="00AB7B58">
        <w:rPr>
          <w:rFonts w:cs="Times New Roman"/>
          <w:sz w:val="26"/>
          <w:szCs w:val="26"/>
        </w:rPr>
        <w:t>Milano</w:t>
      </w:r>
      <w:proofErr w:type="spellEnd"/>
      <w:r w:rsidRPr="00AB7B58">
        <w:rPr>
          <w:rFonts w:cs="Times New Roman"/>
          <w:sz w:val="26"/>
          <w:szCs w:val="26"/>
        </w:rPr>
        <w:t xml:space="preserve">” ir sagatavots </w:t>
      </w:r>
      <w:r w:rsidR="00170236">
        <w:rPr>
          <w:rFonts w:cs="Times New Roman"/>
          <w:sz w:val="26"/>
          <w:szCs w:val="26"/>
        </w:rPr>
        <w:t xml:space="preserve">uzņēmēju </w:t>
      </w:r>
      <w:r w:rsidRPr="00AB7B58">
        <w:rPr>
          <w:rFonts w:cs="Times New Roman"/>
          <w:sz w:val="26"/>
          <w:szCs w:val="26"/>
        </w:rPr>
        <w:t>aktivitāšu plāna projekts, kas tik</w:t>
      </w:r>
      <w:r w:rsidR="00567A8E">
        <w:rPr>
          <w:rFonts w:cs="Times New Roman"/>
          <w:sz w:val="26"/>
          <w:szCs w:val="26"/>
        </w:rPr>
        <w:t>a</w:t>
      </w:r>
      <w:r w:rsidRPr="00AB7B58">
        <w:rPr>
          <w:rFonts w:cs="Times New Roman"/>
          <w:sz w:val="26"/>
          <w:szCs w:val="26"/>
        </w:rPr>
        <w:t xml:space="preserve"> apspriests ar nozares pārstāvjiem </w:t>
      </w:r>
      <w:proofErr w:type="spellStart"/>
      <w:r w:rsidRPr="00AB7B58">
        <w:rPr>
          <w:rFonts w:cs="Times New Roman"/>
          <w:sz w:val="26"/>
          <w:szCs w:val="26"/>
        </w:rPr>
        <w:t>š.g</w:t>
      </w:r>
      <w:proofErr w:type="spellEnd"/>
      <w:r w:rsidRPr="00AB7B58">
        <w:rPr>
          <w:rFonts w:cs="Times New Roman"/>
          <w:sz w:val="26"/>
          <w:szCs w:val="26"/>
        </w:rPr>
        <w:t>.</w:t>
      </w:r>
      <w:r w:rsidR="00EE2E0F">
        <w:rPr>
          <w:rFonts w:cs="Times New Roman"/>
          <w:sz w:val="26"/>
          <w:szCs w:val="26"/>
        </w:rPr>
        <w:t xml:space="preserve"> </w:t>
      </w:r>
      <w:r w:rsidR="00170236">
        <w:rPr>
          <w:rFonts w:cs="Times New Roman"/>
          <w:sz w:val="26"/>
          <w:szCs w:val="26"/>
        </w:rPr>
        <w:t>7.novembra</w:t>
      </w:r>
      <w:r w:rsidRPr="00AB7B58">
        <w:rPr>
          <w:rFonts w:cs="Times New Roman"/>
          <w:sz w:val="26"/>
          <w:szCs w:val="26"/>
        </w:rPr>
        <w:t xml:space="preserve"> sanāksmē. Priekšlikumi paredz gan pastāvīgas ekspozīcijas izveidi Latvijas paviljonā, gan biznesa forumu, „Latvijas dienu”, „</w:t>
      </w:r>
      <w:proofErr w:type="spellStart"/>
      <w:r w:rsidRPr="00AB7B58">
        <w:rPr>
          <w:rFonts w:cs="Times New Roman"/>
          <w:sz w:val="26"/>
          <w:szCs w:val="26"/>
        </w:rPr>
        <w:t>roadshow</w:t>
      </w:r>
      <w:proofErr w:type="spellEnd"/>
      <w:r w:rsidRPr="00AB7B58">
        <w:rPr>
          <w:rFonts w:cs="Times New Roman"/>
          <w:sz w:val="26"/>
          <w:szCs w:val="26"/>
        </w:rPr>
        <w:t xml:space="preserve">”, </w:t>
      </w:r>
      <w:proofErr w:type="spellStart"/>
      <w:r w:rsidRPr="00AB7B58">
        <w:rPr>
          <w:rFonts w:cs="Times New Roman"/>
          <w:sz w:val="26"/>
          <w:szCs w:val="26"/>
        </w:rPr>
        <w:t>u.c</w:t>
      </w:r>
      <w:proofErr w:type="spellEnd"/>
      <w:r w:rsidRPr="00AB7B58">
        <w:rPr>
          <w:rFonts w:cs="Times New Roman"/>
          <w:sz w:val="26"/>
          <w:szCs w:val="26"/>
        </w:rPr>
        <w:t>. aktivitāšu organizēšanu izstādes norises laikā.</w:t>
      </w:r>
      <w:r w:rsidR="00567A8E">
        <w:rPr>
          <w:rFonts w:cs="Times New Roman"/>
          <w:sz w:val="26"/>
          <w:szCs w:val="26"/>
        </w:rPr>
        <w:t xml:space="preserve"> Līdz š.g.5.decembrim tiek gaidīti priekšlikumi gan no nozaru asociācijām, gan uzņēmējiem par EXPO </w:t>
      </w:r>
      <w:proofErr w:type="spellStart"/>
      <w:r w:rsidR="00567A8E">
        <w:rPr>
          <w:rFonts w:cs="Times New Roman"/>
          <w:sz w:val="26"/>
          <w:szCs w:val="26"/>
        </w:rPr>
        <w:t>Milano</w:t>
      </w:r>
      <w:proofErr w:type="spellEnd"/>
      <w:r w:rsidR="00567A8E">
        <w:rPr>
          <w:rFonts w:cs="Times New Roman"/>
          <w:sz w:val="26"/>
          <w:szCs w:val="26"/>
        </w:rPr>
        <w:t xml:space="preserve"> ietvaros īstenojamajām aktivitātēm.</w:t>
      </w:r>
    </w:p>
    <w:p w:rsidR="00313A86" w:rsidRDefault="00313A86" w:rsidP="002F424D">
      <w:pPr>
        <w:ind w:firstLine="709"/>
        <w:jc w:val="both"/>
        <w:rPr>
          <w:rFonts w:cs="Times New Roman"/>
          <w:sz w:val="26"/>
          <w:szCs w:val="26"/>
        </w:rPr>
      </w:pPr>
    </w:p>
    <w:p w:rsidR="005735D2" w:rsidRPr="008A452A" w:rsidRDefault="005735D2" w:rsidP="002F424D">
      <w:pPr>
        <w:ind w:firstLine="709"/>
        <w:jc w:val="both"/>
        <w:rPr>
          <w:sz w:val="26"/>
          <w:szCs w:val="26"/>
        </w:rPr>
      </w:pPr>
    </w:p>
    <w:p w:rsidR="00313A86" w:rsidRPr="008A452A" w:rsidRDefault="00313A86" w:rsidP="00CB77A1">
      <w:pPr>
        <w:tabs>
          <w:tab w:val="right" w:pos="9072"/>
        </w:tabs>
        <w:rPr>
          <w:sz w:val="26"/>
          <w:szCs w:val="26"/>
        </w:rPr>
      </w:pPr>
    </w:p>
    <w:p w:rsidR="00347123" w:rsidRPr="008A452A" w:rsidRDefault="00347123" w:rsidP="00EC7D79">
      <w:pPr>
        <w:tabs>
          <w:tab w:val="left" w:pos="7230"/>
        </w:tabs>
        <w:rPr>
          <w:sz w:val="26"/>
          <w:szCs w:val="26"/>
        </w:rPr>
      </w:pPr>
      <w:r w:rsidRPr="008A452A">
        <w:rPr>
          <w:sz w:val="26"/>
          <w:szCs w:val="26"/>
        </w:rPr>
        <w:t>E</w:t>
      </w:r>
      <w:r w:rsidR="00EC7D79">
        <w:rPr>
          <w:sz w:val="26"/>
          <w:szCs w:val="26"/>
        </w:rPr>
        <w:t>konomikas ministre</w:t>
      </w:r>
      <w:r w:rsidR="00EC7D79">
        <w:rPr>
          <w:sz w:val="26"/>
          <w:szCs w:val="26"/>
        </w:rPr>
        <w:tab/>
      </w:r>
      <w:proofErr w:type="spellStart"/>
      <w:r w:rsidR="00FD3DBF">
        <w:rPr>
          <w:sz w:val="26"/>
          <w:szCs w:val="26"/>
        </w:rPr>
        <w:t>D.Reizniece-Ozola</w:t>
      </w:r>
      <w:proofErr w:type="spellEnd"/>
    </w:p>
    <w:p w:rsidR="00347123" w:rsidRPr="008A452A" w:rsidRDefault="00347123" w:rsidP="00347123">
      <w:pPr>
        <w:tabs>
          <w:tab w:val="right" w:pos="9639"/>
        </w:tabs>
        <w:jc w:val="both"/>
        <w:rPr>
          <w:sz w:val="26"/>
          <w:szCs w:val="26"/>
        </w:rPr>
      </w:pPr>
    </w:p>
    <w:p w:rsidR="00347123" w:rsidRPr="008A452A" w:rsidRDefault="00A8293A" w:rsidP="00347123">
      <w:pPr>
        <w:tabs>
          <w:tab w:val="right" w:pos="9639"/>
        </w:tabs>
        <w:jc w:val="both"/>
        <w:rPr>
          <w:sz w:val="26"/>
          <w:szCs w:val="26"/>
        </w:rPr>
      </w:pPr>
      <w:r w:rsidRPr="008A452A">
        <w:rPr>
          <w:sz w:val="26"/>
          <w:szCs w:val="26"/>
        </w:rPr>
        <w:t>Vīza:</w:t>
      </w:r>
    </w:p>
    <w:p w:rsidR="00347123" w:rsidRPr="008A452A" w:rsidRDefault="00FD3DBF" w:rsidP="00FD3DBF">
      <w:pPr>
        <w:tabs>
          <w:tab w:val="right" w:pos="9072"/>
        </w:tabs>
        <w:rPr>
          <w:sz w:val="26"/>
          <w:szCs w:val="26"/>
        </w:rPr>
      </w:pPr>
      <w:r>
        <w:rPr>
          <w:sz w:val="26"/>
          <w:szCs w:val="26"/>
        </w:rPr>
        <w:t xml:space="preserve">Valsts sekretārs                                                          </w:t>
      </w:r>
      <w:r w:rsidR="00EC7D79">
        <w:rPr>
          <w:sz w:val="26"/>
          <w:szCs w:val="26"/>
        </w:rPr>
        <w:t xml:space="preserve">                              </w:t>
      </w:r>
      <w:r>
        <w:rPr>
          <w:sz w:val="26"/>
          <w:szCs w:val="26"/>
        </w:rPr>
        <w:t xml:space="preserve">  </w:t>
      </w:r>
      <w:r>
        <w:rPr>
          <w:sz w:val="26"/>
          <w:szCs w:val="26"/>
        </w:rPr>
        <w:tab/>
        <w:t xml:space="preserve">     M.Lazdovskis</w:t>
      </w:r>
    </w:p>
    <w:p w:rsidR="00E47667" w:rsidRDefault="00E47667" w:rsidP="00347123"/>
    <w:p w:rsidR="00313A86" w:rsidRPr="00AB7B58" w:rsidRDefault="00313A86" w:rsidP="00347123"/>
    <w:p w:rsidR="00EC7D79" w:rsidRDefault="00EC7D79" w:rsidP="00347123">
      <w:pPr>
        <w:pStyle w:val="Subtitle"/>
        <w:keepNext w:val="0"/>
        <w:keepLines w:val="0"/>
        <w:widowControl/>
        <w:spacing w:before="0" w:after="0"/>
        <w:rPr>
          <w:b w:val="0"/>
          <w:sz w:val="20"/>
          <w:lang w:val="lv-LV"/>
        </w:rPr>
      </w:pPr>
    </w:p>
    <w:p w:rsidR="00EC7D79" w:rsidRDefault="00EC7D79" w:rsidP="00347123">
      <w:pPr>
        <w:pStyle w:val="Subtitle"/>
        <w:keepNext w:val="0"/>
        <w:keepLines w:val="0"/>
        <w:widowControl/>
        <w:spacing w:before="0" w:after="0"/>
        <w:rPr>
          <w:b w:val="0"/>
          <w:sz w:val="20"/>
          <w:lang w:val="lv-LV"/>
        </w:rPr>
      </w:pPr>
    </w:p>
    <w:p w:rsidR="008A6A67" w:rsidRPr="00AB7B58" w:rsidRDefault="00297C55" w:rsidP="00347123">
      <w:pPr>
        <w:pStyle w:val="Subtitle"/>
        <w:keepNext w:val="0"/>
        <w:keepLines w:val="0"/>
        <w:widowControl/>
        <w:spacing w:before="0" w:after="0"/>
        <w:rPr>
          <w:b w:val="0"/>
          <w:sz w:val="20"/>
          <w:lang w:val="lv-LV"/>
        </w:rPr>
      </w:pPr>
      <w:r>
        <w:rPr>
          <w:b w:val="0"/>
          <w:sz w:val="20"/>
          <w:lang w:val="lv-LV"/>
        </w:rPr>
        <w:t>2</w:t>
      </w:r>
      <w:r w:rsidR="00EC7D79">
        <w:rPr>
          <w:b w:val="0"/>
          <w:sz w:val="20"/>
          <w:lang w:val="lv-LV"/>
        </w:rPr>
        <w:t>0</w:t>
      </w:r>
      <w:r>
        <w:rPr>
          <w:b w:val="0"/>
          <w:sz w:val="20"/>
          <w:lang w:val="lv-LV"/>
        </w:rPr>
        <w:t>.11.2014 17:19</w:t>
      </w:r>
    </w:p>
    <w:p w:rsidR="00347123" w:rsidRPr="00AB7B58" w:rsidRDefault="00141086" w:rsidP="00347123">
      <w:pPr>
        <w:pStyle w:val="Subtitle"/>
        <w:keepNext w:val="0"/>
        <w:keepLines w:val="0"/>
        <w:widowControl/>
        <w:spacing w:before="0" w:after="0"/>
        <w:rPr>
          <w:b w:val="0"/>
          <w:sz w:val="20"/>
          <w:lang w:val="lv-LV"/>
        </w:rPr>
      </w:pPr>
      <w:r w:rsidRPr="00AB7B58">
        <w:rPr>
          <w:b w:val="0"/>
          <w:sz w:val="20"/>
          <w:lang w:val="lv-LV"/>
        </w:rPr>
        <w:t>3</w:t>
      </w:r>
      <w:r w:rsidR="00297C55">
        <w:rPr>
          <w:b w:val="0"/>
          <w:sz w:val="20"/>
          <w:lang w:val="lv-LV"/>
        </w:rPr>
        <w:t>08</w:t>
      </w:r>
      <w:r w:rsidR="00EC7D79">
        <w:rPr>
          <w:b w:val="0"/>
          <w:sz w:val="20"/>
          <w:lang w:val="lv-LV"/>
        </w:rPr>
        <w:t>2</w:t>
      </w:r>
      <w:r w:rsidR="004E7156">
        <w:rPr>
          <w:b w:val="0"/>
          <w:sz w:val="20"/>
          <w:lang w:val="lv-LV"/>
        </w:rPr>
        <w:br/>
        <w:t>Ilze Beināre, 67013151</w:t>
      </w:r>
    </w:p>
    <w:p w:rsidR="00347123" w:rsidRPr="00AB7B58" w:rsidRDefault="00C92D9E" w:rsidP="00347123">
      <w:pPr>
        <w:pStyle w:val="Subtitle"/>
        <w:keepNext w:val="0"/>
        <w:keepLines w:val="0"/>
        <w:widowControl/>
        <w:spacing w:before="0" w:after="0"/>
        <w:rPr>
          <w:b w:val="0"/>
          <w:sz w:val="20"/>
          <w:lang w:val="lv-LV"/>
        </w:rPr>
      </w:pPr>
      <w:hyperlink r:id="rId11" w:history="1">
        <w:r w:rsidR="004E7156" w:rsidRPr="00D414F0">
          <w:rPr>
            <w:rStyle w:val="Hyperlink"/>
            <w:b w:val="0"/>
            <w:sz w:val="20"/>
            <w:lang w:val="lv-LV"/>
          </w:rPr>
          <w:t>Ilze.Beinare@em.gov.lv</w:t>
        </w:r>
      </w:hyperlink>
    </w:p>
    <w:p w:rsidR="00381AD2" w:rsidRPr="00AB7B58" w:rsidRDefault="00381AD2" w:rsidP="00141086">
      <w:bookmarkStart w:id="6" w:name="_GoBack"/>
      <w:bookmarkEnd w:id="6"/>
    </w:p>
    <w:sectPr w:rsidR="00381AD2" w:rsidRPr="00AB7B58" w:rsidSect="00EC7D79">
      <w:footerReference w:type="default" r:id="rId12"/>
      <w:headerReference w:type="first" r:id="rId13"/>
      <w:footerReference w:type="first" r:id="rId14"/>
      <w:pgSz w:w="11906" w:h="16838" w:code="9"/>
      <w:pgMar w:top="1418" w:right="1134" w:bottom="1134" w:left="1701" w:header="340" w:footer="34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D9E" w:rsidRDefault="00C92D9E" w:rsidP="000B4320">
      <w:r>
        <w:separator/>
      </w:r>
    </w:p>
  </w:endnote>
  <w:endnote w:type="continuationSeparator" w:id="0">
    <w:p w:rsidR="00C92D9E" w:rsidRDefault="00C92D9E" w:rsidP="000B4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665753"/>
      <w:docPartObj>
        <w:docPartGallery w:val="Page Numbers (Bottom of Page)"/>
        <w:docPartUnique/>
      </w:docPartObj>
    </w:sdtPr>
    <w:sdtEndPr>
      <w:rPr>
        <w:noProof/>
        <w:sz w:val="24"/>
        <w:szCs w:val="24"/>
      </w:rPr>
    </w:sdtEndPr>
    <w:sdtContent>
      <w:p w:rsidR="00741F3E" w:rsidRDefault="00741F3E" w:rsidP="00852DAF">
        <w:pPr>
          <w:pStyle w:val="Footer"/>
          <w:jc w:val="center"/>
          <w:rPr>
            <w:noProof/>
            <w:sz w:val="24"/>
            <w:szCs w:val="24"/>
          </w:rPr>
        </w:pPr>
        <w:r w:rsidRPr="00852DAF">
          <w:rPr>
            <w:sz w:val="24"/>
            <w:szCs w:val="24"/>
          </w:rPr>
          <w:fldChar w:fldCharType="begin"/>
        </w:r>
        <w:r w:rsidRPr="00852DAF">
          <w:rPr>
            <w:sz w:val="24"/>
            <w:szCs w:val="24"/>
          </w:rPr>
          <w:instrText xml:space="preserve"> PAGE   \* MERGEFORMAT </w:instrText>
        </w:r>
        <w:r w:rsidRPr="00852DAF">
          <w:rPr>
            <w:sz w:val="24"/>
            <w:szCs w:val="24"/>
          </w:rPr>
          <w:fldChar w:fldCharType="separate"/>
        </w:r>
        <w:r w:rsidR="00EC7D79">
          <w:rPr>
            <w:noProof/>
            <w:sz w:val="24"/>
            <w:szCs w:val="24"/>
          </w:rPr>
          <w:t>2</w:t>
        </w:r>
        <w:r w:rsidRPr="00852DAF">
          <w:rPr>
            <w:noProof/>
            <w:sz w:val="24"/>
            <w:szCs w:val="24"/>
          </w:rPr>
          <w:fldChar w:fldCharType="end"/>
        </w:r>
      </w:p>
      <w:p w:rsidR="00741F3E" w:rsidRPr="00031E81" w:rsidRDefault="00C92D9E" w:rsidP="00ED0457">
        <w:pPr>
          <w:pStyle w:val="Footer"/>
          <w:tabs>
            <w:tab w:val="clear" w:pos="4153"/>
            <w:tab w:val="clear" w:pos="8306"/>
            <w:tab w:val="center" w:pos="2835"/>
            <w:tab w:val="center" w:pos="4536"/>
            <w:tab w:val="right" w:pos="8789"/>
          </w:tabs>
          <w:jc w:val="center"/>
          <w:rPr>
            <w:b/>
            <w:sz w:val="24"/>
            <w:szCs w:val="24"/>
          </w:rPr>
        </w:pPr>
      </w:p>
    </w:sdtContent>
  </w:sdt>
  <w:p w:rsidR="00741F3E" w:rsidRPr="005F0BA2" w:rsidRDefault="000D4E54" w:rsidP="005F0BA2">
    <w:pPr>
      <w:pStyle w:val="Footer"/>
      <w:ind w:right="360"/>
      <w:jc w:val="both"/>
      <w:rPr>
        <w:sz w:val="20"/>
        <w:szCs w:val="20"/>
      </w:rPr>
    </w:pPr>
    <w:r>
      <w:rPr>
        <w:sz w:val="20"/>
        <w:szCs w:val="20"/>
      </w:rPr>
      <w:t>EMZino_2011</w:t>
    </w:r>
    <w:r w:rsidR="00741F3E">
      <w:rPr>
        <w:sz w:val="20"/>
        <w:szCs w:val="20"/>
      </w:rPr>
      <w:t xml:space="preserve">14_paveiktais; </w:t>
    </w:r>
    <w:r w:rsidR="00741F3E" w:rsidRPr="00565C35">
      <w:rPr>
        <w:sz w:val="20"/>
        <w:szCs w:val="20"/>
      </w:rPr>
      <w:t xml:space="preserve">Informatīvais ziņojums par </w:t>
    </w:r>
    <w:r w:rsidR="00741F3E">
      <w:rPr>
        <w:sz w:val="20"/>
        <w:szCs w:val="20"/>
      </w:rPr>
      <w:t>pasākumiem Krievijas ekonomisko sankciju negatīv</w:t>
    </w:r>
    <w:r w:rsidR="004A371B">
      <w:rPr>
        <w:sz w:val="20"/>
        <w:szCs w:val="20"/>
      </w:rPr>
      <w:t>o</w:t>
    </w:r>
    <w:r w:rsidR="00741F3E">
      <w:rPr>
        <w:sz w:val="20"/>
        <w:szCs w:val="20"/>
      </w:rPr>
      <w:t xml:space="preserve"> </w:t>
    </w:r>
    <w:r w:rsidR="004A371B">
      <w:rPr>
        <w:sz w:val="20"/>
        <w:szCs w:val="20"/>
      </w:rPr>
      <w:t>seku</w:t>
    </w:r>
    <w:r w:rsidR="00741F3E">
      <w:rPr>
        <w:sz w:val="20"/>
        <w:szCs w:val="20"/>
      </w:rPr>
      <w:t xml:space="preserve"> </w:t>
    </w:r>
    <w:r w:rsidR="004A371B">
      <w:rPr>
        <w:sz w:val="20"/>
        <w:szCs w:val="20"/>
      </w:rPr>
      <w:t xml:space="preserve"> </w:t>
    </w:r>
    <w:r w:rsidR="00741F3E">
      <w:rPr>
        <w:sz w:val="20"/>
        <w:szCs w:val="20"/>
      </w:rPr>
      <w:t>mazināšanai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F3E" w:rsidRPr="00031E81" w:rsidRDefault="00741F3E" w:rsidP="00031E81">
    <w:pPr>
      <w:pStyle w:val="Footer"/>
      <w:tabs>
        <w:tab w:val="clear" w:pos="4153"/>
        <w:tab w:val="clear" w:pos="8306"/>
        <w:tab w:val="center" w:pos="2835"/>
        <w:tab w:val="center" w:pos="4536"/>
        <w:tab w:val="right" w:pos="8789"/>
      </w:tabs>
      <w:spacing w:before="240"/>
      <w:jc w:val="center"/>
      <w:rPr>
        <w:b/>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D9E" w:rsidRDefault="00C92D9E" w:rsidP="000B4320">
      <w:r>
        <w:separator/>
      </w:r>
    </w:p>
  </w:footnote>
  <w:footnote w:type="continuationSeparator" w:id="0">
    <w:p w:rsidR="00C92D9E" w:rsidRDefault="00C92D9E" w:rsidP="000B43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F3E" w:rsidRPr="00031E81" w:rsidRDefault="00741F3E" w:rsidP="00031E81">
    <w:pPr>
      <w:pStyle w:val="Footer"/>
      <w:tabs>
        <w:tab w:val="clear" w:pos="4153"/>
        <w:tab w:val="clear" w:pos="8306"/>
        <w:tab w:val="center" w:pos="2835"/>
        <w:tab w:val="center" w:pos="4536"/>
        <w:tab w:val="right" w:pos="8789"/>
      </w:tabs>
      <w:spacing w:before="240"/>
      <w:jc w:val="center"/>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65D"/>
    <w:multiLevelType w:val="hybridMultilevel"/>
    <w:tmpl w:val="9F724A58"/>
    <w:lvl w:ilvl="0" w:tplc="04260011">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5553CFB"/>
    <w:multiLevelType w:val="hybridMultilevel"/>
    <w:tmpl w:val="C2B679F8"/>
    <w:lvl w:ilvl="0" w:tplc="0960E87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nsid w:val="093B54D8"/>
    <w:multiLevelType w:val="hybridMultilevel"/>
    <w:tmpl w:val="714256D8"/>
    <w:lvl w:ilvl="0" w:tplc="0426000F">
      <w:start w:val="1"/>
      <w:numFmt w:val="decimal"/>
      <w:lvlText w:val="%1."/>
      <w:lvlJc w:val="left"/>
      <w:pPr>
        <w:ind w:left="774" w:hanging="360"/>
      </w:pPr>
    </w:lvl>
    <w:lvl w:ilvl="1" w:tplc="04260019" w:tentative="1">
      <w:start w:val="1"/>
      <w:numFmt w:val="lowerLetter"/>
      <w:lvlText w:val="%2."/>
      <w:lvlJc w:val="left"/>
      <w:pPr>
        <w:ind w:left="1494" w:hanging="360"/>
      </w:pPr>
    </w:lvl>
    <w:lvl w:ilvl="2" w:tplc="0426001B" w:tentative="1">
      <w:start w:val="1"/>
      <w:numFmt w:val="lowerRoman"/>
      <w:lvlText w:val="%3."/>
      <w:lvlJc w:val="right"/>
      <w:pPr>
        <w:ind w:left="2214" w:hanging="180"/>
      </w:pPr>
    </w:lvl>
    <w:lvl w:ilvl="3" w:tplc="0426000F" w:tentative="1">
      <w:start w:val="1"/>
      <w:numFmt w:val="decimal"/>
      <w:lvlText w:val="%4."/>
      <w:lvlJc w:val="left"/>
      <w:pPr>
        <w:ind w:left="2934" w:hanging="360"/>
      </w:pPr>
    </w:lvl>
    <w:lvl w:ilvl="4" w:tplc="04260019" w:tentative="1">
      <w:start w:val="1"/>
      <w:numFmt w:val="lowerLetter"/>
      <w:lvlText w:val="%5."/>
      <w:lvlJc w:val="left"/>
      <w:pPr>
        <w:ind w:left="3654" w:hanging="360"/>
      </w:pPr>
    </w:lvl>
    <w:lvl w:ilvl="5" w:tplc="0426001B" w:tentative="1">
      <w:start w:val="1"/>
      <w:numFmt w:val="lowerRoman"/>
      <w:lvlText w:val="%6."/>
      <w:lvlJc w:val="right"/>
      <w:pPr>
        <w:ind w:left="4374" w:hanging="180"/>
      </w:pPr>
    </w:lvl>
    <w:lvl w:ilvl="6" w:tplc="0426000F" w:tentative="1">
      <w:start w:val="1"/>
      <w:numFmt w:val="decimal"/>
      <w:lvlText w:val="%7."/>
      <w:lvlJc w:val="left"/>
      <w:pPr>
        <w:ind w:left="5094" w:hanging="360"/>
      </w:pPr>
    </w:lvl>
    <w:lvl w:ilvl="7" w:tplc="04260019" w:tentative="1">
      <w:start w:val="1"/>
      <w:numFmt w:val="lowerLetter"/>
      <w:lvlText w:val="%8."/>
      <w:lvlJc w:val="left"/>
      <w:pPr>
        <w:ind w:left="5814" w:hanging="360"/>
      </w:pPr>
    </w:lvl>
    <w:lvl w:ilvl="8" w:tplc="0426001B" w:tentative="1">
      <w:start w:val="1"/>
      <w:numFmt w:val="lowerRoman"/>
      <w:lvlText w:val="%9."/>
      <w:lvlJc w:val="right"/>
      <w:pPr>
        <w:ind w:left="6534" w:hanging="180"/>
      </w:pPr>
    </w:lvl>
  </w:abstractNum>
  <w:abstractNum w:abstractNumId="3">
    <w:nsid w:val="0AED4CB9"/>
    <w:multiLevelType w:val="hybridMultilevel"/>
    <w:tmpl w:val="333258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F114306"/>
    <w:multiLevelType w:val="hybridMultilevel"/>
    <w:tmpl w:val="25C45A1E"/>
    <w:lvl w:ilvl="0" w:tplc="B5F03A0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0F7C3CC4"/>
    <w:multiLevelType w:val="hybridMultilevel"/>
    <w:tmpl w:val="DA5465F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6">
    <w:nsid w:val="11256F86"/>
    <w:multiLevelType w:val="hybridMultilevel"/>
    <w:tmpl w:val="0DBAE18E"/>
    <w:lvl w:ilvl="0" w:tplc="955C9920">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nsid w:val="1428720B"/>
    <w:multiLevelType w:val="multilevel"/>
    <w:tmpl w:val="E68666BA"/>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9BF7C70"/>
    <w:multiLevelType w:val="hybridMultilevel"/>
    <w:tmpl w:val="CA1E9394"/>
    <w:lvl w:ilvl="0" w:tplc="04260001">
      <w:start w:val="1"/>
      <w:numFmt w:val="bullet"/>
      <w:lvlText w:val=""/>
      <w:lvlJc w:val="left"/>
      <w:pPr>
        <w:ind w:left="1485" w:hanging="360"/>
      </w:pPr>
      <w:rPr>
        <w:rFonts w:ascii="Symbol" w:hAnsi="Symbol" w:hint="default"/>
      </w:rPr>
    </w:lvl>
    <w:lvl w:ilvl="1" w:tplc="04260003">
      <w:start w:val="1"/>
      <w:numFmt w:val="bullet"/>
      <w:lvlText w:val="o"/>
      <w:lvlJc w:val="left"/>
      <w:pPr>
        <w:ind w:left="2205" w:hanging="360"/>
      </w:pPr>
      <w:rPr>
        <w:rFonts w:ascii="Courier New" w:hAnsi="Courier New" w:cs="Courier New" w:hint="default"/>
      </w:rPr>
    </w:lvl>
    <w:lvl w:ilvl="2" w:tplc="04260005">
      <w:start w:val="1"/>
      <w:numFmt w:val="bullet"/>
      <w:lvlText w:val=""/>
      <w:lvlJc w:val="left"/>
      <w:pPr>
        <w:ind w:left="2925" w:hanging="360"/>
      </w:pPr>
      <w:rPr>
        <w:rFonts w:ascii="Wingdings" w:hAnsi="Wingdings" w:hint="default"/>
      </w:rPr>
    </w:lvl>
    <w:lvl w:ilvl="3" w:tplc="04260001" w:tentative="1">
      <w:start w:val="1"/>
      <w:numFmt w:val="bullet"/>
      <w:lvlText w:val=""/>
      <w:lvlJc w:val="left"/>
      <w:pPr>
        <w:ind w:left="3645" w:hanging="360"/>
      </w:pPr>
      <w:rPr>
        <w:rFonts w:ascii="Symbol" w:hAnsi="Symbol" w:hint="default"/>
      </w:rPr>
    </w:lvl>
    <w:lvl w:ilvl="4" w:tplc="04260003" w:tentative="1">
      <w:start w:val="1"/>
      <w:numFmt w:val="bullet"/>
      <w:lvlText w:val="o"/>
      <w:lvlJc w:val="left"/>
      <w:pPr>
        <w:ind w:left="4365" w:hanging="360"/>
      </w:pPr>
      <w:rPr>
        <w:rFonts w:ascii="Courier New" w:hAnsi="Courier New" w:cs="Courier New" w:hint="default"/>
      </w:rPr>
    </w:lvl>
    <w:lvl w:ilvl="5" w:tplc="04260005" w:tentative="1">
      <w:start w:val="1"/>
      <w:numFmt w:val="bullet"/>
      <w:lvlText w:val=""/>
      <w:lvlJc w:val="left"/>
      <w:pPr>
        <w:ind w:left="5085" w:hanging="360"/>
      </w:pPr>
      <w:rPr>
        <w:rFonts w:ascii="Wingdings" w:hAnsi="Wingdings" w:hint="default"/>
      </w:rPr>
    </w:lvl>
    <w:lvl w:ilvl="6" w:tplc="04260001" w:tentative="1">
      <w:start w:val="1"/>
      <w:numFmt w:val="bullet"/>
      <w:lvlText w:val=""/>
      <w:lvlJc w:val="left"/>
      <w:pPr>
        <w:ind w:left="5805" w:hanging="360"/>
      </w:pPr>
      <w:rPr>
        <w:rFonts w:ascii="Symbol" w:hAnsi="Symbol" w:hint="default"/>
      </w:rPr>
    </w:lvl>
    <w:lvl w:ilvl="7" w:tplc="04260003" w:tentative="1">
      <w:start w:val="1"/>
      <w:numFmt w:val="bullet"/>
      <w:lvlText w:val="o"/>
      <w:lvlJc w:val="left"/>
      <w:pPr>
        <w:ind w:left="6525" w:hanging="360"/>
      </w:pPr>
      <w:rPr>
        <w:rFonts w:ascii="Courier New" w:hAnsi="Courier New" w:cs="Courier New" w:hint="default"/>
      </w:rPr>
    </w:lvl>
    <w:lvl w:ilvl="8" w:tplc="04260005" w:tentative="1">
      <w:start w:val="1"/>
      <w:numFmt w:val="bullet"/>
      <w:lvlText w:val=""/>
      <w:lvlJc w:val="left"/>
      <w:pPr>
        <w:ind w:left="7245" w:hanging="360"/>
      </w:pPr>
      <w:rPr>
        <w:rFonts w:ascii="Wingdings" w:hAnsi="Wingdings" w:hint="default"/>
      </w:rPr>
    </w:lvl>
  </w:abstractNum>
  <w:abstractNum w:abstractNumId="9">
    <w:nsid w:val="21A85089"/>
    <w:multiLevelType w:val="hybridMultilevel"/>
    <w:tmpl w:val="BC70A450"/>
    <w:lvl w:ilvl="0" w:tplc="6CE4C18C">
      <w:start w:val="2013"/>
      <w:numFmt w:val="bullet"/>
      <w:lvlText w:val=""/>
      <w:lvlJc w:val="left"/>
      <w:pPr>
        <w:ind w:left="1800" w:hanging="360"/>
      </w:pPr>
      <w:rPr>
        <w:rFonts w:ascii="Symbol" w:eastAsia="Times New Roman" w:hAnsi="Symbol" w:hint="default"/>
        <w:color w:val="18376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E35FA4"/>
    <w:multiLevelType w:val="hybridMultilevel"/>
    <w:tmpl w:val="B270EB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8976DE1"/>
    <w:multiLevelType w:val="hybridMultilevel"/>
    <w:tmpl w:val="F326A8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9CC3026"/>
    <w:multiLevelType w:val="hybridMultilevel"/>
    <w:tmpl w:val="AB320F62"/>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nsid w:val="29FF64D0"/>
    <w:multiLevelType w:val="hybridMultilevel"/>
    <w:tmpl w:val="AB78BC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C7665C0"/>
    <w:multiLevelType w:val="hybridMultilevel"/>
    <w:tmpl w:val="9F724A58"/>
    <w:lvl w:ilvl="0" w:tplc="04260011">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4FC58E6"/>
    <w:multiLevelType w:val="hybridMultilevel"/>
    <w:tmpl w:val="E4E23242"/>
    <w:lvl w:ilvl="0" w:tplc="A56C89EE">
      <w:start w:val="1"/>
      <w:numFmt w:val="decimal"/>
      <w:lvlText w:val="%1)"/>
      <w:lvlJc w:val="left"/>
      <w:pPr>
        <w:ind w:left="1714" w:hanging="100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nsid w:val="37C550C0"/>
    <w:multiLevelType w:val="hybridMultilevel"/>
    <w:tmpl w:val="3310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412FE4"/>
    <w:multiLevelType w:val="hybridMultilevel"/>
    <w:tmpl w:val="F326A8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97B719A"/>
    <w:multiLevelType w:val="multilevel"/>
    <w:tmpl w:val="ECAAEE7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9E42BC0"/>
    <w:multiLevelType w:val="hybridMultilevel"/>
    <w:tmpl w:val="3AAC59E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0">
    <w:nsid w:val="3A9D5801"/>
    <w:multiLevelType w:val="hybridMultilevel"/>
    <w:tmpl w:val="B35AF4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B1004FD"/>
    <w:multiLevelType w:val="hybridMultilevel"/>
    <w:tmpl w:val="F326A8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3B74190B"/>
    <w:multiLevelType w:val="hybridMultilevel"/>
    <w:tmpl w:val="C352C772"/>
    <w:lvl w:ilvl="0" w:tplc="B1EAD108">
      <w:start w:val="1"/>
      <w:numFmt w:val="bullet"/>
      <w:lvlText w:val="-"/>
      <w:lvlJc w:val="left"/>
      <w:pPr>
        <w:ind w:left="435" w:hanging="360"/>
      </w:pPr>
      <w:rPr>
        <w:rFonts w:ascii="Times New Roman" w:eastAsia="Calibri" w:hAnsi="Times New Roman"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23">
    <w:nsid w:val="3FA44A23"/>
    <w:multiLevelType w:val="hybridMultilevel"/>
    <w:tmpl w:val="2AD48CB4"/>
    <w:lvl w:ilvl="0" w:tplc="38B6216A">
      <w:start w:val="1"/>
      <w:numFmt w:val="decimal"/>
      <w:lvlText w:val="%1."/>
      <w:lvlJc w:val="left"/>
      <w:pPr>
        <w:ind w:left="928" w:hanging="360"/>
      </w:pPr>
      <w:rPr>
        <w:rFonts w:ascii="Times New Roman" w:eastAsia="Calibri" w:hAnsi="Times New Roman"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4">
    <w:nsid w:val="4714206C"/>
    <w:multiLevelType w:val="multilevel"/>
    <w:tmpl w:val="CABACDB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7B95A82"/>
    <w:multiLevelType w:val="hybridMultilevel"/>
    <w:tmpl w:val="95E4B37C"/>
    <w:lvl w:ilvl="0" w:tplc="FA3EDF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nsid w:val="48F93DD8"/>
    <w:multiLevelType w:val="multilevel"/>
    <w:tmpl w:val="7022667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4E2516EA"/>
    <w:multiLevelType w:val="hybridMultilevel"/>
    <w:tmpl w:val="2AD48CB4"/>
    <w:lvl w:ilvl="0" w:tplc="38B6216A">
      <w:start w:val="1"/>
      <w:numFmt w:val="decimal"/>
      <w:lvlText w:val="%1."/>
      <w:lvlJc w:val="left"/>
      <w:pPr>
        <w:ind w:left="928" w:hanging="360"/>
      </w:pPr>
      <w:rPr>
        <w:rFonts w:ascii="Times New Roman" w:eastAsia="Calibri" w:hAnsi="Times New Roman"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8">
    <w:nsid w:val="4F054151"/>
    <w:multiLevelType w:val="hybridMultilevel"/>
    <w:tmpl w:val="272E594A"/>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3D2FD9"/>
    <w:multiLevelType w:val="hybridMultilevel"/>
    <w:tmpl w:val="D4AECF8E"/>
    <w:lvl w:ilvl="0" w:tplc="6CE4C18C">
      <w:start w:val="2013"/>
      <w:numFmt w:val="bullet"/>
      <w:lvlText w:val=""/>
      <w:lvlJc w:val="left"/>
      <w:pPr>
        <w:ind w:left="1080" w:hanging="360"/>
      </w:pPr>
      <w:rPr>
        <w:rFonts w:ascii="Symbol" w:eastAsia="Times New Roman" w:hAnsi="Symbol" w:hint="default"/>
        <w:color w:val="18376A"/>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18055AA"/>
    <w:multiLevelType w:val="hybridMultilevel"/>
    <w:tmpl w:val="B1F69E44"/>
    <w:lvl w:ilvl="0" w:tplc="2182C7FA">
      <w:start w:val="1"/>
      <w:numFmt w:val="decimal"/>
      <w:lvlText w:val="%1."/>
      <w:lvlJc w:val="left"/>
      <w:pPr>
        <w:tabs>
          <w:tab w:val="num" w:pos="720"/>
        </w:tabs>
        <w:ind w:left="720" w:hanging="360"/>
      </w:pPr>
      <w:rPr>
        <w:color w:val="00000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nsid w:val="56036978"/>
    <w:multiLevelType w:val="hybridMultilevel"/>
    <w:tmpl w:val="A8901A68"/>
    <w:lvl w:ilvl="0" w:tplc="04260001">
      <w:start w:val="1"/>
      <w:numFmt w:val="bullet"/>
      <w:lvlText w:val=""/>
      <w:lvlJc w:val="left"/>
      <w:pPr>
        <w:ind w:left="1579" w:hanging="870"/>
      </w:pPr>
      <w:rPr>
        <w:rFonts w:ascii="Symbol" w:hAnsi="Symbol" w:hint="default"/>
      </w:rPr>
    </w:lvl>
    <w:lvl w:ilvl="1" w:tplc="04260001">
      <w:start w:val="1"/>
      <w:numFmt w:val="bullet"/>
      <w:lvlText w:val=""/>
      <w:lvlJc w:val="left"/>
      <w:pPr>
        <w:ind w:left="2449" w:hanging="1020"/>
      </w:pPr>
      <w:rPr>
        <w:rFonts w:ascii="Symbol" w:hAnsi="Symbol" w:hint="default"/>
      </w:rPr>
    </w:lvl>
    <w:lvl w:ilvl="2" w:tplc="671E7C5A">
      <w:start w:val="2014"/>
      <w:numFmt w:val="bullet"/>
      <w:lvlText w:val="•"/>
      <w:lvlJc w:val="left"/>
      <w:pPr>
        <w:ind w:left="3694" w:hanging="1545"/>
      </w:pPr>
      <w:rPr>
        <w:rFonts w:ascii="Times New Roman" w:eastAsiaTheme="minorHAnsi" w:hAnsi="Times New Roman" w:cs="Times New Roman"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32">
    <w:nsid w:val="56E42684"/>
    <w:multiLevelType w:val="hybridMultilevel"/>
    <w:tmpl w:val="A788B75E"/>
    <w:lvl w:ilvl="0" w:tplc="DD14C8D8">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57C273C6"/>
    <w:multiLevelType w:val="hybridMultilevel"/>
    <w:tmpl w:val="809C6B82"/>
    <w:lvl w:ilvl="0" w:tplc="6CE4C18C">
      <w:start w:val="2013"/>
      <w:numFmt w:val="bullet"/>
      <w:lvlText w:val=""/>
      <w:lvlJc w:val="left"/>
      <w:pPr>
        <w:ind w:left="3240" w:hanging="360"/>
      </w:pPr>
      <w:rPr>
        <w:rFonts w:ascii="Symbol" w:eastAsia="Times New Roman" w:hAnsi="Symbol" w:hint="default"/>
        <w:color w:val="18376A"/>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59FE1E62"/>
    <w:multiLevelType w:val="hybridMultilevel"/>
    <w:tmpl w:val="0C16F472"/>
    <w:lvl w:ilvl="0" w:tplc="26F8632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3D7639"/>
    <w:multiLevelType w:val="hybridMultilevel"/>
    <w:tmpl w:val="B9322D96"/>
    <w:lvl w:ilvl="0" w:tplc="348E75C6">
      <w:start w:val="1"/>
      <w:numFmt w:val="decimal"/>
      <w:lvlText w:val="%1."/>
      <w:lvlJc w:val="left"/>
      <w:pPr>
        <w:ind w:left="927" w:hanging="360"/>
      </w:pPr>
      <w:rPr>
        <w:rFonts w:cs="Times New Roman" w:hint="default"/>
      </w:rPr>
    </w:lvl>
    <w:lvl w:ilvl="1" w:tplc="04260019" w:tentative="1">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36">
    <w:nsid w:val="5B8264D5"/>
    <w:multiLevelType w:val="multilevel"/>
    <w:tmpl w:val="CABACDB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62622460"/>
    <w:multiLevelType w:val="hybridMultilevel"/>
    <w:tmpl w:val="65D4F2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A946EE5"/>
    <w:multiLevelType w:val="hybridMultilevel"/>
    <w:tmpl w:val="F7FAFE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70D915E5"/>
    <w:multiLevelType w:val="hybridMultilevel"/>
    <w:tmpl w:val="45B839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71977070"/>
    <w:multiLevelType w:val="hybridMultilevel"/>
    <w:tmpl w:val="87D0B9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73253516"/>
    <w:multiLevelType w:val="hybridMultilevel"/>
    <w:tmpl w:val="80CCA63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2">
    <w:nsid w:val="734F764E"/>
    <w:multiLevelType w:val="hybridMultilevel"/>
    <w:tmpl w:val="BB3EEF4E"/>
    <w:lvl w:ilvl="0" w:tplc="6CE4C18C">
      <w:start w:val="2013"/>
      <w:numFmt w:val="bullet"/>
      <w:lvlText w:val=""/>
      <w:lvlJc w:val="left"/>
      <w:pPr>
        <w:ind w:left="1800" w:hanging="360"/>
      </w:pPr>
      <w:rPr>
        <w:rFonts w:ascii="Symbol" w:eastAsia="Times New Roman" w:hAnsi="Symbol" w:hint="default"/>
        <w:color w:val="18376A"/>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73B12897"/>
    <w:multiLevelType w:val="hybridMultilevel"/>
    <w:tmpl w:val="BAC22E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74582495"/>
    <w:multiLevelType w:val="hybridMultilevel"/>
    <w:tmpl w:val="37BA6942"/>
    <w:lvl w:ilvl="0" w:tplc="6CE4C18C">
      <w:start w:val="2013"/>
      <w:numFmt w:val="bullet"/>
      <w:lvlText w:val=""/>
      <w:lvlJc w:val="left"/>
      <w:pPr>
        <w:ind w:left="3240" w:hanging="360"/>
      </w:pPr>
      <w:rPr>
        <w:rFonts w:ascii="Symbol" w:eastAsia="Times New Roman" w:hAnsi="Symbol" w:hint="default"/>
        <w:color w:val="18376A"/>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nsid w:val="74CD2D9B"/>
    <w:multiLevelType w:val="hybridMultilevel"/>
    <w:tmpl w:val="86084920"/>
    <w:lvl w:ilvl="0" w:tplc="CD78EEB2">
      <w:start w:val="1"/>
      <w:numFmt w:val="bullet"/>
      <w:lvlText w:val="•"/>
      <w:lvlJc w:val="left"/>
      <w:pPr>
        <w:tabs>
          <w:tab w:val="num" w:pos="720"/>
        </w:tabs>
        <w:ind w:left="720" w:hanging="360"/>
      </w:pPr>
      <w:rPr>
        <w:rFonts w:ascii="Times New Roman" w:hAnsi="Times New Roman" w:hint="default"/>
      </w:rPr>
    </w:lvl>
    <w:lvl w:ilvl="1" w:tplc="C7A8F57A" w:tentative="1">
      <w:start w:val="1"/>
      <w:numFmt w:val="bullet"/>
      <w:lvlText w:val="•"/>
      <w:lvlJc w:val="left"/>
      <w:pPr>
        <w:tabs>
          <w:tab w:val="num" w:pos="1440"/>
        </w:tabs>
        <w:ind w:left="1440" w:hanging="360"/>
      </w:pPr>
      <w:rPr>
        <w:rFonts w:ascii="Times New Roman" w:hAnsi="Times New Roman" w:hint="default"/>
      </w:rPr>
    </w:lvl>
    <w:lvl w:ilvl="2" w:tplc="DDD4A02A" w:tentative="1">
      <w:start w:val="1"/>
      <w:numFmt w:val="bullet"/>
      <w:lvlText w:val="•"/>
      <w:lvlJc w:val="left"/>
      <w:pPr>
        <w:tabs>
          <w:tab w:val="num" w:pos="2160"/>
        </w:tabs>
        <w:ind w:left="2160" w:hanging="360"/>
      </w:pPr>
      <w:rPr>
        <w:rFonts w:ascii="Times New Roman" w:hAnsi="Times New Roman" w:hint="default"/>
      </w:rPr>
    </w:lvl>
    <w:lvl w:ilvl="3" w:tplc="DA1CE00E" w:tentative="1">
      <w:start w:val="1"/>
      <w:numFmt w:val="bullet"/>
      <w:lvlText w:val="•"/>
      <w:lvlJc w:val="left"/>
      <w:pPr>
        <w:tabs>
          <w:tab w:val="num" w:pos="2880"/>
        </w:tabs>
        <w:ind w:left="2880" w:hanging="360"/>
      </w:pPr>
      <w:rPr>
        <w:rFonts w:ascii="Times New Roman" w:hAnsi="Times New Roman" w:hint="default"/>
      </w:rPr>
    </w:lvl>
    <w:lvl w:ilvl="4" w:tplc="086A1E90" w:tentative="1">
      <w:start w:val="1"/>
      <w:numFmt w:val="bullet"/>
      <w:lvlText w:val="•"/>
      <w:lvlJc w:val="left"/>
      <w:pPr>
        <w:tabs>
          <w:tab w:val="num" w:pos="3600"/>
        </w:tabs>
        <w:ind w:left="3600" w:hanging="360"/>
      </w:pPr>
      <w:rPr>
        <w:rFonts w:ascii="Times New Roman" w:hAnsi="Times New Roman" w:hint="default"/>
      </w:rPr>
    </w:lvl>
    <w:lvl w:ilvl="5" w:tplc="F15E5A90" w:tentative="1">
      <w:start w:val="1"/>
      <w:numFmt w:val="bullet"/>
      <w:lvlText w:val="•"/>
      <w:lvlJc w:val="left"/>
      <w:pPr>
        <w:tabs>
          <w:tab w:val="num" w:pos="4320"/>
        </w:tabs>
        <w:ind w:left="4320" w:hanging="360"/>
      </w:pPr>
      <w:rPr>
        <w:rFonts w:ascii="Times New Roman" w:hAnsi="Times New Roman" w:hint="default"/>
      </w:rPr>
    </w:lvl>
    <w:lvl w:ilvl="6" w:tplc="9B64CD82" w:tentative="1">
      <w:start w:val="1"/>
      <w:numFmt w:val="bullet"/>
      <w:lvlText w:val="•"/>
      <w:lvlJc w:val="left"/>
      <w:pPr>
        <w:tabs>
          <w:tab w:val="num" w:pos="5040"/>
        </w:tabs>
        <w:ind w:left="5040" w:hanging="360"/>
      </w:pPr>
      <w:rPr>
        <w:rFonts w:ascii="Times New Roman" w:hAnsi="Times New Roman" w:hint="default"/>
      </w:rPr>
    </w:lvl>
    <w:lvl w:ilvl="7" w:tplc="A3881CAC" w:tentative="1">
      <w:start w:val="1"/>
      <w:numFmt w:val="bullet"/>
      <w:lvlText w:val="•"/>
      <w:lvlJc w:val="left"/>
      <w:pPr>
        <w:tabs>
          <w:tab w:val="num" w:pos="5760"/>
        </w:tabs>
        <w:ind w:left="5760" w:hanging="360"/>
      </w:pPr>
      <w:rPr>
        <w:rFonts w:ascii="Times New Roman" w:hAnsi="Times New Roman" w:hint="default"/>
      </w:rPr>
    </w:lvl>
    <w:lvl w:ilvl="8" w:tplc="63205F5A" w:tentative="1">
      <w:start w:val="1"/>
      <w:numFmt w:val="bullet"/>
      <w:lvlText w:val="•"/>
      <w:lvlJc w:val="left"/>
      <w:pPr>
        <w:tabs>
          <w:tab w:val="num" w:pos="6480"/>
        </w:tabs>
        <w:ind w:left="6480" w:hanging="360"/>
      </w:pPr>
      <w:rPr>
        <w:rFonts w:ascii="Times New Roman" w:hAnsi="Times New Roman" w:hint="default"/>
      </w:rPr>
    </w:lvl>
  </w:abstractNum>
  <w:abstractNum w:abstractNumId="46">
    <w:nsid w:val="74EB1BFF"/>
    <w:multiLevelType w:val="hybridMultilevel"/>
    <w:tmpl w:val="E8B03558"/>
    <w:lvl w:ilvl="0" w:tplc="D11828C4">
      <w:start w:val="1"/>
      <w:numFmt w:val="upperRoman"/>
      <w:lvlText w:val="(%1)"/>
      <w:lvlJc w:val="left"/>
      <w:pPr>
        <w:ind w:left="1080" w:hanging="720"/>
      </w:pPr>
      <w:rPr>
        <w:rFonts w:ascii="Calibri" w:hAnsi="Calibri" w:hint="default"/>
        <w:sz w:val="28"/>
        <w:szCs w:val="28"/>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nsid w:val="76892602"/>
    <w:multiLevelType w:val="multilevel"/>
    <w:tmpl w:val="CABACDB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nsid w:val="7E542D89"/>
    <w:multiLevelType w:val="hybridMultilevel"/>
    <w:tmpl w:val="47B8F0CC"/>
    <w:lvl w:ilvl="0" w:tplc="965CAFF0">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5"/>
  </w:num>
  <w:num w:numId="5">
    <w:abstractNumId w:val="0"/>
  </w:num>
  <w:num w:numId="6">
    <w:abstractNumId w:val="37"/>
  </w:num>
  <w:num w:numId="7">
    <w:abstractNumId w:val="45"/>
  </w:num>
  <w:num w:numId="8">
    <w:abstractNumId w:val="3"/>
  </w:num>
  <w:num w:numId="9">
    <w:abstractNumId w:val="43"/>
  </w:num>
  <w:num w:numId="10">
    <w:abstractNumId w:val="2"/>
  </w:num>
  <w:num w:numId="11">
    <w:abstractNumId w:val="12"/>
  </w:num>
  <w:num w:numId="12">
    <w:abstractNumId w:val="42"/>
  </w:num>
  <w:num w:numId="13">
    <w:abstractNumId w:val="9"/>
  </w:num>
  <w:num w:numId="14">
    <w:abstractNumId w:val="29"/>
  </w:num>
  <w:num w:numId="15">
    <w:abstractNumId w:val="44"/>
  </w:num>
  <w:num w:numId="16">
    <w:abstractNumId w:val="33"/>
  </w:num>
  <w:num w:numId="17">
    <w:abstractNumId w:val="34"/>
  </w:num>
  <w:num w:numId="18">
    <w:abstractNumId w:val="10"/>
  </w:num>
  <w:num w:numId="19">
    <w:abstractNumId w:val="40"/>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41"/>
  </w:num>
  <w:num w:numId="23">
    <w:abstractNumId w:val="35"/>
  </w:num>
  <w:num w:numId="24">
    <w:abstractNumId w:val="4"/>
  </w:num>
  <w:num w:numId="25">
    <w:abstractNumId w:val="6"/>
  </w:num>
  <w:num w:numId="26">
    <w:abstractNumId w:val="27"/>
  </w:num>
  <w:num w:numId="27">
    <w:abstractNumId w:val="23"/>
  </w:num>
  <w:num w:numId="28">
    <w:abstractNumId w:val="22"/>
  </w:num>
  <w:num w:numId="29">
    <w:abstractNumId w:val="16"/>
  </w:num>
  <w:num w:numId="30">
    <w:abstractNumId w:val="38"/>
  </w:num>
  <w:num w:numId="31">
    <w:abstractNumId w:val="32"/>
  </w:num>
  <w:num w:numId="32">
    <w:abstractNumId w:val="48"/>
  </w:num>
  <w:num w:numId="33">
    <w:abstractNumId w:val="26"/>
  </w:num>
  <w:num w:numId="34">
    <w:abstractNumId w:val="11"/>
  </w:num>
  <w:num w:numId="35">
    <w:abstractNumId w:val="21"/>
  </w:num>
  <w:num w:numId="36">
    <w:abstractNumId w:val="7"/>
  </w:num>
  <w:num w:numId="37">
    <w:abstractNumId w:val="30"/>
  </w:num>
  <w:num w:numId="38">
    <w:abstractNumId w:val="20"/>
  </w:num>
  <w:num w:numId="39">
    <w:abstractNumId w:val="46"/>
  </w:num>
  <w:num w:numId="40">
    <w:abstractNumId w:val="5"/>
  </w:num>
  <w:num w:numId="41">
    <w:abstractNumId w:val="39"/>
  </w:num>
  <w:num w:numId="42">
    <w:abstractNumId w:val="15"/>
  </w:num>
  <w:num w:numId="43">
    <w:abstractNumId w:val="19"/>
  </w:num>
  <w:num w:numId="44">
    <w:abstractNumId w:val="31"/>
  </w:num>
  <w:num w:numId="45">
    <w:abstractNumId w:val="18"/>
  </w:num>
  <w:num w:numId="46">
    <w:abstractNumId w:val="47"/>
  </w:num>
  <w:num w:numId="47">
    <w:abstractNumId w:val="36"/>
  </w:num>
  <w:num w:numId="48">
    <w:abstractNumId w:val="24"/>
  </w:num>
  <w:num w:numId="49">
    <w:abstractNumId w:val="8"/>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6E4"/>
    <w:rsid w:val="00004D2D"/>
    <w:rsid w:val="0001165B"/>
    <w:rsid w:val="00024113"/>
    <w:rsid w:val="00031E81"/>
    <w:rsid w:val="0003669C"/>
    <w:rsid w:val="000517FB"/>
    <w:rsid w:val="00057EC4"/>
    <w:rsid w:val="00064E6E"/>
    <w:rsid w:val="00073DA1"/>
    <w:rsid w:val="0008101D"/>
    <w:rsid w:val="00090A11"/>
    <w:rsid w:val="000A4F7D"/>
    <w:rsid w:val="000A700E"/>
    <w:rsid w:val="000B1407"/>
    <w:rsid w:val="000B26DD"/>
    <w:rsid w:val="000B4320"/>
    <w:rsid w:val="000B477B"/>
    <w:rsid w:val="000C088F"/>
    <w:rsid w:val="000C2E96"/>
    <w:rsid w:val="000D4E54"/>
    <w:rsid w:val="000D6107"/>
    <w:rsid w:val="000D7708"/>
    <w:rsid w:val="000E25CB"/>
    <w:rsid w:val="000E3098"/>
    <w:rsid w:val="000E3638"/>
    <w:rsid w:val="000F18E9"/>
    <w:rsid w:val="000F41C5"/>
    <w:rsid w:val="000F5A18"/>
    <w:rsid w:val="000F7095"/>
    <w:rsid w:val="001043D8"/>
    <w:rsid w:val="0010667E"/>
    <w:rsid w:val="00107B61"/>
    <w:rsid w:val="00116672"/>
    <w:rsid w:val="00122378"/>
    <w:rsid w:val="001233EC"/>
    <w:rsid w:val="00125780"/>
    <w:rsid w:val="001275F2"/>
    <w:rsid w:val="0013368C"/>
    <w:rsid w:val="00141086"/>
    <w:rsid w:val="001524DB"/>
    <w:rsid w:val="0016201D"/>
    <w:rsid w:val="00170236"/>
    <w:rsid w:val="00170EB9"/>
    <w:rsid w:val="00175460"/>
    <w:rsid w:val="00187068"/>
    <w:rsid w:val="00194F34"/>
    <w:rsid w:val="001A717B"/>
    <w:rsid w:val="001B0111"/>
    <w:rsid w:val="001B60A5"/>
    <w:rsid w:val="001C2162"/>
    <w:rsid w:val="001D68A6"/>
    <w:rsid w:val="00207F7C"/>
    <w:rsid w:val="00223A64"/>
    <w:rsid w:val="00250EC7"/>
    <w:rsid w:val="00254153"/>
    <w:rsid w:val="00254F86"/>
    <w:rsid w:val="0026303B"/>
    <w:rsid w:val="00263F0B"/>
    <w:rsid w:val="00272B0E"/>
    <w:rsid w:val="00282962"/>
    <w:rsid w:val="00287C44"/>
    <w:rsid w:val="00290A36"/>
    <w:rsid w:val="00291802"/>
    <w:rsid w:val="002918B8"/>
    <w:rsid w:val="00297C55"/>
    <w:rsid w:val="002A465C"/>
    <w:rsid w:val="002C665E"/>
    <w:rsid w:val="002C6D74"/>
    <w:rsid w:val="002D3ACB"/>
    <w:rsid w:val="002D7EEF"/>
    <w:rsid w:val="002E487D"/>
    <w:rsid w:val="002F1189"/>
    <w:rsid w:val="002F3505"/>
    <w:rsid w:val="002F424D"/>
    <w:rsid w:val="00313A86"/>
    <w:rsid w:val="003206D0"/>
    <w:rsid w:val="0033208D"/>
    <w:rsid w:val="00336923"/>
    <w:rsid w:val="0034420B"/>
    <w:rsid w:val="00347123"/>
    <w:rsid w:val="00364FC9"/>
    <w:rsid w:val="0037291F"/>
    <w:rsid w:val="00372C57"/>
    <w:rsid w:val="0037748E"/>
    <w:rsid w:val="0038186F"/>
    <w:rsid w:val="00381AD2"/>
    <w:rsid w:val="003825E1"/>
    <w:rsid w:val="00387699"/>
    <w:rsid w:val="00392FD3"/>
    <w:rsid w:val="003965FC"/>
    <w:rsid w:val="003A259E"/>
    <w:rsid w:val="003A711B"/>
    <w:rsid w:val="003C1862"/>
    <w:rsid w:val="003C1ED8"/>
    <w:rsid w:val="003C2A55"/>
    <w:rsid w:val="003D0BD5"/>
    <w:rsid w:val="003D673B"/>
    <w:rsid w:val="003E1C31"/>
    <w:rsid w:val="00405E37"/>
    <w:rsid w:val="004111D7"/>
    <w:rsid w:val="00415560"/>
    <w:rsid w:val="00417BE8"/>
    <w:rsid w:val="00430EF1"/>
    <w:rsid w:val="00431A5E"/>
    <w:rsid w:val="00440136"/>
    <w:rsid w:val="00442C16"/>
    <w:rsid w:val="00451671"/>
    <w:rsid w:val="00451BCE"/>
    <w:rsid w:val="00455CFF"/>
    <w:rsid w:val="0046113E"/>
    <w:rsid w:val="00463CB8"/>
    <w:rsid w:val="00492704"/>
    <w:rsid w:val="0049460A"/>
    <w:rsid w:val="004A167F"/>
    <w:rsid w:val="004A2E9B"/>
    <w:rsid w:val="004A371B"/>
    <w:rsid w:val="004B17EE"/>
    <w:rsid w:val="004E188D"/>
    <w:rsid w:val="004E44B9"/>
    <w:rsid w:val="004E7156"/>
    <w:rsid w:val="004F371F"/>
    <w:rsid w:val="004F683D"/>
    <w:rsid w:val="00507E1C"/>
    <w:rsid w:val="0053568A"/>
    <w:rsid w:val="00536798"/>
    <w:rsid w:val="005458AB"/>
    <w:rsid w:val="00553FD7"/>
    <w:rsid w:val="005662F8"/>
    <w:rsid w:val="00567A8E"/>
    <w:rsid w:val="005728F8"/>
    <w:rsid w:val="005735D2"/>
    <w:rsid w:val="005739E7"/>
    <w:rsid w:val="00573D28"/>
    <w:rsid w:val="00574531"/>
    <w:rsid w:val="0058372C"/>
    <w:rsid w:val="005A4C8B"/>
    <w:rsid w:val="005A7245"/>
    <w:rsid w:val="005B1A1A"/>
    <w:rsid w:val="005C05FE"/>
    <w:rsid w:val="005C7A76"/>
    <w:rsid w:val="005D6995"/>
    <w:rsid w:val="005D6AC0"/>
    <w:rsid w:val="005D6FEC"/>
    <w:rsid w:val="005E6FD1"/>
    <w:rsid w:val="005F0BA2"/>
    <w:rsid w:val="005F2029"/>
    <w:rsid w:val="005F733E"/>
    <w:rsid w:val="00602A4F"/>
    <w:rsid w:val="006107CF"/>
    <w:rsid w:val="00611F30"/>
    <w:rsid w:val="00615209"/>
    <w:rsid w:val="00647951"/>
    <w:rsid w:val="00650D8C"/>
    <w:rsid w:val="00651FF6"/>
    <w:rsid w:val="0068595A"/>
    <w:rsid w:val="00691BF0"/>
    <w:rsid w:val="006B226D"/>
    <w:rsid w:val="006D1552"/>
    <w:rsid w:val="006D3E4C"/>
    <w:rsid w:val="006E0E0B"/>
    <w:rsid w:val="006E102B"/>
    <w:rsid w:val="006E4707"/>
    <w:rsid w:val="00710E0A"/>
    <w:rsid w:val="007229CF"/>
    <w:rsid w:val="007275A5"/>
    <w:rsid w:val="007366B6"/>
    <w:rsid w:val="0074002F"/>
    <w:rsid w:val="00741F3E"/>
    <w:rsid w:val="00747B56"/>
    <w:rsid w:val="00755713"/>
    <w:rsid w:val="00766117"/>
    <w:rsid w:val="0077457C"/>
    <w:rsid w:val="00785A03"/>
    <w:rsid w:val="007969BA"/>
    <w:rsid w:val="007C1D02"/>
    <w:rsid w:val="007C5D86"/>
    <w:rsid w:val="007C5F57"/>
    <w:rsid w:val="007C7420"/>
    <w:rsid w:val="007F081A"/>
    <w:rsid w:val="00814996"/>
    <w:rsid w:val="008278E6"/>
    <w:rsid w:val="00830468"/>
    <w:rsid w:val="00842CC8"/>
    <w:rsid w:val="00852DAF"/>
    <w:rsid w:val="00857788"/>
    <w:rsid w:val="00870544"/>
    <w:rsid w:val="00877B13"/>
    <w:rsid w:val="00877B84"/>
    <w:rsid w:val="00886310"/>
    <w:rsid w:val="008918EA"/>
    <w:rsid w:val="00892B6A"/>
    <w:rsid w:val="00896573"/>
    <w:rsid w:val="008A452A"/>
    <w:rsid w:val="008A5E14"/>
    <w:rsid w:val="008A6A67"/>
    <w:rsid w:val="008B38E7"/>
    <w:rsid w:val="008B3A40"/>
    <w:rsid w:val="008C5C99"/>
    <w:rsid w:val="008E00B4"/>
    <w:rsid w:val="008E7B84"/>
    <w:rsid w:val="008E7BA9"/>
    <w:rsid w:val="008F5410"/>
    <w:rsid w:val="008F5E73"/>
    <w:rsid w:val="00921306"/>
    <w:rsid w:val="00922558"/>
    <w:rsid w:val="009270CF"/>
    <w:rsid w:val="0093182A"/>
    <w:rsid w:val="009426E4"/>
    <w:rsid w:val="009469B2"/>
    <w:rsid w:val="00950B0B"/>
    <w:rsid w:val="0095570F"/>
    <w:rsid w:val="009562BB"/>
    <w:rsid w:val="009570CA"/>
    <w:rsid w:val="009605AE"/>
    <w:rsid w:val="00985B42"/>
    <w:rsid w:val="00995AB7"/>
    <w:rsid w:val="00995E25"/>
    <w:rsid w:val="00996A1B"/>
    <w:rsid w:val="009A5A6F"/>
    <w:rsid w:val="009A7470"/>
    <w:rsid w:val="009B0CD1"/>
    <w:rsid w:val="009B2C6B"/>
    <w:rsid w:val="009C3ABB"/>
    <w:rsid w:val="009C4EE3"/>
    <w:rsid w:val="009D179D"/>
    <w:rsid w:val="009F5B56"/>
    <w:rsid w:val="00A0582B"/>
    <w:rsid w:val="00A2438E"/>
    <w:rsid w:val="00A54FC4"/>
    <w:rsid w:val="00A57FB9"/>
    <w:rsid w:val="00A64A70"/>
    <w:rsid w:val="00A708C9"/>
    <w:rsid w:val="00A81137"/>
    <w:rsid w:val="00A8293A"/>
    <w:rsid w:val="00A8554F"/>
    <w:rsid w:val="00A94975"/>
    <w:rsid w:val="00AA16EC"/>
    <w:rsid w:val="00AA4DF0"/>
    <w:rsid w:val="00AB7B58"/>
    <w:rsid w:val="00AC3B37"/>
    <w:rsid w:val="00AC677C"/>
    <w:rsid w:val="00AD0A98"/>
    <w:rsid w:val="00AD587D"/>
    <w:rsid w:val="00AD5CCD"/>
    <w:rsid w:val="00AD649A"/>
    <w:rsid w:val="00AF2191"/>
    <w:rsid w:val="00B00EBC"/>
    <w:rsid w:val="00B07CDB"/>
    <w:rsid w:val="00B11F3F"/>
    <w:rsid w:val="00B260BA"/>
    <w:rsid w:val="00B42EBD"/>
    <w:rsid w:val="00B5355F"/>
    <w:rsid w:val="00B70870"/>
    <w:rsid w:val="00B97B6D"/>
    <w:rsid w:val="00BA0C63"/>
    <w:rsid w:val="00BB0BA3"/>
    <w:rsid w:val="00BC62BA"/>
    <w:rsid w:val="00BF443A"/>
    <w:rsid w:val="00BF6259"/>
    <w:rsid w:val="00C27CE6"/>
    <w:rsid w:val="00C32D64"/>
    <w:rsid w:val="00C37995"/>
    <w:rsid w:val="00C400B0"/>
    <w:rsid w:val="00C45AD0"/>
    <w:rsid w:val="00C4755B"/>
    <w:rsid w:val="00C62A09"/>
    <w:rsid w:val="00C71010"/>
    <w:rsid w:val="00C737E4"/>
    <w:rsid w:val="00C74769"/>
    <w:rsid w:val="00C75667"/>
    <w:rsid w:val="00C761EC"/>
    <w:rsid w:val="00C851A9"/>
    <w:rsid w:val="00C92D9E"/>
    <w:rsid w:val="00CA6106"/>
    <w:rsid w:val="00CB77A1"/>
    <w:rsid w:val="00CB7F8E"/>
    <w:rsid w:val="00CE2FA3"/>
    <w:rsid w:val="00CF1F49"/>
    <w:rsid w:val="00CF301F"/>
    <w:rsid w:val="00D05193"/>
    <w:rsid w:val="00D07BAE"/>
    <w:rsid w:val="00D12E37"/>
    <w:rsid w:val="00D13229"/>
    <w:rsid w:val="00D27A4B"/>
    <w:rsid w:val="00D32443"/>
    <w:rsid w:val="00D36DB2"/>
    <w:rsid w:val="00D37ED9"/>
    <w:rsid w:val="00D46395"/>
    <w:rsid w:val="00D477F8"/>
    <w:rsid w:val="00D748E9"/>
    <w:rsid w:val="00D81C36"/>
    <w:rsid w:val="00D9043E"/>
    <w:rsid w:val="00D91FB7"/>
    <w:rsid w:val="00D959D8"/>
    <w:rsid w:val="00D97FC4"/>
    <w:rsid w:val="00DA3419"/>
    <w:rsid w:val="00DB26AD"/>
    <w:rsid w:val="00DB3501"/>
    <w:rsid w:val="00DB3D01"/>
    <w:rsid w:val="00DB65BE"/>
    <w:rsid w:val="00DD53B1"/>
    <w:rsid w:val="00DD7729"/>
    <w:rsid w:val="00DE152E"/>
    <w:rsid w:val="00DE3419"/>
    <w:rsid w:val="00DF17AE"/>
    <w:rsid w:val="00E0728C"/>
    <w:rsid w:val="00E47667"/>
    <w:rsid w:val="00E507E6"/>
    <w:rsid w:val="00E54476"/>
    <w:rsid w:val="00E63F70"/>
    <w:rsid w:val="00E66446"/>
    <w:rsid w:val="00E8278F"/>
    <w:rsid w:val="00EA05B1"/>
    <w:rsid w:val="00EA4D5C"/>
    <w:rsid w:val="00EC7D79"/>
    <w:rsid w:val="00EC7FF6"/>
    <w:rsid w:val="00ED0457"/>
    <w:rsid w:val="00ED3F4E"/>
    <w:rsid w:val="00EE2E0F"/>
    <w:rsid w:val="00EE48C0"/>
    <w:rsid w:val="00EF3958"/>
    <w:rsid w:val="00F024C1"/>
    <w:rsid w:val="00F156EF"/>
    <w:rsid w:val="00F1586E"/>
    <w:rsid w:val="00F16C44"/>
    <w:rsid w:val="00F204C8"/>
    <w:rsid w:val="00F26CCB"/>
    <w:rsid w:val="00F32D99"/>
    <w:rsid w:val="00F33BDA"/>
    <w:rsid w:val="00F35F45"/>
    <w:rsid w:val="00F3695F"/>
    <w:rsid w:val="00F4566F"/>
    <w:rsid w:val="00F55DC5"/>
    <w:rsid w:val="00F568E1"/>
    <w:rsid w:val="00F656FA"/>
    <w:rsid w:val="00F7361E"/>
    <w:rsid w:val="00F82BA5"/>
    <w:rsid w:val="00F85AEF"/>
    <w:rsid w:val="00F95C85"/>
    <w:rsid w:val="00F96EAE"/>
    <w:rsid w:val="00FB0A98"/>
    <w:rsid w:val="00FB5DEC"/>
    <w:rsid w:val="00FB74F3"/>
    <w:rsid w:val="00FB7BEA"/>
    <w:rsid w:val="00FC0F22"/>
    <w:rsid w:val="00FC368C"/>
    <w:rsid w:val="00FD0838"/>
    <w:rsid w:val="00FD3DBF"/>
    <w:rsid w:val="00FF11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1671"/>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9"/>
    <w:qFormat/>
    <w:rsid w:val="000F7095"/>
    <w:pPr>
      <w:keepNext/>
      <w:keepLines/>
      <w:spacing w:before="200" w:line="276" w:lineRule="auto"/>
      <w:outlineLvl w:val="1"/>
    </w:pPr>
    <w:rPr>
      <w:rFonts w:ascii="Cambria" w:eastAsia="MS Gothic" w:hAnsi="Cambria" w:cs="Times New Roman"/>
      <w:b/>
      <w:bCs/>
      <w:color w:val="4F81BD"/>
      <w:sz w:val="26"/>
      <w:szCs w:val="26"/>
    </w:rPr>
  </w:style>
  <w:style w:type="paragraph" w:styleId="Heading3">
    <w:name w:val="heading 3"/>
    <w:basedOn w:val="Normal"/>
    <w:next w:val="Normal"/>
    <w:link w:val="Heading3Char"/>
    <w:uiPriority w:val="99"/>
    <w:qFormat/>
    <w:rsid w:val="000F7095"/>
    <w:pPr>
      <w:keepNext/>
      <w:keepLines/>
      <w:spacing w:before="200" w:line="276" w:lineRule="auto"/>
      <w:outlineLvl w:val="2"/>
    </w:pPr>
    <w:rPr>
      <w:rFonts w:ascii="Cambria" w:eastAsia="MS Gothic" w:hAnsi="Cambria" w:cs="Times New Roman"/>
      <w:b/>
      <w:bCs/>
      <w:color w:val="4F81BD"/>
    </w:rPr>
  </w:style>
  <w:style w:type="paragraph" w:styleId="Heading5">
    <w:name w:val="heading 5"/>
    <w:basedOn w:val="Normal"/>
    <w:next w:val="Normal"/>
    <w:link w:val="Heading5Char"/>
    <w:uiPriority w:val="9"/>
    <w:semiHidden/>
    <w:unhideWhenUsed/>
    <w:qFormat/>
    <w:rsid w:val="00F33BD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B3D01"/>
    <w:pPr>
      <w:spacing w:line="276" w:lineRule="auto"/>
      <w:ind w:left="720"/>
      <w:contextualSpacing/>
    </w:pPr>
  </w:style>
  <w:style w:type="paragraph" w:styleId="Header">
    <w:name w:val="header"/>
    <w:basedOn w:val="Normal"/>
    <w:link w:val="HeaderChar"/>
    <w:uiPriority w:val="99"/>
    <w:unhideWhenUsed/>
    <w:rsid w:val="000B4320"/>
    <w:pPr>
      <w:tabs>
        <w:tab w:val="center" w:pos="4153"/>
        <w:tab w:val="right" w:pos="8306"/>
      </w:tabs>
    </w:pPr>
  </w:style>
  <w:style w:type="character" w:customStyle="1" w:styleId="HeaderChar">
    <w:name w:val="Header Char"/>
    <w:basedOn w:val="DefaultParagraphFont"/>
    <w:link w:val="Header"/>
    <w:uiPriority w:val="99"/>
    <w:rsid w:val="000B4320"/>
  </w:style>
  <w:style w:type="paragraph" w:styleId="Footer">
    <w:name w:val="footer"/>
    <w:basedOn w:val="Normal"/>
    <w:link w:val="FooterChar"/>
    <w:uiPriority w:val="99"/>
    <w:unhideWhenUsed/>
    <w:rsid w:val="000B4320"/>
    <w:pPr>
      <w:tabs>
        <w:tab w:val="center" w:pos="4153"/>
        <w:tab w:val="right" w:pos="8306"/>
      </w:tabs>
    </w:pPr>
  </w:style>
  <w:style w:type="character" w:customStyle="1" w:styleId="FooterChar">
    <w:name w:val="Footer Char"/>
    <w:basedOn w:val="DefaultParagraphFont"/>
    <w:link w:val="Footer"/>
    <w:uiPriority w:val="99"/>
    <w:rsid w:val="000B4320"/>
  </w:style>
  <w:style w:type="character" w:styleId="Hyperlink">
    <w:name w:val="Hyperlink"/>
    <w:basedOn w:val="DefaultParagraphFont"/>
    <w:uiPriority w:val="99"/>
    <w:unhideWhenUsed/>
    <w:rsid w:val="00347123"/>
    <w:rPr>
      <w:rFonts w:ascii="Times New Roman" w:hAnsi="Times New Roman" w:cs="Times New Roman" w:hint="default"/>
      <w:color w:val="0000FF"/>
      <w:u w:val="single"/>
    </w:rPr>
  </w:style>
  <w:style w:type="paragraph" w:styleId="Subtitle">
    <w:name w:val="Subtitle"/>
    <w:basedOn w:val="Normal"/>
    <w:next w:val="Normal"/>
    <w:link w:val="SubtitleChar"/>
    <w:uiPriority w:val="99"/>
    <w:qFormat/>
    <w:rsid w:val="00347123"/>
    <w:pPr>
      <w:keepNext/>
      <w:keepLines/>
      <w:widowControl w:val="0"/>
      <w:suppressAutoHyphens/>
      <w:spacing w:before="600" w:after="600"/>
      <w:ind w:right="4820"/>
    </w:pPr>
    <w:rPr>
      <w:rFonts w:eastAsia="Times New Roman" w:cs="Times New Roman"/>
      <w:b/>
      <w:sz w:val="26"/>
      <w:szCs w:val="20"/>
      <w:lang w:val="en-AU"/>
    </w:rPr>
  </w:style>
  <w:style w:type="character" w:customStyle="1" w:styleId="SubtitleChar">
    <w:name w:val="Subtitle Char"/>
    <w:basedOn w:val="DefaultParagraphFont"/>
    <w:link w:val="Subtitle"/>
    <w:uiPriority w:val="99"/>
    <w:rsid w:val="00347123"/>
    <w:rPr>
      <w:rFonts w:eastAsia="Times New Roman" w:cs="Times New Roman"/>
      <w:b/>
      <w:sz w:val="26"/>
      <w:szCs w:val="20"/>
      <w:lang w:val="en-AU"/>
    </w:rPr>
  </w:style>
  <w:style w:type="paragraph" w:styleId="BalloonText">
    <w:name w:val="Balloon Text"/>
    <w:basedOn w:val="Normal"/>
    <w:link w:val="BalloonTextChar"/>
    <w:uiPriority w:val="99"/>
    <w:semiHidden/>
    <w:unhideWhenUsed/>
    <w:rsid w:val="00C400B0"/>
    <w:rPr>
      <w:rFonts w:ascii="Tahoma" w:hAnsi="Tahoma" w:cs="Tahoma"/>
      <w:sz w:val="16"/>
      <w:szCs w:val="16"/>
    </w:rPr>
  </w:style>
  <w:style w:type="character" w:customStyle="1" w:styleId="BalloonTextChar">
    <w:name w:val="Balloon Text Char"/>
    <w:basedOn w:val="DefaultParagraphFont"/>
    <w:link w:val="BalloonText"/>
    <w:uiPriority w:val="99"/>
    <w:semiHidden/>
    <w:rsid w:val="00C400B0"/>
    <w:rPr>
      <w:rFonts w:ascii="Tahoma" w:hAnsi="Tahoma" w:cs="Tahoma"/>
      <w:sz w:val="16"/>
      <w:szCs w:val="16"/>
    </w:rPr>
  </w:style>
  <w:style w:type="character" w:styleId="CommentReference">
    <w:name w:val="annotation reference"/>
    <w:basedOn w:val="DefaultParagraphFont"/>
    <w:uiPriority w:val="99"/>
    <w:semiHidden/>
    <w:unhideWhenUsed/>
    <w:rsid w:val="008278E6"/>
    <w:rPr>
      <w:sz w:val="16"/>
      <w:szCs w:val="16"/>
    </w:rPr>
  </w:style>
  <w:style w:type="paragraph" w:styleId="CommentText">
    <w:name w:val="annotation text"/>
    <w:basedOn w:val="Normal"/>
    <w:link w:val="CommentTextChar"/>
    <w:uiPriority w:val="99"/>
    <w:semiHidden/>
    <w:unhideWhenUsed/>
    <w:rsid w:val="008278E6"/>
    <w:rPr>
      <w:sz w:val="20"/>
      <w:szCs w:val="20"/>
    </w:rPr>
  </w:style>
  <w:style w:type="character" w:customStyle="1" w:styleId="CommentTextChar">
    <w:name w:val="Comment Text Char"/>
    <w:basedOn w:val="DefaultParagraphFont"/>
    <w:link w:val="CommentText"/>
    <w:uiPriority w:val="99"/>
    <w:semiHidden/>
    <w:rsid w:val="008278E6"/>
    <w:rPr>
      <w:sz w:val="20"/>
      <w:szCs w:val="20"/>
    </w:rPr>
  </w:style>
  <w:style w:type="paragraph" w:styleId="CommentSubject">
    <w:name w:val="annotation subject"/>
    <w:basedOn w:val="CommentText"/>
    <w:next w:val="CommentText"/>
    <w:link w:val="CommentSubjectChar"/>
    <w:uiPriority w:val="99"/>
    <w:semiHidden/>
    <w:unhideWhenUsed/>
    <w:rsid w:val="008278E6"/>
    <w:rPr>
      <w:b/>
      <w:bCs/>
    </w:rPr>
  </w:style>
  <w:style w:type="character" w:customStyle="1" w:styleId="CommentSubjectChar">
    <w:name w:val="Comment Subject Char"/>
    <w:basedOn w:val="CommentTextChar"/>
    <w:link w:val="CommentSubject"/>
    <w:uiPriority w:val="99"/>
    <w:semiHidden/>
    <w:rsid w:val="008278E6"/>
    <w:rPr>
      <w:b/>
      <w:bCs/>
      <w:sz w:val="20"/>
      <w:szCs w:val="20"/>
    </w:rPr>
  </w:style>
  <w:style w:type="table" w:styleId="TableGrid">
    <w:name w:val="Table Grid"/>
    <w:basedOn w:val="TableNormal"/>
    <w:uiPriority w:val="59"/>
    <w:rsid w:val="00A708C9"/>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F395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F7095"/>
    <w:rPr>
      <w:rFonts w:ascii="Cambria" w:eastAsia="MS Gothic" w:hAnsi="Cambria" w:cs="Times New Roman"/>
      <w:b/>
      <w:bCs/>
      <w:color w:val="4F81BD"/>
      <w:sz w:val="26"/>
      <w:szCs w:val="26"/>
    </w:rPr>
  </w:style>
  <w:style w:type="character" w:customStyle="1" w:styleId="Heading3Char">
    <w:name w:val="Heading 3 Char"/>
    <w:basedOn w:val="DefaultParagraphFont"/>
    <w:link w:val="Heading3"/>
    <w:uiPriority w:val="99"/>
    <w:rsid w:val="000F7095"/>
    <w:rPr>
      <w:rFonts w:ascii="Cambria" w:eastAsia="MS Gothic" w:hAnsi="Cambria" w:cs="Times New Roman"/>
      <w:b/>
      <w:bCs/>
      <w:color w:val="4F81BD"/>
    </w:rPr>
  </w:style>
  <w:style w:type="numbering" w:customStyle="1" w:styleId="NoList1">
    <w:name w:val="No List1"/>
    <w:next w:val="NoList"/>
    <w:uiPriority w:val="99"/>
    <w:semiHidden/>
    <w:unhideWhenUsed/>
    <w:rsid w:val="000F7095"/>
  </w:style>
  <w:style w:type="paragraph" w:styleId="NoSpacing">
    <w:name w:val="No Spacing"/>
    <w:uiPriority w:val="99"/>
    <w:qFormat/>
    <w:rsid w:val="000F7095"/>
    <w:rPr>
      <w:rFonts w:ascii="Calibri" w:eastAsia="Calibri" w:hAnsi="Calibri" w:cs="Times New Roman"/>
      <w:sz w:val="22"/>
    </w:rPr>
  </w:style>
  <w:style w:type="paragraph" w:styleId="Revision">
    <w:name w:val="Revision"/>
    <w:hidden/>
    <w:uiPriority w:val="99"/>
    <w:semiHidden/>
    <w:rsid w:val="000F7095"/>
    <w:rPr>
      <w:rFonts w:eastAsia="Calibri" w:cs="Times New Roman"/>
    </w:rPr>
  </w:style>
  <w:style w:type="paragraph" w:styleId="TOC1">
    <w:name w:val="toc 1"/>
    <w:basedOn w:val="Normal"/>
    <w:next w:val="Normal"/>
    <w:autoRedefine/>
    <w:uiPriority w:val="39"/>
    <w:rsid w:val="00D12E37"/>
    <w:pPr>
      <w:tabs>
        <w:tab w:val="left" w:pos="440"/>
        <w:tab w:val="right" w:leader="dot" w:pos="9072"/>
      </w:tabs>
      <w:spacing w:before="60" w:after="40"/>
    </w:pPr>
    <w:rPr>
      <w:rFonts w:eastAsia="Calibri" w:cs="Times New Roman"/>
      <w:b/>
      <w:noProof/>
      <w:sz w:val="22"/>
      <w:szCs w:val="28"/>
    </w:rPr>
  </w:style>
  <w:style w:type="character" w:customStyle="1" w:styleId="Heading1Char">
    <w:name w:val="Heading 1 Char"/>
    <w:basedOn w:val="DefaultParagraphFont"/>
    <w:link w:val="Heading1"/>
    <w:uiPriority w:val="9"/>
    <w:rsid w:val="00451671"/>
    <w:rPr>
      <w:rFonts w:asciiTheme="majorHAnsi" w:eastAsiaTheme="majorEastAsia" w:hAnsiTheme="majorHAnsi" w:cstheme="majorBidi"/>
      <w:b/>
      <w:bCs/>
      <w:color w:val="365F91" w:themeColor="accent1" w:themeShade="BF"/>
      <w:szCs w:val="28"/>
    </w:rPr>
  </w:style>
  <w:style w:type="paragraph" w:styleId="TOCHeading">
    <w:name w:val="TOC Heading"/>
    <w:basedOn w:val="Heading1"/>
    <w:next w:val="Normal"/>
    <w:uiPriority w:val="39"/>
    <w:unhideWhenUsed/>
    <w:qFormat/>
    <w:rsid w:val="00B11F3F"/>
    <w:pPr>
      <w:spacing w:line="276" w:lineRule="auto"/>
      <w:outlineLvl w:val="9"/>
    </w:pPr>
    <w:rPr>
      <w:lang w:val="en-US" w:eastAsia="ja-JP"/>
    </w:rPr>
  </w:style>
  <w:style w:type="paragraph" w:styleId="TOC2">
    <w:name w:val="toc 2"/>
    <w:basedOn w:val="Normal"/>
    <w:next w:val="Normal"/>
    <w:autoRedefine/>
    <w:uiPriority w:val="39"/>
    <w:unhideWhenUsed/>
    <w:rsid w:val="00A54FC4"/>
    <w:pPr>
      <w:tabs>
        <w:tab w:val="left" w:pos="851"/>
        <w:tab w:val="right" w:leader="dot" w:pos="9061"/>
      </w:tabs>
      <w:spacing w:after="100"/>
      <w:ind w:left="280"/>
    </w:pPr>
  </w:style>
  <w:style w:type="character" w:customStyle="1" w:styleId="ListParagraphChar">
    <w:name w:val="List Paragraph Char"/>
    <w:link w:val="ListParagraph"/>
    <w:uiPriority w:val="34"/>
    <w:locked/>
    <w:rsid w:val="008918EA"/>
  </w:style>
  <w:style w:type="paragraph" w:customStyle="1" w:styleId="Taksts11">
    <w:name w:val="Taksts_11"/>
    <w:basedOn w:val="Normal"/>
    <w:rsid w:val="008918EA"/>
    <w:pPr>
      <w:ind w:firstLine="567"/>
      <w:jc w:val="both"/>
    </w:pPr>
    <w:rPr>
      <w:rFonts w:eastAsia="Times New Roman" w:cs="Times New Roman"/>
      <w:sz w:val="24"/>
      <w:szCs w:val="20"/>
      <w:lang w:val="en-US"/>
    </w:rPr>
  </w:style>
  <w:style w:type="table" w:customStyle="1" w:styleId="TableGrid2">
    <w:name w:val="Table Grid2"/>
    <w:basedOn w:val="TableNormal"/>
    <w:next w:val="TableGrid"/>
    <w:uiPriority w:val="59"/>
    <w:rsid w:val="00C27CE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F33BDA"/>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uiPriority w:val="99"/>
    <w:semiHidden/>
    <w:unhideWhenUsed/>
    <w:rsid w:val="00830468"/>
    <w:rPr>
      <w:sz w:val="20"/>
      <w:szCs w:val="20"/>
    </w:rPr>
  </w:style>
  <w:style w:type="character" w:customStyle="1" w:styleId="FootnoteTextChar">
    <w:name w:val="Footnote Text Char"/>
    <w:basedOn w:val="DefaultParagraphFont"/>
    <w:link w:val="FootnoteText"/>
    <w:uiPriority w:val="99"/>
    <w:semiHidden/>
    <w:rsid w:val="00830468"/>
    <w:rPr>
      <w:sz w:val="20"/>
      <w:szCs w:val="20"/>
    </w:rPr>
  </w:style>
  <w:style w:type="character" w:styleId="FootnoteReference">
    <w:name w:val="footnote reference"/>
    <w:basedOn w:val="DefaultParagraphFont"/>
    <w:uiPriority w:val="99"/>
    <w:semiHidden/>
    <w:unhideWhenUsed/>
    <w:rsid w:val="0083046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1671"/>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9"/>
    <w:qFormat/>
    <w:rsid w:val="000F7095"/>
    <w:pPr>
      <w:keepNext/>
      <w:keepLines/>
      <w:spacing w:before="200" w:line="276" w:lineRule="auto"/>
      <w:outlineLvl w:val="1"/>
    </w:pPr>
    <w:rPr>
      <w:rFonts w:ascii="Cambria" w:eastAsia="MS Gothic" w:hAnsi="Cambria" w:cs="Times New Roman"/>
      <w:b/>
      <w:bCs/>
      <w:color w:val="4F81BD"/>
      <w:sz w:val="26"/>
      <w:szCs w:val="26"/>
    </w:rPr>
  </w:style>
  <w:style w:type="paragraph" w:styleId="Heading3">
    <w:name w:val="heading 3"/>
    <w:basedOn w:val="Normal"/>
    <w:next w:val="Normal"/>
    <w:link w:val="Heading3Char"/>
    <w:uiPriority w:val="99"/>
    <w:qFormat/>
    <w:rsid w:val="000F7095"/>
    <w:pPr>
      <w:keepNext/>
      <w:keepLines/>
      <w:spacing w:before="200" w:line="276" w:lineRule="auto"/>
      <w:outlineLvl w:val="2"/>
    </w:pPr>
    <w:rPr>
      <w:rFonts w:ascii="Cambria" w:eastAsia="MS Gothic" w:hAnsi="Cambria" w:cs="Times New Roman"/>
      <w:b/>
      <w:bCs/>
      <w:color w:val="4F81BD"/>
    </w:rPr>
  </w:style>
  <w:style w:type="paragraph" w:styleId="Heading5">
    <w:name w:val="heading 5"/>
    <w:basedOn w:val="Normal"/>
    <w:next w:val="Normal"/>
    <w:link w:val="Heading5Char"/>
    <w:uiPriority w:val="9"/>
    <w:semiHidden/>
    <w:unhideWhenUsed/>
    <w:qFormat/>
    <w:rsid w:val="00F33BD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B3D01"/>
    <w:pPr>
      <w:spacing w:line="276" w:lineRule="auto"/>
      <w:ind w:left="720"/>
      <w:contextualSpacing/>
    </w:pPr>
  </w:style>
  <w:style w:type="paragraph" w:styleId="Header">
    <w:name w:val="header"/>
    <w:basedOn w:val="Normal"/>
    <w:link w:val="HeaderChar"/>
    <w:uiPriority w:val="99"/>
    <w:unhideWhenUsed/>
    <w:rsid w:val="000B4320"/>
    <w:pPr>
      <w:tabs>
        <w:tab w:val="center" w:pos="4153"/>
        <w:tab w:val="right" w:pos="8306"/>
      </w:tabs>
    </w:pPr>
  </w:style>
  <w:style w:type="character" w:customStyle="1" w:styleId="HeaderChar">
    <w:name w:val="Header Char"/>
    <w:basedOn w:val="DefaultParagraphFont"/>
    <w:link w:val="Header"/>
    <w:uiPriority w:val="99"/>
    <w:rsid w:val="000B4320"/>
  </w:style>
  <w:style w:type="paragraph" w:styleId="Footer">
    <w:name w:val="footer"/>
    <w:basedOn w:val="Normal"/>
    <w:link w:val="FooterChar"/>
    <w:uiPriority w:val="99"/>
    <w:unhideWhenUsed/>
    <w:rsid w:val="000B4320"/>
    <w:pPr>
      <w:tabs>
        <w:tab w:val="center" w:pos="4153"/>
        <w:tab w:val="right" w:pos="8306"/>
      </w:tabs>
    </w:pPr>
  </w:style>
  <w:style w:type="character" w:customStyle="1" w:styleId="FooterChar">
    <w:name w:val="Footer Char"/>
    <w:basedOn w:val="DefaultParagraphFont"/>
    <w:link w:val="Footer"/>
    <w:uiPriority w:val="99"/>
    <w:rsid w:val="000B4320"/>
  </w:style>
  <w:style w:type="character" w:styleId="Hyperlink">
    <w:name w:val="Hyperlink"/>
    <w:basedOn w:val="DefaultParagraphFont"/>
    <w:uiPriority w:val="99"/>
    <w:unhideWhenUsed/>
    <w:rsid w:val="00347123"/>
    <w:rPr>
      <w:rFonts w:ascii="Times New Roman" w:hAnsi="Times New Roman" w:cs="Times New Roman" w:hint="default"/>
      <w:color w:val="0000FF"/>
      <w:u w:val="single"/>
    </w:rPr>
  </w:style>
  <w:style w:type="paragraph" w:styleId="Subtitle">
    <w:name w:val="Subtitle"/>
    <w:basedOn w:val="Normal"/>
    <w:next w:val="Normal"/>
    <w:link w:val="SubtitleChar"/>
    <w:uiPriority w:val="99"/>
    <w:qFormat/>
    <w:rsid w:val="00347123"/>
    <w:pPr>
      <w:keepNext/>
      <w:keepLines/>
      <w:widowControl w:val="0"/>
      <w:suppressAutoHyphens/>
      <w:spacing w:before="600" w:after="600"/>
      <w:ind w:right="4820"/>
    </w:pPr>
    <w:rPr>
      <w:rFonts w:eastAsia="Times New Roman" w:cs="Times New Roman"/>
      <w:b/>
      <w:sz w:val="26"/>
      <w:szCs w:val="20"/>
      <w:lang w:val="en-AU"/>
    </w:rPr>
  </w:style>
  <w:style w:type="character" w:customStyle="1" w:styleId="SubtitleChar">
    <w:name w:val="Subtitle Char"/>
    <w:basedOn w:val="DefaultParagraphFont"/>
    <w:link w:val="Subtitle"/>
    <w:uiPriority w:val="99"/>
    <w:rsid w:val="00347123"/>
    <w:rPr>
      <w:rFonts w:eastAsia="Times New Roman" w:cs="Times New Roman"/>
      <w:b/>
      <w:sz w:val="26"/>
      <w:szCs w:val="20"/>
      <w:lang w:val="en-AU"/>
    </w:rPr>
  </w:style>
  <w:style w:type="paragraph" w:styleId="BalloonText">
    <w:name w:val="Balloon Text"/>
    <w:basedOn w:val="Normal"/>
    <w:link w:val="BalloonTextChar"/>
    <w:uiPriority w:val="99"/>
    <w:semiHidden/>
    <w:unhideWhenUsed/>
    <w:rsid w:val="00C400B0"/>
    <w:rPr>
      <w:rFonts w:ascii="Tahoma" w:hAnsi="Tahoma" w:cs="Tahoma"/>
      <w:sz w:val="16"/>
      <w:szCs w:val="16"/>
    </w:rPr>
  </w:style>
  <w:style w:type="character" w:customStyle="1" w:styleId="BalloonTextChar">
    <w:name w:val="Balloon Text Char"/>
    <w:basedOn w:val="DefaultParagraphFont"/>
    <w:link w:val="BalloonText"/>
    <w:uiPriority w:val="99"/>
    <w:semiHidden/>
    <w:rsid w:val="00C400B0"/>
    <w:rPr>
      <w:rFonts w:ascii="Tahoma" w:hAnsi="Tahoma" w:cs="Tahoma"/>
      <w:sz w:val="16"/>
      <w:szCs w:val="16"/>
    </w:rPr>
  </w:style>
  <w:style w:type="character" w:styleId="CommentReference">
    <w:name w:val="annotation reference"/>
    <w:basedOn w:val="DefaultParagraphFont"/>
    <w:uiPriority w:val="99"/>
    <w:semiHidden/>
    <w:unhideWhenUsed/>
    <w:rsid w:val="008278E6"/>
    <w:rPr>
      <w:sz w:val="16"/>
      <w:szCs w:val="16"/>
    </w:rPr>
  </w:style>
  <w:style w:type="paragraph" w:styleId="CommentText">
    <w:name w:val="annotation text"/>
    <w:basedOn w:val="Normal"/>
    <w:link w:val="CommentTextChar"/>
    <w:uiPriority w:val="99"/>
    <w:semiHidden/>
    <w:unhideWhenUsed/>
    <w:rsid w:val="008278E6"/>
    <w:rPr>
      <w:sz w:val="20"/>
      <w:szCs w:val="20"/>
    </w:rPr>
  </w:style>
  <w:style w:type="character" w:customStyle="1" w:styleId="CommentTextChar">
    <w:name w:val="Comment Text Char"/>
    <w:basedOn w:val="DefaultParagraphFont"/>
    <w:link w:val="CommentText"/>
    <w:uiPriority w:val="99"/>
    <w:semiHidden/>
    <w:rsid w:val="008278E6"/>
    <w:rPr>
      <w:sz w:val="20"/>
      <w:szCs w:val="20"/>
    </w:rPr>
  </w:style>
  <w:style w:type="paragraph" w:styleId="CommentSubject">
    <w:name w:val="annotation subject"/>
    <w:basedOn w:val="CommentText"/>
    <w:next w:val="CommentText"/>
    <w:link w:val="CommentSubjectChar"/>
    <w:uiPriority w:val="99"/>
    <w:semiHidden/>
    <w:unhideWhenUsed/>
    <w:rsid w:val="008278E6"/>
    <w:rPr>
      <w:b/>
      <w:bCs/>
    </w:rPr>
  </w:style>
  <w:style w:type="character" w:customStyle="1" w:styleId="CommentSubjectChar">
    <w:name w:val="Comment Subject Char"/>
    <w:basedOn w:val="CommentTextChar"/>
    <w:link w:val="CommentSubject"/>
    <w:uiPriority w:val="99"/>
    <w:semiHidden/>
    <w:rsid w:val="008278E6"/>
    <w:rPr>
      <w:b/>
      <w:bCs/>
      <w:sz w:val="20"/>
      <w:szCs w:val="20"/>
    </w:rPr>
  </w:style>
  <w:style w:type="table" w:styleId="TableGrid">
    <w:name w:val="Table Grid"/>
    <w:basedOn w:val="TableNormal"/>
    <w:uiPriority w:val="59"/>
    <w:rsid w:val="00A708C9"/>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F395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F7095"/>
    <w:rPr>
      <w:rFonts w:ascii="Cambria" w:eastAsia="MS Gothic" w:hAnsi="Cambria" w:cs="Times New Roman"/>
      <w:b/>
      <w:bCs/>
      <w:color w:val="4F81BD"/>
      <w:sz w:val="26"/>
      <w:szCs w:val="26"/>
    </w:rPr>
  </w:style>
  <w:style w:type="character" w:customStyle="1" w:styleId="Heading3Char">
    <w:name w:val="Heading 3 Char"/>
    <w:basedOn w:val="DefaultParagraphFont"/>
    <w:link w:val="Heading3"/>
    <w:uiPriority w:val="99"/>
    <w:rsid w:val="000F7095"/>
    <w:rPr>
      <w:rFonts w:ascii="Cambria" w:eastAsia="MS Gothic" w:hAnsi="Cambria" w:cs="Times New Roman"/>
      <w:b/>
      <w:bCs/>
      <w:color w:val="4F81BD"/>
    </w:rPr>
  </w:style>
  <w:style w:type="numbering" w:customStyle="1" w:styleId="NoList1">
    <w:name w:val="No List1"/>
    <w:next w:val="NoList"/>
    <w:uiPriority w:val="99"/>
    <w:semiHidden/>
    <w:unhideWhenUsed/>
    <w:rsid w:val="000F7095"/>
  </w:style>
  <w:style w:type="paragraph" w:styleId="NoSpacing">
    <w:name w:val="No Spacing"/>
    <w:uiPriority w:val="99"/>
    <w:qFormat/>
    <w:rsid w:val="000F7095"/>
    <w:rPr>
      <w:rFonts w:ascii="Calibri" w:eastAsia="Calibri" w:hAnsi="Calibri" w:cs="Times New Roman"/>
      <w:sz w:val="22"/>
    </w:rPr>
  </w:style>
  <w:style w:type="paragraph" w:styleId="Revision">
    <w:name w:val="Revision"/>
    <w:hidden/>
    <w:uiPriority w:val="99"/>
    <w:semiHidden/>
    <w:rsid w:val="000F7095"/>
    <w:rPr>
      <w:rFonts w:eastAsia="Calibri" w:cs="Times New Roman"/>
    </w:rPr>
  </w:style>
  <w:style w:type="paragraph" w:styleId="TOC1">
    <w:name w:val="toc 1"/>
    <w:basedOn w:val="Normal"/>
    <w:next w:val="Normal"/>
    <w:autoRedefine/>
    <w:uiPriority w:val="39"/>
    <w:rsid w:val="00D12E37"/>
    <w:pPr>
      <w:tabs>
        <w:tab w:val="left" w:pos="440"/>
        <w:tab w:val="right" w:leader="dot" w:pos="9072"/>
      </w:tabs>
      <w:spacing w:before="60" w:after="40"/>
    </w:pPr>
    <w:rPr>
      <w:rFonts w:eastAsia="Calibri" w:cs="Times New Roman"/>
      <w:b/>
      <w:noProof/>
      <w:sz w:val="22"/>
      <w:szCs w:val="28"/>
    </w:rPr>
  </w:style>
  <w:style w:type="character" w:customStyle="1" w:styleId="Heading1Char">
    <w:name w:val="Heading 1 Char"/>
    <w:basedOn w:val="DefaultParagraphFont"/>
    <w:link w:val="Heading1"/>
    <w:uiPriority w:val="9"/>
    <w:rsid w:val="00451671"/>
    <w:rPr>
      <w:rFonts w:asciiTheme="majorHAnsi" w:eastAsiaTheme="majorEastAsia" w:hAnsiTheme="majorHAnsi" w:cstheme="majorBidi"/>
      <w:b/>
      <w:bCs/>
      <w:color w:val="365F91" w:themeColor="accent1" w:themeShade="BF"/>
      <w:szCs w:val="28"/>
    </w:rPr>
  </w:style>
  <w:style w:type="paragraph" w:styleId="TOCHeading">
    <w:name w:val="TOC Heading"/>
    <w:basedOn w:val="Heading1"/>
    <w:next w:val="Normal"/>
    <w:uiPriority w:val="39"/>
    <w:unhideWhenUsed/>
    <w:qFormat/>
    <w:rsid w:val="00B11F3F"/>
    <w:pPr>
      <w:spacing w:line="276" w:lineRule="auto"/>
      <w:outlineLvl w:val="9"/>
    </w:pPr>
    <w:rPr>
      <w:lang w:val="en-US" w:eastAsia="ja-JP"/>
    </w:rPr>
  </w:style>
  <w:style w:type="paragraph" w:styleId="TOC2">
    <w:name w:val="toc 2"/>
    <w:basedOn w:val="Normal"/>
    <w:next w:val="Normal"/>
    <w:autoRedefine/>
    <w:uiPriority w:val="39"/>
    <w:unhideWhenUsed/>
    <w:rsid w:val="00A54FC4"/>
    <w:pPr>
      <w:tabs>
        <w:tab w:val="left" w:pos="851"/>
        <w:tab w:val="right" w:leader="dot" w:pos="9061"/>
      </w:tabs>
      <w:spacing w:after="100"/>
      <w:ind w:left="280"/>
    </w:pPr>
  </w:style>
  <w:style w:type="character" w:customStyle="1" w:styleId="ListParagraphChar">
    <w:name w:val="List Paragraph Char"/>
    <w:link w:val="ListParagraph"/>
    <w:uiPriority w:val="34"/>
    <w:locked/>
    <w:rsid w:val="008918EA"/>
  </w:style>
  <w:style w:type="paragraph" w:customStyle="1" w:styleId="Taksts11">
    <w:name w:val="Taksts_11"/>
    <w:basedOn w:val="Normal"/>
    <w:rsid w:val="008918EA"/>
    <w:pPr>
      <w:ind w:firstLine="567"/>
      <w:jc w:val="both"/>
    </w:pPr>
    <w:rPr>
      <w:rFonts w:eastAsia="Times New Roman" w:cs="Times New Roman"/>
      <w:sz w:val="24"/>
      <w:szCs w:val="20"/>
      <w:lang w:val="en-US"/>
    </w:rPr>
  </w:style>
  <w:style w:type="table" w:customStyle="1" w:styleId="TableGrid2">
    <w:name w:val="Table Grid2"/>
    <w:basedOn w:val="TableNormal"/>
    <w:next w:val="TableGrid"/>
    <w:uiPriority w:val="59"/>
    <w:rsid w:val="00C27CE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F33BDA"/>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uiPriority w:val="99"/>
    <w:semiHidden/>
    <w:unhideWhenUsed/>
    <w:rsid w:val="00830468"/>
    <w:rPr>
      <w:sz w:val="20"/>
      <w:szCs w:val="20"/>
    </w:rPr>
  </w:style>
  <w:style w:type="character" w:customStyle="1" w:styleId="FootnoteTextChar">
    <w:name w:val="Footnote Text Char"/>
    <w:basedOn w:val="DefaultParagraphFont"/>
    <w:link w:val="FootnoteText"/>
    <w:uiPriority w:val="99"/>
    <w:semiHidden/>
    <w:rsid w:val="00830468"/>
    <w:rPr>
      <w:sz w:val="20"/>
      <w:szCs w:val="20"/>
    </w:rPr>
  </w:style>
  <w:style w:type="character" w:styleId="FootnoteReference">
    <w:name w:val="footnote reference"/>
    <w:basedOn w:val="DefaultParagraphFont"/>
    <w:uiPriority w:val="99"/>
    <w:semiHidden/>
    <w:unhideWhenUsed/>
    <w:rsid w:val="008304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6044">
      <w:bodyDiv w:val="1"/>
      <w:marLeft w:val="0"/>
      <w:marRight w:val="0"/>
      <w:marTop w:val="0"/>
      <w:marBottom w:val="0"/>
      <w:divBdr>
        <w:top w:val="none" w:sz="0" w:space="0" w:color="auto"/>
        <w:left w:val="none" w:sz="0" w:space="0" w:color="auto"/>
        <w:bottom w:val="none" w:sz="0" w:space="0" w:color="auto"/>
        <w:right w:val="none" w:sz="0" w:space="0" w:color="auto"/>
      </w:divBdr>
    </w:div>
    <w:div w:id="107552530">
      <w:bodyDiv w:val="1"/>
      <w:marLeft w:val="0"/>
      <w:marRight w:val="0"/>
      <w:marTop w:val="0"/>
      <w:marBottom w:val="0"/>
      <w:divBdr>
        <w:top w:val="none" w:sz="0" w:space="0" w:color="auto"/>
        <w:left w:val="none" w:sz="0" w:space="0" w:color="auto"/>
        <w:bottom w:val="none" w:sz="0" w:space="0" w:color="auto"/>
        <w:right w:val="none" w:sz="0" w:space="0" w:color="auto"/>
      </w:divBdr>
    </w:div>
    <w:div w:id="116026620">
      <w:bodyDiv w:val="1"/>
      <w:marLeft w:val="0"/>
      <w:marRight w:val="0"/>
      <w:marTop w:val="0"/>
      <w:marBottom w:val="0"/>
      <w:divBdr>
        <w:top w:val="none" w:sz="0" w:space="0" w:color="auto"/>
        <w:left w:val="none" w:sz="0" w:space="0" w:color="auto"/>
        <w:bottom w:val="none" w:sz="0" w:space="0" w:color="auto"/>
        <w:right w:val="none" w:sz="0" w:space="0" w:color="auto"/>
      </w:divBdr>
    </w:div>
    <w:div w:id="156188871">
      <w:bodyDiv w:val="1"/>
      <w:marLeft w:val="0"/>
      <w:marRight w:val="0"/>
      <w:marTop w:val="0"/>
      <w:marBottom w:val="0"/>
      <w:divBdr>
        <w:top w:val="none" w:sz="0" w:space="0" w:color="auto"/>
        <w:left w:val="none" w:sz="0" w:space="0" w:color="auto"/>
        <w:bottom w:val="none" w:sz="0" w:space="0" w:color="auto"/>
        <w:right w:val="none" w:sz="0" w:space="0" w:color="auto"/>
      </w:divBdr>
      <w:divsChild>
        <w:div w:id="74206831">
          <w:marLeft w:val="547"/>
          <w:marRight w:val="0"/>
          <w:marTop w:val="0"/>
          <w:marBottom w:val="0"/>
          <w:divBdr>
            <w:top w:val="none" w:sz="0" w:space="0" w:color="auto"/>
            <w:left w:val="none" w:sz="0" w:space="0" w:color="auto"/>
            <w:bottom w:val="none" w:sz="0" w:space="0" w:color="auto"/>
            <w:right w:val="none" w:sz="0" w:space="0" w:color="auto"/>
          </w:divBdr>
        </w:div>
        <w:div w:id="323169489">
          <w:marLeft w:val="547"/>
          <w:marRight w:val="0"/>
          <w:marTop w:val="0"/>
          <w:marBottom w:val="0"/>
          <w:divBdr>
            <w:top w:val="none" w:sz="0" w:space="0" w:color="auto"/>
            <w:left w:val="none" w:sz="0" w:space="0" w:color="auto"/>
            <w:bottom w:val="none" w:sz="0" w:space="0" w:color="auto"/>
            <w:right w:val="none" w:sz="0" w:space="0" w:color="auto"/>
          </w:divBdr>
        </w:div>
        <w:div w:id="417409901">
          <w:marLeft w:val="547"/>
          <w:marRight w:val="0"/>
          <w:marTop w:val="0"/>
          <w:marBottom w:val="0"/>
          <w:divBdr>
            <w:top w:val="none" w:sz="0" w:space="0" w:color="auto"/>
            <w:left w:val="none" w:sz="0" w:space="0" w:color="auto"/>
            <w:bottom w:val="none" w:sz="0" w:space="0" w:color="auto"/>
            <w:right w:val="none" w:sz="0" w:space="0" w:color="auto"/>
          </w:divBdr>
        </w:div>
        <w:div w:id="1326284162">
          <w:marLeft w:val="547"/>
          <w:marRight w:val="0"/>
          <w:marTop w:val="0"/>
          <w:marBottom w:val="0"/>
          <w:divBdr>
            <w:top w:val="none" w:sz="0" w:space="0" w:color="auto"/>
            <w:left w:val="none" w:sz="0" w:space="0" w:color="auto"/>
            <w:bottom w:val="none" w:sz="0" w:space="0" w:color="auto"/>
            <w:right w:val="none" w:sz="0" w:space="0" w:color="auto"/>
          </w:divBdr>
        </w:div>
      </w:divsChild>
    </w:div>
    <w:div w:id="311910033">
      <w:bodyDiv w:val="1"/>
      <w:marLeft w:val="0"/>
      <w:marRight w:val="0"/>
      <w:marTop w:val="0"/>
      <w:marBottom w:val="0"/>
      <w:divBdr>
        <w:top w:val="none" w:sz="0" w:space="0" w:color="auto"/>
        <w:left w:val="none" w:sz="0" w:space="0" w:color="auto"/>
        <w:bottom w:val="none" w:sz="0" w:space="0" w:color="auto"/>
        <w:right w:val="none" w:sz="0" w:space="0" w:color="auto"/>
      </w:divBdr>
    </w:div>
    <w:div w:id="317223232">
      <w:bodyDiv w:val="1"/>
      <w:marLeft w:val="0"/>
      <w:marRight w:val="0"/>
      <w:marTop w:val="0"/>
      <w:marBottom w:val="0"/>
      <w:divBdr>
        <w:top w:val="none" w:sz="0" w:space="0" w:color="auto"/>
        <w:left w:val="none" w:sz="0" w:space="0" w:color="auto"/>
        <w:bottom w:val="none" w:sz="0" w:space="0" w:color="auto"/>
        <w:right w:val="none" w:sz="0" w:space="0" w:color="auto"/>
      </w:divBdr>
    </w:div>
    <w:div w:id="405223857">
      <w:bodyDiv w:val="1"/>
      <w:marLeft w:val="0"/>
      <w:marRight w:val="0"/>
      <w:marTop w:val="0"/>
      <w:marBottom w:val="0"/>
      <w:divBdr>
        <w:top w:val="none" w:sz="0" w:space="0" w:color="auto"/>
        <w:left w:val="none" w:sz="0" w:space="0" w:color="auto"/>
        <w:bottom w:val="none" w:sz="0" w:space="0" w:color="auto"/>
        <w:right w:val="none" w:sz="0" w:space="0" w:color="auto"/>
      </w:divBdr>
    </w:div>
    <w:div w:id="775248898">
      <w:bodyDiv w:val="1"/>
      <w:marLeft w:val="0"/>
      <w:marRight w:val="0"/>
      <w:marTop w:val="0"/>
      <w:marBottom w:val="0"/>
      <w:divBdr>
        <w:top w:val="none" w:sz="0" w:space="0" w:color="auto"/>
        <w:left w:val="none" w:sz="0" w:space="0" w:color="auto"/>
        <w:bottom w:val="none" w:sz="0" w:space="0" w:color="auto"/>
        <w:right w:val="none" w:sz="0" w:space="0" w:color="auto"/>
      </w:divBdr>
    </w:div>
    <w:div w:id="802164191">
      <w:bodyDiv w:val="1"/>
      <w:marLeft w:val="0"/>
      <w:marRight w:val="0"/>
      <w:marTop w:val="0"/>
      <w:marBottom w:val="0"/>
      <w:divBdr>
        <w:top w:val="none" w:sz="0" w:space="0" w:color="auto"/>
        <w:left w:val="none" w:sz="0" w:space="0" w:color="auto"/>
        <w:bottom w:val="none" w:sz="0" w:space="0" w:color="auto"/>
        <w:right w:val="none" w:sz="0" w:space="0" w:color="auto"/>
      </w:divBdr>
    </w:div>
    <w:div w:id="936254249">
      <w:bodyDiv w:val="1"/>
      <w:marLeft w:val="0"/>
      <w:marRight w:val="0"/>
      <w:marTop w:val="0"/>
      <w:marBottom w:val="0"/>
      <w:divBdr>
        <w:top w:val="none" w:sz="0" w:space="0" w:color="auto"/>
        <w:left w:val="none" w:sz="0" w:space="0" w:color="auto"/>
        <w:bottom w:val="none" w:sz="0" w:space="0" w:color="auto"/>
        <w:right w:val="none" w:sz="0" w:space="0" w:color="auto"/>
      </w:divBdr>
    </w:div>
    <w:div w:id="1109859820">
      <w:bodyDiv w:val="1"/>
      <w:marLeft w:val="0"/>
      <w:marRight w:val="0"/>
      <w:marTop w:val="0"/>
      <w:marBottom w:val="0"/>
      <w:divBdr>
        <w:top w:val="none" w:sz="0" w:space="0" w:color="auto"/>
        <w:left w:val="none" w:sz="0" w:space="0" w:color="auto"/>
        <w:bottom w:val="none" w:sz="0" w:space="0" w:color="auto"/>
        <w:right w:val="none" w:sz="0" w:space="0" w:color="auto"/>
      </w:divBdr>
    </w:div>
    <w:div w:id="1131826126">
      <w:bodyDiv w:val="1"/>
      <w:marLeft w:val="0"/>
      <w:marRight w:val="0"/>
      <w:marTop w:val="0"/>
      <w:marBottom w:val="0"/>
      <w:divBdr>
        <w:top w:val="none" w:sz="0" w:space="0" w:color="auto"/>
        <w:left w:val="none" w:sz="0" w:space="0" w:color="auto"/>
        <w:bottom w:val="none" w:sz="0" w:space="0" w:color="auto"/>
        <w:right w:val="none" w:sz="0" w:space="0" w:color="auto"/>
      </w:divBdr>
    </w:div>
    <w:div w:id="1197086529">
      <w:bodyDiv w:val="1"/>
      <w:marLeft w:val="0"/>
      <w:marRight w:val="0"/>
      <w:marTop w:val="0"/>
      <w:marBottom w:val="0"/>
      <w:divBdr>
        <w:top w:val="none" w:sz="0" w:space="0" w:color="auto"/>
        <w:left w:val="none" w:sz="0" w:space="0" w:color="auto"/>
        <w:bottom w:val="none" w:sz="0" w:space="0" w:color="auto"/>
        <w:right w:val="none" w:sz="0" w:space="0" w:color="auto"/>
      </w:divBdr>
    </w:div>
    <w:div w:id="1315838233">
      <w:bodyDiv w:val="1"/>
      <w:marLeft w:val="0"/>
      <w:marRight w:val="0"/>
      <w:marTop w:val="0"/>
      <w:marBottom w:val="0"/>
      <w:divBdr>
        <w:top w:val="none" w:sz="0" w:space="0" w:color="auto"/>
        <w:left w:val="none" w:sz="0" w:space="0" w:color="auto"/>
        <w:bottom w:val="none" w:sz="0" w:space="0" w:color="auto"/>
        <w:right w:val="none" w:sz="0" w:space="0" w:color="auto"/>
      </w:divBdr>
    </w:div>
    <w:div w:id="1799907695">
      <w:bodyDiv w:val="1"/>
      <w:marLeft w:val="0"/>
      <w:marRight w:val="0"/>
      <w:marTop w:val="0"/>
      <w:marBottom w:val="0"/>
      <w:divBdr>
        <w:top w:val="none" w:sz="0" w:space="0" w:color="auto"/>
        <w:left w:val="none" w:sz="0" w:space="0" w:color="auto"/>
        <w:bottom w:val="none" w:sz="0" w:space="0" w:color="auto"/>
        <w:right w:val="none" w:sz="0" w:space="0" w:color="auto"/>
      </w:divBdr>
    </w:div>
    <w:div w:id="180820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lze.Beinare@em.gov.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717330529123597"/>
          <c:y val="3.181917211329359E-2"/>
          <c:w val="0.859797378747852"/>
          <c:h val="0.814684739749997"/>
        </c:manualLayout>
      </c:layout>
      <c:lineChart>
        <c:grouping val="standard"/>
        <c:varyColors val="0"/>
        <c:ser>
          <c:idx val="1"/>
          <c:order val="0"/>
          <c:tx>
            <c:strRef>
              <c:f>Sheet1!$A$3</c:f>
              <c:strCache>
                <c:ptCount val="1"/>
                <c:pt idx="0">
                  <c:v>2013</c:v>
                </c:pt>
              </c:strCache>
            </c:strRef>
          </c:tx>
          <c:spPr>
            <a:ln w="12700">
              <a:solidFill>
                <a:sysClr val="windowText" lastClr="000000"/>
              </a:solidFill>
              <a:prstDash val="solid"/>
            </a:ln>
          </c:spPr>
          <c:marker>
            <c:symbol val="none"/>
          </c:marker>
          <c:cat>
            <c:strRef>
              <c:f>Sheet1!$B$2:$M$2</c:f>
              <c:strCache>
                <c:ptCount val="12"/>
                <c:pt idx="0">
                  <c:v>jan</c:v>
                </c:pt>
                <c:pt idx="1">
                  <c:v>feb</c:v>
                </c:pt>
                <c:pt idx="2">
                  <c:v>mar</c:v>
                </c:pt>
                <c:pt idx="3">
                  <c:v>apr</c:v>
                </c:pt>
                <c:pt idx="4">
                  <c:v>mai</c:v>
                </c:pt>
                <c:pt idx="5">
                  <c:v>jūn</c:v>
                </c:pt>
                <c:pt idx="6">
                  <c:v>jūl</c:v>
                </c:pt>
                <c:pt idx="7">
                  <c:v>aug</c:v>
                </c:pt>
                <c:pt idx="8">
                  <c:v>sep</c:v>
                </c:pt>
                <c:pt idx="9">
                  <c:v>okt</c:v>
                </c:pt>
                <c:pt idx="10">
                  <c:v>nov</c:v>
                </c:pt>
                <c:pt idx="11">
                  <c:v>dec</c:v>
                </c:pt>
              </c:strCache>
            </c:strRef>
          </c:cat>
          <c:val>
            <c:numRef>
              <c:f>Sheet1!$B$3:$M$3</c:f>
              <c:numCache>
                <c:formatCode>0.0</c:formatCode>
                <c:ptCount val="12"/>
                <c:pt idx="0">
                  <c:v>60.692086000000003</c:v>
                </c:pt>
                <c:pt idx="1">
                  <c:v>77.462765000000005</c:v>
                </c:pt>
                <c:pt idx="2">
                  <c:v>81.992693000000003</c:v>
                </c:pt>
                <c:pt idx="3">
                  <c:v>92.710188000000002</c:v>
                </c:pt>
                <c:pt idx="4">
                  <c:v>96.101584000000003</c:v>
                </c:pt>
                <c:pt idx="5">
                  <c:v>97.485971000000006</c:v>
                </c:pt>
                <c:pt idx="6">
                  <c:v>96.327815999999999</c:v>
                </c:pt>
                <c:pt idx="7">
                  <c:v>102.648991</c:v>
                </c:pt>
                <c:pt idx="8">
                  <c:v>100.12535800000001</c:v>
                </c:pt>
                <c:pt idx="9">
                  <c:v>116.471155</c:v>
                </c:pt>
                <c:pt idx="10">
                  <c:v>129.776365</c:v>
                </c:pt>
                <c:pt idx="11">
                  <c:v>111.318067</c:v>
                </c:pt>
              </c:numCache>
            </c:numRef>
          </c:val>
          <c:smooth val="0"/>
        </c:ser>
        <c:ser>
          <c:idx val="0"/>
          <c:order val="1"/>
          <c:tx>
            <c:strRef>
              <c:f>Sheet1!$A$4</c:f>
              <c:strCache>
                <c:ptCount val="1"/>
                <c:pt idx="0">
                  <c:v>2014</c:v>
                </c:pt>
              </c:strCache>
            </c:strRef>
          </c:tx>
          <c:spPr>
            <a:ln w="31750">
              <a:solidFill>
                <a:srgbClr val="C00000"/>
              </a:solidFill>
              <a:prstDash val="solid"/>
            </a:ln>
          </c:spPr>
          <c:marker>
            <c:symbol val="none"/>
          </c:marker>
          <c:cat>
            <c:strRef>
              <c:f>Sheet1!$B$2:$M$2</c:f>
              <c:strCache>
                <c:ptCount val="12"/>
                <c:pt idx="0">
                  <c:v>jan</c:v>
                </c:pt>
                <c:pt idx="1">
                  <c:v>feb</c:v>
                </c:pt>
                <c:pt idx="2">
                  <c:v>mar</c:v>
                </c:pt>
                <c:pt idx="3">
                  <c:v>apr</c:v>
                </c:pt>
                <c:pt idx="4">
                  <c:v>mai</c:v>
                </c:pt>
                <c:pt idx="5">
                  <c:v>jūn</c:v>
                </c:pt>
                <c:pt idx="6">
                  <c:v>jūl</c:v>
                </c:pt>
                <c:pt idx="7">
                  <c:v>aug</c:v>
                </c:pt>
                <c:pt idx="8">
                  <c:v>sep</c:v>
                </c:pt>
                <c:pt idx="9">
                  <c:v>okt</c:v>
                </c:pt>
                <c:pt idx="10">
                  <c:v>nov</c:v>
                </c:pt>
                <c:pt idx="11">
                  <c:v>dec</c:v>
                </c:pt>
              </c:strCache>
            </c:strRef>
          </c:cat>
          <c:val>
            <c:numRef>
              <c:f>Sheet1!$B$4:$M$4</c:f>
              <c:numCache>
                <c:formatCode>General</c:formatCode>
                <c:ptCount val="12"/>
                <c:pt idx="0">
                  <c:v>64.824208999999996</c:v>
                </c:pt>
                <c:pt idx="1">
                  <c:v>85.020008000000004</c:v>
                </c:pt>
                <c:pt idx="2">
                  <c:v>80.577478999999997</c:v>
                </c:pt>
                <c:pt idx="3">
                  <c:v>84.697034000000002</c:v>
                </c:pt>
                <c:pt idx="4">
                  <c:v>70.709171999999995</c:v>
                </c:pt>
                <c:pt idx="5">
                  <c:v>87.693199000000007</c:v>
                </c:pt>
                <c:pt idx="6">
                  <c:v>94.013339000000002</c:v>
                </c:pt>
                <c:pt idx="7">
                  <c:v>102.82789200000001</c:v>
                </c:pt>
              </c:numCache>
            </c:numRef>
          </c:val>
          <c:smooth val="0"/>
        </c:ser>
        <c:dLbls>
          <c:showLegendKey val="0"/>
          <c:showVal val="0"/>
          <c:showCatName val="0"/>
          <c:showSerName val="0"/>
          <c:showPercent val="0"/>
          <c:showBubbleSize val="0"/>
        </c:dLbls>
        <c:marker val="1"/>
        <c:smooth val="0"/>
        <c:axId val="80356480"/>
        <c:axId val="80358016"/>
      </c:lineChart>
      <c:catAx>
        <c:axId val="80356480"/>
        <c:scaling>
          <c:orientation val="minMax"/>
        </c:scaling>
        <c:delete val="0"/>
        <c:axPos val="b"/>
        <c:numFmt formatCode="General" sourceLinked="1"/>
        <c:majorTickMark val="none"/>
        <c:minorTickMark val="none"/>
        <c:tickLblPos val="nextTo"/>
        <c:spPr>
          <a:ln w="6350">
            <a:solidFill>
              <a:srgbClr val="000000"/>
            </a:solidFill>
            <a:prstDash val="solid"/>
          </a:ln>
        </c:spPr>
        <c:txPr>
          <a:bodyPr rot="0" vert="horz"/>
          <a:lstStyle/>
          <a:p>
            <a:pPr>
              <a:defRPr/>
            </a:pPr>
            <a:endParaRPr lang="lv-LV"/>
          </a:p>
        </c:txPr>
        <c:crossAx val="80358016"/>
        <c:crosses val="autoZero"/>
        <c:auto val="1"/>
        <c:lblAlgn val="ctr"/>
        <c:lblOffset val="0"/>
        <c:tickLblSkip val="1"/>
        <c:tickMarkSkip val="1"/>
        <c:noMultiLvlLbl val="1"/>
      </c:catAx>
      <c:valAx>
        <c:axId val="80358016"/>
        <c:scaling>
          <c:orientation val="minMax"/>
          <c:min val="50"/>
        </c:scaling>
        <c:delete val="0"/>
        <c:axPos val="l"/>
        <c:numFmt formatCode="0" sourceLinked="0"/>
        <c:majorTickMark val="out"/>
        <c:minorTickMark val="none"/>
        <c:tickLblPos val="nextTo"/>
        <c:spPr>
          <a:ln w="6350">
            <a:solidFill>
              <a:sysClr val="windowText" lastClr="000000"/>
            </a:solidFill>
          </a:ln>
        </c:spPr>
        <c:txPr>
          <a:bodyPr rot="0" vert="horz"/>
          <a:lstStyle/>
          <a:p>
            <a:pPr>
              <a:defRPr/>
            </a:pPr>
            <a:endParaRPr lang="lv-LV"/>
          </a:p>
        </c:txPr>
        <c:crossAx val="80356480"/>
        <c:crosses val="autoZero"/>
        <c:crossBetween val="between"/>
      </c:valAx>
      <c:spPr>
        <a:noFill/>
        <a:ln w="6350">
          <a:noFill/>
        </a:ln>
      </c:spPr>
    </c:plotArea>
    <c:legend>
      <c:legendPos val="b"/>
      <c:layout>
        <c:manualLayout>
          <c:xMode val="edge"/>
          <c:yMode val="edge"/>
          <c:x val="0.69568366357709654"/>
          <c:y val="0.61295551168164442"/>
          <c:w val="0.2261178960830679"/>
          <c:h val="0.17593024332964002"/>
        </c:manualLayout>
      </c:layout>
      <c:overlay val="0"/>
      <c:spPr>
        <a:solidFill>
          <a:sysClr val="window" lastClr="FFFFFF"/>
        </a:solidFill>
      </c:spPr>
    </c:legend>
    <c:plotVisOnly val="1"/>
    <c:dispBlanksAs val="gap"/>
    <c:showDLblsOverMax val="0"/>
  </c:chart>
  <c:spPr>
    <a:noFill/>
    <a:ln>
      <a:noFill/>
    </a:ln>
  </c:spPr>
  <c:txPr>
    <a:bodyPr/>
    <a:lstStyle/>
    <a:p>
      <a:pPr>
        <a:defRPr sz="900" b="0" i="0" u="none" strike="noStrike" baseline="0">
          <a:solidFill>
            <a:srgbClr val="000000"/>
          </a:solidFill>
          <a:latin typeface="Arial Narrow" panose="020B0606020202030204" pitchFamily="34" charset="0"/>
          <a:ea typeface="Arial"/>
          <a:cs typeface="Arial"/>
        </a:defRPr>
      </a:pPr>
      <a:endParaRPr lang="lv-LV"/>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717330529123597"/>
          <c:y val="3.181917211329359E-2"/>
          <c:w val="0.859797378747852"/>
          <c:h val="0.814684739749997"/>
        </c:manualLayout>
      </c:layout>
      <c:lineChart>
        <c:grouping val="standard"/>
        <c:varyColors val="0"/>
        <c:ser>
          <c:idx val="1"/>
          <c:order val="0"/>
          <c:tx>
            <c:strRef>
              <c:f>Sheet1!$A$3</c:f>
              <c:strCache>
                <c:ptCount val="1"/>
                <c:pt idx="0">
                  <c:v>2013</c:v>
                </c:pt>
              </c:strCache>
            </c:strRef>
          </c:tx>
          <c:spPr>
            <a:ln w="12700">
              <a:solidFill>
                <a:sysClr val="windowText" lastClr="000000"/>
              </a:solidFill>
              <a:prstDash val="solid"/>
            </a:ln>
          </c:spPr>
          <c:marker>
            <c:symbol val="none"/>
          </c:marker>
          <c:cat>
            <c:strRef>
              <c:f>Sheet1!$B$2:$M$2</c:f>
              <c:strCache>
                <c:ptCount val="12"/>
                <c:pt idx="0">
                  <c:v>jan</c:v>
                </c:pt>
                <c:pt idx="1">
                  <c:v>feb</c:v>
                </c:pt>
                <c:pt idx="2">
                  <c:v>mar</c:v>
                </c:pt>
                <c:pt idx="3">
                  <c:v>apr</c:v>
                </c:pt>
                <c:pt idx="4">
                  <c:v>mai</c:v>
                </c:pt>
                <c:pt idx="5">
                  <c:v>jūn</c:v>
                </c:pt>
                <c:pt idx="6">
                  <c:v>jūl</c:v>
                </c:pt>
                <c:pt idx="7">
                  <c:v>aug</c:v>
                </c:pt>
                <c:pt idx="8">
                  <c:v>sep</c:v>
                </c:pt>
                <c:pt idx="9">
                  <c:v>okt</c:v>
                </c:pt>
                <c:pt idx="10">
                  <c:v>nov</c:v>
                </c:pt>
                <c:pt idx="11">
                  <c:v>dec</c:v>
                </c:pt>
              </c:strCache>
            </c:strRef>
          </c:cat>
          <c:val>
            <c:numRef>
              <c:f>Sheet1!$B$3:$M$3</c:f>
              <c:numCache>
                <c:formatCode>0.0</c:formatCode>
                <c:ptCount val="12"/>
                <c:pt idx="0">
                  <c:v>2.357761</c:v>
                </c:pt>
                <c:pt idx="1">
                  <c:v>2.4187770000000004</c:v>
                </c:pt>
                <c:pt idx="2">
                  <c:v>3.2319420000000005</c:v>
                </c:pt>
                <c:pt idx="3">
                  <c:v>3.2182939999999998</c:v>
                </c:pt>
                <c:pt idx="4">
                  <c:v>2.9256299999999995</c:v>
                </c:pt>
                <c:pt idx="5">
                  <c:v>3.605734</c:v>
                </c:pt>
                <c:pt idx="6">
                  <c:v>4.5405570000000006</c:v>
                </c:pt>
                <c:pt idx="7">
                  <c:v>4.1126529999999999</c:v>
                </c:pt>
                <c:pt idx="8">
                  <c:v>4.172339</c:v>
                </c:pt>
                <c:pt idx="9">
                  <c:v>7.0863339999999999</c:v>
                </c:pt>
                <c:pt idx="10">
                  <c:v>7.9361379999999997</c:v>
                </c:pt>
                <c:pt idx="11">
                  <c:v>7.8314320000000004</c:v>
                </c:pt>
              </c:numCache>
            </c:numRef>
          </c:val>
          <c:smooth val="0"/>
        </c:ser>
        <c:ser>
          <c:idx val="0"/>
          <c:order val="1"/>
          <c:tx>
            <c:strRef>
              <c:f>Sheet1!$A$4</c:f>
              <c:strCache>
                <c:ptCount val="1"/>
                <c:pt idx="0">
                  <c:v>2014</c:v>
                </c:pt>
              </c:strCache>
            </c:strRef>
          </c:tx>
          <c:spPr>
            <a:ln w="31750">
              <a:solidFill>
                <a:srgbClr val="C00000"/>
              </a:solidFill>
              <a:prstDash val="solid"/>
            </a:ln>
          </c:spPr>
          <c:marker>
            <c:symbol val="none"/>
          </c:marker>
          <c:cat>
            <c:strRef>
              <c:f>Sheet1!$B$2:$M$2</c:f>
              <c:strCache>
                <c:ptCount val="12"/>
                <c:pt idx="0">
                  <c:v>jan</c:v>
                </c:pt>
                <c:pt idx="1">
                  <c:v>feb</c:v>
                </c:pt>
                <c:pt idx="2">
                  <c:v>mar</c:v>
                </c:pt>
                <c:pt idx="3">
                  <c:v>apr</c:v>
                </c:pt>
                <c:pt idx="4">
                  <c:v>mai</c:v>
                </c:pt>
                <c:pt idx="5">
                  <c:v>jūn</c:v>
                </c:pt>
                <c:pt idx="6">
                  <c:v>jūl</c:v>
                </c:pt>
                <c:pt idx="7">
                  <c:v>aug</c:v>
                </c:pt>
                <c:pt idx="8">
                  <c:v>sep</c:v>
                </c:pt>
                <c:pt idx="9">
                  <c:v>okt</c:v>
                </c:pt>
                <c:pt idx="10">
                  <c:v>nov</c:v>
                </c:pt>
                <c:pt idx="11">
                  <c:v>dec</c:v>
                </c:pt>
              </c:strCache>
            </c:strRef>
          </c:cat>
          <c:val>
            <c:numRef>
              <c:f>Sheet1!$B$4:$M$4</c:f>
              <c:numCache>
                <c:formatCode>0.0</c:formatCode>
                <c:ptCount val="12"/>
                <c:pt idx="0">
                  <c:v>6.9419529999999998</c:v>
                </c:pt>
                <c:pt idx="1">
                  <c:v>8.2942660000000021</c:v>
                </c:pt>
                <c:pt idx="2">
                  <c:v>7.7751469999999996</c:v>
                </c:pt>
                <c:pt idx="3">
                  <c:v>5.2095940000000001</c:v>
                </c:pt>
                <c:pt idx="4">
                  <c:v>5.5025859999999991</c:v>
                </c:pt>
                <c:pt idx="5">
                  <c:v>7.1588750000000001</c:v>
                </c:pt>
                <c:pt idx="6">
                  <c:v>5.9681569999999997</c:v>
                </c:pt>
                <c:pt idx="7">
                  <c:v>1.5952649999999999</c:v>
                </c:pt>
              </c:numCache>
            </c:numRef>
          </c:val>
          <c:smooth val="0"/>
        </c:ser>
        <c:dLbls>
          <c:showLegendKey val="0"/>
          <c:showVal val="0"/>
          <c:showCatName val="0"/>
          <c:showSerName val="0"/>
          <c:showPercent val="0"/>
          <c:showBubbleSize val="0"/>
        </c:dLbls>
        <c:marker val="1"/>
        <c:smooth val="0"/>
        <c:axId val="80272384"/>
        <c:axId val="80347904"/>
      </c:lineChart>
      <c:catAx>
        <c:axId val="80272384"/>
        <c:scaling>
          <c:orientation val="minMax"/>
        </c:scaling>
        <c:delete val="0"/>
        <c:axPos val="b"/>
        <c:numFmt formatCode="General" sourceLinked="1"/>
        <c:majorTickMark val="none"/>
        <c:minorTickMark val="none"/>
        <c:tickLblPos val="nextTo"/>
        <c:spPr>
          <a:ln w="6350">
            <a:solidFill>
              <a:srgbClr val="000000"/>
            </a:solidFill>
            <a:prstDash val="solid"/>
          </a:ln>
        </c:spPr>
        <c:txPr>
          <a:bodyPr rot="0" vert="horz"/>
          <a:lstStyle/>
          <a:p>
            <a:pPr>
              <a:defRPr/>
            </a:pPr>
            <a:endParaRPr lang="lv-LV"/>
          </a:p>
        </c:txPr>
        <c:crossAx val="80347904"/>
        <c:crosses val="autoZero"/>
        <c:auto val="1"/>
        <c:lblAlgn val="ctr"/>
        <c:lblOffset val="0"/>
        <c:tickLblSkip val="1"/>
        <c:tickMarkSkip val="1"/>
        <c:noMultiLvlLbl val="1"/>
      </c:catAx>
      <c:valAx>
        <c:axId val="80347904"/>
        <c:scaling>
          <c:orientation val="minMax"/>
          <c:max val="12"/>
        </c:scaling>
        <c:delete val="0"/>
        <c:axPos val="l"/>
        <c:numFmt formatCode="0" sourceLinked="0"/>
        <c:majorTickMark val="out"/>
        <c:minorTickMark val="none"/>
        <c:tickLblPos val="nextTo"/>
        <c:spPr>
          <a:ln w="6350">
            <a:solidFill>
              <a:sysClr val="windowText" lastClr="000000"/>
            </a:solidFill>
          </a:ln>
        </c:spPr>
        <c:txPr>
          <a:bodyPr rot="0" vert="horz"/>
          <a:lstStyle/>
          <a:p>
            <a:pPr>
              <a:defRPr/>
            </a:pPr>
            <a:endParaRPr lang="lv-LV"/>
          </a:p>
        </c:txPr>
        <c:crossAx val="80272384"/>
        <c:crosses val="autoZero"/>
        <c:crossBetween val="between"/>
        <c:majorUnit val="2"/>
      </c:valAx>
      <c:spPr>
        <a:noFill/>
        <a:ln w="6350">
          <a:noFill/>
        </a:ln>
      </c:spPr>
    </c:plotArea>
    <c:legend>
      <c:legendPos val="b"/>
      <c:layout>
        <c:manualLayout>
          <c:xMode val="edge"/>
          <c:yMode val="edge"/>
          <c:x val="0.54368433381036163"/>
          <c:y val="4.7725384967694025E-2"/>
          <c:w val="0.2261178960830679"/>
          <c:h val="0.20221992561261945"/>
        </c:manualLayout>
      </c:layout>
      <c:overlay val="0"/>
      <c:spPr>
        <a:solidFill>
          <a:sysClr val="window" lastClr="FFFFFF"/>
        </a:solidFill>
      </c:spPr>
    </c:legend>
    <c:plotVisOnly val="1"/>
    <c:dispBlanksAs val="gap"/>
    <c:showDLblsOverMax val="0"/>
  </c:chart>
  <c:spPr>
    <a:noFill/>
    <a:ln>
      <a:noFill/>
    </a:ln>
  </c:spPr>
  <c:txPr>
    <a:bodyPr/>
    <a:lstStyle/>
    <a:p>
      <a:pPr>
        <a:defRPr sz="900" b="0" i="0" u="none" strike="noStrike" baseline="0">
          <a:solidFill>
            <a:srgbClr val="000000"/>
          </a:solidFill>
          <a:latin typeface="Arial Narrow" panose="020B0606020202030204" pitchFamily="34" charset="0"/>
          <a:ea typeface="Arial"/>
          <a:cs typeface="Arial"/>
        </a:defRPr>
      </a:pPr>
      <a:endParaRPr lang="lv-LV"/>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CF541-6DE4-4B09-931D-4FD40759F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16171</Words>
  <Characters>9218</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Informatīvais ziņojums</vt:lpstr>
    </vt:vector>
  </TitlesOfParts>
  <Company/>
  <LinksUpToDate>false</LinksUpToDate>
  <CharactersWithSpaces>25339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EMZino_241014_paveiktais</dc:subject>
  <dc:creator>Ilze Beināre</dc:creator>
  <cp:lastModifiedBy>Kristaps Soms</cp:lastModifiedBy>
  <cp:revision>7</cp:revision>
  <cp:lastPrinted>2014-11-22T08:01:00Z</cp:lastPrinted>
  <dcterms:created xsi:type="dcterms:W3CDTF">2014-11-21T15:07:00Z</dcterms:created>
  <dcterms:modified xsi:type="dcterms:W3CDTF">2014-11-22T08:01:00Z</dcterms:modified>
</cp:coreProperties>
</file>