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BD" w:rsidRDefault="002F02BD" w:rsidP="002F02BD">
      <w:pPr>
        <w:jc w:val="right"/>
        <w:rPr>
          <w:rFonts w:cs="Times New Roman"/>
          <w:sz w:val="24"/>
          <w:szCs w:val="24"/>
        </w:rPr>
      </w:pPr>
      <w:r w:rsidRPr="00E507E6">
        <w:rPr>
          <w:rFonts w:cs="Times New Roman"/>
          <w:sz w:val="24"/>
          <w:szCs w:val="24"/>
        </w:rPr>
        <w:t>Pielikums</w:t>
      </w:r>
      <w:r w:rsidR="004B0590">
        <w:rPr>
          <w:rFonts w:cs="Times New Roman"/>
          <w:sz w:val="24"/>
          <w:szCs w:val="24"/>
        </w:rPr>
        <w:t xml:space="preserve"> Nr.1</w:t>
      </w:r>
      <w:r w:rsidRPr="00E507E6">
        <w:rPr>
          <w:rFonts w:cs="Times New Roman"/>
          <w:sz w:val="24"/>
          <w:szCs w:val="24"/>
        </w:rPr>
        <w:t xml:space="preserve"> </w:t>
      </w:r>
    </w:p>
    <w:p w:rsidR="002F02BD" w:rsidRDefault="00F20E4D" w:rsidP="002F02BD">
      <w:pPr>
        <w:jc w:val="right"/>
        <w:rPr>
          <w:rFonts w:cs="Times New Roman"/>
          <w:sz w:val="24"/>
          <w:szCs w:val="24"/>
        </w:rPr>
      </w:pPr>
      <w:r>
        <w:rPr>
          <w:rFonts w:cs="Times New Roman"/>
          <w:sz w:val="24"/>
          <w:szCs w:val="24"/>
        </w:rPr>
        <w:t>Informatīvajam</w:t>
      </w:r>
      <w:r w:rsidR="002F02BD" w:rsidRPr="00E507E6">
        <w:rPr>
          <w:rFonts w:cs="Times New Roman"/>
          <w:sz w:val="24"/>
          <w:szCs w:val="24"/>
        </w:rPr>
        <w:t xml:space="preserve"> ziņojum</w:t>
      </w:r>
      <w:r>
        <w:rPr>
          <w:rFonts w:cs="Times New Roman"/>
          <w:sz w:val="24"/>
          <w:szCs w:val="24"/>
        </w:rPr>
        <w:t>am</w:t>
      </w:r>
      <w:r w:rsidR="002F02BD" w:rsidRPr="00E507E6">
        <w:rPr>
          <w:rFonts w:cs="Times New Roman"/>
          <w:sz w:val="24"/>
          <w:szCs w:val="24"/>
        </w:rPr>
        <w:t xml:space="preserve"> par pasākumiem </w:t>
      </w:r>
    </w:p>
    <w:p w:rsidR="002F02BD" w:rsidRPr="00E507E6" w:rsidRDefault="002F02BD" w:rsidP="002F02BD">
      <w:pPr>
        <w:jc w:val="right"/>
        <w:rPr>
          <w:rFonts w:cs="Times New Roman"/>
          <w:sz w:val="24"/>
          <w:szCs w:val="24"/>
        </w:rPr>
      </w:pPr>
      <w:r w:rsidRPr="00E507E6">
        <w:rPr>
          <w:rFonts w:cs="Times New Roman"/>
          <w:sz w:val="24"/>
          <w:szCs w:val="24"/>
        </w:rPr>
        <w:t>Krievijas ekonomisko sankciju negatīvās ietekmes mazināšanai</w:t>
      </w:r>
    </w:p>
    <w:p w:rsidR="002F02BD" w:rsidRDefault="002F02BD" w:rsidP="002F02BD">
      <w:pPr>
        <w:jc w:val="center"/>
        <w:rPr>
          <w:rFonts w:cs="Times New Roman"/>
          <w:b/>
          <w:sz w:val="24"/>
          <w:szCs w:val="24"/>
        </w:rPr>
      </w:pPr>
    </w:p>
    <w:p w:rsidR="002F02BD" w:rsidRPr="001A717B" w:rsidRDefault="002F02BD" w:rsidP="002F02BD">
      <w:pPr>
        <w:jc w:val="center"/>
        <w:rPr>
          <w:rFonts w:cs="Times New Roman"/>
          <w:b/>
          <w:sz w:val="24"/>
          <w:szCs w:val="24"/>
        </w:rPr>
      </w:pPr>
      <w:r w:rsidRPr="001A717B">
        <w:rPr>
          <w:rFonts w:cs="Times New Roman"/>
          <w:b/>
          <w:sz w:val="24"/>
          <w:szCs w:val="24"/>
        </w:rPr>
        <w:t xml:space="preserve">Informācija par Ministru kabineta uzdevumu Krievijas ekonomisko sankciju negatīvo seku mazināšanai izpildi </w:t>
      </w:r>
    </w:p>
    <w:p w:rsidR="002F02BD" w:rsidRPr="001A717B" w:rsidRDefault="002F02BD" w:rsidP="002F02BD">
      <w:pPr>
        <w:tabs>
          <w:tab w:val="center" w:pos="4153"/>
          <w:tab w:val="right" w:pos="8306"/>
        </w:tabs>
        <w:rPr>
          <w:b/>
          <w:sz w:val="22"/>
        </w:rPr>
      </w:pPr>
    </w:p>
    <w:tbl>
      <w:tblPr>
        <w:tblStyle w:val="TableGrid2"/>
        <w:tblW w:w="14850" w:type="dxa"/>
        <w:tblLook w:val="04A0" w:firstRow="1" w:lastRow="0" w:firstColumn="1" w:lastColumn="0" w:noHBand="0" w:noVBand="1"/>
      </w:tblPr>
      <w:tblGrid>
        <w:gridCol w:w="1145"/>
        <w:gridCol w:w="1219"/>
        <w:gridCol w:w="4473"/>
        <w:gridCol w:w="8013"/>
      </w:tblGrid>
      <w:tr w:rsidR="002F02BD" w:rsidRPr="001A717B" w:rsidTr="00E244D6">
        <w:tc>
          <w:tcPr>
            <w:tcW w:w="1145" w:type="dxa"/>
            <w:tcBorders>
              <w:top w:val="single" w:sz="4" w:space="0" w:color="auto"/>
            </w:tcBorders>
            <w:shd w:val="clear" w:color="auto" w:fill="FFFF00"/>
          </w:tcPr>
          <w:p w:rsidR="002F02BD" w:rsidRPr="002E3BE2" w:rsidRDefault="002F02BD" w:rsidP="007423AA">
            <w:pPr>
              <w:jc w:val="center"/>
              <w:rPr>
                <w:rFonts w:cs="Times New Roman"/>
                <w:b/>
                <w:sz w:val="22"/>
                <w:lang w:val="lv-LV"/>
              </w:rPr>
            </w:pPr>
            <w:proofErr w:type="spellStart"/>
            <w:r w:rsidRPr="002E3BE2">
              <w:rPr>
                <w:rFonts w:cs="Times New Roman"/>
                <w:b/>
                <w:sz w:val="22"/>
                <w:lang w:val="lv-LV"/>
              </w:rPr>
              <w:t>Atb</w:t>
            </w:r>
            <w:proofErr w:type="spellEnd"/>
            <w:r w:rsidRPr="002E3BE2">
              <w:rPr>
                <w:rFonts w:cs="Times New Roman"/>
                <w:b/>
                <w:sz w:val="22"/>
                <w:lang w:val="lv-LV"/>
              </w:rPr>
              <w:t>. ministrija</w:t>
            </w:r>
          </w:p>
        </w:tc>
        <w:tc>
          <w:tcPr>
            <w:tcW w:w="1219" w:type="dxa"/>
            <w:tcBorders>
              <w:top w:val="single" w:sz="4" w:space="0" w:color="auto"/>
            </w:tcBorders>
            <w:shd w:val="clear" w:color="auto" w:fill="FFFF00"/>
          </w:tcPr>
          <w:p w:rsidR="002F02BD" w:rsidRPr="002E3BE2" w:rsidRDefault="002F02BD" w:rsidP="007423AA">
            <w:pPr>
              <w:jc w:val="center"/>
              <w:rPr>
                <w:rFonts w:cs="Times New Roman"/>
                <w:b/>
                <w:sz w:val="22"/>
                <w:lang w:val="lv-LV"/>
              </w:rPr>
            </w:pPr>
            <w:r w:rsidRPr="002E3BE2">
              <w:rPr>
                <w:rFonts w:cs="Times New Roman"/>
                <w:b/>
                <w:sz w:val="22"/>
                <w:lang w:val="lv-LV"/>
              </w:rPr>
              <w:t>Uzdevuma datums</w:t>
            </w:r>
          </w:p>
        </w:tc>
        <w:tc>
          <w:tcPr>
            <w:tcW w:w="4473" w:type="dxa"/>
            <w:tcBorders>
              <w:top w:val="single" w:sz="4" w:space="0" w:color="auto"/>
            </w:tcBorders>
            <w:shd w:val="clear" w:color="auto" w:fill="FFFF00"/>
          </w:tcPr>
          <w:p w:rsidR="002F02BD" w:rsidRPr="002E3BE2" w:rsidRDefault="002F02BD" w:rsidP="007423AA">
            <w:pPr>
              <w:rPr>
                <w:rFonts w:cs="Times New Roman"/>
                <w:b/>
                <w:sz w:val="22"/>
                <w:lang w:val="lv-LV"/>
              </w:rPr>
            </w:pPr>
            <w:r w:rsidRPr="002E3BE2">
              <w:rPr>
                <w:rFonts w:cs="Times New Roman"/>
                <w:b/>
                <w:sz w:val="22"/>
                <w:lang w:val="lv-LV"/>
              </w:rPr>
              <w:t>Uzdevums</w:t>
            </w:r>
          </w:p>
        </w:tc>
        <w:tc>
          <w:tcPr>
            <w:tcW w:w="8013" w:type="dxa"/>
            <w:tcBorders>
              <w:top w:val="single" w:sz="4" w:space="0" w:color="auto"/>
            </w:tcBorders>
            <w:shd w:val="clear" w:color="auto" w:fill="FFFF00"/>
          </w:tcPr>
          <w:p w:rsidR="002F02BD" w:rsidRPr="002E3BE2" w:rsidRDefault="002F02BD" w:rsidP="007423AA">
            <w:pPr>
              <w:rPr>
                <w:rFonts w:cs="Times New Roman"/>
                <w:b/>
                <w:sz w:val="22"/>
                <w:lang w:val="lv-LV"/>
              </w:rPr>
            </w:pPr>
            <w:r w:rsidRPr="002E3BE2">
              <w:rPr>
                <w:rFonts w:cs="Times New Roman"/>
                <w:b/>
                <w:sz w:val="22"/>
                <w:lang w:val="lv-LV"/>
              </w:rPr>
              <w:t>Izpildes gaita</w:t>
            </w:r>
          </w:p>
        </w:tc>
      </w:tr>
      <w:tr w:rsidR="002F02BD" w:rsidRPr="001A717B" w:rsidTr="00E244D6">
        <w:tc>
          <w:tcPr>
            <w:tcW w:w="1145" w:type="dxa"/>
            <w:vMerge w:val="restart"/>
            <w:shd w:val="clear" w:color="auto" w:fill="D9D9D9" w:themeFill="background1" w:themeFillShade="D9"/>
          </w:tcPr>
          <w:p w:rsidR="002F02BD" w:rsidRPr="002E3BE2" w:rsidRDefault="002F02BD" w:rsidP="007423AA">
            <w:pPr>
              <w:jc w:val="center"/>
              <w:rPr>
                <w:rFonts w:cs="Times New Roman"/>
                <w:sz w:val="22"/>
                <w:lang w:val="lv-LV"/>
              </w:rPr>
            </w:pPr>
            <w:r w:rsidRPr="002E3BE2">
              <w:rPr>
                <w:rFonts w:cs="Times New Roman"/>
                <w:sz w:val="22"/>
                <w:lang w:val="lv-LV"/>
              </w:rPr>
              <w:t>EM</w:t>
            </w:r>
          </w:p>
        </w:tc>
        <w:tc>
          <w:tcPr>
            <w:tcW w:w="1219" w:type="dxa"/>
            <w:vMerge w:val="restart"/>
          </w:tcPr>
          <w:p w:rsidR="002F02BD" w:rsidRPr="002E3BE2" w:rsidRDefault="002F02BD" w:rsidP="007423AA">
            <w:pPr>
              <w:jc w:val="center"/>
              <w:rPr>
                <w:rFonts w:cs="Times New Roman"/>
                <w:sz w:val="22"/>
                <w:lang w:val="lv-LV"/>
              </w:rPr>
            </w:pPr>
            <w:r w:rsidRPr="002E3BE2">
              <w:rPr>
                <w:rFonts w:cs="Times New Roman"/>
                <w:sz w:val="22"/>
                <w:lang w:val="lv-LV"/>
              </w:rPr>
              <w:t>MK 12.08</w:t>
            </w:r>
          </w:p>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 xml:space="preserve">Sagatavot grozījumus MK noteikumos Nr.997, paredzot komersantiem un lauksaimniecības pakalpojumu kooperatīvajām sabiedrībām (komercdarbību un lauksaimniecības pakalpojumu kooperatīvo sabiedrību darbību regulējošo normatīvo aktu izpratnē) </w:t>
            </w:r>
            <w:proofErr w:type="spellStart"/>
            <w:r w:rsidRPr="002E3BE2">
              <w:rPr>
                <w:rFonts w:cs="Times New Roman"/>
                <w:sz w:val="22"/>
                <w:lang w:val="lv-LV"/>
              </w:rPr>
              <w:t>kredītbrīvdienu</w:t>
            </w:r>
            <w:proofErr w:type="spellEnd"/>
            <w:r w:rsidRPr="002E3BE2">
              <w:rPr>
                <w:rFonts w:cs="Times New Roman"/>
                <w:sz w:val="22"/>
                <w:lang w:val="lv-LV"/>
              </w:rPr>
              <w:t xml:space="preserve"> garantiju piešķiršanu līdz vienam gadam. Finansējuma avots garantiju nodrošinājumam ir Latvijas Garantiju aģentūras agrāk ieviesto Eiropas Savienības fondu programmu deklarētie līdzekļi un procentu ieņēmumi.</w:t>
            </w:r>
          </w:p>
        </w:tc>
        <w:tc>
          <w:tcPr>
            <w:tcW w:w="8013" w:type="dxa"/>
          </w:tcPr>
          <w:p w:rsidR="002F02BD" w:rsidRPr="002E3BE2" w:rsidRDefault="002F02BD" w:rsidP="007423AA">
            <w:pPr>
              <w:rPr>
                <w:rFonts w:cs="Times New Roman"/>
                <w:b/>
                <w:sz w:val="22"/>
                <w:lang w:val="lv-LV"/>
              </w:rPr>
            </w:pPr>
            <w:r w:rsidRPr="002E3BE2">
              <w:rPr>
                <w:rFonts w:cs="Times New Roman"/>
                <w:b/>
                <w:sz w:val="22"/>
                <w:lang w:val="lv-LV"/>
              </w:rPr>
              <w:t xml:space="preserve">IZPILDĪTS. </w:t>
            </w:r>
            <w:r w:rsidRPr="002E3BE2">
              <w:rPr>
                <w:rFonts w:cs="Times New Roman"/>
                <w:sz w:val="22"/>
                <w:lang w:val="lv-LV"/>
              </w:rPr>
              <w:t>Atbalstīts š.g.9.septembra MK sēdē</w:t>
            </w:r>
            <w:r w:rsidRPr="002E3BE2">
              <w:rPr>
                <w:rFonts w:cs="Times New Roman"/>
                <w:b/>
                <w:sz w:val="22"/>
                <w:lang w:val="lv-LV"/>
              </w:rPr>
              <w:t>.</w:t>
            </w:r>
          </w:p>
          <w:p w:rsidR="002F02BD" w:rsidRPr="002E3BE2" w:rsidRDefault="002F02BD" w:rsidP="007423AA">
            <w:pPr>
              <w:rPr>
                <w:rFonts w:cs="Times New Roman"/>
                <w:sz w:val="22"/>
                <w:lang w:val="lv-LV"/>
              </w:rPr>
            </w:pPr>
            <w:r w:rsidRPr="002E3BE2">
              <w:rPr>
                <w:rFonts w:cs="Times New Roman"/>
                <w:sz w:val="22"/>
                <w:lang w:val="lv-LV"/>
              </w:rPr>
              <w:t>22.septembrī tika organizēta Latvijas Garantiju aģentūras un autopārvadājumu nozares pārstāvju tikšanās, lai  skaidrotu komersantu iespējas izmantot garantijas.</w:t>
            </w:r>
            <w:r w:rsidR="00E244D6">
              <w:rPr>
                <w:rFonts w:cs="Times New Roman"/>
                <w:sz w:val="22"/>
                <w:lang w:val="lv-LV"/>
              </w:rPr>
              <w:t xml:space="preserve"> Uz 20.novembri neviens no Krievijas skartajiem uzņēmējiem nav griezies LGA</w:t>
            </w:r>
            <w:r w:rsidR="00277E07">
              <w:rPr>
                <w:rFonts w:cs="Times New Roman"/>
                <w:sz w:val="22"/>
                <w:lang w:val="lv-LV"/>
              </w:rPr>
              <w:t xml:space="preserve"> atbalsta saņemšanai</w:t>
            </w:r>
            <w:r w:rsidR="00E244D6">
              <w:rPr>
                <w:rFonts w:cs="Times New Roman"/>
                <w:sz w:val="22"/>
                <w:lang w:val="lv-LV"/>
              </w:rPr>
              <w:t>.</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Sagatavot grozījumus MK noteikumos Nr.582 pārdalot finansējumu, lai līdz 2015.gada 31.decembrim turpinātu atbalstīt Latvijas komersantu aktivitātes, kas saistītas ar ieiešanu ārvalstu tirgos</w:t>
            </w:r>
          </w:p>
        </w:tc>
        <w:tc>
          <w:tcPr>
            <w:tcW w:w="8013" w:type="dxa"/>
            <w:vMerge w:val="restart"/>
          </w:tcPr>
          <w:p w:rsidR="002F02BD" w:rsidRPr="002E3BE2" w:rsidRDefault="00035A97" w:rsidP="00E244D6">
            <w:pPr>
              <w:rPr>
                <w:rFonts w:cs="Times New Roman"/>
                <w:sz w:val="22"/>
                <w:lang w:val="lv-LV"/>
              </w:rPr>
            </w:pPr>
            <w:r w:rsidRPr="002E3BE2">
              <w:rPr>
                <w:rFonts w:cs="Times New Roman"/>
                <w:b/>
                <w:sz w:val="22"/>
                <w:lang w:val="lv-LV"/>
              </w:rPr>
              <w:t>IZPILDĪTS</w:t>
            </w:r>
            <w:r w:rsidR="002F02BD" w:rsidRPr="002E3BE2">
              <w:rPr>
                <w:rFonts w:cs="Times New Roman"/>
                <w:b/>
                <w:sz w:val="22"/>
                <w:lang w:val="lv-LV"/>
              </w:rPr>
              <w:t xml:space="preserve">. </w:t>
            </w:r>
            <w:r w:rsidRPr="002E3BE2">
              <w:rPr>
                <w:rFonts w:cs="Times New Roman"/>
                <w:sz w:val="22"/>
                <w:lang w:val="lv-LV"/>
              </w:rPr>
              <w:t>14.oktobrī MK apstiprināti s</w:t>
            </w:r>
            <w:r w:rsidR="002F02BD" w:rsidRPr="002E3BE2">
              <w:rPr>
                <w:rFonts w:cs="Times New Roman"/>
                <w:sz w:val="22"/>
                <w:lang w:val="lv-LV"/>
              </w:rPr>
              <w:t>agatavoti</w:t>
            </w:r>
            <w:r w:rsidRPr="002E3BE2">
              <w:rPr>
                <w:rFonts w:cs="Times New Roman"/>
                <w:sz w:val="22"/>
                <w:lang w:val="lv-LV"/>
              </w:rPr>
              <w:t>e</w:t>
            </w:r>
            <w:r w:rsidR="002F02BD" w:rsidRPr="002E3BE2">
              <w:rPr>
                <w:rFonts w:cs="Times New Roman"/>
                <w:sz w:val="22"/>
                <w:lang w:val="lv-LV"/>
              </w:rPr>
              <w:t xml:space="preserve"> grozījumi </w:t>
            </w:r>
            <w:r w:rsidRPr="002E3BE2">
              <w:rPr>
                <w:rFonts w:cs="Times New Roman"/>
                <w:sz w:val="22"/>
                <w:lang w:val="lv-LV"/>
              </w:rPr>
              <w:t>MK</w:t>
            </w:r>
            <w:r w:rsidR="002F02BD" w:rsidRPr="002E3BE2">
              <w:rPr>
                <w:rFonts w:cs="Times New Roman"/>
                <w:sz w:val="22"/>
                <w:lang w:val="lv-LV"/>
              </w:rPr>
              <w:t xml:space="preserve"> 2009.gada 17.jūnija noteikumos Nr.582 un 2010.gada 21.septembra noteikumos Nr.887 par eksporta veicināšanas aktivitātēm,  paredzot ka tiek paaugstināta atbalsta intensitāte līdz 70%, kā arī iekļautas papildus attiecināmās izmaksas. </w:t>
            </w:r>
            <w:r w:rsidR="005A1E85" w:rsidRPr="002E3BE2">
              <w:rPr>
                <w:rFonts w:cs="Times New Roman"/>
                <w:sz w:val="22"/>
                <w:lang w:val="lv-LV"/>
              </w:rPr>
              <w:t xml:space="preserve">MK sēdes </w:t>
            </w:r>
            <w:proofErr w:type="spellStart"/>
            <w:r w:rsidR="005A1E85" w:rsidRPr="002E3BE2">
              <w:rPr>
                <w:rFonts w:cs="Times New Roman"/>
                <w:sz w:val="22"/>
                <w:lang w:val="lv-LV"/>
              </w:rPr>
              <w:t>protokol</w:t>
            </w:r>
            <w:r w:rsidR="00195730" w:rsidRPr="002E3BE2">
              <w:rPr>
                <w:rFonts w:cs="Times New Roman"/>
                <w:sz w:val="22"/>
                <w:lang w:val="lv-LV"/>
              </w:rPr>
              <w:t>lēmuma</w:t>
            </w:r>
            <w:proofErr w:type="spellEnd"/>
            <w:r w:rsidR="005A1E85" w:rsidRPr="002E3BE2">
              <w:rPr>
                <w:rFonts w:cs="Times New Roman"/>
                <w:sz w:val="22"/>
                <w:lang w:val="lv-LV"/>
              </w:rPr>
              <w:t xml:space="preserve"> </w:t>
            </w:r>
            <w:proofErr w:type="spellStart"/>
            <w:r w:rsidR="005A1E85" w:rsidRPr="002E3BE2">
              <w:rPr>
                <w:rFonts w:cs="Times New Roman"/>
                <w:sz w:val="22"/>
                <w:lang w:val="lv-LV"/>
              </w:rPr>
              <w:t>Nr</w:t>
            </w:r>
            <w:proofErr w:type="spellEnd"/>
            <w:r w:rsidR="005A1E85" w:rsidRPr="002E3BE2">
              <w:rPr>
                <w:rFonts w:cs="Times New Roman"/>
                <w:sz w:val="22"/>
                <w:lang w:val="lv-LV"/>
              </w:rPr>
              <w:t>. 55 44.§ 4.punkts paredz</w:t>
            </w:r>
            <w:r w:rsidR="00A648E1" w:rsidRPr="002E3BE2">
              <w:rPr>
                <w:rFonts w:cs="Times New Roman"/>
                <w:sz w:val="22"/>
                <w:lang w:val="lv-LV"/>
              </w:rPr>
              <w:t>ēja</w:t>
            </w:r>
            <w:r w:rsidR="005A1E85" w:rsidRPr="002E3BE2">
              <w:rPr>
                <w:rFonts w:cs="Times New Roman"/>
                <w:sz w:val="22"/>
                <w:lang w:val="lv-LV"/>
              </w:rPr>
              <w:t xml:space="preserve"> Ekonomikas ministrijai sagatavot un nosūtīt Eiropas Komisijai skaidrojumu par noteikumos ietvertās normas, kas attiecas uz jauno darbību - ražotņu un produktu atbilstības novērtēšana, ja šāda atbilstības novērtēšana ir obligāts priekšnosacījums, lai uzsāktu produktu tirdzniecību ārvalstu tirgos, atbilstību Eiropas Komisijas 2013.gada 18.decembra regulai (ES) Nr.1407/2013 par Līguma par Eiropas Savienības darbību 107. un 108.panta piemērošanu </w:t>
            </w:r>
            <w:proofErr w:type="spellStart"/>
            <w:r w:rsidR="005A1E85" w:rsidRPr="002E3BE2">
              <w:rPr>
                <w:rFonts w:cs="Times New Roman"/>
                <w:sz w:val="22"/>
                <w:lang w:val="lv-LV"/>
              </w:rPr>
              <w:t>de</w:t>
            </w:r>
            <w:proofErr w:type="spellEnd"/>
            <w:r w:rsidR="005A1E85" w:rsidRPr="002E3BE2">
              <w:rPr>
                <w:rFonts w:cs="Times New Roman"/>
                <w:sz w:val="22"/>
                <w:lang w:val="lv-LV"/>
              </w:rPr>
              <w:t xml:space="preserve"> </w:t>
            </w:r>
            <w:proofErr w:type="spellStart"/>
            <w:r w:rsidR="005A1E85" w:rsidRPr="002E3BE2">
              <w:rPr>
                <w:rFonts w:cs="Times New Roman"/>
                <w:sz w:val="22"/>
                <w:lang w:val="lv-LV"/>
              </w:rPr>
              <w:t>minimis</w:t>
            </w:r>
            <w:proofErr w:type="spellEnd"/>
            <w:r w:rsidR="005A1E85" w:rsidRPr="002E3BE2">
              <w:rPr>
                <w:rFonts w:cs="Times New Roman"/>
                <w:sz w:val="22"/>
                <w:lang w:val="lv-LV"/>
              </w:rPr>
              <w:t xml:space="preserve"> atbalstam. Eiropas komisija Ekonomikas ministrijas skaidrojumu ir pieņēmusi un atzinusi, ka noteikumos ietvertā norma atbilst Eiropas Komisijas 2013.gada 18.decembra regulai (ES) Nr.1407/2013.</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Sagatavot grozījumus MK noteikumos Nr.887 paredzot papildus 5milj. EUR un paplašinot atbalstāmās darbības un izmaksas</w:t>
            </w:r>
          </w:p>
        </w:tc>
        <w:tc>
          <w:tcPr>
            <w:tcW w:w="8013" w:type="dxa"/>
            <w:vMerge/>
          </w:tcPr>
          <w:p w:rsidR="002F02BD" w:rsidRPr="002E3BE2" w:rsidRDefault="002F02BD" w:rsidP="007423AA">
            <w:pPr>
              <w:rPr>
                <w:rFonts w:cs="Times New Roman"/>
                <w:sz w:val="22"/>
                <w:lang w:val="lv-LV"/>
              </w:rPr>
            </w:pPr>
          </w:p>
        </w:tc>
      </w:tr>
      <w:tr w:rsidR="002F02BD" w:rsidRPr="001A717B" w:rsidTr="00E244D6">
        <w:trPr>
          <w:trHeight w:val="2041"/>
        </w:trPr>
        <w:tc>
          <w:tcPr>
            <w:tcW w:w="1145" w:type="dxa"/>
            <w:vMerge w:val="restart"/>
            <w:shd w:val="clear" w:color="auto" w:fill="D9D9D9" w:themeFill="background1" w:themeFillShade="D9"/>
          </w:tcPr>
          <w:p w:rsidR="002F02BD" w:rsidRPr="002E3BE2" w:rsidRDefault="002F02BD" w:rsidP="007423AA">
            <w:pPr>
              <w:jc w:val="center"/>
              <w:rPr>
                <w:rFonts w:cs="Times New Roman"/>
                <w:sz w:val="22"/>
                <w:lang w:val="lv-LV"/>
              </w:rPr>
            </w:pPr>
            <w:r w:rsidRPr="002E3BE2">
              <w:rPr>
                <w:rFonts w:cs="Times New Roman"/>
                <w:sz w:val="22"/>
                <w:lang w:val="lv-LV"/>
              </w:rPr>
              <w:lastRenderedPageBreak/>
              <w:t>FM</w:t>
            </w:r>
          </w:p>
        </w:tc>
        <w:tc>
          <w:tcPr>
            <w:tcW w:w="1219" w:type="dxa"/>
          </w:tcPr>
          <w:p w:rsidR="002F02BD" w:rsidRPr="002E3BE2" w:rsidRDefault="002F02BD" w:rsidP="007423AA">
            <w:pPr>
              <w:jc w:val="center"/>
              <w:rPr>
                <w:rFonts w:cs="Times New Roman"/>
                <w:sz w:val="22"/>
                <w:lang w:val="lv-LV"/>
              </w:rPr>
            </w:pPr>
            <w:r w:rsidRPr="002E3BE2">
              <w:rPr>
                <w:rFonts w:cs="Times New Roman"/>
                <w:sz w:val="22"/>
                <w:lang w:val="lv-LV"/>
              </w:rPr>
              <w:t>MK 12.08</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Sagatavot grozījumus likumā "Par nodokļiem un nodevām", tiem nodokļu maksātājiem, kuru sankcijām pakļauto eksporta darījumu īpatsvars uz Krieviju ir lielāks par 10% no kopējā realizācijas apjoma paredzot nodokļu maksāšanas termiņa pagarinājumu līdz 5 gadiem, nepiemērojot nokavējuma naudu</w:t>
            </w:r>
          </w:p>
        </w:tc>
        <w:tc>
          <w:tcPr>
            <w:tcW w:w="8013" w:type="dxa"/>
          </w:tcPr>
          <w:p w:rsidR="00F564A9" w:rsidRPr="002E3BE2" w:rsidRDefault="002F02BD" w:rsidP="00F564A9">
            <w:pPr>
              <w:rPr>
                <w:rFonts w:cs="Times New Roman"/>
                <w:sz w:val="22"/>
                <w:lang w:val="lv-LV"/>
              </w:rPr>
            </w:pPr>
            <w:r w:rsidRPr="002E3BE2">
              <w:rPr>
                <w:rFonts w:cs="Times New Roman"/>
                <w:b/>
                <w:sz w:val="22"/>
                <w:lang w:val="lv-LV"/>
              </w:rPr>
              <w:t xml:space="preserve">IZPILDĪTS. </w:t>
            </w:r>
            <w:r w:rsidRPr="002E3BE2">
              <w:rPr>
                <w:rFonts w:cs="Times New Roman"/>
                <w:sz w:val="22"/>
                <w:lang w:val="lv-LV"/>
              </w:rPr>
              <w:t>Likumprojekts stā</w:t>
            </w:r>
            <w:r w:rsidR="00F564A9" w:rsidRPr="002E3BE2">
              <w:rPr>
                <w:rFonts w:cs="Times New Roman"/>
                <w:sz w:val="22"/>
                <w:lang w:val="lv-LV"/>
              </w:rPr>
              <w:t>jās</w:t>
            </w:r>
            <w:r w:rsidRPr="002E3BE2">
              <w:rPr>
                <w:rFonts w:cs="Times New Roman"/>
                <w:sz w:val="22"/>
                <w:lang w:val="lv-LV"/>
              </w:rPr>
              <w:t xml:space="preserve"> spēkā š.g.1.oktobrī, pārejas noteikumi paredz, ka nodokļu termiņa pagarinājums bez nokavējuma naudas piemērošanas var piemērot no sankciju ieviešanas dienas.</w:t>
            </w:r>
          </w:p>
          <w:p w:rsidR="00206F3F" w:rsidRDefault="00206F3F" w:rsidP="00F564A9">
            <w:pPr>
              <w:rPr>
                <w:rFonts w:cs="Times New Roman"/>
                <w:sz w:val="22"/>
                <w:lang w:val="lv-LV"/>
              </w:rPr>
            </w:pPr>
            <w:r w:rsidRPr="00206F3F">
              <w:rPr>
                <w:rFonts w:cs="Times New Roman"/>
                <w:sz w:val="22"/>
                <w:lang w:val="lv-LV"/>
              </w:rPr>
              <w:t xml:space="preserve">Laika periodā no 2014.gada 14.augusta līdz 2014.gada 1.oktobrim saskaņā ar likuma „Par nodokļiem un nodevām” 24.panta pirmās daļas 1.un 3.punktu 27 nodokļu maksātāji VID ir iesnieguši 33 iesniegumus par  nodokļu samaksas termiņa pagarinājuma piešķiršanu, kuri kā iemeslu nodokļu sadalīšanai termiņos min situāciju Krievijas tirgū un eksporta samazinājumu uz Krieviju. Šobrīd VID ir sagatavojis 19 pozitīvos lēmumus pēc vispārējā regulējuma un sadalījis nodokļu samaksu, 6 iesniegumi ir atsaukti, 1 lēmuma pieņemšana ir atlikta līdz VID ģenerāldirektora lēmuma pieņemšanai audita lietā, 5 gadījumos atteikts sadalīt termiņos nodokļu samaksu, 2 iesniegumi ir izskatīšanas procesā. </w:t>
            </w:r>
          </w:p>
          <w:p w:rsidR="00F564A9" w:rsidRPr="002E3BE2" w:rsidRDefault="00D451EB" w:rsidP="00F564A9">
            <w:pPr>
              <w:rPr>
                <w:rFonts w:cs="Times New Roman"/>
                <w:sz w:val="22"/>
                <w:lang w:val="lv-LV"/>
              </w:rPr>
            </w:pPr>
            <w:r w:rsidRPr="00277E07">
              <w:rPr>
                <w:rFonts w:cs="Times New Roman"/>
                <w:sz w:val="22"/>
                <w:lang w:val="lv-LV"/>
              </w:rPr>
              <w:t>Laika periodā no 2014.gada 1.oktobra līdz 2014.gada 19.novembrim saskaņā ar likuma „Par nodokļiem un nodevām” 24.panta pirmās daļas 9.punktu 7 nodokļu maksātāji VID ir iesnieguši 7 iesniegumus par  nodokļu samaksas termiņa pagarinājuma piešķiršanu, kuri kā iemeslu nodokļu sadalīšanai termiņos min Krievijas noteikto embargo pārtikas produktu importam un eksporta samazinājumu uz Krieviju. Šobrīd VID ir sagatavojis 1 pozitīvo lēmumu pēc vispārējā regulējuma un sadalījis nodokļu samaksu, 1 iesniegums ir atsaukts un 5 iesniegumi ir izskatīšanas procesā.</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tcPr>
          <w:p w:rsidR="002F02BD" w:rsidRPr="002E3BE2" w:rsidRDefault="002F02BD" w:rsidP="007423AA">
            <w:pPr>
              <w:jc w:val="center"/>
              <w:rPr>
                <w:rFonts w:cs="Times New Roman"/>
                <w:sz w:val="22"/>
                <w:lang w:val="lv-LV"/>
              </w:rPr>
            </w:pPr>
            <w:r w:rsidRPr="002E3BE2">
              <w:rPr>
                <w:rFonts w:cs="Times New Roman"/>
                <w:sz w:val="22"/>
                <w:lang w:val="lv-LV"/>
              </w:rPr>
              <w:t>MK 26.08</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 xml:space="preserve">Par Transporta un loģistika nozares un SM sagatavotajiem priekšlikumiem, kas skar nodokļu jomu, FM, SM un nozares asociācijas sagatavos normatīvo aktu grozījumu redakcijas un iesniegs izskatīšanai MK </w:t>
            </w:r>
            <w:proofErr w:type="spellStart"/>
            <w:r w:rsidRPr="002E3BE2">
              <w:rPr>
                <w:rFonts w:cs="Times New Roman"/>
                <w:sz w:val="22"/>
                <w:lang w:val="lv-LV"/>
              </w:rPr>
              <w:t>š.g</w:t>
            </w:r>
            <w:proofErr w:type="spellEnd"/>
            <w:r w:rsidRPr="002E3BE2">
              <w:rPr>
                <w:rFonts w:cs="Times New Roman"/>
                <w:sz w:val="22"/>
                <w:lang w:val="lv-LV"/>
              </w:rPr>
              <w:t>. 30.septembra sēdē. Gadījumā, ja viedokļi būtiski atšķirsies un nebūs iespējams sagatavot saskaņotas redakcijas, projekti ir jāiesniedz nesaskaņoti diskusijām MK sēdē. Par jautājumiem, kuru risināšanai nav nepieciešams veikt grozījumus normatīvajos aktos, tiks iesniegts informatīvais ziņojums</w:t>
            </w:r>
          </w:p>
        </w:tc>
        <w:tc>
          <w:tcPr>
            <w:tcW w:w="8013" w:type="dxa"/>
          </w:tcPr>
          <w:p w:rsidR="002F02BD" w:rsidRPr="002E3BE2" w:rsidRDefault="002F02BD" w:rsidP="00E244D6">
            <w:pPr>
              <w:rPr>
                <w:rFonts w:cs="Times New Roman"/>
                <w:sz w:val="22"/>
                <w:lang w:val="lv-LV"/>
              </w:rPr>
            </w:pPr>
            <w:r w:rsidRPr="002E3BE2">
              <w:rPr>
                <w:rFonts w:cs="Times New Roman"/>
                <w:b/>
                <w:sz w:val="22"/>
                <w:lang w:val="lv-LV"/>
              </w:rPr>
              <w:t xml:space="preserve">IZPILDĪTS.  </w:t>
            </w:r>
            <w:r w:rsidRPr="002E3BE2">
              <w:rPr>
                <w:rFonts w:cs="Times New Roman"/>
                <w:sz w:val="22"/>
                <w:lang w:val="lv-LV"/>
              </w:rPr>
              <w:t xml:space="preserve">Saistībā ar priekšlikumiem tranzīta un loģistikas nozares atbalstam, š.g.30.septembra Ministru kabineta sēdē </w:t>
            </w:r>
            <w:r w:rsidR="00E244D6">
              <w:rPr>
                <w:rFonts w:cs="Times New Roman"/>
                <w:sz w:val="22"/>
                <w:lang w:val="lv-LV"/>
              </w:rPr>
              <w:t>atbalstīti</w:t>
            </w:r>
            <w:r w:rsidRPr="002E3BE2">
              <w:rPr>
                <w:rFonts w:cs="Times New Roman"/>
                <w:sz w:val="22"/>
                <w:lang w:val="lv-LV"/>
              </w:rPr>
              <w:t xml:space="preserve"> sekojoši noteikumu projekti: "Pagaidu uzglabāšanas noteikumi",  "Grozījumi Ministru kabineta 2010.gada 16.novembra noteikumos Nr.1048 "Noteikumi par vienkāršoto deklarēšanu un vietējo muitošanu, atzītā nosūtītāja un atzītā saņēmēja statusu, vienoto atļauju un atzītā komersanta sertifikātu"", "Muitas procedūras-tranzīts-piemērošanas kārtība",  "Grozījumi Ministru kabineta 2010.gada 30.marta noteikumos Nr.302 "Noteikumi par akcīzes nodokļa nodrošinājumiem"" un informatīvais ziņojums "Par Satiksmes ministrijas izvirzītajiem priekšlikumiem Krievijas ekonomisko sankciju negatīvo seku mazināšanai tranzīta un loģistikas jomā”.</w:t>
            </w:r>
          </w:p>
        </w:tc>
      </w:tr>
      <w:tr w:rsidR="004B0590" w:rsidRPr="001A717B" w:rsidTr="00E244D6">
        <w:tc>
          <w:tcPr>
            <w:tcW w:w="1145" w:type="dxa"/>
            <w:vMerge/>
            <w:shd w:val="clear" w:color="auto" w:fill="D9D9D9" w:themeFill="background1" w:themeFillShade="D9"/>
          </w:tcPr>
          <w:p w:rsidR="004B0590" w:rsidRPr="002D3654" w:rsidRDefault="004B0590" w:rsidP="007423AA">
            <w:pPr>
              <w:rPr>
                <w:rFonts w:cs="Times New Roman"/>
                <w:sz w:val="22"/>
                <w:lang w:val="lv-LV"/>
              </w:rPr>
            </w:pPr>
          </w:p>
        </w:tc>
        <w:tc>
          <w:tcPr>
            <w:tcW w:w="1219" w:type="dxa"/>
          </w:tcPr>
          <w:p w:rsidR="004B0590" w:rsidRPr="002E3BE2" w:rsidRDefault="004B0590" w:rsidP="007423AA">
            <w:pPr>
              <w:jc w:val="center"/>
              <w:rPr>
                <w:rFonts w:cs="Times New Roman"/>
                <w:sz w:val="22"/>
              </w:rPr>
            </w:pPr>
            <w:r w:rsidRPr="002E3BE2">
              <w:rPr>
                <w:rFonts w:cs="Times New Roman"/>
                <w:sz w:val="22"/>
              </w:rPr>
              <w:t>MK 30.09.</w:t>
            </w:r>
          </w:p>
        </w:tc>
        <w:tc>
          <w:tcPr>
            <w:tcW w:w="4473" w:type="dxa"/>
          </w:tcPr>
          <w:p w:rsidR="004B0590" w:rsidRPr="002E3BE2" w:rsidRDefault="004B0590" w:rsidP="007423AA">
            <w:pPr>
              <w:rPr>
                <w:rFonts w:cs="Times New Roman"/>
                <w:sz w:val="22"/>
                <w:lang w:val="lv-LV"/>
              </w:rPr>
            </w:pPr>
            <w:r w:rsidRPr="002E3BE2">
              <w:rPr>
                <w:rFonts w:cs="Times New Roman"/>
                <w:sz w:val="22"/>
                <w:lang w:val="lv-LV"/>
              </w:rPr>
              <w:t xml:space="preserve">Finanšu ministrijai sadarbībā ar Satiksmes ministriju un nozares nevalstiskajām organizācijām turpināt darbu informatīvajā ziņojumā minēto </w:t>
            </w:r>
            <w:proofErr w:type="spellStart"/>
            <w:r w:rsidRPr="002E3BE2">
              <w:rPr>
                <w:rFonts w:cs="Times New Roman"/>
                <w:sz w:val="22"/>
                <w:lang w:val="lv-LV"/>
              </w:rPr>
              <w:t>problēmjautājumu</w:t>
            </w:r>
            <w:proofErr w:type="spellEnd"/>
            <w:r w:rsidRPr="002E3BE2">
              <w:rPr>
                <w:rFonts w:cs="Times New Roman"/>
                <w:sz w:val="22"/>
                <w:lang w:val="lv-LV"/>
              </w:rPr>
              <w:t xml:space="preserve"> risināšanai, un finanšu ministram līdz 2014.gada 16.decembrim iesniegt izskatīšanai Ministru kabinetā informatīvo ziņojumu par paveikto un, </w:t>
            </w:r>
            <w:r w:rsidRPr="002E3BE2">
              <w:rPr>
                <w:rFonts w:cs="Times New Roman"/>
                <w:sz w:val="22"/>
                <w:lang w:val="lv-LV"/>
              </w:rPr>
              <w:lastRenderedPageBreak/>
              <w:t>ja iespējams, arī konkrētus priekšlikumus tiesību aktu projektu veidā.</w:t>
            </w:r>
          </w:p>
        </w:tc>
        <w:tc>
          <w:tcPr>
            <w:tcW w:w="8013" w:type="dxa"/>
          </w:tcPr>
          <w:p w:rsidR="004B0590" w:rsidRPr="002E3BE2" w:rsidRDefault="004B0590" w:rsidP="004B0590">
            <w:pPr>
              <w:rPr>
                <w:rFonts w:cs="Times New Roman"/>
                <w:sz w:val="22"/>
                <w:lang w:val="lv-LV"/>
              </w:rPr>
            </w:pPr>
            <w:r w:rsidRPr="002E3BE2">
              <w:rPr>
                <w:rFonts w:cs="Times New Roman"/>
                <w:b/>
                <w:sz w:val="22"/>
                <w:lang w:val="lv-LV"/>
              </w:rPr>
              <w:lastRenderedPageBreak/>
              <w:t xml:space="preserve">IZPILDE TURPINĀS. </w:t>
            </w:r>
            <w:r w:rsidRPr="00277E07">
              <w:rPr>
                <w:rFonts w:cs="Times New Roman"/>
                <w:sz w:val="22"/>
                <w:lang w:val="lv-LV"/>
              </w:rPr>
              <w:t>Ir</w:t>
            </w:r>
            <w:r w:rsidRPr="002E3BE2">
              <w:rPr>
                <w:rFonts w:cs="Times New Roman"/>
                <w:sz w:val="22"/>
                <w:lang w:val="lv-LV"/>
              </w:rPr>
              <w:t xml:space="preserve"> apstiprināts FM Konsultatīvās padomes muitas politikas jomā sanāksmju grafiks, kuru laikā tiks meklēti risinājumi iesniegtajiem </w:t>
            </w:r>
            <w:proofErr w:type="spellStart"/>
            <w:r w:rsidRPr="002E3BE2">
              <w:rPr>
                <w:rFonts w:cs="Times New Roman"/>
                <w:sz w:val="22"/>
                <w:lang w:val="lv-LV"/>
              </w:rPr>
              <w:t>problēmjautājumiem</w:t>
            </w:r>
            <w:proofErr w:type="spellEnd"/>
            <w:r w:rsidRPr="002E3BE2">
              <w:rPr>
                <w:rFonts w:cs="Times New Roman"/>
                <w:sz w:val="22"/>
                <w:lang w:val="lv-LV"/>
              </w:rPr>
              <w:t xml:space="preserve"> un priekšlikumiem muitas un nodokļu jomā.</w:t>
            </w:r>
          </w:p>
          <w:p w:rsidR="004B0590" w:rsidRPr="002E3BE2" w:rsidRDefault="004B0590" w:rsidP="004B0590">
            <w:pPr>
              <w:rPr>
                <w:rFonts w:cs="Times New Roman"/>
                <w:sz w:val="22"/>
                <w:lang w:val="lv-LV"/>
              </w:rPr>
            </w:pPr>
            <w:r w:rsidRPr="002E3BE2">
              <w:rPr>
                <w:rFonts w:cs="Times New Roman"/>
                <w:sz w:val="22"/>
                <w:lang w:val="lv-LV"/>
              </w:rPr>
              <w:t xml:space="preserve">23.oktobrī Finanšu ministrija organizēja Konsultatīvās padomes muitas politikas jomā sanāksmi par jautājumu saistībā ar priekšlikumu normatīvajos aktos paredzēt regulējumu, kas atļauj apvienot visus muitas un akcīzes jomā iesniedzamos galvojumus zem viena nodrošinājuma – vienas kredītiestādes garantijas vai saistību izpildes </w:t>
            </w:r>
            <w:r w:rsidRPr="002E3BE2">
              <w:rPr>
                <w:rFonts w:cs="Times New Roman"/>
                <w:sz w:val="22"/>
                <w:lang w:val="lv-LV"/>
              </w:rPr>
              <w:lastRenderedPageBreak/>
              <w:t xml:space="preserve">apdrošināšanas polises </w:t>
            </w:r>
            <w:r w:rsidR="00672F46" w:rsidRPr="002E3BE2">
              <w:rPr>
                <w:rFonts w:cs="Times New Roman"/>
                <w:sz w:val="22"/>
                <w:lang w:val="lv-LV"/>
              </w:rPr>
              <w:t>veidā. Izskatot</w:t>
            </w:r>
            <w:r w:rsidRPr="002E3BE2">
              <w:rPr>
                <w:rFonts w:cs="Times New Roman"/>
                <w:sz w:val="22"/>
                <w:lang w:val="lv-LV"/>
              </w:rPr>
              <w:t xml:space="preserve"> iepriekš minēto priekšlikumu, konstatēts, ka galvojumu apvienošana ir dārgs un, iespējams, neefektīvs pasākums, kā arī tika identificētas citas problēmas, ar kurām komersanti saskaras. Līdz ar to Konsultatīvā padome muitas politikas jomā nolēma pievērsties esošo procedūru harmonizēšanai, nepilnību novēršanai un normatīvā regulējuma sakārtošanai attiecībā uz pašreizējo galvojumu sistēmu. </w:t>
            </w:r>
          </w:p>
          <w:p w:rsidR="004B0590" w:rsidRDefault="004B0590" w:rsidP="004B0590">
            <w:pPr>
              <w:rPr>
                <w:rFonts w:cs="Times New Roman"/>
                <w:sz w:val="22"/>
                <w:lang w:val="lv-LV"/>
              </w:rPr>
            </w:pPr>
            <w:r w:rsidRPr="002E3BE2">
              <w:rPr>
                <w:rFonts w:cs="Times New Roman"/>
                <w:sz w:val="22"/>
                <w:lang w:val="lv-LV"/>
              </w:rPr>
              <w:t>6.novembrī Finanšu ministrija rīkoja Konsultatīvās padomes muitas politikas jomā sanāksmi par priekšlikumu saistībā ar dažādu statusu noliktavu apvienošanu,</w:t>
            </w:r>
            <w:r w:rsidR="00A648E1" w:rsidRPr="002E3BE2">
              <w:rPr>
                <w:rFonts w:cs="Times New Roman"/>
                <w:sz w:val="22"/>
                <w:lang w:val="lv-LV"/>
              </w:rPr>
              <w:t xml:space="preserve"> jautājumu</w:t>
            </w:r>
            <w:r w:rsidRPr="002E3BE2">
              <w:rPr>
                <w:rFonts w:cs="Times New Roman"/>
                <w:sz w:val="22"/>
                <w:lang w:val="lv-LV"/>
              </w:rPr>
              <w:t xml:space="preserve"> turpinās</w:t>
            </w:r>
            <w:r w:rsidR="00A648E1" w:rsidRPr="002E3BE2">
              <w:rPr>
                <w:rFonts w:cs="Times New Roman"/>
                <w:sz w:val="22"/>
                <w:lang w:val="lv-LV"/>
              </w:rPr>
              <w:t xml:space="preserve"> izskatīt</w:t>
            </w:r>
            <w:r w:rsidRPr="002E3BE2">
              <w:rPr>
                <w:rFonts w:cs="Times New Roman"/>
                <w:sz w:val="22"/>
                <w:lang w:val="lv-LV"/>
              </w:rPr>
              <w:t xml:space="preserve"> šī gada 4.decembra Konsultatīvās padomes muitas politikas jomā sēdē.</w:t>
            </w:r>
          </w:p>
          <w:p w:rsidR="002D3654" w:rsidRPr="002E3BE2" w:rsidRDefault="002D3654" w:rsidP="004B0590">
            <w:pPr>
              <w:rPr>
                <w:rFonts w:cs="Times New Roman"/>
                <w:sz w:val="22"/>
                <w:lang w:val="lv-LV"/>
              </w:rPr>
            </w:pP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val="restart"/>
          </w:tcPr>
          <w:p w:rsidR="002F02BD" w:rsidRPr="002E3BE2" w:rsidRDefault="002F02BD" w:rsidP="007423AA">
            <w:pPr>
              <w:jc w:val="center"/>
              <w:rPr>
                <w:rFonts w:cs="Times New Roman"/>
                <w:sz w:val="22"/>
                <w:lang w:val="lv-LV"/>
              </w:rPr>
            </w:pPr>
            <w:r w:rsidRPr="002E3BE2">
              <w:rPr>
                <w:rFonts w:cs="Times New Roman"/>
                <w:sz w:val="22"/>
                <w:lang w:val="lv-LV"/>
              </w:rPr>
              <w:t>Papildus aktivitātes</w:t>
            </w:r>
          </w:p>
        </w:tc>
        <w:tc>
          <w:tcPr>
            <w:tcW w:w="4473" w:type="dxa"/>
          </w:tcPr>
          <w:p w:rsidR="002F02BD" w:rsidRPr="002E3BE2" w:rsidRDefault="002F02BD" w:rsidP="00E244D6">
            <w:pPr>
              <w:rPr>
                <w:rFonts w:cs="Times New Roman"/>
                <w:sz w:val="22"/>
                <w:lang w:val="lv-LV"/>
              </w:rPr>
            </w:pPr>
            <w:r w:rsidRPr="002E3BE2">
              <w:rPr>
                <w:rFonts w:cs="Times New Roman"/>
                <w:sz w:val="22"/>
                <w:lang w:val="lv-LV"/>
              </w:rPr>
              <w:t>Nodokļu</w:t>
            </w:r>
            <w:r w:rsidR="00E244D6">
              <w:rPr>
                <w:rFonts w:cs="Times New Roman"/>
                <w:sz w:val="22"/>
                <w:lang w:val="lv-LV"/>
              </w:rPr>
              <w:t xml:space="preserve"> nomaksas termiņa pagarināšana </w:t>
            </w:r>
          </w:p>
        </w:tc>
        <w:tc>
          <w:tcPr>
            <w:tcW w:w="8013" w:type="dxa"/>
          </w:tcPr>
          <w:p w:rsidR="002F02BD" w:rsidRPr="002E3BE2" w:rsidRDefault="00E244D6" w:rsidP="00E244D6">
            <w:pPr>
              <w:rPr>
                <w:rFonts w:cs="Times New Roman"/>
                <w:sz w:val="22"/>
                <w:lang w:val="lv-LV"/>
              </w:rPr>
            </w:pPr>
            <w:r>
              <w:rPr>
                <w:rFonts w:eastAsia="Calibri" w:cs="Times New Roman"/>
                <w:b/>
                <w:sz w:val="22"/>
                <w:lang w:val="lv-LV"/>
              </w:rPr>
              <w:t xml:space="preserve">IZPILDĪTS. </w:t>
            </w:r>
            <w:r w:rsidR="002F02BD" w:rsidRPr="002E3BE2">
              <w:rPr>
                <w:rFonts w:eastAsia="Calibri" w:cs="Times New Roman"/>
                <w:sz w:val="22"/>
                <w:lang w:val="lv-LV"/>
              </w:rPr>
              <w:t xml:space="preserve">Visa informācija publicēta </w:t>
            </w:r>
            <w:hyperlink r:id="rId7" w:history="1">
              <w:r w:rsidR="002F02BD" w:rsidRPr="002E3BE2">
                <w:rPr>
                  <w:rFonts w:eastAsia="Calibri" w:cs="Times New Roman"/>
                  <w:color w:val="0000FF" w:themeColor="hyperlink"/>
                  <w:sz w:val="22"/>
                  <w:u w:val="single"/>
                  <w:lang w:val="lv-LV"/>
                </w:rPr>
                <w:t>www.vid.gov.lv</w:t>
              </w:r>
            </w:hyperlink>
            <w:r w:rsidR="002F02BD" w:rsidRPr="002E3BE2">
              <w:rPr>
                <w:rFonts w:eastAsia="Calibri" w:cs="Times New Roman"/>
                <w:sz w:val="22"/>
                <w:lang w:val="lv-LV"/>
              </w:rPr>
              <w:t xml:space="preserve"> sadaļā Tiesību akti, Infor</w:t>
            </w:r>
            <w:r>
              <w:rPr>
                <w:rFonts w:eastAsia="Calibri" w:cs="Times New Roman"/>
                <w:sz w:val="22"/>
                <w:lang w:val="lv-LV"/>
              </w:rPr>
              <w:t>matīvie materiāli. Kā arī VID sniedz</w:t>
            </w:r>
            <w:r w:rsidR="002F02BD" w:rsidRPr="002E3BE2">
              <w:rPr>
                <w:rFonts w:eastAsia="Calibri" w:cs="Times New Roman"/>
                <w:sz w:val="22"/>
                <w:lang w:val="lv-LV"/>
              </w:rPr>
              <w:t xml:space="preserve"> konsultācijas nozaru asociācijām par jautājumiem. Kontaktpersonas arī publicētas </w:t>
            </w:r>
            <w:hyperlink r:id="rId8" w:history="1">
              <w:r w:rsidR="002F02BD" w:rsidRPr="002E3BE2">
                <w:rPr>
                  <w:rFonts w:eastAsia="Calibri" w:cs="Times New Roman"/>
                  <w:color w:val="0000FF" w:themeColor="hyperlink"/>
                  <w:sz w:val="22"/>
                  <w:u w:val="single"/>
                  <w:lang w:val="lv-LV"/>
                </w:rPr>
                <w:t>www.vid.gov.lv</w:t>
              </w:r>
            </w:hyperlink>
            <w:r w:rsidR="002F02BD" w:rsidRPr="002E3BE2">
              <w:rPr>
                <w:rFonts w:eastAsia="Calibri" w:cs="Times New Roman"/>
                <w:color w:val="0000FF" w:themeColor="hyperlink"/>
                <w:sz w:val="22"/>
                <w:u w:val="single"/>
                <w:lang w:val="lv-LV"/>
              </w:rPr>
              <w:t>.</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Zaļā iepirkuma veicināšanai, sagatavot instrukciju valsts pārvaldes iestādēm, ar mērķi veicināt un skaidrot zaļā iepirkuma izmantošanu</w:t>
            </w:r>
          </w:p>
        </w:tc>
        <w:tc>
          <w:tcPr>
            <w:tcW w:w="8013" w:type="dxa"/>
          </w:tcPr>
          <w:p w:rsidR="00E244D6" w:rsidRDefault="002F02BD" w:rsidP="007423AA">
            <w:pPr>
              <w:rPr>
                <w:rFonts w:cs="Times New Roman"/>
                <w:sz w:val="22"/>
                <w:lang w:val="lv-LV"/>
              </w:rPr>
            </w:pPr>
            <w:r w:rsidRPr="002E3BE2">
              <w:rPr>
                <w:rFonts w:cs="Times New Roman"/>
                <w:b/>
                <w:sz w:val="22"/>
                <w:lang w:val="lv-LV"/>
              </w:rPr>
              <w:t xml:space="preserve">IZPILDĪTS. </w:t>
            </w:r>
            <w:r w:rsidRPr="002E3BE2">
              <w:rPr>
                <w:rFonts w:cs="Times New Roman"/>
                <w:sz w:val="22"/>
                <w:lang w:val="lv-LV"/>
              </w:rPr>
              <w:t xml:space="preserve">Instrukcijas projekts apstiprināts 9.septembra MK sēdē.  Instrukcijā ir iekļauti galvenie pamatprincipi zaļā publiskā iepirkuma veicināšanai (prasība pēc bioloģiskajiem un nacionālās pārtikas kvalitātes produktiem, sezonalitātes principa iekļaušana, piegādes attāluma noteikšana </w:t>
            </w:r>
            <w:proofErr w:type="spellStart"/>
            <w:r w:rsidRPr="002E3BE2">
              <w:rPr>
                <w:rFonts w:cs="Times New Roman"/>
                <w:sz w:val="22"/>
                <w:lang w:val="lv-LV"/>
              </w:rPr>
              <w:t>u.c</w:t>
            </w:r>
            <w:proofErr w:type="spellEnd"/>
            <w:r w:rsidRPr="002E3BE2">
              <w:rPr>
                <w:rFonts w:cs="Times New Roman"/>
                <w:sz w:val="22"/>
                <w:lang w:val="lv-LV"/>
              </w:rPr>
              <w:t xml:space="preserve">.) pārtikas produktiem. </w:t>
            </w:r>
            <w:r w:rsidR="00A6300C" w:rsidRPr="002E3BE2">
              <w:rPr>
                <w:rFonts w:cs="Times New Roman"/>
                <w:sz w:val="22"/>
                <w:lang w:val="lv-LV"/>
              </w:rPr>
              <w:t xml:space="preserve"> </w:t>
            </w:r>
          </w:p>
          <w:p w:rsidR="00E244D6" w:rsidRDefault="00E244D6" w:rsidP="007423AA">
            <w:pPr>
              <w:rPr>
                <w:rFonts w:cs="Times New Roman"/>
                <w:sz w:val="22"/>
                <w:lang w:val="lv-LV"/>
              </w:rPr>
            </w:pPr>
          </w:p>
          <w:p w:rsidR="00E82728" w:rsidRPr="002E3BE2" w:rsidRDefault="00A6300C" w:rsidP="00E244D6">
            <w:pPr>
              <w:rPr>
                <w:rFonts w:cs="Times New Roman"/>
                <w:sz w:val="22"/>
                <w:lang w:val="lv-LV"/>
              </w:rPr>
            </w:pPr>
            <w:r w:rsidRPr="002E3BE2">
              <w:rPr>
                <w:rFonts w:cs="Times New Roman"/>
                <w:sz w:val="22"/>
                <w:lang w:val="lv-LV"/>
              </w:rPr>
              <w:t xml:space="preserve">Publisko pārtikas produktu piegādes un ēdināšanas pakalpojumu iepirkumu veicējiem no </w:t>
            </w:r>
            <w:proofErr w:type="spellStart"/>
            <w:r w:rsidRPr="002E3BE2">
              <w:rPr>
                <w:rFonts w:cs="Times New Roman"/>
                <w:sz w:val="22"/>
                <w:lang w:val="lv-LV"/>
              </w:rPr>
              <w:t>š.g</w:t>
            </w:r>
            <w:proofErr w:type="spellEnd"/>
            <w:r w:rsidRPr="002E3BE2">
              <w:rPr>
                <w:rFonts w:cs="Times New Roman"/>
                <w:sz w:val="22"/>
                <w:lang w:val="lv-LV"/>
              </w:rPr>
              <w:t>. 28.oktobra jāievēro Ministru kabineta noteikumi Nr.673 „Noteikumi par vides kritēriju piemērošanu un piedāvājuma izvēles kritēriju noteikšanu pārtikas produktu piegādes un ēdināšanas pakalpojumu iepirkumiem” noteiktās prasības, kas paredz pārtikas produktu un ēdināšanas pakalpojumu iepirkumus veikt balstoties uz konkrētiem vidi saudzējošiem kritērijiem un principiem.</w:t>
            </w:r>
          </w:p>
        </w:tc>
      </w:tr>
      <w:tr w:rsidR="002F02BD" w:rsidRPr="001A717B" w:rsidTr="00E244D6">
        <w:trPr>
          <w:trHeight w:val="2039"/>
        </w:trPr>
        <w:tc>
          <w:tcPr>
            <w:tcW w:w="1145" w:type="dxa"/>
            <w:vMerge w:val="restart"/>
            <w:shd w:val="clear" w:color="auto" w:fill="D9D9D9" w:themeFill="background1" w:themeFillShade="D9"/>
          </w:tcPr>
          <w:p w:rsidR="002F02BD" w:rsidRPr="002E3BE2" w:rsidRDefault="002F02BD" w:rsidP="007423AA">
            <w:pPr>
              <w:jc w:val="center"/>
              <w:rPr>
                <w:rFonts w:cs="Times New Roman"/>
                <w:sz w:val="22"/>
                <w:lang w:val="lv-LV"/>
              </w:rPr>
            </w:pPr>
            <w:r w:rsidRPr="002E3BE2">
              <w:rPr>
                <w:rFonts w:cs="Times New Roman"/>
                <w:sz w:val="22"/>
                <w:lang w:val="lv-LV"/>
              </w:rPr>
              <w:t>SM</w:t>
            </w:r>
          </w:p>
        </w:tc>
        <w:tc>
          <w:tcPr>
            <w:tcW w:w="1219" w:type="dxa"/>
          </w:tcPr>
          <w:p w:rsidR="002F02BD" w:rsidRPr="002E3BE2" w:rsidRDefault="002F02BD" w:rsidP="007423AA">
            <w:pPr>
              <w:jc w:val="center"/>
              <w:rPr>
                <w:rFonts w:cs="Times New Roman"/>
                <w:sz w:val="22"/>
                <w:lang w:val="lv-LV"/>
              </w:rPr>
            </w:pPr>
            <w:r w:rsidRPr="002E3BE2">
              <w:rPr>
                <w:rFonts w:cs="Times New Roman"/>
                <w:sz w:val="22"/>
                <w:lang w:val="lv-LV"/>
              </w:rPr>
              <w:t>MK 12.08</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Sagatavot grozījumus „Transportlīdzekļa ekspluatācijas nodokļa un uzņēmumu vieglo transportlīdzekļu nodokļa likumā” nodokļu sloga samazināšanai un Latvijas autopārvadātāju konkurētspējas veicināšanai atceļot transportlīdzekļa ekspluatācijas nodokļi  transportlīdzekļiem</w:t>
            </w:r>
          </w:p>
          <w:p w:rsidR="002F02BD" w:rsidRPr="002E3BE2" w:rsidRDefault="002F02BD" w:rsidP="007423AA">
            <w:pPr>
              <w:rPr>
                <w:rFonts w:cs="Times New Roman"/>
                <w:sz w:val="22"/>
                <w:lang w:val="lv-LV"/>
              </w:rPr>
            </w:pPr>
            <w:r w:rsidRPr="002E3BE2">
              <w:rPr>
                <w:rFonts w:cs="Times New Roman"/>
                <w:sz w:val="22"/>
                <w:lang w:val="lv-LV"/>
              </w:rPr>
              <w:t>ar pilnu masu virs 3500 kg, bet mazāku par 12000 kg.</w:t>
            </w:r>
          </w:p>
        </w:tc>
        <w:tc>
          <w:tcPr>
            <w:tcW w:w="8013" w:type="dxa"/>
          </w:tcPr>
          <w:p w:rsidR="002F02BD" w:rsidRPr="002E3BE2" w:rsidRDefault="002F02BD" w:rsidP="007423AA">
            <w:pPr>
              <w:rPr>
                <w:rFonts w:cs="Times New Roman"/>
                <w:sz w:val="22"/>
                <w:lang w:val="lv-LV"/>
              </w:rPr>
            </w:pPr>
            <w:r w:rsidRPr="002E3BE2">
              <w:rPr>
                <w:rFonts w:cs="Times New Roman"/>
                <w:b/>
                <w:sz w:val="22"/>
                <w:lang w:val="lv-LV"/>
              </w:rPr>
              <w:t>IZPILDĪTS</w:t>
            </w:r>
            <w:r w:rsidRPr="002E3BE2">
              <w:rPr>
                <w:rFonts w:cs="Times New Roman"/>
                <w:sz w:val="22"/>
                <w:lang w:val="lv-LV"/>
              </w:rPr>
              <w:t xml:space="preserve">. Likumprojekts grozījumi „Transportlīdzekļa ekspluatācijas nodokļa un uzņēmumu vieglo transportlīdzekļu nodokļa likumā” atbalstīti š.g.2.septembra MK sēdē. MK </w:t>
            </w:r>
            <w:proofErr w:type="spellStart"/>
            <w:r w:rsidRPr="002E3BE2">
              <w:rPr>
                <w:rFonts w:cs="Times New Roman"/>
                <w:sz w:val="22"/>
                <w:lang w:val="lv-LV"/>
              </w:rPr>
              <w:t>protokollēmumā</w:t>
            </w:r>
            <w:proofErr w:type="spellEnd"/>
            <w:r w:rsidRPr="002E3BE2">
              <w:rPr>
                <w:rFonts w:cs="Times New Roman"/>
                <w:sz w:val="22"/>
                <w:lang w:val="lv-LV"/>
              </w:rPr>
              <w:t xml:space="preserve"> iekļauts, ka grozījumi tiek skaņoti ar Eiropas Komisiju un attiecīgi likumprojekts spēkā var stāties pēc saskaņojuma saņemšanas. </w:t>
            </w:r>
          </w:p>
          <w:p w:rsidR="002F02BD" w:rsidRPr="008F0BDD" w:rsidRDefault="002F02BD" w:rsidP="00277E07">
            <w:pPr>
              <w:rPr>
                <w:rFonts w:cs="Times New Roman"/>
                <w:sz w:val="22"/>
                <w:lang w:val="lv-LV"/>
              </w:rPr>
            </w:pPr>
            <w:r w:rsidRPr="002E3BE2">
              <w:rPr>
                <w:rFonts w:cs="Times New Roman"/>
                <w:sz w:val="22"/>
                <w:lang w:val="lv-LV"/>
              </w:rPr>
              <w:t>14.augustā nosūtīta vēstule grozījumu Transportlīdzekļa ekspluatācijas nodokļa un uzņēmumu vieglo transportlīdzekļu nodokļa likumā saskaņošanai ar Eiropas Komisiju.  10.-11.09. notika SM valsts sekretāra vietnieka tikšanās ar EK pārstāvjiem, par izstrādātajiem grozījumiem</w:t>
            </w:r>
            <w:r w:rsidRPr="008F0BDD">
              <w:rPr>
                <w:rFonts w:cs="Times New Roman"/>
                <w:sz w:val="22"/>
                <w:lang w:val="lv-LV"/>
              </w:rPr>
              <w:t>.</w:t>
            </w:r>
            <w:r w:rsidR="00271008" w:rsidRPr="008F0BDD">
              <w:rPr>
                <w:rFonts w:cs="Times New Roman"/>
                <w:sz w:val="22"/>
                <w:lang w:val="lv-LV"/>
              </w:rPr>
              <w:t xml:space="preserve"> 22.10.</w:t>
            </w:r>
            <w:r w:rsidRPr="008F0BDD">
              <w:rPr>
                <w:rFonts w:cs="Times New Roman"/>
                <w:sz w:val="22"/>
                <w:lang w:val="lv-LV"/>
              </w:rPr>
              <w:t xml:space="preserve"> Ir </w:t>
            </w:r>
            <w:r w:rsidR="00277E07" w:rsidRPr="008F0BDD">
              <w:rPr>
                <w:rFonts w:cs="Times New Roman"/>
                <w:sz w:val="22"/>
                <w:lang w:val="lv-LV"/>
              </w:rPr>
              <w:t>nosūtīta papildus informācija</w:t>
            </w:r>
            <w:r w:rsidRPr="008F0BDD">
              <w:rPr>
                <w:rFonts w:cs="Times New Roman"/>
                <w:sz w:val="22"/>
                <w:lang w:val="lv-LV"/>
              </w:rPr>
              <w:t xml:space="preserve"> Eiropas Komisij</w:t>
            </w:r>
            <w:r w:rsidR="00277E07" w:rsidRPr="008F0BDD">
              <w:rPr>
                <w:rFonts w:cs="Times New Roman"/>
                <w:sz w:val="22"/>
                <w:lang w:val="lv-LV"/>
              </w:rPr>
              <w:t>ai</w:t>
            </w:r>
            <w:r w:rsidRPr="008F0BDD">
              <w:rPr>
                <w:rFonts w:cs="Times New Roman"/>
                <w:sz w:val="22"/>
                <w:lang w:val="lv-LV"/>
              </w:rPr>
              <w:t>.</w:t>
            </w:r>
          </w:p>
          <w:p w:rsidR="00271008" w:rsidRPr="002E3BE2" w:rsidRDefault="00271008" w:rsidP="00277E07">
            <w:pPr>
              <w:rPr>
                <w:rFonts w:cs="Times New Roman"/>
                <w:sz w:val="22"/>
                <w:lang w:val="lv-LV"/>
              </w:rPr>
            </w:pPr>
            <w:r w:rsidRPr="008F0BDD">
              <w:rPr>
                <w:rFonts w:cs="Times New Roman"/>
                <w:sz w:val="22"/>
                <w:lang w:val="lv-LV"/>
              </w:rPr>
              <w:t xml:space="preserve">Atbilde vēl nav saņemta. </w:t>
            </w:r>
          </w:p>
        </w:tc>
      </w:tr>
      <w:tr w:rsidR="002F02BD" w:rsidRPr="001A717B" w:rsidTr="00E244D6">
        <w:tc>
          <w:tcPr>
            <w:tcW w:w="1145" w:type="dxa"/>
            <w:vMerge/>
            <w:shd w:val="clear" w:color="auto" w:fill="D9D9D9" w:themeFill="background1" w:themeFillShade="D9"/>
            <w:vAlign w:val="center"/>
          </w:tcPr>
          <w:p w:rsidR="002F02BD" w:rsidRPr="002E3BE2" w:rsidRDefault="002F02BD" w:rsidP="007423AA">
            <w:pPr>
              <w:jc w:val="center"/>
              <w:rPr>
                <w:rFonts w:cs="Times New Roman"/>
                <w:sz w:val="22"/>
                <w:lang w:val="lv-LV"/>
              </w:rPr>
            </w:pPr>
          </w:p>
        </w:tc>
        <w:tc>
          <w:tcPr>
            <w:tcW w:w="1219" w:type="dxa"/>
          </w:tcPr>
          <w:p w:rsidR="002F02BD" w:rsidRPr="002E3BE2" w:rsidRDefault="002F02BD" w:rsidP="007423AA">
            <w:pPr>
              <w:jc w:val="center"/>
              <w:rPr>
                <w:rFonts w:cs="Times New Roman"/>
                <w:sz w:val="22"/>
                <w:lang w:val="lv-LV"/>
              </w:rPr>
            </w:pPr>
            <w:r w:rsidRPr="002E3BE2">
              <w:rPr>
                <w:rFonts w:cs="Times New Roman"/>
                <w:sz w:val="22"/>
                <w:lang w:val="lv-LV"/>
              </w:rPr>
              <w:t>Papildus aktivitātes</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PVN maksājumu atlikšana līzingā ņemtām automašīnām</w:t>
            </w:r>
          </w:p>
        </w:tc>
        <w:tc>
          <w:tcPr>
            <w:tcW w:w="8013" w:type="dxa"/>
          </w:tcPr>
          <w:p w:rsidR="002F02BD" w:rsidRPr="002E3BE2" w:rsidRDefault="002F02BD" w:rsidP="007423AA">
            <w:pPr>
              <w:rPr>
                <w:rFonts w:cs="Times New Roman"/>
                <w:sz w:val="22"/>
                <w:lang w:val="lv-LV"/>
              </w:rPr>
            </w:pPr>
            <w:r w:rsidRPr="002E3BE2">
              <w:rPr>
                <w:rFonts w:cs="Times New Roman"/>
                <w:sz w:val="22"/>
                <w:lang w:val="lv-LV"/>
              </w:rPr>
              <w:t>18.augustā organizēta diskusija ar FM par pievienotās vērtības nodokļa maksājumu atlikšanu līzingā ņemtām automašīnām, ja tās tiek atgrieztas atpakaļ līzinga devējiem. Tā kā normatīvie akti jau šobrīd paredz kārtību, kā to darīt, tad normatīvo aktu grozījumi nav nepieciešami.</w:t>
            </w:r>
          </w:p>
        </w:tc>
      </w:tr>
      <w:tr w:rsidR="002F02BD" w:rsidRPr="001A717B" w:rsidTr="00E244D6">
        <w:tc>
          <w:tcPr>
            <w:tcW w:w="1145" w:type="dxa"/>
            <w:vMerge w:val="restart"/>
            <w:shd w:val="clear" w:color="auto" w:fill="D9D9D9" w:themeFill="background1" w:themeFillShade="D9"/>
          </w:tcPr>
          <w:p w:rsidR="002F02BD" w:rsidRPr="002E3BE2" w:rsidRDefault="002F02BD" w:rsidP="007423AA">
            <w:pPr>
              <w:jc w:val="center"/>
              <w:rPr>
                <w:rFonts w:cs="Times New Roman"/>
                <w:sz w:val="22"/>
                <w:lang w:val="lv-LV"/>
              </w:rPr>
            </w:pPr>
            <w:r w:rsidRPr="002E3BE2">
              <w:rPr>
                <w:rFonts w:cs="Times New Roman"/>
                <w:sz w:val="22"/>
                <w:lang w:val="lv-LV"/>
              </w:rPr>
              <w:t>ZM</w:t>
            </w:r>
          </w:p>
        </w:tc>
        <w:tc>
          <w:tcPr>
            <w:tcW w:w="1219" w:type="dxa"/>
            <w:vMerge w:val="restart"/>
          </w:tcPr>
          <w:p w:rsidR="002F02BD" w:rsidRPr="002E3BE2" w:rsidRDefault="002F02BD" w:rsidP="007423AA">
            <w:pPr>
              <w:jc w:val="center"/>
              <w:rPr>
                <w:rFonts w:cs="Times New Roman"/>
                <w:sz w:val="22"/>
                <w:lang w:val="lv-LV"/>
              </w:rPr>
            </w:pPr>
            <w:r w:rsidRPr="002E3BE2">
              <w:rPr>
                <w:rFonts w:cs="Times New Roman"/>
                <w:sz w:val="22"/>
                <w:lang w:val="lv-LV"/>
              </w:rPr>
              <w:t>MK 12.08</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 xml:space="preserve">Sagatavot grozījumus MK noteikumos Nr.243 </w:t>
            </w:r>
            <w:r w:rsidRPr="002E3BE2">
              <w:rPr>
                <w:rFonts w:cs="Times New Roman"/>
                <w:sz w:val="22"/>
                <w:lang w:val="lv-LV"/>
              </w:rPr>
              <w:lastRenderedPageBreak/>
              <w:t>paredzot atbalstu, kas sedz daļu no faktiski samaksātās īstermiņa un ilgtermiņa aizdevuma vai finanšu līzinga procentu gada summas arī zvejas un akvakultūras produktu apstrādes uzņēmumiem</w:t>
            </w:r>
          </w:p>
        </w:tc>
        <w:tc>
          <w:tcPr>
            <w:tcW w:w="8013" w:type="dxa"/>
          </w:tcPr>
          <w:p w:rsidR="00FB79B8" w:rsidRDefault="002F02BD" w:rsidP="001C24F5">
            <w:pPr>
              <w:rPr>
                <w:rFonts w:cs="Times New Roman"/>
                <w:sz w:val="22"/>
                <w:lang w:val="lv-LV"/>
              </w:rPr>
            </w:pPr>
            <w:r w:rsidRPr="002E3BE2">
              <w:rPr>
                <w:rFonts w:cs="Times New Roman"/>
                <w:b/>
                <w:sz w:val="22"/>
                <w:lang w:val="lv-LV"/>
              </w:rPr>
              <w:lastRenderedPageBreak/>
              <w:t>IZPILDĪTS.</w:t>
            </w:r>
            <w:r w:rsidRPr="002E3BE2">
              <w:rPr>
                <w:rFonts w:cs="Times New Roman"/>
                <w:sz w:val="22"/>
                <w:lang w:val="lv-LV"/>
              </w:rPr>
              <w:t xml:space="preserve"> 19.08.2014. MK atbalstīti grozījumi Ministru kabineta noteikumos </w:t>
            </w:r>
            <w:r w:rsidRPr="002E3BE2">
              <w:rPr>
                <w:rFonts w:cs="Times New Roman"/>
                <w:sz w:val="22"/>
                <w:lang w:val="lv-LV"/>
              </w:rPr>
              <w:lastRenderedPageBreak/>
              <w:t xml:space="preserve">„Noteikumi par valsts un ES atbalsta piešķiršanu investīciju veicināšanai lauksaimniecībā”, papildināt atbalsta saņēmēju loku ar zvejas un akvakultūras produktu apstrādes uzņēmumiem, kredītprocentu daļēju kompensāciju saņems arī lielie piena, gaļas pārstrādes un zivju apstrādes uzņēmumi. </w:t>
            </w:r>
          </w:p>
          <w:p w:rsidR="002F02BD" w:rsidRPr="002E3BE2" w:rsidRDefault="002F02BD" w:rsidP="001C24F5">
            <w:pPr>
              <w:rPr>
                <w:rFonts w:cs="Times New Roman"/>
                <w:sz w:val="22"/>
                <w:lang w:val="lv-LV"/>
              </w:rPr>
            </w:pPr>
            <w:r w:rsidRPr="002E3BE2">
              <w:rPr>
                <w:rFonts w:cs="Times New Roman"/>
                <w:sz w:val="22"/>
                <w:lang w:val="lv-LV"/>
              </w:rPr>
              <w:t xml:space="preserve">Atbalsta pretendenti savus iesniegumus </w:t>
            </w:r>
            <w:r w:rsidR="001C24F5" w:rsidRPr="002E3BE2">
              <w:rPr>
                <w:rFonts w:cs="Times New Roman"/>
                <w:sz w:val="22"/>
                <w:lang w:val="lv-LV"/>
              </w:rPr>
              <w:t xml:space="preserve">iesniedza </w:t>
            </w:r>
            <w:r w:rsidRPr="002E3BE2">
              <w:rPr>
                <w:rFonts w:cs="Times New Roman"/>
                <w:sz w:val="22"/>
                <w:lang w:val="lv-LV"/>
              </w:rPr>
              <w:t xml:space="preserve">no </w:t>
            </w:r>
            <w:proofErr w:type="spellStart"/>
            <w:r w:rsidRPr="002E3BE2">
              <w:rPr>
                <w:rFonts w:cs="Times New Roman"/>
                <w:sz w:val="22"/>
                <w:lang w:val="lv-LV"/>
              </w:rPr>
              <w:t>š.g</w:t>
            </w:r>
            <w:proofErr w:type="spellEnd"/>
            <w:r w:rsidRPr="002E3BE2">
              <w:rPr>
                <w:rFonts w:cs="Times New Roman"/>
                <w:sz w:val="22"/>
                <w:lang w:val="lv-LV"/>
              </w:rPr>
              <w:t>. 1.oktobr</w:t>
            </w:r>
            <w:r w:rsidR="001C24F5" w:rsidRPr="002E3BE2">
              <w:rPr>
                <w:rFonts w:cs="Times New Roman"/>
                <w:sz w:val="22"/>
                <w:lang w:val="lv-LV"/>
              </w:rPr>
              <w:t>a</w:t>
            </w:r>
            <w:r w:rsidRPr="002E3BE2">
              <w:rPr>
                <w:rFonts w:cs="Times New Roman"/>
                <w:sz w:val="22"/>
                <w:lang w:val="lv-LV"/>
              </w:rPr>
              <w:t xml:space="preserve"> līdz 20.oktobrim</w:t>
            </w:r>
            <w:r w:rsidR="001C24F5" w:rsidRPr="002E3BE2">
              <w:rPr>
                <w:rFonts w:cs="Times New Roman"/>
                <w:sz w:val="22"/>
                <w:lang w:val="lv-LV"/>
              </w:rPr>
              <w:t>. Uz kredītu procentu daļēju dzēšanu ir pieteikušies un apstiprināti 11 piena un gaļas pārstrādes uzņēmumi un 7 uzņēmumi, kas nodarbojas ar zvejniecību un zvejas produktu apstrādi. Visu minēto uzņēmumu produkcija ir iekļauta Krievijas Federācijas ekonomisko sankciju pret Latvijas Republiku importa aizlieguma sarakstā.</w:t>
            </w:r>
            <w:r w:rsidR="001C24F5" w:rsidRPr="002E3BE2" w:rsidDel="001C24F5">
              <w:rPr>
                <w:rFonts w:cs="Times New Roman"/>
                <w:sz w:val="22"/>
                <w:lang w:val="lv-LV"/>
              </w:rPr>
              <w:t xml:space="preserve"> </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Divu nedēļu laikā iesniegt izskatīšanai Ministru kabineta sēdē ar precīziem aprēķiniem pamatotus priekšlikumus nepieciešamajam atbalstam 2014.gadā piena sektorā, kas tieši saistīti ar noteiktajām sankcijām</w:t>
            </w:r>
          </w:p>
        </w:tc>
        <w:tc>
          <w:tcPr>
            <w:tcW w:w="8013" w:type="dxa"/>
          </w:tcPr>
          <w:p w:rsidR="002F02BD" w:rsidRPr="002E3BE2" w:rsidRDefault="002F02BD" w:rsidP="007423AA">
            <w:pPr>
              <w:rPr>
                <w:rFonts w:cs="Times New Roman"/>
                <w:b/>
                <w:sz w:val="22"/>
                <w:lang w:val="lv-LV"/>
              </w:rPr>
            </w:pPr>
            <w:r w:rsidRPr="002E3BE2">
              <w:rPr>
                <w:rFonts w:cs="Times New Roman"/>
                <w:b/>
                <w:sz w:val="22"/>
                <w:lang w:val="lv-LV"/>
              </w:rPr>
              <w:t>IZPILDĪTS.</w:t>
            </w:r>
            <w:r w:rsidRPr="002E3BE2">
              <w:rPr>
                <w:rFonts w:cs="Times New Roman"/>
                <w:sz w:val="22"/>
                <w:lang w:val="lv-LV"/>
              </w:rPr>
              <w:t xml:space="preserve"> 26.augusta Ministru kabineta sēdē tika izskatīts informatīvais ziņojums „Par zaudējumiem piena nozarē” un apstiprināts ZM izstrādātais noteikumu projekts „Valsts atbalsta piešķiršanas kārtība piena šķirņu slaucamo govju produktivitātes datu izvērtēšanai” un Ministru kabineta rīkojuma projekts „Par apropriācijas pārdali”, paredzot pārdalīt finansējumu no Finanšu ministrijas budžeta apakšprogrammas 31.02.00 "Valsts parāda vadība" finansējumu 6 000 000 </w:t>
            </w:r>
            <w:proofErr w:type="spellStart"/>
            <w:r w:rsidRPr="002E3BE2">
              <w:rPr>
                <w:rFonts w:cs="Times New Roman"/>
                <w:sz w:val="22"/>
                <w:lang w:val="lv-LV"/>
              </w:rPr>
              <w:t>euro</w:t>
            </w:r>
            <w:proofErr w:type="spellEnd"/>
            <w:r w:rsidRPr="002E3BE2">
              <w:rPr>
                <w:rFonts w:cs="Times New Roman"/>
                <w:sz w:val="22"/>
                <w:lang w:val="lv-LV"/>
              </w:rPr>
              <w:t xml:space="preserve"> apmērā uz Zemkopības ministrijas budžeta apakšprogrammu 21.01.00 „Valsts atbalsts lauksaimniecībai un lauku attīstībai”, lai nodrošinātu atbalstu piena ražotājiem (lauksaimniekiem). Atbalsts izmaksāts lauksaimniekiem līdz </w:t>
            </w:r>
            <w:proofErr w:type="spellStart"/>
            <w:r w:rsidRPr="002E3BE2">
              <w:rPr>
                <w:rFonts w:cs="Times New Roman"/>
                <w:sz w:val="22"/>
                <w:lang w:val="lv-LV"/>
              </w:rPr>
              <w:t>š.g</w:t>
            </w:r>
            <w:proofErr w:type="spellEnd"/>
            <w:r w:rsidRPr="002E3BE2">
              <w:rPr>
                <w:rFonts w:cs="Times New Roman"/>
                <w:sz w:val="22"/>
                <w:lang w:val="lv-LV"/>
              </w:rPr>
              <w:t>. 20.septembrim.</w:t>
            </w:r>
          </w:p>
        </w:tc>
      </w:tr>
      <w:tr w:rsidR="002F02BD" w:rsidRPr="001A717B"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vMerge/>
            <w:tcBorders>
              <w:bottom w:val="single" w:sz="4" w:space="0" w:color="auto"/>
            </w:tcBorders>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Sadarbībā ar citām Eiropas Savienības dalībvalstīm vērsties Eiropas Komisijā ar pieprasījumu lemt par piena kvotas pārpildes un tirgus kopējās organizācijas jautājumiem</w:t>
            </w:r>
          </w:p>
        </w:tc>
        <w:tc>
          <w:tcPr>
            <w:tcW w:w="8013" w:type="dxa"/>
          </w:tcPr>
          <w:p w:rsidR="002F02BD" w:rsidRPr="002E3BE2" w:rsidRDefault="002F02BD" w:rsidP="007423AA">
            <w:pPr>
              <w:rPr>
                <w:rFonts w:cs="Times New Roman"/>
                <w:sz w:val="22"/>
                <w:lang w:val="lv-LV"/>
              </w:rPr>
            </w:pPr>
            <w:r w:rsidRPr="002E3BE2">
              <w:rPr>
                <w:rFonts w:cs="Times New Roman"/>
                <w:b/>
                <w:sz w:val="22"/>
                <w:lang w:val="lv-LV"/>
              </w:rPr>
              <w:t xml:space="preserve">IZPILDĪTS. </w:t>
            </w:r>
            <w:r w:rsidRPr="002E3BE2">
              <w:rPr>
                <w:rFonts w:cs="Times New Roman"/>
                <w:sz w:val="22"/>
                <w:lang w:val="lv-LV"/>
              </w:rPr>
              <w:t xml:space="preserve">Sagatavota Latvijas pozīcija „Par Krievijas importa aizliegumu ES lauksaimniecības produktiem” uz 2014.gada 5.septembra Eiropas Savienības (ES) Lauksaimniecības un zivsaimniecības ministru Padomes ārkārtas sēdi. Ārkārtas sēdē Latvija aicināja: atvērt privātās uzglabāšanas atbalstu arī sieriem, palielināt intervences cenas un apjoma limitus, piešķirt eksporta kompensācijas piena produktiem, atcelt soda naudas piemērošanu par pārsniegto piena kvotu pēdējā kvotas gadā, palielināt Eiropas Savienības atbalsta apjomu Skolas piena programmai, kā arī palielināt </w:t>
            </w:r>
            <w:proofErr w:type="spellStart"/>
            <w:r w:rsidRPr="002E3BE2">
              <w:rPr>
                <w:rFonts w:cs="Times New Roman"/>
                <w:sz w:val="22"/>
                <w:lang w:val="lv-LV"/>
              </w:rPr>
              <w:t>de</w:t>
            </w:r>
            <w:proofErr w:type="spellEnd"/>
            <w:r w:rsidRPr="002E3BE2">
              <w:rPr>
                <w:rFonts w:cs="Times New Roman"/>
                <w:sz w:val="22"/>
                <w:lang w:val="lv-LV"/>
              </w:rPr>
              <w:t xml:space="preserve"> </w:t>
            </w:r>
            <w:proofErr w:type="spellStart"/>
            <w:r w:rsidRPr="002E3BE2">
              <w:rPr>
                <w:rFonts w:cs="Times New Roman"/>
                <w:sz w:val="22"/>
                <w:lang w:val="lv-LV"/>
              </w:rPr>
              <w:t>minimis</w:t>
            </w:r>
            <w:proofErr w:type="spellEnd"/>
            <w:r w:rsidRPr="002E3BE2">
              <w:rPr>
                <w:rFonts w:cs="Times New Roman"/>
                <w:sz w:val="22"/>
                <w:lang w:val="lv-LV"/>
              </w:rPr>
              <w:t xml:space="preserve"> atbalsta summas uzņēmumiem, kas ir cietuši embargo rezultātā.</w:t>
            </w:r>
          </w:p>
          <w:p w:rsidR="002F02BD" w:rsidRPr="002E3BE2" w:rsidRDefault="002F02BD" w:rsidP="007423AA">
            <w:pPr>
              <w:rPr>
                <w:rFonts w:cs="Times New Roman"/>
                <w:sz w:val="22"/>
                <w:lang w:val="lv-LV"/>
              </w:rPr>
            </w:pPr>
            <w:r w:rsidRPr="002E3BE2">
              <w:rPr>
                <w:rFonts w:cs="Times New Roman"/>
                <w:sz w:val="22"/>
                <w:lang w:val="lv-LV"/>
              </w:rPr>
              <w:t xml:space="preserve">ES Lauksaimniecības un zivsaimniecības ministru Padomes  sēdē </w:t>
            </w:r>
            <w:r w:rsidRPr="008E1B48">
              <w:rPr>
                <w:rFonts w:cs="Times New Roman"/>
                <w:sz w:val="22"/>
                <w:lang w:val="lv-LV"/>
              </w:rPr>
              <w:t>tika panākta vienošanās</w:t>
            </w:r>
            <w:r w:rsidRPr="002E3BE2">
              <w:rPr>
                <w:rFonts w:cs="Times New Roman"/>
                <w:b/>
                <w:sz w:val="22"/>
                <w:lang w:val="lv-LV"/>
              </w:rPr>
              <w:t>,</w:t>
            </w:r>
            <w:r w:rsidRPr="002E3BE2">
              <w:rPr>
                <w:rFonts w:cs="Times New Roman"/>
                <w:sz w:val="22"/>
                <w:lang w:val="lv-LV"/>
              </w:rPr>
              <w:t xml:space="preserve"> ka tiks iedarbināti papildu instrumenti intervencē, pagarinot intervences periodu līdz 2014. gada beigām, tiks pagarināts privātās uzglabāšanas periods līdz 2014. gada beigām, un papildus tiks atvērta iespēja saņemt atbalstu par siera un biezpiena uzglabāšanu, kā arī palielināts finansējums lauksaimniecības un pārtikas produktu veicināšanai.</w:t>
            </w:r>
          </w:p>
        </w:tc>
      </w:tr>
      <w:tr w:rsidR="002F02BD" w:rsidRPr="00364FC9" w:rsidTr="00E244D6">
        <w:tc>
          <w:tcPr>
            <w:tcW w:w="1145" w:type="dxa"/>
            <w:vMerge/>
            <w:shd w:val="clear" w:color="auto" w:fill="D9D9D9" w:themeFill="background1" w:themeFillShade="D9"/>
          </w:tcPr>
          <w:p w:rsidR="002F02BD" w:rsidRPr="002E3BE2" w:rsidRDefault="002F02BD" w:rsidP="007423AA">
            <w:pPr>
              <w:rPr>
                <w:rFonts w:cs="Times New Roman"/>
                <w:sz w:val="22"/>
                <w:lang w:val="lv-LV"/>
              </w:rPr>
            </w:pPr>
          </w:p>
        </w:tc>
        <w:tc>
          <w:tcPr>
            <w:tcW w:w="1219" w:type="dxa"/>
            <w:tcBorders>
              <w:bottom w:val="single" w:sz="4" w:space="0" w:color="auto"/>
            </w:tcBorders>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Paredzēt intervences atbalstu sieram un biezpienam.</w:t>
            </w:r>
          </w:p>
        </w:tc>
        <w:tc>
          <w:tcPr>
            <w:tcW w:w="8013" w:type="dxa"/>
          </w:tcPr>
          <w:p w:rsidR="002F02BD" w:rsidRPr="002E3BE2" w:rsidRDefault="002F02BD" w:rsidP="007423AA">
            <w:pPr>
              <w:rPr>
                <w:rFonts w:cs="Times New Roman"/>
                <w:sz w:val="22"/>
                <w:lang w:val="lv-LV"/>
              </w:rPr>
            </w:pPr>
            <w:r w:rsidRPr="002E3BE2">
              <w:rPr>
                <w:rFonts w:cs="Times New Roman"/>
                <w:b/>
                <w:sz w:val="22"/>
                <w:lang w:val="lv-LV"/>
              </w:rPr>
              <w:t>IZPILDĪTS</w:t>
            </w:r>
            <w:r w:rsidRPr="002E3BE2">
              <w:rPr>
                <w:rFonts w:cs="Times New Roman"/>
                <w:sz w:val="22"/>
                <w:lang w:val="lv-LV"/>
              </w:rPr>
              <w:t>. 16.septembra Ministru kabineta sēdē tika atbalstīts Ministru kabineta noteikumu projekts „Grozījumi Ministru kabineta 2011.gada 25.janvāra noteikumos Nr.74 „Kārtība, kādā tiek administrēti un uzraudzīti tirgus intervences pasākumi augkopības un lopkopības produktu tirgū”, kur mērķis ir iekļaut sieru un saldētu biezpienu preču sarakstā, kurus uzglabā privātā glabāšanā, saņemot ES tirgus regulēšanas pasākumu atbalstu.</w:t>
            </w:r>
          </w:p>
          <w:p w:rsidR="00FB79B8" w:rsidRDefault="002F02BD" w:rsidP="007423AA">
            <w:pPr>
              <w:rPr>
                <w:rFonts w:cs="Times New Roman"/>
                <w:sz w:val="22"/>
                <w:lang w:val="lv-LV"/>
              </w:rPr>
            </w:pPr>
            <w:r w:rsidRPr="002E3BE2">
              <w:rPr>
                <w:rFonts w:cs="Times New Roman"/>
                <w:sz w:val="22"/>
                <w:u w:val="single"/>
                <w:lang w:val="lv-LV"/>
              </w:rPr>
              <w:lastRenderedPageBreak/>
              <w:t>2014.gada 23.septembrī EK pārtrauca</w:t>
            </w:r>
            <w:r w:rsidRPr="002E3BE2">
              <w:rPr>
                <w:rFonts w:cs="Times New Roman"/>
                <w:sz w:val="22"/>
                <w:lang w:val="lv-LV"/>
              </w:rPr>
              <w:t xml:space="preserve"> pieteikšanos siera privātās uzglabāšanas atbalstam, jo uz dalībvalstu iesniegtie paziņojumi par pieteiktajiem produktu daudzumiem ļāva secināt, ka lielākā daļa siera ir pieteikts atbalstam tajos reģionos un par tādiem sieru veidiem, kuru eksportā uz Krieviju bija ļoti niecīga nozīme. Tas radīja EK bažas par nepietiekami mērķētu atbalsta pasākumu un nepamatotiem iesniegumiem, kas, savukārt, lika apšaubīt atbalsta lietderīgumu attiecībā uz tiem reģioniem, kurus embargo skāris visvairāk.  </w:t>
            </w:r>
          </w:p>
          <w:p w:rsidR="002F02BD" w:rsidRPr="002E3BE2" w:rsidRDefault="002F02BD" w:rsidP="007423AA">
            <w:pPr>
              <w:rPr>
                <w:rFonts w:cs="Times New Roman"/>
                <w:sz w:val="22"/>
                <w:lang w:val="lv-LV"/>
              </w:rPr>
            </w:pPr>
            <w:r w:rsidRPr="002E3BE2">
              <w:rPr>
                <w:rFonts w:cs="Times New Roman"/>
                <w:sz w:val="22"/>
                <w:lang w:val="lv-LV"/>
              </w:rPr>
              <w:t xml:space="preserve">Privātai uzglabāšanai Latvijā līdz 23.septembrim bija pieteiktas 30 tonnas siera. </w:t>
            </w:r>
          </w:p>
          <w:p w:rsidR="008E1B48" w:rsidRDefault="002F02BD" w:rsidP="007423AA">
            <w:pPr>
              <w:rPr>
                <w:rFonts w:cs="Times New Roman"/>
                <w:sz w:val="22"/>
                <w:lang w:val="lv-LV"/>
              </w:rPr>
            </w:pPr>
            <w:r w:rsidRPr="002E3BE2">
              <w:rPr>
                <w:rFonts w:cs="Times New Roman"/>
                <w:sz w:val="22"/>
                <w:lang w:val="lv-LV"/>
              </w:rPr>
              <w:t>Pašreiz EK nav paziņojusi par jaunas atbalsta shēmas īstenošanu sieram. Taču, ņemot vērā iemeslus, kas kalpoja par pamatu lēmumam par privātās uzglabāšanas atbalsta pārtraukšanu, Latvija saskata līdzību ar ārkārtas atbalsta pasākumiem augļu un dārzeņu nozarē. Tādēļ uzskatām, ka arī attiecībā uz siera tirgu COM būtu jādomā par tālākiem uzlabotiem atbalsta mehānismiem, kas būtu tieši mērķēti uz tām dalībvalstīm, kuru siera eksports uz Krieviju veidoja būtisku daļu no to kopējiem siera eksporta apjomiem un vērtības. Bez tam, svarīgi būtu arī lemt par ES kompensācijām to valstu piena ražotājiem, kurās Krievijas sankciju ietekme ir visspēcīgākā. Pašreiz ZM veic detalizētus aprēķinus par sankciju ietekmi  uz piena iepirkuma cenām dažādās saimniecību lieluma grupās.</w:t>
            </w:r>
          </w:p>
          <w:p w:rsidR="00FB79B8" w:rsidRDefault="00FB79B8" w:rsidP="007423AA">
            <w:pPr>
              <w:rPr>
                <w:rFonts w:cs="Times New Roman"/>
                <w:sz w:val="22"/>
                <w:lang w:val="lv-LV"/>
              </w:rPr>
            </w:pPr>
          </w:p>
          <w:p w:rsidR="008E1B48" w:rsidRPr="002E3BE2" w:rsidRDefault="008E1B48" w:rsidP="007423AA">
            <w:pPr>
              <w:rPr>
                <w:rFonts w:cs="Times New Roman"/>
                <w:sz w:val="22"/>
                <w:lang w:val="lv-LV"/>
              </w:rPr>
            </w:pPr>
            <w:r w:rsidRPr="008E1B48">
              <w:rPr>
                <w:rFonts w:cs="Times New Roman"/>
                <w:sz w:val="22"/>
                <w:lang w:val="lv-LV"/>
              </w:rPr>
              <w:t xml:space="preserve">Eiropas Komisija 18.novembrī  ir nākusi klajā ar priekšlikumu piešķirt Baltijas valstu piena ražotājiem finansiālu atbalstu kopējā apmērā 28,661 miljoni </w:t>
            </w:r>
            <w:proofErr w:type="spellStart"/>
            <w:r w:rsidRPr="008E1B48">
              <w:rPr>
                <w:rFonts w:cs="Times New Roman"/>
                <w:sz w:val="22"/>
                <w:lang w:val="lv-LV"/>
              </w:rPr>
              <w:t>euro</w:t>
            </w:r>
            <w:proofErr w:type="spellEnd"/>
            <w:r w:rsidRPr="008E1B48">
              <w:rPr>
                <w:rFonts w:cs="Times New Roman"/>
                <w:sz w:val="22"/>
                <w:lang w:val="lv-LV"/>
              </w:rPr>
              <w:t xml:space="preserve">, no tā Latvijai būtu iedalīti 7,72 miljoni </w:t>
            </w:r>
            <w:proofErr w:type="spellStart"/>
            <w:r w:rsidRPr="008E1B48">
              <w:rPr>
                <w:rFonts w:cs="Times New Roman"/>
                <w:sz w:val="22"/>
                <w:lang w:val="lv-LV"/>
              </w:rPr>
              <w:t>euro</w:t>
            </w:r>
            <w:proofErr w:type="spellEnd"/>
            <w:r w:rsidRPr="008E1B48">
              <w:rPr>
                <w:rFonts w:cs="Times New Roman"/>
                <w:sz w:val="22"/>
                <w:lang w:val="lv-LV"/>
              </w:rPr>
              <w:t xml:space="preserve">, Lietuvai 14,07 miljoni </w:t>
            </w:r>
            <w:proofErr w:type="spellStart"/>
            <w:r w:rsidRPr="008E1B48">
              <w:rPr>
                <w:rFonts w:cs="Times New Roman"/>
                <w:sz w:val="22"/>
                <w:lang w:val="lv-LV"/>
              </w:rPr>
              <w:t>euro</w:t>
            </w:r>
            <w:proofErr w:type="spellEnd"/>
            <w:r w:rsidRPr="008E1B48">
              <w:rPr>
                <w:rFonts w:cs="Times New Roman"/>
                <w:sz w:val="22"/>
                <w:lang w:val="lv-LV"/>
              </w:rPr>
              <w:t xml:space="preserve"> un Igaunijai 6,87 miljoni </w:t>
            </w:r>
            <w:proofErr w:type="spellStart"/>
            <w:r w:rsidRPr="008E1B48">
              <w:rPr>
                <w:rFonts w:cs="Times New Roman"/>
                <w:sz w:val="22"/>
                <w:lang w:val="lv-LV"/>
              </w:rPr>
              <w:t>euro</w:t>
            </w:r>
            <w:proofErr w:type="spellEnd"/>
            <w:r w:rsidRPr="008E1B48">
              <w:rPr>
                <w:rFonts w:cs="Times New Roman"/>
                <w:sz w:val="22"/>
                <w:lang w:val="lv-LV"/>
              </w:rPr>
              <w:t xml:space="preserve">. Kompensāciju apmērus EK rēķinājusi, balstoties uz 2013./2014.kvotas gadā pārstrādei iepirktā piena daudzumiem katrā valstī, kompensējot ~ 10 </w:t>
            </w:r>
            <w:proofErr w:type="spellStart"/>
            <w:r w:rsidRPr="008E1B48">
              <w:rPr>
                <w:rFonts w:cs="Times New Roman"/>
                <w:sz w:val="22"/>
                <w:lang w:val="lv-LV"/>
              </w:rPr>
              <w:t>euro</w:t>
            </w:r>
            <w:proofErr w:type="spellEnd"/>
            <w:r w:rsidRPr="008E1B48">
              <w:rPr>
                <w:rFonts w:cs="Times New Roman"/>
                <w:sz w:val="22"/>
                <w:lang w:val="lv-LV"/>
              </w:rPr>
              <w:t xml:space="preserve"> par katru pārstrādei iepirktā piena tonnu.</w:t>
            </w:r>
            <w:r>
              <w:rPr>
                <w:rFonts w:cs="Times New Roman"/>
                <w:sz w:val="22"/>
                <w:lang w:val="lv-LV"/>
              </w:rPr>
              <w:t xml:space="preserve"> Priekšlikumu vēl jāizstrādā atbilstošā normatīvajā regulējumā ES līmenī un pēc tam arī nacionālajā.</w:t>
            </w:r>
          </w:p>
        </w:tc>
      </w:tr>
      <w:tr w:rsidR="002F02BD" w:rsidRPr="001A717B" w:rsidTr="00E244D6">
        <w:tc>
          <w:tcPr>
            <w:tcW w:w="1145" w:type="dxa"/>
            <w:vMerge/>
            <w:tcBorders>
              <w:bottom w:val="nil"/>
            </w:tcBorders>
            <w:shd w:val="clear" w:color="auto" w:fill="D9D9D9" w:themeFill="background1" w:themeFillShade="D9"/>
          </w:tcPr>
          <w:p w:rsidR="002F02BD" w:rsidRPr="002E3BE2" w:rsidRDefault="002F02BD" w:rsidP="007423AA">
            <w:pPr>
              <w:rPr>
                <w:rFonts w:cs="Times New Roman"/>
                <w:sz w:val="22"/>
                <w:lang w:val="lv-LV"/>
              </w:rPr>
            </w:pPr>
          </w:p>
        </w:tc>
        <w:tc>
          <w:tcPr>
            <w:tcW w:w="1219" w:type="dxa"/>
            <w:tcBorders>
              <w:bottom w:val="single" w:sz="4" w:space="0" w:color="auto"/>
            </w:tcBorders>
          </w:tcPr>
          <w:p w:rsidR="002F02BD" w:rsidRPr="002E3BE2" w:rsidRDefault="002F02BD" w:rsidP="007423AA">
            <w:pPr>
              <w:jc w:val="center"/>
              <w:rPr>
                <w:rFonts w:cs="Times New Roman"/>
                <w:sz w:val="22"/>
                <w:lang w:val="lv-LV"/>
              </w:rPr>
            </w:pPr>
            <w:r w:rsidRPr="002E3BE2">
              <w:rPr>
                <w:rFonts w:cs="Times New Roman"/>
                <w:sz w:val="22"/>
                <w:lang w:val="lv-LV"/>
              </w:rPr>
              <w:t>MK 26.08.</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Zemkopības ministrijai sagatavot informatīvo ziņojumu par situāciju piena nozarē un zemkopības ministram iesniegt to izskatīšanai Ministru kabineta 2014.gada 28.oktobra sēdē, lai lemtu par papildu finansējuma piešķiršanu piena nozarei.</w:t>
            </w:r>
          </w:p>
        </w:tc>
        <w:tc>
          <w:tcPr>
            <w:tcW w:w="8013" w:type="dxa"/>
          </w:tcPr>
          <w:p w:rsidR="00FB79B8" w:rsidRDefault="0031324E" w:rsidP="00E82728">
            <w:pPr>
              <w:rPr>
                <w:rFonts w:cs="Times New Roman"/>
                <w:sz w:val="22"/>
                <w:lang w:val="lv-LV"/>
              </w:rPr>
            </w:pPr>
            <w:r w:rsidRPr="002E3BE2">
              <w:rPr>
                <w:rFonts w:cs="Times New Roman"/>
                <w:b/>
                <w:sz w:val="22"/>
                <w:lang w:val="lv-LV"/>
              </w:rPr>
              <w:t>IZPILDĪTS</w:t>
            </w:r>
            <w:r w:rsidR="002F02BD" w:rsidRPr="002E3BE2">
              <w:rPr>
                <w:rFonts w:cs="Times New Roman"/>
                <w:b/>
                <w:sz w:val="22"/>
                <w:lang w:val="lv-LV"/>
              </w:rPr>
              <w:t>.</w:t>
            </w:r>
            <w:r w:rsidRPr="002E3BE2">
              <w:rPr>
                <w:rFonts w:cs="Times New Roman"/>
                <w:b/>
                <w:sz w:val="22"/>
                <w:lang w:val="lv-LV"/>
              </w:rPr>
              <w:t xml:space="preserve"> </w:t>
            </w:r>
            <w:r w:rsidR="00482515" w:rsidRPr="002E3BE2">
              <w:rPr>
                <w:rFonts w:cs="Times New Roman"/>
                <w:sz w:val="22"/>
                <w:lang w:val="lv-LV"/>
              </w:rPr>
              <w:t>3.novembra MK sēdē tika izskatīts informatīvais ziņojums „Par zaudējumiem piena nozarē”</w:t>
            </w:r>
            <w:r w:rsidR="00E82728" w:rsidRPr="002E3BE2">
              <w:rPr>
                <w:rFonts w:cs="Times New Roman"/>
                <w:sz w:val="22"/>
                <w:lang w:val="lv-LV"/>
              </w:rPr>
              <w:t xml:space="preserve">, kā rezultātā piešķirtais atbalsts piensaimniecības nozarē par piena šķirņu slaucamo govju produktivitātes datu noteikšanas un izvērtēšanas ciltsdarba pakalpojumu ir 13 993 480 eiro. </w:t>
            </w:r>
          </w:p>
          <w:p w:rsidR="002F02BD" w:rsidRPr="002E3BE2" w:rsidRDefault="00E82728" w:rsidP="00E82728">
            <w:pPr>
              <w:rPr>
                <w:rFonts w:cs="Times New Roman"/>
                <w:b/>
                <w:sz w:val="22"/>
                <w:lang w:val="lv-LV"/>
              </w:rPr>
            </w:pPr>
            <w:r w:rsidRPr="002E3BE2">
              <w:rPr>
                <w:rFonts w:cs="Times New Roman"/>
                <w:sz w:val="22"/>
                <w:lang w:val="lv-LV"/>
              </w:rPr>
              <w:t xml:space="preserve">Ciltsdarba atbalsta atlikušo daļu 7 993 480 </w:t>
            </w:r>
            <w:proofErr w:type="spellStart"/>
            <w:r w:rsidRPr="002E3BE2">
              <w:rPr>
                <w:rFonts w:cs="Times New Roman"/>
                <w:sz w:val="22"/>
                <w:lang w:val="lv-LV"/>
              </w:rPr>
              <w:t>euro</w:t>
            </w:r>
            <w:proofErr w:type="spellEnd"/>
            <w:r w:rsidRPr="002E3BE2">
              <w:rPr>
                <w:rFonts w:cs="Times New Roman"/>
                <w:sz w:val="22"/>
                <w:lang w:val="lv-LV"/>
              </w:rPr>
              <w:t xml:space="preserve"> ir plānots izmaksāt 2014.gada decembrī.</w:t>
            </w:r>
          </w:p>
        </w:tc>
      </w:tr>
      <w:tr w:rsidR="002F02BD" w:rsidRPr="001A717B" w:rsidTr="00E244D6">
        <w:tc>
          <w:tcPr>
            <w:tcW w:w="1145" w:type="dxa"/>
            <w:vMerge/>
            <w:tcBorders>
              <w:top w:val="nil"/>
            </w:tcBorders>
            <w:shd w:val="clear" w:color="auto" w:fill="D9D9D9" w:themeFill="background1" w:themeFillShade="D9"/>
          </w:tcPr>
          <w:p w:rsidR="002F02BD" w:rsidRPr="002E3BE2" w:rsidRDefault="002F02BD" w:rsidP="007423AA">
            <w:pPr>
              <w:rPr>
                <w:rFonts w:cs="Times New Roman"/>
                <w:sz w:val="22"/>
                <w:lang w:val="lv-LV"/>
              </w:rPr>
            </w:pPr>
          </w:p>
        </w:tc>
        <w:tc>
          <w:tcPr>
            <w:tcW w:w="1219" w:type="dxa"/>
            <w:vMerge w:val="restart"/>
            <w:tcBorders>
              <w:top w:val="single" w:sz="4" w:space="0" w:color="auto"/>
              <w:bottom w:val="single" w:sz="4" w:space="0" w:color="auto"/>
            </w:tcBorders>
          </w:tcPr>
          <w:p w:rsidR="002F02BD" w:rsidRPr="002E3BE2" w:rsidRDefault="002F02BD" w:rsidP="007423AA">
            <w:pPr>
              <w:jc w:val="center"/>
              <w:rPr>
                <w:rFonts w:cs="Times New Roman"/>
                <w:sz w:val="22"/>
                <w:lang w:val="lv-LV"/>
              </w:rPr>
            </w:pPr>
            <w:r w:rsidRPr="002E3BE2">
              <w:rPr>
                <w:rFonts w:cs="Times New Roman"/>
                <w:sz w:val="22"/>
                <w:lang w:val="lv-LV"/>
              </w:rPr>
              <w:t>Papildus aktivitātes</w:t>
            </w:r>
          </w:p>
        </w:tc>
        <w:tc>
          <w:tcPr>
            <w:tcW w:w="4473" w:type="dxa"/>
          </w:tcPr>
          <w:p w:rsidR="002F02BD" w:rsidRPr="002E3BE2" w:rsidRDefault="002F02BD" w:rsidP="007423AA">
            <w:pPr>
              <w:rPr>
                <w:rFonts w:cs="Times New Roman"/>
                <w:sz w:val="22"/>
                <w:lang w:val="lv-LV"/>
              </w:rPr>
            </w:pPr>
            <w:r w:rsidRPr="002E3BE2">
              <w:rPr>
                <w:rFonts w:cs="Times New Roman"/>
                <w:sz w:val="22"/>
                <w:lang w:val="lv-LV"/>
              </w:rPr>
              <w:t xml:space="preserve">Palielināt </w:t>
            </w:r>
            <w:proofErr w:type="spellStart"/>
            <w:r w:rsidRPr="002E3BE2">
              <w:rPr>
                <w:rFonts w:cs="Times New Roman"/>
                <w:sz w:val="22"/>
                <w:lang w:val="lv-LV"/>
              </w:rPr>
              <w:t>kredītgarantiju</w:t>
            </w:r>
            <w:proofErr w:type="spellEnd"/>
            <w:r w:rsidRPr="002E3BE2">
              <w:rPr>
                <w:rFonts w:cs="Times New Roman"/>
                <w:sz w:val="22"/>
                <w:lang w:val="lv-LV"/>
              </w:rPr>
              <w:t xml:space="preserve"> apmēru lauksaimniekiem līdz 1 </w:t>
            </w:r>
            <w:proofErr w:type="spellStart"/>
            <w:r w:rsidRPr="002E3BE2">
              <w:rPr>
                <w:rFonts w:cs="Times New Roman"/>
                <w:sz w:val="22"/>
                <w:lang w:val="lv-LV"/>
              </w:rPr>
              <w:t>milj.EUR</w:t>
            </w:r>
            <w:proofErr w:type="spellEnd"/>
          </w:p>
        </w:tc>
        <w:tc>
          <w:tcPr>
            <w:tcW w:w="8013" w:type="dxa"/>
          </w:tcPr>
          <w:p w:rsidR="002F02BD" w:rsidRPr="002E3BE2" w:rsidRDefault="002F02BD" w:rsidP="007423AA">
            <w:pPr>
              <w:rPr>
                <w:rFonts w:cs="Times New Roman"/>
                <w:sz w:val="22"/>
                <w:lang w:val="lv-LV"/>
              </w:rPr>
            </w:pPr>
            <w:r w:rsidRPr="002E3BE2">
              <w:rPr>
                <w:rFonts w:cs="Times New Roman"/>
                <w:b/>
                <w:sz w:val="22"/>
                <w:lang w:val="lv-LV"/>
              </w:rPr>
              <w:t>IZPILDĪTS.</w:t>
            </w:r>
            <w:r w:rsidRPr="002E3BE2">
              <w:rPr>
                <w:rFonts w:cs="Times New Roman"/>
                <w:sz w:val="22"/>
                <w:lang w:val="lv-LV"/>
              </w:rPr>
              <w:t xml:space="preserve"> 23.septembrī Ministru kabinetā apstiprināts Zemkopības ministrijas sagatavotais Ministru kabineta noteikumu projekts „Grozījumi Ministru kabineta 2009.gada 7.jūlija noteikumos Nr.746 „Lauksaimniecības un lauku attīstības kredītu garantēšanas kārtība””. Grozījumi paredz izmaiņas noteikumos palielinot spēkā esošo kredītu garantiju apmēru (līdz 1 000 000 EUR) maziem un vidējiem uzņēmumiem, kas nodarbojas ar primāro lauksaimniecības produktu ražošanu.</w:t>
            </w:r>
          </w:p>
          <w:p w:rsidR="00672F46" w:rsidRPr="002E3BE2" w:rsidRDefault="00672F46" w:rsidP="007423AA">
            <w:pPr>
              <w:rPr>
                <w:rFonts w:cs="Times New Roman"/>
                <w:sz w:val="22"/>
                <w:lang w:val="lv-LV"/>
              </w:rPr>
            </w:pPr>
            <w:r w:rsidRPr="002E3BE2">
              <w:rPr>
                <w:rFonts w:cs="Times New Roman"/>
                <w:sz w:val="22"/>
                <w:lang w:val="lv-LV"/>
              </w:rPr>
              <w:lastRenderedPageBreak/>
              <w:t>Pēc Lauku attīstības fonda sniegtās informācijas oktobrī ir piešķirtas garantijas diviem primārās lauksaimniecības produkcijas ražotājam, vienam lauksaimniecī</w:t>
            </w:r>
            <w:r w:rsidR="008E1B48">
              <w:rPr>
                <w:rFonts w:cs="Times New Roman"/>
                <w:sz w:val="22"/>
                <w:lang w:val="lv-LV"/>
              </w:rPr>
              <w:t>bas produktu pārstrādes ražotāja</w:t>
            </w:r>
            <w:r w:rsidRPr="002E3BE2">
              <w:rPr>
                <w:rFonts w:cs="Times New Roman"/>
                <w:sz w:val="22"/>
                <w:lang w:val="lv-LV"/>
              </w:rPr>
              <w:t>m un šobrīd vēl trīs uzņēmumu iesniegtie pieteikumi ir izvērtēšanas procesā.</w:t>
            </w:r>
          </w:p>
        </w:tc>
      </w:tr>
      <w:tr w:rsidR="002F02BD" w:rsidRPr="001A717B" w:rsidTr="00E244D6">
        <w:tc>
          <w:tcPr>
            <w:tcW w:w="1145" w:type="dxa"/>
            <w:vMerge/>
            <w:tcBorders>
              <w:bottom w:val="nil"/>
            </w:tcBorders>
            <w:shd w:val="clear" w:color="auto" w:fill="D9D9D9" w:themeFill="background1" w:themeFillShade="D9"/>
          </w:tcPr>
          <w:p w:rsidR="002F02BD" w:rsidRPr="002E3BE2" w:rsidRDefault="002F02BD" w:rsidP="007423AA">
            <w:pPr>
              <w:rPr>
                <w:rFonts w:cs="Times New Roman"/>
                <w:sz w:val="22"/>
                <w:lang w:val="lv-LV"/>
              </w:rPr>
            </w:pPr>
          </w:p>
        </w:tc>
        <w:tc>
          <w:tcPr>
            <w:tcW w:w="1219" w:type="dxa"/>
            <w:vMerge/>
            <w:tcBorders>
              <w:top w:val="single" w:sz="4" w:space="0" w:color="auto"/>
              <w:bottom w:val="single" w:sz="4" w:space="0" w:color="auto"/>
            </w:tcBorders>
          </w:tcPr>
          <w:p w:rsidR="002F02BD" w:rsidRPr="002E3BE2" w:rsidRDefault="002F02BD" w:rsidP="007423AA">
            <w:pPr>
              <w:jc w:val="center"/>
              <w:rPr>
                <w:rFonts w:cs="Times New Roman"/>
                <w:sz w:val="22"/>
                <w:lang w:val="lv-LV"/>
              </w:rPr>
            </w:pPr>
          </w:p>
        </w:tc>
        <w:tc>
          <w:tcPr>
            <w:tcW w:w="4473" w:type="dxa"/>
          </w:tcPr>
          <w:p w:rsidR="002F02BD" w:rsidRPr="002E3BE2" w:rsidRDefault="002F02BD" w:rsidP="007423AA">
            <w:pPr>
              <w:rPr>
                <w:rFonts w:cs="Times New Roman"/>
                <w:sz w:val="22"/>
                <w:lang w:val="lv-LV"/>
              </w:rPr>
            </w:pPr>
            <w:r w:rsidRPr="002E3BE2">
              <w:rPr>
                <w:rFonts w:cs="Times New Roman"/>
                <w:sz w:val="22"/>
                <w:lang w:val="lv-LV"/>
              </w:rPr>
              <w:t>Sagatavot nepieciešamos grozījumus normatīvajos aktos, lai saņemtu Eiropas komisijas piešķirtā ārkārtas atbalsta finansējumu</w:t>
            </w:r>
          </w:p>
        </w:tc>
        <w:tc>
          <w:tcPr>
            <w:tcW w:w="8013" w:type="dxa"/>
          </w:tcPr>
          <w:p w:rsidR="002F02BD" w:rsidRPr="002E3BE2" w:rsidRDefault="001C24F5" w:rsidP="007423AA">
            <w:pPr>
              <w:rPr>
                <w:rFonts w:cs="Times New Roman"/>
                <w:sz w:val="22"/>
                <w:lang w:val="lv-LV"/>
              </w:rPr>
            </w:pPr>
            <w:r w:rsidRPr="002E3BE2">
              <w:rPr>
                <w:rFonts w:cs="Times New Roman"/>
                <w:sz w:val="22"/>
                <w:lang w:val="lv-LV"/>
              </w:rPr>
              <w:t xml:space="preserve">Tika </w:t>
            </w:r>
            <w:r w:rsidR="002F02BD" w:rsidRPr="002E3BE2">
              <w:rPr>
                <w:rFonts w:cs="Times New Roman"/>
                <w:sz w:val="22"/>
                <w:lang w:val="lv-LV"/>
              </w:rPr>
              <w:t xml:space="preserve">izstrādāti  grozījumi normatīvajos aktos, lai nodrošinātu atbalsta saņemšanu Latvijas augļu un dārzeņu ražotājiem no Eiropas Komisijas 125 </w:t>
            </w:r>
            <w:proofErr w:type="spellStart"/>
            <w:r w:rsidR="002F02BD" w:rsidRPr="002E3BE2">
              <w:rPr>
                <w:rFonts w:cs="Times New Roman"/>
                <w:sz w:val="22"/>
                <w:lang w:val="lv-LV"/>
              </w:rPr>
              <w:t>milj</w:t>
            </w:r>
            <w:proofErr w:type="spellEnd"/>
            <w:r w:rsidR="002F02BD" w:rsidRPr="002E3BE2">
              <w:rPr>
                <w:rFonts w:cs="Times New Roman"/>
                <w:sz w:val="22"/>
                <w:lang w:val="lv-LV"/>
              </w:rPr>
              <w:t>. EUR ārkārtas atbalsta pasākumiem atvēlētā budžeta. Grozījumi tiks virzīti izskatīšanai steidzamības kārtā pēc  tam , kad tiks publicēta jaunā EK regula par ārkārtas atbalstu augļu un dārzeņu nozares ražotājiem.</w:t>
            </w:r>
          </w:p>
          <w:p w:rsidR="002F02BD" w:rsidRPr="002E3BE2" w:rsidRDefault="002F02BD" w:rsidP="007423AA">
            <w:pPr>
              <w:rPr>
                <w:rFonts w:cs="Times New Roman"/>
                <w:sz w:val="22"/>
                <w:lang w:val="lv-LV"/>
              </w:rPr>
            </w:pPr>
            <w:r w:rsidRPr="002E3BE2">
              <w:rPr>
                <w:rFonts w:cs="Times New Roman"/>
                <w:sz w:val="22"/>
                <w:u w:val="single"/>
                <w:lang w:val="lv-LV"/>
              </w:rPr>
              <w:t>2014.gada 10. septembrī</w:t>
            </w:r>
            <w:r w:rsidRPr="002E3BE2">
              <w:rPr>
                <w:rFonts w:cs="Times New Roman"/>
                <w:sz w:val="22"/>
                <w:lang w:val="lv-LV"/>
              </w:rPr>
              <w:t xml:space="preserve"> Eiropas Komisija (EK) pārtrauca dalībvalstu atbalsta pieteikumu pieņemšanu ārkārtas atbalsta pasākumiem augļu un dārzeņu nozarē saistībā ar maksimālās atbalsta summas sasniegšanu abās produktu kategorijās (āboliem/bumbieriem 82 </w:t>
            </w:r>
            <w:proofErr w:type="spellStart"/>
            <w:r w:rsidRPr="002E3BE2">
              <w:rPr>
                <w:rFonts w:cs="Times New Roman"/>
                <w:sz w:val="22"/>
                <w:lang w:val="lv-LV"/>
              </w:rPr>
              <w:t>milj</w:t>
            </w:r>
            <w:proofErr w:type="spellEnd"/>
            <w:r w:rsidRPr="002E3BE2">
              <w:rPr>
                <w:rFonts w:cs="Times New Roman"/>
                <w:sz w:val="22"/>
                <w:lang w:val="lv-LV"/>
              </w:rPr>
              <w:t xml:space="preserve">. EUR, pārējiem augļiem un dārzeņiem 43 </w:t>
            </w:r>
            <w:proofErr w:type="spellStart"/>
            <w:r w:rsidRPr="002E3BE2">
              <w:rPr>
                <w:rFonts w:cs="Times New Roman"/>
                <w:sz w:val="22"/>
                <w:lang w:val="lv-LV"/>
              </w:rPr>
              <w:t>milj</w:t>
            </w:r>
            <w:proofErr w:type="spellEnd"/>
            <w:r w:rsidRPr="002E3BE2">
              <w:rPr>
                <w:rFonts w:cs="Times New Roman"/>
                <w:sz w:val="22"/>
                <w:lang w:val="lv-LV"/>
              </w:rPr>
              <w:t xml:space="preserve">. EUR). Atbalsts bija mērķēts uz iekšējā tirgus stabilizāciju, bet Eiropas Komisijai, saņemot dalībvalstu pirmos pieteikumus, radās bažas, ka šajā gadījumā tiks pārsniegts noteiktais finansējuma apjoms. Tāpat kopējais atbalstam pieteiktās produkcijas apjoms vairakkārt pārsniedza uz Krieviju eksportētos produkcijas apjomus. Savukārt daudzas dalībvalstis, tai skaitā Latvija, nepaspēja pieteikties atbalstam. Tas radīja EK bažas par nepietiekami mērķētu atbalsta pasākumu un nepamatotiem iesniegumiem, kas, savukārt, lika apšaubīt atbalsta lietderīgumu.  </w:t>
            </w:r>
          </w:p>
          <w:p w:rsidR="00FB79B8" w:rsidRDefault="00FB79B8" w:rsidP="007423AA">
            <w:pPr>
              <w:rPr>
                <w:rFonts w:cs="Times New Roman"/>
                <w:sz w:val="22"/>
                <w:lang w:val="lv-LV"/>
              </w:rPr>
            </w:pPr>
          </w:p>
          <w:p w:rsidR="00FB79B8" w:rsidRDefault="00FB79B8" w:rsidP="007423AA">
            <w:pPr>
              <w:rPr>
                <w:rFonts w:cs="Times New Roman"/>
                <w:sz w:val="22"/>
                <w:lang w:val="lv-LV"/>
              </w:rPr>
            </w:pPr>
            <w:r>
              <w:rPr>
                <w:rFonts w:cs="Times New Roman"/>
                <w:sz w:val="22"/>
                <w:lang w:val="lv-LV"/>
              </w:rPr>
              <w:t>Š.g.</w:t>
            </w:r>
            <w:r w:rsidR="001C24F5" w:rsidRPr="002E3BE2">
              <w:rPr>
                <w:rFonts w:cs="Times New Roman"/>
                <w:sz w:val="22"/>
                <w:lang w:val="lv-LV"/>
              </w:rPr>
              <w:t>29.septembrī Eiropas Komisija pieņēma lēmumu īstenot turpmākus pagaidu ārkārtas atbalsta pasākumus konkrētu augļu un dārzeņu ražotājiem. Katrai dalībvalstij ir piešķirts noteikts augļu un dārzeņu apjoms tonnās, kura ietvaros var īstenot ārkārtas pasākumus (Latvijai – 3000 t). Atbalsts tiek paredzēts šādiem pasākumiem: izņemšana no tirgus bezmaksas izplatīšanai vai izplatīšanai citiem galamērķiem, ražas nenovākšanai vai ražas priekšlaicīgai novākšanai.</w:t>
            </w:r>
            <w:r w:rsidR="001C24F5" w:rsidRPr="002D3654">
              <w:rPr>
                <w:rFonts w:cs="Times New Roman"/>
                <w:lang w:val="lv-LV"/>
              </w:rPr>
              <w:t xml:space="preserve"> </w:t>
            </w:r>
            <w:r w:rsidR="001C24F5" w:rsidRPr="002E3BE2">
              <w:rPr>
                <w:rFonts w:cs="Times New Roman"/>
                <w:sz w:val="22"/>
                <w:lang w:val="lv-LV"/>
              </w:rPr>
              <w:t xml:space="preserve">Atbalsts attiecas uz pasākumiem, kas veikti no 2014.gada 30.septembra līdz dienai, kad attiecīgie daudzumi attiecīgajā dalībvalstī ir pilnībā izlietoti, vai līdz 2014.gada 31.decembrim. 2014.gada 7.oktobrī MK sēdē tika pieņemti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 </w:t>
            </w:r>
          </w:p>
          <w:p w:rsidR="00E82728" w:rsidRPr="002E3BE2" w:rsidRDefault="001C24F5" w:rsidP="007423AA">
            <w:pPr>
              <w:rPr>
                <w:rFonts w:cs="Times New Roman"/>
                <w:sz w:val="22"/>
                <w:lang w:val="lv-LV"/>
              </w:rPr>
            </w:pPr>
            <w:r w:rsidRPr="002E3BE2">
              <w:rPr>
                <w:rFonts w:cs="Times New Roman"/>
                <w:sz w:val="22"/>
                <w:lang w:val="lv-LV"/>
              </w:rPr>
              <w:t>Pašreiz LAD iesniegti 10 pieteikumi uz atbalstu.</w:t>
            </w:r>
          </w:p>
        </w:tc>
      </w:tr>
      <w:tr w:rsidR="002F02BD" w:rsidRPr="001A717B" w:rsidTr="00E244D6">
        <w:tc>
          <w:tcPr>
            <w:tcW w:w="1145" w:type="dxa"/>
            <w:tcBorders>
              <w:top w:val="nil"/>
              <w:bottom w:val="single" w:sz="4" w:space="0" w:color="auto"/>
            </w:tcBorders>
            <w:shd w:val="clear" w:color="auto" w:fill="D9D9D9" w:themeFill="background1" w:themeFillShade="D9"/>
          </w:tcPr>
          <w:p w:rsidR="002F02BD" w:rsidRPr="002E3BE2" w:rsidRDefault="002F02BD" w:rsidP="007423AA">
            <w:pPr>
              <w:rPr>
                <w:rFonts w:cs="Times New Roman"/>
                <w:sz w:val="22"/>
                <w:lang w:val="lv-LV"/>
              </w:rPr>
            </w:pPr>
          </w:p>
        </w:tc>
        <w:tc>
          <w:tcPr>
            <w:tcW w:w="1219" w:type="dxa"/>
            <w:vMerge/>
            <w:tcBorders>
              <w:top w:val="single" w:sz="4" w:space="0" w:color="auto"/>
              <w:bottom w:val="single" w:sz="4" w:space="0" w:color="auto"/>
            </w:tcBorders>
          </w:tcPr>
          <w:p w:rsidR="002F02BD" w:rsidRPr="002E3BE2" w:rsidRDefault="002F02BD" w:rsidP="007423AA">
            <w:pPr>
              <w:jc w:val="center"/>
              <w:rPr>
                <w:rFonts w:cs="Times New Roman"/>
                <w:sz w:val="22"/>
                <w:lang w:val="lv-LV"/>
              </w:rPr>
            </w:pPr>
          </w:p>
        </w:tc>
        <w:tc>
          <w:tcPr>
            <w:tcW w:w="4473" w:type="dxa"/>
          </w:tcPr>
          <w:p w:rsidR="002F02BD" w:rsidRPr="002E3BE2" w:rsidRDefault="002B592D" w:rsidP="002B592D">
            <w:pPr>
              <w:rPr>
                <w:rFonts w:cs="Times New Roman"/>
                <w:sz w:val="22"/>
                <w:lang w:val="lv-LV"/>
              </w:rPr>
            </w:pPr>
            <w:r>
              <w:rPr>
                <w:rFonts w:cs="Times New Roman"/>
                <w:sz w:val="22"/>
                <w:lang w:val="lv-LV"/>
              </w:rPr>
              <w:t xml:space="preserve">Tikšanās ar </w:t>
            </w:r>
            <w:r w:rsidR="002F02BD" w:rsidRPr="002E3BE2">
              <w:rPr>
                <w:rFonts w:cs="Times New Roman"/>
                <w:sz w:val="22"/>
                <w:lang w:val="lv-LV"/>
              </w:rPr>
              <w:t>E</w:t>
            </w:r>
            <w:r>
              <w:rPr>
                <w:rFonts w:cs="Times New Roman"/>
                <w:sz w:val="22"/>
                <w:lang w:val="lv-LV"/>
              </w:rPr>
              <w:t>iropas Lauksaimniecības Komisāriem</w:t>
            </w:r>
          </w:p>
        </w:tc>
        <w:tc>
          <w:tcPr>
            <w:tcW w:w="8013" w:type="dxa"/>
          </w:tcPr>
          <w:p w:rsidR="00E82728" w:rsidRPr="002E3BE2" w:rsidRDefault="002F02BD" w:rsidP="00E82728">
            <w:pPr>
              <w:rPr>
                <w:rFonts w:cs="Times New Roman"/>
                <w:sz w:val="22"/>
                <w:lang w:val="lv-LV"/>
              </w:rPr>
            </w:pPr>
            <w:r w:rsidRPr="002E3BE2">
              <w:rPr>
                <w:rFonts w:cs="Times New Roman"/>
                <w:sz w:val="22"/>
                <w:lang w:val="lv-LV"/>
              </w:rPr>
              <w:t xml:space="preserve">18.septembrī norisinājās Eiropas Savienības Lauksaimniecības un lauku attīstības komisāra vizīte Latvijā, kurai gatavojoties Latvijas vadībā ir sagatavota kopēja piecu valstu (Latvijas, Lietuvas un Igaunijas, Polijas, Somijas)  prasība ar galveno uzsvaru uz nepieciešamību pēc papildus finansējuma piena nozares atbalstam valstīs, kuras </w:t>
            </w:r>
            <w:r w:rsidRPr="002E3BE2">
              <w:rPr>
                <w:rFonts w:cs="Times New Roman"/>
                <w:sz w:val="22"/>
                <w:lang w:val="lv-LV"/>
              </w:rPr>
              <w:lastRenderedPageBreak/>
              <w:t xml:space="preserve">visvairāk cietušas Krievijas sankciju rezultātā. Šī prasība tika iesniegta komisāram viņa vizītes laikā Latvijā. </w:t>
            </w:r>
          </w:p>
          <w:p w:rsidR="002B592D" w:rsidRDefault="002B592D" w:rsidP="00E82728">
            <w:pPr>
              <w:rPr>
                <w:rFonts w:cs="Times New Roman"/>
                <w:sz w:val="22"/>
                <w:lang w:val="lv-LV"/>
              </w:rPr>
            </w:pPr>
          </w:p>
          <w:p w:rsidR="00E82728" w:rsidRPr="002E3BE2" w:rsidRDefault="00E82728" w:rsidP="00E82728">
            <w:pPr>
              <w:rPr>
                <w:rFonts w:cs="Times New Roman"/>
                <w:sz w:val="22"/>
                <w:lang w:val="lv-LV"/>
              </w:rPr>
            </w:pPr>
            <w:r w:rsidRPr="002E3BE2">
              <w:rPr>
                <w:rFonts w:cs="Times New Roman"/>
                <w:sz w:val="22"/>
                <w:lang w:val="lv-LV"/>
              </w:rPr>
              <w:t xml:space="preserve">10.novembrī notika 3 Baltijas valstu un Somijas tikšanās ar jauno ES lauksaimniecības un lauku attīstības komisāru </w:t>
            </w:r>
            <w:proofErr w:type="spellStart"/>
            <w:r w:rsidRPr="002E3BE2">
              <w:rPr>
                <w:rFonts w:cs="Times New Roman"/>
                <w:sz w:val="22"/>
                <w:lang w:val="lv-LV"/>
              </w:rPr>
              <w:t>F.Hoganu</w:t>
            </w:r>
            <w:proofErr w:type="spellEnd"/>
            <w:r w:rsidRPr="002E3BE2">
              <w:rPr>
                <w:rFonts w:cs="Times New Roman"/>
                <w:sz w:val="22"/>
                <w:lang w:val="lv-LV"/>
              </w:rPr>
              <w:t xml:space="preserve">. Sagatavots un iesniegts dokuments, kurā atkārtoti uzsvērts, ka līdzšinējie pasākumi nav pietiekami un nebija mērķēti uz ražotājiem, pasākumi ir nepieciešami nekavējoties un finansējumam ir jābūt adekvātam. Sarunas laikā komisārs pauda sapratni par pastāvošo problēmu, taču arī norādīja, ka vispirms ir budžetā jārod finanšu līdzekļi šādam atbalstam.  </w:t>
            </w:r>
          </w:p>
        </w:tc>
      </w:tr>
    </w:tbl>
    <w:p w:rsidR="002F02BD" w:rsidRPr="001A717B" w:rsidRDefault="002F02BD" w:rsidP="002F02BD">
      <w:pPr>
        <w:rPr>
          <w:sz w:val="22"/>
        </w:rPr>
      </w:pPr>
    </w:p>
    <w:p w:rsidR="002F02BD" w:rsidRPr="001A717B" w:rsidRDefault="002F02BD" w:rsidP="002F02BD">
      <w:pPr>
        <w:ind w:firstLine="567"/>
        <w:jc w:val="both"/>
      </w:pPr>
    </w:p>
    <w:p w:rsidR="00BA3844" w:rsidRPr="00BA3844" w:rsidRDefault="00BA3844" w:rsidP="00ED2E14">
      <w:pPr>
        <w:tabs>
          <w:tab w:val="left" w:pos="11907"/>
        </w:tabs>
        <w:ind w:firstLine="709"/>
        <w:jc w:val="both"/>
        <w:rPr>
          <w:szCs w:val="28"/>
        </w:rPr>
      </w:pPr>
    </w:p>
    <w:p w:rsidR="00BA3844" w:rsidRPr="008F0BDD" w:rsidRDefault="00510AC5" w:rsidP="00ED2E14">
      <w:pPr>
        <w:tabs>
          <w:tab w:val="right" w:pos="9072"/>
          <w:tab w:val="left" w:pos="11907"/>
        </w:tabs>
        <w:rPr>
          <w:sz w:val="26"/>
          <w:szCs w:val="26"/>
        </w:rPr>
      </w:pPr>
      <w:r w:rsidRPr="008F0BDD">
        <w:rPr>
          <w:sz w:val="26"/>
          <w:szCs w:val="26"/>
        </w:rPr>
        <w:t>Ekonomikas ministre</w:t>
      </w:r>
      <w:r w:rsidR="00ED2E14" w:rsidRPr="008F0BDD">
        <w:rPr>
          <w:sz w:val="26"/>
          <w:szCs w:val="26"/>
        </w:rPr>
        <w:tab/>
      </w:r>
      <w:r w:rsidR="00ED2E14" w:rsidRPr="008F0BDD">
        <w:rPr>
          <w:sz w:val="26"/>
          <w:szCs w:val="26"/>
        </w:rPr>
        <w:tab/>
      </w:r>
      <w:proofErr w:type="spellStart"/>
      <w:r w:rsidR="00ED2E14" w:rsidRPr="008F0BDD">
        <w:rPr>
          <w:sz w:val="26"/>
          <w:szCs w:val="26"/>
        </w:rPr>
        <w:t>D.</w:t>
      </w:r>
      <w:r w:rsidRPr="008F0BDD">
        <w:rPr>
          <w:sz w:val="26"/>
          <w:szCs w:val="26"/>
        </w:rPr>
        <w:t>Reizniece-Ozola</w:t>
      </w:r>
      <w:proofErr w:type="spellEnd"/>
    </w:p>
    <w:p w:rsidR="00BA3844" w:rsidRPr="008F0BDD" w:rsidRDefault="00BA3844" w:rsidP="00ED2E14">
      <w:pPr>
        <w:tabs>
          <w:tab w:val="right" w:pos="9639"/>
          <w:tab w:val="left" w:pos="11907"/>
        </w:tabs>
        <w:jc w:val="both"/>
        <w:rPr>
          <w:sz w:val="26"/>
          <w:szCs w:val="26"/>
        </w:rPr>
      </w:pPr>
    </w:p>
    <w:p w:rsidR="00BA3844" w:rsidRPr="008F0BDD" w:rsidRDefault="00BA3844" w:rsidP="00ED2E14">
      <w:pPr>
        <w:tabs>
          <w:tab w:val="right" w:pos="9639"/>
          <w:tab w:val="left" w:pos="11907"/>
        </w:tabs>
        <w:jc w:val="both"/>
        <w:rPr>
          <w:sz w:val="26"/>
          <w:szCs w:val="26"/>
        </w:rPr>
      </w:pPr>
    </w:p>
    <w:p w:rsidR="00BA3844" w:rsidRPr="008F0BDD" w:rsidRDefault="00BA3844" w:rsidP="00ED2E14">
      <w:pPr>
        <w:tabs>
          <w:tab w:val="right" w:pos="9639"/>
          <w:tab w:val="left" w:pos="11907"/>
        </w:tabs>
        <w:jc w:val="both"/>
        <w:rPr>
          <w:sz w:val="26"/>
          <w:szCs w:val="26"/>
        </w:rPr>
      </w:pPr>
      <w:r w:rsidRPr="008F0BDD">
        <w:rPr>
          <w:sz w:val="26"/>
          <w:szCs w:val="26"/>
        </w:rPr>
        <w:t>Vīza:</w:t>
      </w:r>
      <w:r w:rsidRPr="008F0BDD">
        <w:rPr>
          <w:sz w:val="26"/>
          <w:szCs w:val="26"/>
        </w:rPr>
        <w:tab/>
      </w:r>
      <w:r w:rsidRPr="008F0BDD">
        <w:rPr>
          <w:sz w:val="26"/>
          <w:szCs w:val="26"/>
        </w:rPr>
        <w:tab/>
      </w:r>
    </w:p>
    <w:p w:rsidR="00BA3844" w:rsidRPr="008F0BDD" w:rsidRDefault="00BA3844" w:rsidP="00ED2E14">
      <w:pPr>
        <w:tabs>
          <w:tab w:val="right" w:pos="9072"/>
          <w:tab w:val="left" w:pos="11907"/>
        </w:tabs>
        <w:rPr>
          <w:sz w:val="26"/>
          <w:szCs w:val="26"/>
        </w:rPr>
      </w:pPr>
      <w:r w:rsidRPr="008F0BDD">
        <w:rPr>
          <w:sz w:val="26"/>
          <w:szCs w:val="26"/>
        </w:rPr>
        <w:t xml:space="preserve">Valsts sekretārs </w:t>
      </w:r>
      <w:r w:rsidR="00ED2E14" w:rsidRPr="008F0BDD">
        <w:rPr>
          <w:sz w:val="26"/>
          <w:szCs w:val="26"/>
        </w:rPr>
        <w:tab/>
      </w:r>
      <w:r w:rsidR="00ED2E14" w:rsidRPr="008F0BDD">
        <w:rPr>
          <w:sz w:val="26"/>
          <w:szCs w:val="26"/>
        </w:rPr>
        <w:tab/>
      </w:r>
      <w:r w:rsidRPr="008F0BDD">
        <w:rPr>
          <w:sz w:val="26"/>
          <w:szCs w:val="26"/>
        </w:rPr>
        <w:t>M.Lazdovskis</w:t>
      </w:r>
    </w:p>
    <w:p w:rsidR="00BA3844" w:rsidRPr="008F0BDD" w:rsidRDefault="00BA3844" w:rsidP="00BA3844">
      <w:pPr>
        <w:suppressAutoHyphens/>
        <w:ind w:right="4820"/>
        <w:rPr>
          <w:rFonts w:eastAsia="Times New Roman" w:cs="Times New Roman"/>
          <w:sz w:val="26"/>
          <w:szCs w:val="26"/>
        </w:rPr>
      </w:pPr>
    </w:p>
    <w:p w:rsidR="00BA3844" w:rsidRDefault="00BA3844" w:rsidP="00BA3844"/>
    <w:p w:rsidR="002E3BE2" w:rsidRDefault="002E3BE2" w:rsidP="00BA3844"/>
    <w:p w:rsidR="002E3BE2" w:rsidRDefault="002E3BE2" w:rsidP="00BA3844"/>
    <w:p w:rsidR="002E3BE2" w:rsidRPr="00BA3844" w:rsidRDefault="002E3BE2" w:rsidP="00BA3844"/>
    <w:p w:rsidR="00BA3844" w:rsidRPr="00BA3844" w:rsidRDefault="008F0BDD" w:rsidP="00BA3844">
      <w:pPr>
        <w:suppressAutoHyphens/>
        <w:ind w:right="4820"/>
        <w:rPr>
          <w:rFonts w:eastAsia="Times New Roman" w:cs="Times New Roman"/>
          <w:sz w:val="20"/>
          <w:szCs w:val="20"/>
        </w:rPr>
      </w:pPr>
      <w:r>
        <w:rPr>
          <w:rFonts w:eastAsia="Times New Roman" w:cs="Times New Roman"/>
          <w:sz w:val="20"/>
          <w:szCs w:val="20"/>
        </w:rPr>
        <w:t>2</w:t>
      </w:r>
      <w:r w:rsidR="00F00C6B">
        <w:rPr>
          <w:rFonts w:eastAsia="Times New Roman" w:cs="Times New Roman"/>
          <w:sz w:val="20"/>
          <w:szCs w:val="20"/>
        </w:rPr>
        <w:t>0</w:t>
      </w:r>
      <w:r>
        <w:rPr>
          <w:rFonts w:eastAsia="Times New Roman" w:cs="Times New Roman"/>
          <w:sz w:val="20"/>
          <w:szCs w:val="20"/>
        </w:rPr>
        <w:t>.11.2014 17:33</w:t>
      </w:r>
    </w:p>
    <w:p w:rsidR="00BA3844" w:rsidRPr="00BA3844" w:rsidRDefault="008F0BDD" w:rsidP="00BA3844">
      <w:pPr>
        <w:suppressAutoHyphens/>
        <w:ind w:right="4820"/>
        <w:rPr>
          <w:rFonts w:eastAsia="Times New Roman" w:cs="Times New Roman"/>
          <w:sz w:val="20"/>
          <w:szCs w:val="20"/>
        </w:rPr>
      </w:pPr>
      <w:r>
        <w:rPr>
          <w:rFonts w:eastAsia="Times New Roman" w:cs="Times New Roman"/>
          <w:sz w:val="20"/>
          <w:szCs w:val="20"/>
        </w:rPr>
        <w:t>24</w:t>
      </w:r>
      <w:r w:rsidR="00F00C6B">
        <w:rPr>
          <w:rFonts w:eastAsia="Times New Roman" w:cs="Times New Roman"/>
          <w:sz w:val="20"/>
          <w:szCs w:val="20"/>
        </w:rPr>
        <w:t>18</w:t>
      </w:r>
      <w:r w:rsidR="00BA3844" w:rsidRPr="00BA3844">
        <w:rPr>
          <w:rFonts w:eastAsia="Times New Roman" w:cs="Times New Roman"/>
          <w:sz w:val="20"/>
          <w:szCs w:val="20"/>
        </w:rPr>
        <w:br/>
        <w:t>Ilze Beināre, 67013151</w:t>
      </w:r>
    </w:p>
    <w:p w:rsidR="00BA3844" w:rsidRPr="00BA3844" w:rsidRDefault="00460063" w:rsidP="00BA3844">
      <w:pPr>
        <w:suppressAutoHyphens/>
        <w:ind w:right="4820"/>
        <w:rPr>
          <w:rFonts w:eastAsia="Times New Roman" w:cs="Times New Roman"/>
          <w:sz w:val="20"/>
          <w:szCs w:val="20"/>
        </w:rPr>
      </w:pPr>
      <w:hyperlink r:id="rId9" w:history="1">
        <w:r w:rsidR="00BA3844" w:rsidRPr="00BA3844">
          <w:rPr>
            <w:rFonts w:eastAsia="Times New Roman" w:cs="Times New Roman"/>
            <w:sz w:val="20"/>
            <w:szCs w:val="20"/>
            <w:u w:val="single"/>
          </w:rPr>
          <w:t>Ilze.Beinare@em.gov.lv</w:t>
        </w:r>
      </w:hyperlink>
    </w:p>
    <w:p w:rsidR="00BA3844" w:rsidRPr="00BA3844" w:rsidRDefault="00BA3844" w:rsidP="00BA3844">
      <w:pPr>
        <w:jc w:val="right"/>
        <w:rPr>
          <w:sz w:val="24"/>
        </w:rPr>
      </w:pPr>
    </w:p>
    <w:p w:rsidR="008F505F" w:rsidRDefault="008F505F">
      <w:bookmarkStart w:id="0" w:name="_GoBack"/>
      <w:bookmarkEnd w:id="0"/>
    </w:p>
    <w:sectPr w:rsidR="008F505F" w:rsidSect="0074002F">
      <w:headerReference w:type="default" r:id="rId10"/>
      <w:footerReference w:type="default" r:id="rId11"/>
      <w:pgSz w:w="16838" w:h="11906" w:orient="landscape" w:code="9"/>
      <w:pgMar w:top="811" w:right="1418" w:bottom="1134" w:left="1134"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63" w:rsidRDefault="00460063" w:rsidP="002F02BD">
      <w:r>
        <w:separator/>
      </w:r>
    </w:p>
  </w:endnote>
  <w:endnote w:type="continuationSeparator" w:id="0">
    <w:p w:rsidR="00460063" w:rsidRDefault="00460063" w:rsidP="002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BD" w:rsidRPr="002F02BD" w:rsidRDefault="002F02BD" w:rsidP="002F02BD">
    <w:pPr>
      <w:pStyle w:val="Footer"/>
      <w:ind w:right="360"/>
      <w:jc w:val="both"/>
      <w:rPr>
        <w:sz w:val="20"/>
        <w:szCs w:val="20"/>
      </w:rPr>
    </w:pPr>
    <w:r w:rsidRPr="002F02BD">
      <w:rPr>
        <w:sz w:val="20"/>
        <w:szCs w:val="20"/>
      </w:rPr>
      <w:t>EMZino_</w:t>
    </w:r>
    <w:r>
      <w:rPr>
        <w:sz w:val="20"/>
        <w:szCs w:val="20"/>
      </w:rPr>
      <w:t>P1_</w:t>
    </w:r>
    <w:r w:rsidR="002E3BE2">
      <w:rPr>
        <w:sz w:val="20"/>
        <w:szCs w:val="20"/>
      </w:rPr>
      <w:t>2011</w:t>
    </w:r>
    <w:r w:rsidRPr="002F02BD">
      <w:rPr>
        <w:sz w:val="20"/>
        <w:szCs w:val="20"/>
      </w:rPr>
      <w:t>14_paveiktais; Informatīvais ziņojums par pasākumiem Krievijas eko</w:t>
    </w:r>
    <w:r w:rsidR="00F20E4D">
      <w:rPr>
        <w:sz w:val="20"/>
        <w:szCs w:val="20"/>
      </w:rPr>
      <w:t>nomisko sankciju negatīvo</w:t>
    </w:r>
    <w:r w:rsidRPr="002F02BD">
      <w:rPr>
        <w:sz w:val="20"/>
        <w:szCs w:val="20"/>
      </w:rPr>
      <w:t xml:space="preserve"> </w:t>
    </w:r>
    <w:r w:rsidR="00F20E4D">
      <w:rPr>
        <w:sz w:val="20"/>
        <w:szCs w:val="20"/>
      </w:rPr>
      <w:t>seku</w:t>
    </w:r>
    <w:r w:rsidRPr="002F02BD">
      <w:rPr>
        <w:sz w:val="20"/>
        <w:szCs w:val="20"/>
      </w:rPr>
      <w:t xml:space="preserve"> mazināšanai</w:t>
    </w:r>
  </w:p>
  <w:p w:rsidR="002F02BD" w:rsidRDefault="002F02BD">
    <w:pPr>
      <w:pStyle w:val="Footer"/>
    </w:pPr>
  </w:p>
  <w:p w:rsidR="002F02BD" w:rsidRDefault="002F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63" w:rsidRDefault="00460063" w:rsidP="002F02BD">
      <w:r>
        <w:separator/>
      </w:r>
    </w:p>
  </w:footnote>
  <w:footnote w:type="continuationSeparator" w:id="0">
    <w:p w:rsidR="00460063" w:rsidRDefault="00460063" w:rsidP="002F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2913"/>
      <w:docPartObj>
        <w:docPartGallery w:val="Page Numbers (Top of Page)"/>
        <w:docPartUnique/>
      </w:docPartObj>
    </w:sdtPr>
    <w:sdtEndPr>
      <w:rPr>
        <w:noProof/>
        <w:sz w:val="22"/>
      </w:rPr>
    </w:sdtEndPr>
    <w:sdtContent>
      <w:p w:rsidR="002F4C20" w:rsidRPr="002F4C20" w:rsidRDefault="002F4C20">
        <w:pPr>
          <w:pStyle w:val="Header"/>
          <w:jc w:val="center"/>
          <w:rPr>
            <w:sz w:val="22"/>
          </w:rPr>
        </w:pPr>
        <w:r w:rsidRPr="002F4C20">
          <w:rPr>
            <w:sz w:val="22"/>
          </w:rPr>
          <w:fldChar w:fldCharType="begin"/>
        </w:r>
        <w:r w:rsidRPr="002F4C20">
          <w:rPr>
            <w:sz w:val="22"/>
          </w:rPr>
          <w:instrText xml:space="preserve"> PAGE   \* MERGEFORMAT </w:instrText>
        </w:r>
        <w:r w:rsidRPr="002F4C20">
          <w:rPr>
            <w:sz w:val="22"/>
          </w:rPr>
          <w:fldChar w:fldCharType="separate"/>
        </w:r>
        <w:r w:rsidR="00F00C6B">
          <w:rPr>
            <w:noProof/>
            <w:sz w:val="22"/>
          </w:rPr>
          <w:t>7</w:t>
        </w:r>
        <w:r w:rsidRPr="002F4C20">
          <w:rPr>
            <w:noProof/>
            <w:sz w:val="22"/>
          </w:rPr>
          <w:fldChar w:fldCharType="end"/>
        </w:r>
      </w:p>
    </w:sdtContent>
  </w:sdt>
  <w:p w:rsidR="002F4C20" w:rsidRDefault="002F4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BD"/>
    <w:rsid w:val="00035A97"/>
    <w:rsid w:val="000B3959"/>
    <w:rsid w:val="00193CEC"/>
    <w:rsid w:val="00195730"/>
    <w:rsid w:val="001C24F5"/>
    <w:rsid w:val="00206F3F"/>
    <w:rsid w:val="00271008"/>
    <w:rsid w:val="00277E07"/>
    <w:rsid w:val="002B592D"/>
    <w:rsid w:val="002D3654"/>
    <w:rsid w:val="002E3BE2"/>
    <w:rsid w:val="002F02BD"/>
    <w:rsid w:val="002F4C20"/>
    <w:rsid w:val="0031324E"/>
    <w:rsid w:val="003C7C47"/>
    <w:rsid w:val="004278D2"/>
    <w:rsid w:val="00460063"/>
    <w:rsid w:val="00482515"/>
    <w:rsid w:val="004B0590"/>
    <w:rsid w:val="00501A49"/>
    <w:rsid w:val="00510AC5"/>
    <w:rsid w:val="005A1E85"/>
    <w:rsid w:val="00672F46"/>
    <w:rsid w:val="00776BF7"/>
    <w:rsid w:val="007F1707"/>
    <w:rsid w:val="008D6034"/>
    <w:rsid w:val="008E1B48"/>
    <w:rsid w:val="008F0BDD"/>
    <w:rsid w:val="008F505F"/>
    <w:rsid w:val="009C36C9"/>
    <w:rsid w:val="00A6300C"/>
    <w:rsid w:val="00A648E1"/>
    <w:rsid w:val="00BA3844"/>
    <w:rsid w:val="00C157A9"/>
    <w:rsid w:val="00D451EB"/>
    <w:rsid w:val="00E244D6"/>
    <w:rsid w:val="00E76C55"/>
    <w:rsid w:val="00E82728"/>
    <w:rsid w:val="00ED2E14"/>
    <w:rsid w:val="00F00C6B"/>
    <w:rsid w:val="00F20E4D"/>
    <w:rsid w:val="00F4407E"/>
    <w:rsid w:val="00F564A9"/>
    <w:rsid w:val="00FB7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B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F02BD"/>
    <w:pPr>
      <w:spacing w:after="0" w:line="240" w:lineRule="auto"/>
    </w:pPr>
    <w:rPr>
      <w:rFonts w:ascii="Times New Roman" w:hAnsi="Times New Roman"/>
      <w:sz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2BD"/>
    <w:pPr>
      <w:tabs>
        <w:tab w:val="center" w:pos="4153"/>
        <w:tab w:val="right" w:pos="8306"/>
      </w:tabs>
    </w:pPr>
  </w:style>
  <w:style w:type="character" w:customStyle="1" w:styleId="HeaderChar">
    <w:name w:val="Header Char"/>
    <w:basedOn w:val="DefaultParagraphFont"/>
    <w:link w:val="Header"/>
    <w:uiPriority w:val="99"/>
    <w:rsid w:val="002F02BD"/>
    <w:rPr>
      <w:rFonts w:ascii="Times New Roman" w:hAnsi="Times New Roman"/>
      <w:sz w:val="28"/>
    </w:rPr>
  </w:style>
  <w:style w:type="paragraph" w:styleId="Footer">
    <w:name w:val="footer"/>
    <w:basedOn w:val="Normal"/>
    <w:link w:val="FooterChar"/>
    <w:uiPriority w:val="99"/>
    <w:unhideWhenUsed/>
    <w:rsid w:val="002F02BD"/>
    <w:pPr>
      <w:tabs>
        <w:tab w:val="center" w:pos="4153"/>
        <w:tab w:val="right" w:pos="8306"/>
      </w:tabs>
    </w:pPr>
  </w:style>
  <w:style w:type="character" w:customStyle="1" w:styleId="FooterChar">
    <w:name w:val="Footer Char"/>
    <w:basedOn w:val="DefaultParagraphFont"/>
    <w:link w:val="Footer"/>
    <w:uiPriority w:val="99"/>
    <w:rsid w:val="002F02BD"/>
    <w:rPr>
      <w:rFonts w:ascii="Times New Roman" w:hAnsi="Times New Roman"/>
      <w:sz w:val="28"/>
    </w:rPr>
  </w:style>
  <w:style w:type="paragraph" w:styleId="BalloonText">
    <w:name w:val="Balloon Text"/>
    <w:basedOn w:val="Normal"/>
    <w:link w:val="BalloonTextChar"/>
    <w:uiPriority w:val="99"/>
    <w:semiHidden/>
    <w:unhideWhenUsed/>
    <w:rsid w:val="002F02BD"/>
    <w:rPr>
      <w:rFonts w:ascii="Tahoma" w:hAnsi="Tahoma" w:cs="Tahoma"/>
      <w:sz w:val="16"/>
      <w:szCs w:val="16"/>
    </w:rPr>
  </w:style>
  <w:style w:type="character" w:customStyle="1" w:styleId="BalloonTextChar">
    <w:name w:val="Balloon Text Char"/>
    <w:basedOn w:val="DefaultParagraphFont"/>
    <w:link w:val="BalloonText"/>
    <w:uiPriority w:val="99"/>
    <w:semiHidden/>
    <w:rsid w:val="002F02BD"/>
    <w:rPr>
      <w:rFonts w:ascii="Tahoma" w:hAnsi="Tahoma" w:cs="Tahoma"/>
      <w:sz w:val="16"/>
      <w:szCs w:val="16"/>
    </w:rPr>
  </w:style>
  <w:style w:type="character" w:styleId="CommentReference">
    <w:name w:val="annotation reference"/>
    <w:basedOn w:val="DefaultParagraphFont"/>
    <w:uiPriority w:val="99"/>
    <w:semiHidden/>
    <w:unhideWhenUsed/>
    <w:rsid w:val="005A1E85"/>
    <w:rPr>
      <w:sz w:val="16"/>
      <w:szCs w:val="16"/>
    </w:rPr>
  </w:style>
  <w:style w:type="paragraph" w:styleId="CommentText">
    <w:name w:val="annotation text"/>
    <w:basedOn w:val="Normal"/>
    <w:link w:val="CommentTextChar"/>
    <w:uiPriority w:val="99"/>
    <w:semiHidden/>
    <w:unhideWhenUsed/>
    <w:rsid w:val="005A1E85"/>
    <w:rPr>
      <w:sz w:val="20"/>
      <w:szCs w:val="20"/>
    </w:rPr>
  </w:style>
  <w:style w:type="character" w:customStyle="1" w:styleId="CommentTextChar">
    <w:name w:val="Comment Text Char"/>
    <w:basedOn w:val="DefaultParagraphFont"/>
    <w:link w:val="CommentText"/>
    <w:uiPriority w:val="99"/>
    <w:semiHidden/>
    <w:rsid w:val="005A1E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1E85"/>
    <w:rPr>
      <w:b/>
      <w:bCs/>
    </w:rPr>
  </w:style>
  <w:style w:type="character" w:customStyle="1" w:styleId="CommentSubjectChar">
    <w:name w:val="Comment Subject Char"/>
    <w:basedOn w:val="CommentTextChar"/>
    <w:link w:val="CommentSubject"/>
    <w:uiPriority w:val="99"/>
    <w:semiHidden/>
    <w:rsid w:val="005A1E8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B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F02BD"/>
    <w:pPr>
      <w:spacing w:after="0" w:line="240" w:lineRule="auto"/>
    </w:pPr>
    <w:rPr>
      <w:rFonts w:ascii="Times New Roman" w:hAnsi="Times New Roman"/>
      <w:sz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2BD"/>
    <w:pPr>
      <w:tabs>
        <w:tab w:val="center" w:pos="4153"/>
        <w:tab w:val="right" w:pos="8306"/>
      </w:tabs>
    </w:pPr>
  </w:style>
  <w:style w:type="character" w:customStyle="1" w:styleId="HeaderChar">
    <w:name w:val="Header Char"/>
    <w:basedOn w:val="DefaultParagraphFont"/>
    <w:link w:val="Header"/>
    <w:uiPriority w:val="99"/>
    <w:rsid w:val="002F02BD"/>
    <w:rPr>
      <w:rFonts w:ascii="Times New Roman" w:hAnsi="Times New Roman"/>
      <w:sz w:val="28"/>
    </w:rPr>
  </w:style>
  <w:style w:type="paragraph" w:styleId="Footer">
    <w:name w:val="footer"/>
    <w:basedOn w:val="Normal"/>
    <w:link w:val="FooterChar"/>
    <w:uiPriority w:val="99"/>
    <w:unhideWhenUsed/>
    <w:rsid w:val="002F02BD"/>
    <w:pPr>
      <w:tabs>
        <w:tab w:val="center" w:pos="4153"/>
        <w:tab w:val="right" w:pos="8306"/>
      </w:tabs>
    </w:pPr>
  </w:style>
  <w:style w:type="character" w:customStyle="1" w:styleId="FooterChar">
    <w:name w:val="Footer Char"/>
    <w:basedOn w:val="DefaultParagraphFont"/>
    <w:link w:val="Footer"/>
    <w:uiPriority w:val="99"/>
    <w:rsid w:val="002F02BD"/>
    <w:rPr>
      <w:rFonts w:ascii="Times New Roman" w:hAnsi="Times New Roman"/>
      <w:sz w:val="28"/>
    </w:rPr>
  </w:style>
  <w:style w:type="paragraph" w:styleId="BalloonText">
    <w:name w:val="Balloon Text"/>
    <w:basedOn w:val="Normal"/>
    <w:link w:val="BalloonTextChar"/>
    <w:uiPriority w:val="99"/>
    <w:semiHidden/>
    <w:unhideWhenUsed/>
    <w:rsid w:val="002F02BD"/>
    <w:rPr>
      <w:rFonts w:ascii="Tahoma" w:hAnsi="Tahoma" w:cs="Tahoma"/>
      <w:sz w:val="16"/>
      <w:szCs w:val="16"/>
    </w:rPr>
  </w:style>
  <w:style w:type="character" w:customStyle="1" w:styleId="BalloonTextChar">
    <w:name w:val="Balloon Text Char"/>
    <w:basedOn w:val="DefaultParagraphFont"/>
    <w:link w:val="BalloonText"/>
    <w:uiPriority w:val="99"/>
    <w:semiHidden/>
    <w:rsid w:val="002F02BD"/>
    <w:rPr>
      <w:rFonts w:ascii="Tahoma" w:hAnsi="Tahoma" w:cs="Tahoma"/>
      <w:sz w:val="16"/>
      <w:szCs w:val="16"/>
    </w:rPr>
  </w:style>
  <w:style w:type="character" w:styleId="CommentReference">
    <w:name w:val="annotation reference"/>
    <w:basedOn w:val="DefaultParagraphFont"/>
    <w:uiPriority w:val="99"/>
    <w:semiHidden/>
    <w:unhideWhenUsed/>
    <w:rsid w:val="005A1E85"/>
    <w:rPr>
      <w:sz w:val="16"/>
      <w:szCs w:val="16"/>
    </w:rPr>
  </w:style>
  <w:style w:type="paragraph" w:styleId="CommentText">
    <w:name w:val="annotation text"/>
    <w:basedOn w:val="Normal"/>
    <w:link w:val="CommentTextChar"/>
    <w:uiPriority w:val="99"/>
    <w:semiHidden/>
    <w:unhideWhenUsed/>
    <w:rsid w:val="005A1E85"/>
    <w:rPr>
      <w:sz w:val="20"/>
      <w:szCs w:val="20"/>
    </w:rPr>
  </w:style>
  <w:style w:type="character" w:customStyle="1" w:styleId="CommentTextChar">
    <w:name w:val="Comment Text Char"/>
    <w:basedOn w:val="DefaultParagraphFont"/>
    <w:link w:val="CommentText"/>
    <w:uiPriority w:val="99"/>
    <w:semiHidden/>
    <w:rsid w:val="005A1E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1E85"/>
    <w:rPr>
      <w:b/>
      <w:bCs/>
    </w:rPr>
  </w:style>
  <w:style w:type="character" w:customStyle="1" w:styleId="CommentSubjectChar">
    <w:name w:val="Comment Subject Char"/>
    <w:basedOn w:val="CommentTextChar"/>
    <w:link w:val="CommentSubject"/>
    <w:uiPriority w:val="99"/>
    <w:semiHidden/>
    <w:rsid w:val="005A1E8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398">
      <w:bodyDiv w:val="1"/>
      <w:marLeft w:val="0"/>
      <w:marRight w:val="0"/>
      <w:marTop w:val="0"/>
      <w:marBottom w:val="0"/>
      <w:divBdr>
        <w:top w:val="none" w:sz="0" w:space="0" w:color="auto"/>
        <w:left w:val="none" w:sz="0" w:space="0" w:color="auto"/>
        <w:bottom w:val="none" w:sz="0" w:space="0" w:color="auto"/>
        <w:right w:val="none" w:sz="0" w:space="0" w:color="auto"/>
      </w:divBdr>
    </w:div>
    <w:div w:id="854462213">
      <w:bodyDiv w:val="1"/>
      <w:marLeft w:val="0"/>
      <w:marRight w:val="0"/>
      <w:marTop w:val="0"/>
      <w:marBottom w:val="0"/>
      <w:divBdr>
        <w:top w:val="none" w:sz="0" w:space="0" w:color="auto"/>
        <w:left w:val="none" w:sz="0" w:space="0" w:color="auto"/>
        <w:bottom w:val="none" w:sz="0" w:space="0" w:color="auto"/>
        <w:right w:val="none" w:sz="0" w:space="0" w:color="auto"/>
      </w:divBdr>
    </w:div>
    <w:div w:id="1529028185">
      <w:bodyDiv w:val="1"/>
      <w:marLeft w:val="0"/>
      <w:marRight w:val="0"/>
      <w:marTop w:val="0"/>
      <w:marBottom w:val="0"/>
      <w:divBdr>
        <w:top w:val="none" w:sz="0" w:space="0" w:color="auto"/>
        <w:left w:val="none" w:sz="0" w:space="0" w:color="auto"/>
        <w:bottom w:val="none" w:sz="0" w:space="0" w:color="auto"/>
        <w:right w:val="none" w:sz="0" w:space="0" w:color="auto"/>
      </w:divBdr>
    </w:div>
    <w:div w:id="18724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d.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Beinar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12872</Words>
  <Characters>7338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Beināre</dc:creator>
  <cp:lastModifiedBy>Kristaps Soms</cp:lastModifiedBy>
  <cp:revision>3</cp:revision>
  <cp:lastPrinted>2014-11-20T16:14:00Z</cp:lastPrinted>
  <dcterms:created xsi:type="dcterms:W3CDTF">2014-11-21T15:34:00Z</dcterms:created>
  <dcterms:modified xsi:type="dcterms:W3CDTF">2014-11-22T08:02:00Z</dcterms:modified>
</cp:coreProperties>
</file>