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BD" w:rsidRDefault="002F02BD" w:rsidP="002F02BD">
      <w:pPr>
        <w:jc w:val="right"/>
        <w:rPr>
          <w:rFonts w:cs="Times New Roman"/>
          <w:sz w:val="24"/>
          <w:szCs w:val="24"/>
        </w:rPr>
      </w:pPr>
      <w:r w:rsidRPr="00E507E6">
        <w:rPr>
          <w:rFonts w:cs="Times New Roman"/>
          <w:sz w:val="24"/>
          <w:szCs w:val="24"/>
        </w:rPr>
        <w:t xml:space="preserve">Pielikums </w:t>
      </w:r>
    </w:p>
    <w:p w:rsidR="002F02BD" w:rsidRDefault="00F20E4D" w:rsidP="002F02BD">
      <w:pPr>
        <w:jc w:val="right"/>
        <w:rPr>
          <w:rFonts w:cs="Times New Roman"/>
          <w:sz w:val="24"/>
          <w:szCs w:val="24"/>
        </w:rPr>
      </w:pPr>
      <w:r>
        <w:rPr>
          <w:rFonts w:cs="Times New Roman"/>
          <w:sz w:val="24"/>
          <w:szCs w:val="24"/>
        </w:rPr>
        <w:t>Informatīvajam</w:t>
      </w:r>
      <w:r w:rsidR="002F02BD" w:rsidRPr="00E507E6">
        <w:rPr>
          <w:rFonts w:cs="Times New Roman"/>
          <w:sz w:val="24"/>
          <w:szCs w:val="24"/>
        </w:rPr>
        <w:t xml:space="preserve"> ziņojum</w:t>
      </w:r>
      <w:r>
        <w:rPr>
          <w:rFonts w:cs="Times New Roman"/>
          <w:sz w:val="24"/>
          <w:szCs w:val="24"/>
        </w:rPr>
        <w:t>am</w:t>
      </w:r>
      <w:r w:rsidR="002F02BD" w:rsidRPr="00E507E6">
        <w:rPr>
          <w:rFonts w:cs="Times New Roman"/>
          <w:sz w:val="24"/>
          <w:szCs w:val="24"/>
        </w:rPr>
        <w:t xml:space="preserve"> par pasākumiem </w:t>
      </w:r>
    </w:p>
    <w:p w:rsidR="002F02BD" w:rsidRPr="00E507E6" w:rsidRDefault="002F02BD" w:rsidP="002F02BD">
      <w:pPr>
        <w:jc w:val="right"/>
        <w:rPr>
          <w:rFonts w:cs="Times New Roman"/>
          <w:sz w:val="24"/>
          <w:szCs w:val="24"/>
        </w:rPr>
      </w:pPr>
      <w:r w:rsidRPr="00E507E6">
        <w:rPr>
          <w:rFonts w:cs="Times New Roman"/>
          <w:sz w:val="24"/>
          <w:szCs w:val="24"/>
        </w:rPr>
        <w:t>Krievijas ekonomisko sankciju negatīvās ietekmes mazināšanai</w:t>
      </w:r>
    </w:p>
    <w:p w:rsidR="002F02BD" w:rsidRDefault="002F02BD" w:rsidP="002F02BD">
      <w:pPr>
        <w:jc w:val="center"/>
        <w:rPr>
          <w:rFonts w:cs="Times New Roman"/>
          <w:b/>
          <w:sz w:val="24"/>
          <w:szCs w:val="24"/>
        </w:rPr>
      </w:pPr>
    </w:p>
    <w:p w:rsidR="002F02BD" w:rsidRPr="001A717B" w:rsidRDefault="002F02BD" w:rsidP="002F02BD">
      <w:pPr>
        <w:jc w:val="center"/>
        <w:rPr>
          <w:rFonts w:cs="Times New Roman"/>
          <w:b/>
          <w:sz w:val="24"/>
          <w:szCs w:val="24"/>
        </w:rPr>
      </w:pPr>
      <w:r w:rsidRPr="001A717B">
        <w:rPr>
          <w:rFonts w:cs="Times New Roman"/>
          <w:b/>
          <w:sz w:val="24"/>
          <w:szCs w:val="24"/>
        </w:rPr>
        <w:t xml:space="preserve">Informācija par Ministru kabineta uzdevumu Krievijas ekonomisko sankciju negatīvo seku mazināšanai izpildi </w:t>
      </w:r>
    </w:p>
    <w:p w:rsidR="002F02BD" w:rsidRPr="001A717B" w:rsidRDefault="002F02BD" w:rsidP="002F02BD">
      <w:pPr>
        <w:tabs>
          <w:tab w:val="center" w:pos="4153"/>
          <w:tab w:val="right" w:pos="8306"/>
        </w:tabs>
        <w:rPr>
          <w:b/>
          <w:sz w:val="22"/>
        </w:rPr>
      </w:pPr>
    </w:p>
    <w:tbl>
      <w:tblPr>
        <w:tblStyle w:val="TableGrid2"/>
        <w:tblW w:w="14850" w:type="dxa"/>
        <w:tblLook w:val="04A0" w:firstRow="1" w:lastRow="0" w:firstColumn="1" w:lastColumn="0" w:noHBand="0" w:noVBand="1"/>
      </w:tblPr>
      <w:tblGrid>
        <w:gridCol w:w="1083"/>
        <w:gridCol w:w="1186"/>
        <w:gridCol w:w="4502"/>
        <w:gridCol w:w="8079"/>
      </w:tblGrid>
      <w:tr w:rsidR="002F02BD" w:rsidRPr="001A717B" w:rsidTr="007423AA">
        <w:tc>
          <w:tcPr>
            <w:tcW w:w="1083" w:type="dxa"/>
            <w:tcBorders>
              <w:top w:val="single" w:sz="4" w:space="0" w:color="auto"/>
            </w:tcBorders>
            <w:shd w:val="clear" w:color="auto" w:fill="FFFF00"/>
          </w:tcPr>
          <w:p w:rsidR="002F02BD" w:rsidRPr="001A717B" w:rsidRDefault="002F02BD" w:rsidP="007423AA">
            <w:pPr>
              <w:jc w:val="center"/>
              <w:rPr>
                <w:rFonts w:asciiTheme="minorHAnsi" w:hAnsiTheme="minorHAnsi"/>
                <w:b/>
                <w:sz w:val="22"/>
                <w:lang w:val="lv-LV"/>
              </w:rPr>
            </w:pPr>
            <w:proofErr w:type="spellStart"/>
            <w:r w:rsidRPr="001A717B">
              <w:rPr>
                <w:rFonts w:asciiTheme="minorHAnsi" w:hAnsiTheme="minorHAnsi"/>
                <w:b/>
                <w:sz w:val="22"/>
                <w:lang w:val="lv-LV"/>
              </w:rPr>
              <w:t>Atb</w:t>
            </w:r>
            <w:proofErr w:type="spellEnd"/>
            <w:r w:rsidRPr="001A717B">
              <w:rPr>
                <w:rFonts w:asciiTheme="minorHAnsi" w:hAnsiTheme="minorHAnsi"/>
                <w:b/>
                <w:sz w:val="22"/>
                <w:lang w:val="lv-LV"/>
              </w:rPr>
              <w:t>. ministrija</w:t>
            </w:r>
          </w:p>
        </w:tc>
        <w:tc>
          <w:tcPr>
            <w:tcW w:w="1186" w:type="dxa"/>
            <w:tcBorders>
              <w:top w:val="single" w:sz="4" w:space="0" w:color="auto"/>
            </w:tcBorders>
            <w:shd w:val="clear" w:color="auto" w:fill="FFFF00"/>
          </w:tcPr>
          <w:p w:rsidR="002F02BD" w:rsidRPr="001A717B" w:rsidRDefault="002F02BD" w:rsidP="007423AA">
            <w:pPr>
              <w:jc w:val="center"/>
              <w:rPr>
                <w:rFonts w:asciiTheme="minorHAnsi" w:hAnsiTheme="minorHAnsi"/>
                <w:b/>
                <w:sz w:val="22"/>
                <w:lang w:val="lv-LV"/>
              </w:rPr>
            </w:pPr>
            <w:r w:rsidRPr="001A717B">
              <w:rPr>
                <w:rFonts w:asciiTheme="minorHAnsi" w:hAnsiTheme="minorHAnsi"/>
                <w:b/>
                <w:sz w:val="22"/>
                <w:lang w:val="lv-LV"/>
              </w:rPr>
              <w:t>Uzdevuma datums</w:t>
            </w:r>
          </w:p>
        </w:tc>
        <w:tc>
          <w:tcPr>
            <w:tcW w:w="4502" w:type="dxa"/>
            <w:tcBorders>
              <w:top w:val="single" w:sz="4" w:space="0" w:color="auto"/>
            </w:tcBorders>
            <w:shd w:val="clear" w:color="auto" w:fill="FFFF00"/>
          </w:tcPr>
          <w:p w:rsidR="002F02BD" w:rsidRPr="001A717B" w:rsidRDefault="002F02BD" w:rsidP="007423AA">
            <w:pPr>
              <w:rPr>
                <w:rFonts w:asciiTheme="minorHAnsi" w:hAnsiTheme="minorHAnsi"/>
                <w:b/>
                <w:sz w:val="22"/>
                <w:lang w:val="lv-LV"/>
              </w:rPr>
            </w:pPr>
            <w:r w:rsidRPr="001A717B">
              <w:rPr>
                <w:rFonts w:asciiTheme="minorHAnsi" w:hAnsiTheme="minorHAnsi"/>
                <w:b/>
                <w:sz w:val="22"/>
                <w:lang w:val="lv-LV"/>
              </w:rPr>
              <w:t>Uzdevums</w:t>
            </w:r>
          </w:p>
        </w:tc>
        <w:tc>
          <w:tcPr>
            <w:tcW w:w="8079" w:type="dxa"/>
            <w:tcBorders>
              <w:top w:val="single" w:sz="4" w:space="0" w:color="auto"/>
            </w:tcBorders>
            <w:shd w:val="clear" w:color="auto" w:fill="FFFF00"/>
          </w:tcPr>
          <w:p w:rsidR="002F02BD" w:rsidRPr="001A717B" w:rsidRDefault="002F02BD" w:rsidP="007423AA">
            <w:pPr>
              <w:rPr>
                <w:rFonts w:asciiTheme="minorHAnsi" w:hAnsiTheme="minorHAnsi" w:cs="Times New Roman"/>
                <w:b/>
                <w:sz w:val="22"/>
                <w:lang w:val="lv-LV"/>
              </w:rPr>
            </w:pPr>
            <w:r w:rsidRPr="001A717B">
              <w:rPr>
                <w:rFonts w:asciiTheme="minorHAnsi" w:hAnsiTheme="minorHAnsi" w:cs="Times New Roman"/>
                <w:b/>
                <w:sz w:val="22"/>
                <w:lang w:val="lv-LV"/>
              </w:rPr>
              <w:t>Izpildes gaita</w:t>
            </w:r>
          </w:p>
        </w:tc>
      </w:tr>
      <w:tr w:rsidR="002F02BD" w:rsidRPr="001A717B" w:rsidTr="007423AA">
        <w:tc>
          <w:tcPr>
            <w:tcW w:w="1083" w:type="dxa"/>
            <w:vMerge w:val="restart"/>
            <w:shd w:val="clear" w:color="auto" w:fill="D9D9D9" w:themeFill="background1" w:themeFillShade="D9"/>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EM</w:t>
            </w:r>
          </w:p>
        </w:tc>
        <w:tc>
          <w:tcPr>
            <w:tcW w:w="1186" w:type="dxa"/>
            <w:vMerge w:val="restart"/>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12.08</w:t>
            </w:r>
          </w:p>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Sagatavot grozījumus MK noteikumos Nr.997, paredzot komersantiem un lauksaimniecības pakalpojumu kooperatīvajām sabiedrībām (komercdarbību un lauksaimniecības pakalpojumu kooperatīvo sabiedrību darbību regulējošo normatīvo aktu izpratnē) </w:t>
            </w:r>
            <w:proofErr w:type="spellStart"/>
            <w:r w:rsidRPr="001A717B">
              <w:rPr>
                <w:rFonts w:asciiTheme="minorHAnsi" w:hAnsiTheme="minorHAnsi"/>
                <w:sz w:val="22"/>
                <w:lang w:val="lv-LV"/>
              </w:rPr>
              <w:t>kredītbrīvdienu</w:t>
            </w:r>
            <w:proofErr w:type="spellEnd"/>
            <w:r w:rsidRPr="001A717B">
              <w:rPr>
                <w:rFonts w:asciiTheme="minorHAnsi" w:hAnsiTheme="minorHAnsi"/>
                <w:sz w:val="22"/>
                <w:lang w:val="lv-LV"/>
              </w:rPr>
              <w:t xml:space="preserve"> garantiju piešķiršanu līdz vienam gadam. Finansējuma avots garantiju nodrošinājumam ir Latvijas Garantiju aģentūras agrāk ieviesto Eiropas Savienības fondu programmu deklarētie līdzekļi un procentu ieņēmumi.</w:t>
            </w:r>
          </w:p>
        </w:tc>
        <w:tc>
          <w:tcPr>
            <w:tcW w:w="8079" w:type="dxa"/>
          </w:tcPr>
          <w:p w:rsidR="002F02BD" w:rsidRPr="001A717B" w:rsidRDefault="002F02BD" w:rsidP="007423AA">
            <w:pPr>
              <w:rPr>
                <w:rFonts w:asciiTheme="minorHAnsi" w:hAnsiTheme="minorHAnsi" w:cs="Times New Roman"/>
                <w:b/>
                <w:sz w:val="22"/>
                <w:lang w:val="lv-LV"/>
              </w:rPr>
            </w:pPr>
            <w:r w:rsidRPr="001A717B">
              <w:rPr>
                <w:rFonts w:asciiTheme="minorHAnsi" w:hAnsiTheme="minorHAnsi" w:cs="Times New Roman"/>
                <w:b/>
                <w:sz w:val="22"/>
                <w:lang w:val="lv-LV"/>
              </w:rPr>
              <w:t xml:space="preserve">IZPILDĪTS. </w:t>
            </w:r>
            <w:r w:rsidRPr="001A717B">
              <w:rPr>
                <w:rFonts w:asciiTheme="minorHAnsi" w:hAnsiTheme="minorHAnsi" w:cs="Times New Roman"/>
                <w:sz w:val="22"/>
                <w:lang w:val="lv-LV"/>
              </w:rPr>
              <w:t>Atbalstīts š.g.9.septembra MK sēdē</w:t>
            </w:r>
            <w:r w:rsidRPr="001A717B">
              <w:rPr>
                <w:rFonts w:asciiTheme="minorHAnsi" w:hAnsiTheme="minorHAnsi" w:cs="Times New Roman"/>
                <w:b/>
                <w:sz w:val="22"/>
                <w:lang w:val="lv-LV"/>
              </w:rPr>
              <w:t>.</w:t>
            </w:r>
          </w:p>
          <w:p w:rsidR="002F02BD" w:rsidRPr="001A717B" w:rsidRDefault="002F02BD" w:rsidP="007423AA">
            <w:pPr>
              <w:rPr>
                <w:rFonts w:asciiTheme="minorHAnsi" w:hAnsiTheme="minorHAnsi"/>
                <w:sz w:val="22"/>
                <w:lang w:val="lv-LV"/>
              </w:rPr>
            </w:pPr>
            <w:r>
              <w:rPr>
                <w:rFonts w:asciiTheme="minorHAnsi" w:hAnsiTheme="minorHAnsi" w:cs="Times New Roman"/>
                <w:sz w:val="22"/>
                <w:lang w:val="lv-LV"/>
              </w:rPr>
              <w:t>22.septembrī t</w:t>
            </w:r>
            <w:r w:rsidRPr="001A717B">
              <w:rPr>
                <w:rFonts w:asciiTheme="minorHAnsi" w:hAnsiTheme="minorHAnsi" w:cs="Times New Roman"/>
                <w:sz w:val="22"/>
                <w:lang w:val="lv-LV"/>
              </w:rPr>
              <w:t>ika organizēta Latvijas Garantiju aģentūras un autopārvadājumu nozares pārstāvju tikšanās, lai  skaidrotu komersantu iespējas izmantot garantijas.</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grozījumus MK noteikumos Nr.582 pārdalot finansējumu, lai līdz 2015.gada 31.decembrim turpinātu atbalstīt Latvijas komersantu aktivitātes, kas saistītas ar ieiešanu ārvalstu tirgos</w:t>
            </w:r>
          </w:p>
        </w:tc>
        <w:tc>
          <w:tcPr>
            <w:tcW w:w="8079" w:type="dxa"/>
            <w:vMerge w:val="restart"/>
          </w:tcPr>
          <w:p w:rsidR="002F02BD" w:rsidRPr="001A717B" w:rsidRDefault="002F02BD" w:rsidP="007423AA">
            <w:pPr>
              <w:rPr>
                <w:rFonts w:asciiTheme="minorHAnsi" w:hAnsiTheme="minorHAnsi"/>
                <w:sz w:val="22"/>
                <w:lang w:val="lv-LV"/>
              </w:rPr>
            </w:pPr>
            <w:r w:rsidRPr="001A717B">
              <w:rPr>
                <w:rFonts w:asciiTheme="minorHAnsi" w:hAnsiTheme="minorHAnsi" w:cs="Times New Roman"/>
                <w:b/>
                <w:sz w:val="22"/>
                <w:lang w:val="lv-LV"/>
              </w:rPr>
              <w:t xml:space="preserve">IZPILDE TURPINĀS. </w:t>
            </w:r>
            <w:r w:rsidRPr="001A717B">
              <w:rPr>
                <w:rFonts w:asciiTheme="minorHAnsi" w:hAnsiTheme="minorHAnsi" w:cs="Times New Roman"/>
                <w:sz w:val="22"/>
                <w:lang w:val="lv-LV"/>
              </w:rPr>
              <w:t xml:space="preserve">Sagatavoti grozījumi Ministru kabineta 2009.gada 17.jūnija noteikumos Nr.582 un 2010.gada 21.septembra noteikumos Nr.887 par eksporta veicināšanas aktivitātēm,  paredzot ka Krievijas sankciju skartajām pārtikas pārstrādes un transporta un loģistikas nozarēm tiek paaugstināta atbalsta intensitāte līdz 70%, kā arī iekļautas papildus attiecināmās izmaksas. Par grozījumu projektu ir saņemti priekšlikumi no Tautsaimniecības padomes dalīborganizācijām, kurus apsprieda ar organizāciju pārstāvjiem 10.un 24.septembrī. MK noteikumu projekti tiek saskaņoti ar TM un FM, kā arī darba devēju organizācijām. </w:t>
            </w:r>
          </w:p>
          <w:p w:rsidR="002F02BD" w:rsidRPr="001A717B" w:rsidRDefault="002F02BD" w:rsidP="007423AA">
            <w:pPr>
              <w:rPr>
                <w:rFonts w:asciiTheme="minorHAnsi" w:hAnsiTheme="minorHAnsi"/>
                <w:sz w:val="22"/>
                <w:lang w:val="lv-LV"/>
              </w:rPr>
            </w:pP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grozījumus MK noteikumos Nr.887 paredzot papildus 5milj. EUR un paplašinot atbalstāmās darbības un izmaksas</w:t>
            </w:r>
          </w:p>
        </w:tc>
        <w:tc>
          <w:tcPr>
            <w:tcW w:w="8079" w:type="dxa"/>
            <w:vMerge/>
          </w:tcPr>
          <w:p w:rsidR="002F02BD" w:rsidRPr="001A717B" w:rsidRDefault="002F02BD" w:rsidP="007423AA">
            <w:pPr>
              <w:rPr>
                <w:rFonts w:asciiTheme="minorHAnsi" w:hAnsiTheme="minorHAnsi"/>
                <w:sz w:val="22"/>
                <w:lang w:val="lv-LV"/>
              </w:rPr>
            </w:pPr>
          </w:p>
        </w:tc>
      </w:tr>
      <w:tr w:rsidR="002F02BD" w:rsidRPr="001A717B" w:rsidTr="007423AA">
        <w:trPr>
          <w:trHeight w:val="2041"/>
        </w:trPr>
        <w:tc>
          <w:tcPr>
            <w:tcW w:w="1083" w:type="dxa"/>
            <w:vMerge w:val="restart"/>
            <w:shd w:val="clear" w:color="auto" w:fill="D9D9D9" w:themeFill="background1" w:themeFillShade="D9"/>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lastRenderedPageBreak/>
              <w:t>FM</w:t>
            </w:r>
          </w:p>
        </w:tc>
        <w:tc>
          <w:tcPr>
            <w:tcW w:w="1186" w:type="dxa"/>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12.08</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grozījumus likumā "Par nodokļiem un nodevām", tiem nodokļu maksātājiem, kuru sankcijām pakļauto eksporta darījumu īpatsvars uz Krieviju ir lielāks par 10% no kopējā realizācijas apjoma paredzot nodokļu maksāšanas termiņa pagarinājumu līdz 5 gadiem, nepiemērojot nokavējuma naudu</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cs="Times New Roman"/>
                <w:b/>
                <w:sz w:val="22"/>
                <w:lang w:val="lv-LV"/>
              </w:rPr>
              <w:t xml:space="preserve">IZPILDĪTS. </w:t>
            </w:r>
            <w:r w:rsidRPr="001A717B">
              <w:rPr>
                <w:rFonts w:asciiTheme="minorHAnsi" w:hAnsiTheme="minorHAnsi" w:cs="Times New Roman"/>
                <w:sz w:val="22"/>
                <w:lang w:val="lv-LV"/>
              </w:rPr>
              <w:t>Likumprojekts ir izskatīts MK 26.augusta sēdē un atbalstīts Saeimā 2.lasījumā 18.09. Likumprojekts stāsies spēkā š.g.1.oktobrī, pārejas noteikumi paredz, ka nodokļu termiņa pagarinājums bez nokavējuma naudas piemērošanas varēs piemērot no sankciju ieviešanas dienas.</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26.08</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Par Transporta un loģistika nozares un SM sagatavotajiem priekšlikumiem, kas skar nodokļu jomu, FM, SM un nozares asociācijas sagatavos normatīvo aktu grozījumu redakcijas un iesniegs izskatīšanai MK </w:t>
            </w:r>
            <w:proofErr w:type="spellStart"/>
            <w:r w:rsidRPr="001A717B">
              <w:rPr>
                <w:rFonts w:asciiTheme="minorHAnsi" w:hAnsiTheme="minorHAnsi"/>
                <w:sz w:val="22"/>
                <w:lang w:val="lv-LV"/>
              </w:rPr>
              <w:t>š.g</w:t>
            </w:r>
            <w:proofErr w:type="spellEnd"/>
            <w:r w:rsidRPr="001A717B">
              <w:rPr>
                <w:rFonts w:asciiTheme="minorHAnsi" w:hAnsiTheme="minorHAnsi"/>
                <w:sz w:val="22"/>
                <w:lang w:val="lv-LV"/>
              </w:rPr>
              <w:t>. 30.septembra sēdē. Gadījumā, ja viedokļi būtiski atšķirsies un nebūs iespējams sagatavot saskaņotas redakcijas, projekti ir jāiesniedz nesaskaņoti diskusijām MK sēdē. Par jautājumiem, kuru risināšanai nav nepieciešams veikt grozījumus normatīvajos aktos, tiks iesniegts informatīvais ziņojums</w:t>
            </w:r>
          </w:p>
        </w:tc>
        <w:tc>
          <w:tcPr>
            <w:tcW w:w="8079" w:type="dxa"/>
          </w:tcPr>
          <w:p w:rsidR="002F02BD" w:rsidRPr="001A717B" w:rsidRDefault="002F02BD" w:rsidP="007423AA">
            <w:pPr>
              <w:rPr>
                <w:rFonts w:asciiTheme="minorHAnsi" w:hAnsiTheme="minorHAnsi"/>
                <w:sz w:val="22"/>
                <w:lang w:val="lv-LV"/>
              </w:rPr>
            </w:pPr>
            <w:r>
              <w:rPr>
                <w:rFonts w:asciiTheme="minorHAnsi" w:hAnsiTheme="minorHAnsi" w:cs="Times New Roman"/>
                <w:b/>
                <w:sz w:val="22"/>
                <w:lang w:val="lv-LV"/>
              </w:rPr>
              <w:t>IZPILDĪTS</w:t>
            </w:r>
            <w:r w:rsidRPr="001A717B">
              <w:rPr>
                <w:rFonts w:asciiTheme="minorHAnsi" w:hAnsiTheme="minorHAnsi" w:cs="Times New Roman"/>
                <w:b/>
                <w:sz w:val="22"/>
                <w:lang w:val="lv-LV"/>
              </w:rPr>
              <w:t xml:space="preserve">.  </w:t>
            </w:r>
            <w:r w:rsidRPr="001A717B">
              <w:rPr>
                <w:rFonts w:asciiTheme="minorHAnsi" w:hAnsiTheme="minorHAnsi" w:cs="Times New Roman"/>
                <w:sz w:val="22"/>
                <w:lang w:val="lv-LV"/>
              </w:rPr>
              <w:t xml:space="preserve">Saistībā ar priekšlikumiem tranzīta un loģistikas nozares atbalstam, </w:t>
            </w:r>
            <w:r>
              <w:rPr>
                <w:rFonts w:asciiTheme="minorHAnsi" w:hAnsiTheme="minorHAnsi" w:cs="Times New Roman"/>
                <w:sz w:val="22"/>
                <w:lang w:val="lv-LV"/>
              </w:rPr>
              <w:t xml:space="preserve">izskatīšanai </w:t>
            </w:r>
            <w:r w:rsidRPr="000A4F7D">
              <w:rPr>
                <w:rFonts w:asciiTheme="minorHAnsi" w:hAnsiTheme="minorHAnsi" w:cs="Times New Roman"/>
                <w:sz w:val="22"/>
                <w:lang w:val="lv-LV"/>
              </w:rPr>
              <w:t xml:space="preserve">š.g.30.septembra Ministru kabineta sēdē </w:t>
            </w:r>
            <w:r>
              <w:rPr>
                <w:rFonts w:asciiTheme="minorHAnsi" w:hAnsiTheme="minorHAnsi" w:cs="Times New Roman"/>
                <w:sz w:val="22"/>
                <w:lang w:val="lv-LV"/>
              </w:rPr>
              <w:t xml:space="preserve">iesniegti </w:t>
            </w:r>
            <w:r w:rsidRPr="000A4F7D">
              <w:rPr>
                <w:rFonts w:asciiTheme="minorHAnsi" w:hAnsiTheme="minorHAnsi" w:cs="Times New Roman"/>
                <w:sz w:val="22"/>
                <w:lang w:val="lv-LV"/>
              </w:rPr>
              <w:t>sekojoš</w:t>
            </w:r>
            <w:r>
              <w:rPr>
                <w:rFonts w:asciiTheme="minorHAnsi" w:hAnsiTheme="minorHAnsi" w:cs="Times New Roman"/>
                <w:sz w:val="22"/>
                <w:lang w:val="lv-LV"/>
              </w:rPr>
              <w:t>i</w:t>
            </w:r>
            <w:r w:rsidRPr="000A4F7D">
              <w:rPr>
                <w:rFonts w:asciiTheme="minorHAnsi" w:hAnsiTheme="minorHAnsi" w:cs="Times New Roman"/>
                <w:sz w:val="22"/>
                <w:lang w:val="lv-LV"/>
              </w:rPr>
              <w:t xml:space="preserve"> noteikumu projekt</w:t>
            </w:r>
            <w:r>
              <w:rPr>
                <w:rFonts w:asciiTheme="minorHAnsi" w:hAnsiTheme="minorHAnsi" w:cs="Times New Roman"/>
                <w:sz w:val="22"/>
                <w:lang w:val="lv-LV"/>
              </w:rPr>
              <w:t>i</w:t>
            </w:r>
            <w:r w:rsidRPr="000A4F7D">
              <w:rPr>
                <w:rFonts w:asciiTheme="minorHAnsi" w:hAnsiTheme="minorHAnsi" w:cs="Times New Roman"/>
                <w:sz w:val="22"/>
                <w:lang w:val="lv-LV"/>
              </w:rPr>
              <w:t xml:space="preserve">: "Pagaidu uzglabāšanas noteikumi",  "Grozījumi Ministru kabineta 2010.gada 16.novembra noteikumos Nr.1048 "Noteikumi par vienkāršoto deklarēšanu un vietējo muitošanu, atzītā nosūtītāja un atzītā saņēmēja statusu, vienoto atļauju un atzītā komersanta sertifikātu"", "Muitas procedūras-tranzīts-piemērošanas kārtība",  "Grozījumi Ministru kabineta 2010.gada 30.marta noteikumos Nr.302 "Noteikumi par akcīzes nodokļa </w:t>
            </w:r>
            <w:r>
              <w:rPr>
                <w:rFonts w:asciiTheme="minorHAnsi" w:hAnsiTheme="minorHAnsi" w:cs="Times New Roman"/>
                <w:sz w:val="22"/>
                <w:lang w:val="lv-LV"/>
              </w:rPr>
              <w:t>nodrošinājumiem"" un informatīvais ziņojums</w:t>
            </w:r>
            <w:r w:rsidRPr="000A4F7D">
              <w:rPr>
                <w:rFonts w:asciiTheme="minorHAnsi" w:hAnsiTheme="minorHAnsi" w:cs="Times New Roman"/>
                <w:sz w:val="22"/>
                <w:lang w:val="lv-LV"/>
              </w:rPr>
              <w:t xml:space="preserve"> "Par Satiksmes ministrijas izvirzītajiem priekšlikumiem Krievijas ekonomisko sankciju negatīvo seku mazināšanai tranzīta un loģistikas jomā”</w:t>
            </w:r>
            <w:r>
              <w:rPr>
                <w:rFonts w:asciiTheme="minorHAnsi" w:hAnsiTheme="minorHAnsi" w:cs="Times New Roman"/>
                <w:sz w:val="22"/>
                <w:lang w:val="lv-LV"/>
              </w:rPr>
              <w:t>.</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val="restart"/>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Papildus aktivitātes</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Nodokļu nomaksas termiņa pagarināšana (sanāksme ar partneriem)</w:t>
            </w:r>
          </w:p>
        </w:tc>
        <w:tc>
          <w:tcPr>
            <w:tcW w:w="8079" w:type="dxa"/>
          </w:tcPr>
          <w:p w:rsidR="002F02BD" w:rsidRPr="001A717B" w:rsidRDefault="002F02BD" w:rsidP="007423AA">
            <w:pPr>
              <w:rPr>
                <w:rFonts w:ascii="Calibri" w:eastAsia="Calibri" w:hAnsi="Calibri" w:cs="Times New Roman"/>
                <w:sz w:val="22"/>
                <w:lang w:val="lv-LV"/>
              </w:rPr>
            </w:pPr>
            <w:r w:rsidRPr="001A717B">
              <w:rPr>
                <w:rFonts w:asciiTheme="minorHAnsi" w:hAnsiTheme="minorHAnsi"/>
                <w:b/>
                <w:sz w:val="22"/>
                <w:lang w:val="lv-LV"/>
              </w:rPr>
              <w:t>Panākta vienošanās</w:t>
            </w:r>
            <w:r w:rsidRPr="001A717B">
              <w:rPr>
                <w:rFonts w:asciiTheme="minorHAnsi" w:hAnsiTheme="minorHAnsi"/>
                <w:sz w:val="22"/>
                <w:lang w:val="lv-LV"/>
              </w:rPr>
              <w:t xml:space="preserve">, </w:t>
            </w:r>
            <w:r w:rsidRPr="001A717B">
              <w:rPr>
                <w:rFonts w:ascii="Calibri" w:eastAsia="Calibri" w:hAnsi="Calibri" w:cs="Times New Roman"/>
                <w:sz w:val="22"/>
                <w:lang w:val="lv-LV"/>
              </w:rPr>
              <w:t>ka VID veicot precizējumus iekšējos noteikumos par nodokļu nomaksas termiņa pagarināšanu, diskusijā iesaistīs ieinteresētās puses, tajā skaitā, lai diskutētu par dokumentiem, kādus nodokļu maksātājiem būtu jāiesniedz, lai pretendētu uz termiņa pagarinājumu. Diskusiju laikā ir plānots arī atrunāt kārtību, kādā termiņa pagarinājumu varēs saņemt komersanti, kas neatbilst jaunajā normā noteiktajiem kritērijiem (termiņa pagarinājumi saistībā ar Krievijas importa ierobežojumiem), bet ir netieši cietuši Krievijas īstenoto sankciju rezultātā (piemēram, pārvadātāji, kas neveic preču pārvadājumus uz Krieviju, bet, ņemot vērā, ka pakalpojuma cena ir būtiski samazinājusies, bet konkurence būtiski palielinājusies, nonākuši finansiālajās grūtībās). Pēc grozījumu VID iekšējās kārībās veikšanas, VID informēs nozaru pārstāvju par jaunās kārtības spēkā esamību un piemērošanu.</w:t>
            </w:r>
          </w:p>
          <w:p w:rsidR="002F02BD" w:rsidRPr="001A717B" w:rsidRDefault="002F02BD" w:rsidP="007423AA">
            <w:pPr>
              <w:rPr>
                <w:rFonts w:asciiTheme="minorHAnsi" w:hAnsiTheme="minorHAnsi"/>
                <w:sz w:val="22"/>
                <w:lang w:val="lv-LV"/>
              </w:rPr>
            </w:pPr>
            <w:r w:rsidRPr="001A717B">
              <w:rPr>
                <w:rFonts w:ascii="Calibri" w:eastAsia="Calibri" w:hAnsi="Calibri" w:cs="Times New Roman"/>
                <w:sz w:val="22"/>
                <w:lang w:val="lv-LV"/>
              </w:rPr>
              <w:t xml:space="preserve">Visa informācija tiks publicēta </w:t>
            </w:r>
            <w:hyperlink r:id="rId7" w:history="1">
              <w:r w:rsidRPr="001A717B">
                <w:rPr>
                  <w:rFonts w:ascii="Calibri" w:eastAsia="Calibri" w:hAnsi="Calibri" w:cs="Times New Roman"/>
                  <w:color w:val="0000FF" w:themeColor="hyperlink"/>
                  <w:sz w:val="22"/>
                  <w:u w:val="single"/>
                  <w:lang w:val="lv-LV"/>
                </w:rPr>
                <w:t>www.vid.gov.lv</w:t>
              </w:r>
            </w:hyperlink>
            <w:r w:rsidRPr="001A717B">
              <w:rPr>
                <w:rFonts w:ascii="Calibri" w:eastAsia="Calibri" w:hAnsi="Calibri" w:cs="Times New Roman"/>
                <w:sz w:val="22"/>
                <w:lang w:val="lv-LV"/>
              </w:rPr>
              <w:t xml:space="preserve"> sadaļā Tiesību akti, Informatīvie materiāli. Kā arī VID ir sniegs jebkādas konsultācijas nozaru asociācijām par minētajiem jautājumiem. Kontaktpersonas arī tiks publicētas </w:t>
            </w:r>
            <w:hyperlink r:id="rId8" w:history="1">
              <w:r w:rsidRPr="001A717B">
                <w:rPr>
                  <w:rFonts w:ascii="Calibri" w:eastAsia="Calibri" w:hAnsi="Calibri" w:cs="Times New Roman"/>
                  <w:color w:val="0000FF" w:themeColor="hyperlink"/>
                  <w:sz w:val="22"/>
                  <w:u w:val="single"/>
                  <w:lang w:val="lv-LV"/>
                </w:rPr>
                <w:t>www.vid.gov.lv</w:t>
              </w:r>
            </w:hyperlink>
            <w:r w:rsidRPr="001A717B">
              <w:rPr>
                <w:rFonts w:ascii="Calibri" w:eastAsia="Calibri" w:hAnsi="Calibri" w:cs="Times New Roman"/>
                <w:color w:val="0000FF" w:themeColor="hyperlink"/>
                <w:sz w:val="22"/>
                <w:u w:val="single"/>
                <w:lang w:val="lv-LV"/>
              </w:rPr>
              <w:t>.</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Zaļā iepirkuma veicināšanai, sagatavot instrukciju valsts pārvaldes iestādēm, ar mērķi </w:t>
            </w:r>
            <w:r w:rsidRPr="001A717B">
              <w:rPr>
                <w:rFonts w:asciiTheme="minorHAnsi" w:hAnsiTheme="minorHAnsi"/>
                <w:sz w:val="22"/>
                <w:lang w:val="lv-LV"/>
              </w:rPr>
              <w:lastRenderedPageBreak/>
              <w:t>veicināt un skaidrot zaļā iepirkuma izmantošanu</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b/>
                <w:sz w:val="22"/>
                <w:lang w:val="lv-LV"/>
              </w:rPr>
              <w:lastRenderedPageBreak/>
              <w:t xml:space="preserve">IZPILDĪTS. </w:t>
            </w:r>
            <w:r w:rsidRPr="001A717B">
              <w:rPr>
                <w:rFonts w:asciiTheme="minorHAnsi" w:hAnsiTheme="minorHAnsi"/>
                <w:sz w:val="22"/>
                <w:lang w:val="lv-LV"/>
              </w:rPr>
              <w:t xml:space="preserve">Instrukcijas projekts apstiprināts 9.septembra MK sēdē.  Instrukcijā ir iekļauti galvenie pamatprincipi zaļā publiskā iepirkuma veicināšanai (prasība pēc bioloģiskajiem </w:t>
            </w:r>
            <w:r w:rsidRPr="001A717B">
              <w:rPr>
                <w:rFonts w:asciiTheme="minorHAnsi" w:hAnsiTheme="minorHAnsi"/>
                <w:sz w:val="22"/>
                <w:lang w:val="lv-LV"/>
              </w:rPr>
              <w:lastRenderedPageBreak/>
              <w:t xml:space="preserve">un nacionālās pārtikas kvalitātes produktiem, sezonalitātes principa iekļaušana, piegādes attāluma noteikšana </w:t>
            </w:r>
            <w:proofErr w:type="spellStart"/>
            <w:r w:rsidRPr="001A717B">
              <w:rPr>
                <w:rFonts w:asciiTheme="minorHAnsi" w:hAnsiTheme="minorHAnsi"/>
                <w:sz w:val="22"/>
                <w:lang w:val="lv-LV"/>
              </w:rPr>
              <w:t>u.c</w:t>
            </w:r>
            <w:proofErr w:type="spellEnd"/>
            <w:r w:rsidRPr="001A717B">
              <w:rPr>
                <w:rFonts w:asciiTheme="minorHAnsi" w:hAnsiTheme="minorHAnsi"/>
                <w:sz w:val="22"/>
                <w:lang w:val="lv-LV"/>
              </w:rPr>
              <w:t>.) pārtikas produktiem. Šīs prasības būs saistošas iepirkumu veicējiem tiešās pārvaldes iestādēs.</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25.septembrī  ZM sadarbībā ar IUB organizēja sanāksmi ar IZM, LM, IeM, TM, AM (izglītības iestādes, sociālās aprūpes iestādes, slimnīcas, ieslodzījumu vietas, armija), arī LPS. Sanāksmes mērķis ir skaidrot iepirkumu veicējiem instrukcijas piemērošanas jautājumus. </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IUB sadarbībā ar lauksaimniekus pārstāvošajām organizācijām organizēs reģionālos seminārus, kurās informēs visas ieinteresētās puses par instrukcijas piemērošanas neskaidrajiem jautājumiem. </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Iepirkumu monitoringa sistēmas izveide</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IUB 09.septembrī organizēja sanāksmi ar FM, ZM un Latvijas Pašvaldību savienību, lai vienotos par monitoringa risinājuma izveidi, lai varētu veikt  vietējo pārtikas produktu īpatsvara valsts un pašvaldību veiktajos iepirkumos novērtējumu. </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No IUB datu bāzes nav iespējams iegūt datus par reāli iepirktajiem vietējiem produktiem, jo IUB datu bāzē parādās tikai dati par noslēgto līgumu, nevis par to, kas faktiski piegādāts līguma ietvaros.</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Lai saņemtu informāciju par līguma ietvaros faktiski iepirktajiem vietējiem produktiem, būtu jānodrošina  pavadzīmju informācijas apkopošana un analīze, kas šobrīd nav IUB funkcija un jebkurā gadījumā būtu darbietilpīgi, dārgi, ilgi. IUB piedāvājums:</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1) apkopot informāciju no IUB datu bāzes par esošo situāciju (lai varam salīdzināt, kas mainījies) piegādātāju līmenī, </w:t>
            </w:r>
            <w:proofErr w:type="spellStart"/>
            <w:r w:rsidRPr="001A717B">
              <w:rPr>
                <w:rFonts w:asciiTheme="minorHAnsi" w:hAnsiTheme="minorHAnsi"/>
                <w:sz w:val="22"/>
                <w:lang w:val="lv-LV"/>
              </w:rPr>
              <w:t>t.i</w:t>
            </w:r>
            <w:proofErr w:type="spellEnd"/>
            <w:r w:rsidRPr="001A717B">
              <w:rPr>
                <w:rFonts w:asciiTheme="minorHAnsi" w:hAnsiTheme="minorHAnsi"/>
                <w:sz w:val="22"/>
                <w:lang w:val="lv-LV"/>
              </w:rPr>
              <w:t>., cik vispār pārtikas iepirkumu, vai tiek nodrošināta dalīšana daļās, kādi piegādātāji piedalās (pēc iespējas pa preču grupām), pēc tam izveidot nelielu pārskatu: lielākie iepircēji, iepirkuma organizēšanas kārtība (dalīti, centralizēti, zaļi, vispārīgā vienošanās), lielākie piegādātāji, atsevišķi - kādas zemnieku saimniecības, kādi vietējie ražotāji. Datus paredzēts apkopot par šo gadu līdz instrukcijai un pēc tam par 12 mēnešu periodu pēc instrukcijas;</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2) uz IUB datu bāzes pieņemt lēmumu par izlases pārbaudi uz vietas un faktisko piegāžu analīzi - kādas izcelsmes produkti piegādāti, proporcijas. Tas ļautu apmēram novērtēt situāciju līgumos, kas slēgti pirms instrukcijas spēkā stāšanās un atkārtoti novērtēt pēc gada.</w:t>
            </w:r>
          </w:p>
        </w:tc>
      </w:tr>
      <w:tr w:rsidR="002F02BD" w:rsidRPr="001A717B" w:rsidTr="007423AA">
        <w:trPr>
          <w:trHeight w:val="2039"/>
        </w:trPr>
        <w:tc>
          <w:tcPr>
            <w:tcW w:w="1083" w:type="dxa"/>
            <w:vMerge w:val="restart"/>
            <w:shd w:val="clear" w:color="auto" w:fill="D9D9D9" w:themeFill="background1" w:themeFillShade="D9"/>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lastRenderedPageBreak/>
              <w:t>SM</w:t>
            </w:r>
          </w:p>
        </w:tc>
        <w:tc>
          <w:tcPr>
            <w:tcW w:w="1186" w:type="dxa"/>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12.08</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grozījumus „Transportlīdzekļa ekspluatācijas nodokļa un uzņēmumu vieglo transportlīdzekļu nodokļa likumā” nodokļu sloga samazināšanai un Latvijas autopārvadātāju konkurētspējas veicināšanai atceļot transportlīdzekļa ekspluatācijas nodokļi  transportlīdzekļiem</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ar pilnu masu virs 3500 kg, bet mazāku par 12000 kg.</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b/>
                <w:sz w:val="22"/>
                <w:lang w:val="lv-LV"/>
              </w:rPr>
              <w:t>IZPILDĪTS</w:t>
            </w:r>
            <w:r w:rsidRPr="001A717B">
              <w:rPr>
                <w:rFonts w:asciiTheme="minorHAnsi" w:hAnsiTheme="minorHAnsi"/>
                <w:sz w:val="22"/>
                <w:lang w:val="lv-LV"/>
              </w:rPr>
              <w:t xml:space="preserve">. Likumprojekts grozījumi „Transportlīdzekļa ekspluatācijas nodokļa un uzņēmumu vieglo transportlīdzekļu nodokļa likumā” atbalstīti š.g.2.septembra MK sēdē. MK </w:t>
            </w:r>
            <w:proofErr w:type="spellStart"/>
            <w:r w:rsidRPr="001A717B">
              <w:rPr>
                <w:rFonts w:asciiTheme="minorHAnsi" w:hAnsiTheme="minorHAnsi"/>
                <w:sz w:val="22"/>
                <w:lang w:val="lv-LV"/>
              </w:rPr>
              <w:t>protokollēmumā</w:t>
            </w:r>
            <w:proofErr w:type="spellEnd"/>
            <w:r w:rsidRPr="001A717B">
              <w:rPr>
                <w:rFonts w:asciiTheme="minorHAnsi" w:hAnsiTheme="minorHAnsi"/>
                <w:sz w:val="22"/>
                <w:lang w:val="lv-LV"/>
              </w:rPr>
              <w:t xml:space="preserve"> iekļauts, ka grozījumi tiek skaņoti ar Eiropas Komisiju un attiecīgi likumprojekts spēkā var stāties pēc saskaņojuma saņemšanas. </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14.augustā nosūtīta vēstule grozījumu Transportlīdzekļa ekspluatācijas nodokļa un uzņēmumu vieglo transportlīdzekļu nodokļa likumā saskaņošanai ar Eiropas Komisiju.  10.-11.09. notika SM valsts sekretāra vietnieka tikšanās ar EK pārstāvjiem, par izstrādātajiem grozījumiem. Ir saņemti jautājumi un papildus informācijas pieprasījums, kas jāiesniedz Eiropas Komisijā. Notiek darbs pie pieprasītās informācijas sagatavošanas.</w:t>
            </w:r>
          </w:p>
        </w:tc>
      </w:tr>
      <w:tr w:rsidR="002F02BD" w:rsidRPr="001A717B" w:rsidTr="007423AA">
        <w:tc>
          <w:tcPr>
            <w:tcW w:w="1083" w:type="dxa"/>
            <w:vMerge/>
            <w:shd w:val="clear" w:color="auto" w:fill="D9D9D9" w:themeFill="background1" w:themeFillShade="D9"/>
            <w:vAlign w:val="center"/>
          </w:tcPr>
          <w:p w:rsidR="002F02BD" w:rsidRPr="001A717B" w:rsidRDefault="002F02BD" w:rsidP="007423AA">
            <w:pPr>
              <w:jc w:val="center"/>
              <w:rPr>
                <w:rFonts w:asciiTheme="minorHAnsi" w:hAnsiTheme="minorHAnsi"/>
                <w:sz w:val="22"/>
                <w:lang w:val="lv-LV"/>
              </w:rPr>
            </w:pPr>
          </w:p>
        </w:tc>
        <w:tc>
          <w:tcPr>
            <w:tcW w:w="1186" w:type="dxa"/>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Papildus aktivitātes</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PVN maksājumu atlikšana līzingā ņemtām automašīnām</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18.augustā organizēta diskusija ar FM par pievienotās vērtības nodokļa maksājumu atlikšanu līzingā ņemtām automašīnām, ja tās tiek atgrieztas atpakaļ līzinga devējiem. Tā kā normatīvie akti jau šobrīd paredz kārtību, kā to darīt, tad normatīvo aktu grozījumi nav nepieciešami.</w:t>
            </w:r>
          </w:p>
        </w:tc>
      </w:tr>
      <w:tr w:rsidR="002F02BD" w:rsidRPr="001A717B" w:rsidTr="007423AA">
        <w:tc>
          <w:tcPr>
            <w:tcW w:w="1083" w:type="dxa"/>
            <w:vMerge w:val="restart"/>
            <w:shd w:val="clear" w:color="auto" w:fill="D9D9D9" w:themeFill="background1" w:themeFillShade="D9"/>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ZM</w:t>
            </w:r>
          </w:p>
        </w:tc>
        <w:tc>
          <w:tcPr>
            <w:tcW w:w="1186" w:type="dxa"/>
            <w:vMerge w:val="restart"/>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12.08</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grozījumus MK noteikumos Nr.243 paredzot atbalstu, kas sedz daļu no faktiski samaksātās īstermiņa un ilgtermiņa aizdevuma vai finanšu līzinga procentu gada summas arī zvejas un akvakultūras produktu apstrādes uzņēmumiem</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cs="Times New Roman"/>
                <w:b/>
                <w:sz w:val="22"/>
                <w:lang w:val="lv-LV"/>
              </w:rPr>
              <w:t>IZPILDĪTS.</w:t>
            </w:r>
            <w:r w:rsidRPr="001A717B">
              <w:rPr>
                <w:rFonts w:asciiTheme="minorHAnsi" w:hAnsiTheme="minorHAnsi" w:cs="Times New Roman"/>
                <w:sz w:val="22"/>
                <w:lang w:val="lv-LV"/>
              </w:rPr>
              <w:t xml:space="preserve"> 19.08.2014. MK atbalstīti grozījumi Ministru kabineta noteikumos „Noteikumi par valsts un ES atbalsta piešķiršanu investīciju veicināšanai lauksaimniecībā”, papildināt atbalsta saņēmēju loku ar zvejas un akvakultūras produktu apstrādes uzņēmumiem, kredītprocentu daļēju kompensāciju saņems arī lielie piena, gaļas pārstrādes un zivju apstrādes uzņēmumi.</w:t>
            </w:r>
            <w:r>
              <w:rPr>
                <w:rFonts w:asciiTheme="minorHAnsi" w:hAnsiTheme="minorHAnsi" w:cs="Times New Roman"/>
                <w:sz w:val="22"/>
                <w:lang w:val="lv-LV"/>
              </w:rPr>
              <w:t xml:space="preserve"> </w:t>
            </w:r>
            <w:r w:rsidRPr="003D673B">
              <w:rPr>
                <w:rFonts w:asciiTheme="minorHAnsi" w:hAnsiTheme="minorHAnsi" w:cs="Times New Roman"/>
                <w:sz w:val="22"/>
                <w:lang w:val="lv-LV"/>
              </w:rPr>
              <w:t xml:space="preserve">Atbalsta pretendenti savus iesniegumus iesniegs no </w:t>
            </w:r>
            <w:proofErr w:type="spellStart"/>
            <w:r w:rsidRPr="003D673B">
              <w:rPr>
                <w:rFonts w:asciiTheme="minorHAnsi" w:hAnsiTheme="minorHAnsi" w:cs="Times New Roman"/>
                <w:sz w:val="22"/>
                <w:lang w:val="lv-LV"/>
              </w:rPr>
              <w:t>š.g</w:t>
            </w:r>
            <w:proofErr w:type="spellEnd"/>
            <w:r w:rsidRPr="003D673B">
              <w:rPr>
                <w:rFonts w:asciiTheme="minorHAnsi" w:hAnsiTheme="minorHAnsi" w:cs="Times New Roman"/>
                <w:sz w:val="22"/>
                <w:lang w:val="lv-LV"/>
              </w:rPr>
              <w:t>. 1.oktobrim līdz 20.oktobrim, līdz ar to informācija par sektoriem, pretendentu skaitu būs pieejama tikai novembra mēneša otrajā pusē.</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Divu nedēļu laikā iesniegt izskatīšanai Ministru kabineta sēdē ar precīziem aprēķiniem pamatotus priekšlikumus nepieciešamajam atbalstam 2014.gadā piena sektorā, kas tieši saistīti ar noteiktajām sankcijām</w:t>
            </w:r>
          </w:p>
        </w:tc>
        <w:tc>
          <w:tcPr>
            <w:tcW w:w="8079" w:type="dxa"/>
          </w:tcPr>
          <w:p w:rsidR="002F02BD" w:rsidRPr="001A717B" w:rsidRDefault="002F02BD" w:rsidP="007423AA">
            <w:pPr>
              <w:rPr>
                <w:rFonts w:asciiTheme="minorHAnsi" w:hAnsiTheme="minorHAnsi" w:cs="Times New Roman"/>
                <w:b/>
                <w:sz w:val="22"/>
                <w:lang w:val="lv-LV"/>
              </w:rPr>
            </w:pPr>
            <w:r w:rsidRPr="001A717B">
              <w:rPr>
                <w:rFonts w:asciiTheme="minorHAnsi" w:hAnsiTheme="minorHAnsi" w:cs="Times New Roman"/>
                <w:b/>
                <w:sz w:val="22"/>
                <w:lang w:val="lv-LV"/>
              </w:rPr>
              <w:t>IZPILDĪTS.</w:t>
            </w:r>
            <w:r w:rsidRPr="001A717B">
              <w:rPr>
                <w:rFonts w:asciiTheme="minorHAnsi" w:hAnsiTheme="minorHAnsi" w:cs="Times New Roman"/>
                <w:sz w:val="22"/>
                <w:lang w:val="lv-LV"/>
              </w:rPr>
              <w:t xml:space="preserve"> 26.augusta Ministru kabineta sēdē tika izskatīts informatīvais ziņojums „Par zaudējumiem piena nozarē” un apstiprināts ZM izstrādātais noteikumu projekts „Valsts atbalsta piešķiršanas kārtība piena šķirņu slaucamo govju produktivitātes datu izvērtēšanai” un Ministru kabineta rīkojuma projekts „Par apropriācijas pārdali”, paredzot pārdalīt finansējumu no Finanšu ministrijas budžeta apakšprogrammas 31.02.00 "Valsts parāda vadība" finansējumu 6 000 000 </w:t>
            </w:r>
            <w:proofErr w:type="spellStart"/>
            <w:r w:rsidRPr="001A717B">
              <w:rPr>
                <w:rFonts w:asciiTheme="minorHAnsi" w:hAnsiTheme="minorHAnsi" w:cs="Times New Roman"/>
                <w:sz w:val="22"/>
                <w:lang w:val="lv-LV"/>
              </w:rPr>
              <w:t>euro</w:t>
            </w:r>
            <w:proofErr w:type="spellEnd"/>
            <w:r w:rsidRPr="001A717B">
              <w:rPr>
                <w:rFonts w:asciiTheme="minorHAnsi" w:hAnsiTheme="minorHAnsi" w:cs="Times New Roman"/>
                <w:sz w:val="22"/>
                <w:lang w:val="lv-LV"/>
              </w:rPr>
              <w:t xml:space="preserve"> apmērā uz Zemkopības ministrijas budžeta apakšprogrammu 21.01.00 „Valsts atbalsts lauksaimniecībai un lauku attīstībai”, lai nodrošinātu atbalstu piena ražotā</w:t>
            </w:r>
            <w:r>
              <w:rPr>
                <w:rFonts w:asciiTheme="minorHAnsi" w:hAnsiTheme="minorHAnsi" w:cs="Times New Roman"/>
                <w:sz w:val="22"/>
                <w:lang w:val="lv-LV"/>
              </w:rPr>
              <w:t xml:space="preserve">jiem (lauksaimniekiem). Atbalsts </w:t>
            </w:r>
            <w:r w:rsidRPr="001A717B">
              <w:rPr>
                <w:rFonts w:asciiTheme="minorHAnsi" w:hAnsiTheme="minorHAnsi" w:cs="Times New Roman"/>
                <w:sz w:val="22"/>
                <w:lang w:val="lv-LV"/>
              </w:rPr>
              <w:t>izmaksāt</w:t>
            </w:r>
            <w:r>
              <w:rPr>
                <w:rFonts w:asciiTheme="minorHAnsi" w:hAnsiTheme="minorHAnsi" w:cs="Times New Roman"/>
                <w:sz w:val="22"/>
                <w:lang w:val="lv-LV"/>
              </w:rPr>
              <w:t>s</w:t>
            </w:r>
            <w:r w:rsidRPr="001A717B">
              <w:rPr>
                <w:rFonts w:asciiTheme="minorHAnsi" w:hAnsiTheme="minorHAnsi" w:cs="Times New Roman"/>
                <w:sz w:val="22"/>
                <w:lang w:val="lv-LV"/>
              </w:rPr>
              <w:t xml:space="preserve"> lauksaimniekiem līdz </w:t>
            </w:r>
            <w:proofErr w:type="spellStart"/>
            <w:r w:rsidRPr="001A717B">
              <w:rPr>
                <w:rFonts w:asciiTheme="minorHAnsi" w:hAnsiTheme="minorHAnsi" w:cs="Times New Roman"/>
                <w:sz w:val="22"/>
                <w:lang w:val="lv-LV"/>
              </w:rPr>
              <w:t>š.g</w:t>
            </w:r>
            <w:proofErr w:type="spellEnd"/>
            <w:r w:rsidRPr="001A717B">
              <w:rPr>
                <w:rFonts w:asciiTheme="minorHAnsi" w:hAnsiTheme="minorHAnsi" w:cs="Times New Roman"/>
                <w:sz w:val="22"/>
                <w:lang w:val="lv-LV"/>
              </w:rPr>
              <w:t xml:space="preserve">. </w:t>
            </w:r>
            <w:r>
              <w:rPr>
                <w:rFonts w:asciiTheme="minorHAnsi" w:hAnsiTheme="minorHAnsi" w:cs="Times New Roman"/>
                <w:sz w:val="22"/>
                <w:lang w:val="lv-LV"/>
              </w:rPr>
              <w:t>20</w:t>
            </w:r>
            <w:r w:rsidRPr="001A717B">
              <w:rPr>
                <w:rFonts w:asciiTheme="minorHAnsi" w:hAnsiTheme="minorHAnsi" w:cs="Times New Roman"/>
                <w:sz w:val="22"/>
                <w:lang w:val="lv-LV"/>
              </w:rPr>
              <w:t>.</w:t>
            </w:r>
            <w:r>
              <w:rPr>
                <w:rFonts w:asciiTheme="minorHAnsi" w:hAnsiTheme="minorHAnsi" w:cs="Times New Roman"/>
                <w:sz w:val="22"/>
                <w:lang w:val="lv-LV"/>
              </w:rPr>
              <w:t>septembrim</w:t>
            </w:r>
            <w:r w:rsidRPr="001A717B">
              <w:rPr>
                <w:rFonts w:asciiTheme="minorHAnsi" w:hAnsiTheme="minorHAnsi" w:cs="Times New Roman"/>
                <w:sz w:val="22"/>
                <w:lang w:val="lv-LV"/>
              </w:rPr>
              <w:t>.</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Borders>
              <w:bottom w:val="single" w:sz="4" w:space="0" w:color="auto"/>
            </w:tcBorders>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Sadarbībā ar citām Eiropas Savienības dalībvalstīm vērsties Eiropas Komisijā ar pieprasījumu lemt par piena kvotas pārpildes un tirgus kopējās organizācijas jautājumiem</w:t>
            </w:r>
          </w:p>
        </w:tc>
        <w:tc>
          <w:tcPr>
            <w:tcW w:w="8079" w:type="dxa"/>
          </w:tcPr>
          <w:p w:rsidR="002F02BD" w:rsidRPr="001A717B" w:rsidRDefault="002F02BD" w:rsidP="007423AA">
            <w:pPr>
              <w:rPr>
                <w:rFonts w:asciiTheme="minorHAnsi" w:hAnsiTheme="minorHAnsi" w:cs="Times New Roman"/>
                <w:sz w:val="22"/>
                <w:lang w:val="lv-LV"/>
              </w:rPr>
            </w:pPr>
            <w:r w:rsidRPr="001A717B">
              <w:rPr>
                <w:rFonts w:asciiTheme="minorHAnsi" w:hAnsiTheme="minorHAnsi" w:cs="Times New Roman"/>
                <w:b/>
                <w:sz w:val="22"/>
                <w:lang w:val="lv-LV"/>
              </w:rPr>
              <w:t xml:space="preserve">IZPILDĪTS. </w:t>
            </w:r>
            <w:r w:rsidRPr="001A717B">
              <w:rPr>
                <w:rFonts w:asciiTheme="minorHAnsi" w:hAnsiTheme="minorHAnsi" w:cs="Times New Roman"/>
                <w:sz w:val="22"/>
                <w:lang w:val="lv-LV"/>
              </w:rPr>
              <w:t xml:space="preserve">Sagatavota Latvijas pozīcija „Par Krievijas importa aizliegumu ES lauksaimniecības produktiem” uz 2014.gada 5.septembra Eiropas Savienības (ES) Lauksaimniecības un zivsaimniecības ministru Padomes ārkārtas sēdi. Ārkārtas sēdē Latvija aicināja: atvērt privātās uzglabāšanas atbalstu arī sieriem, palielināt intervences cenas un apjoma limitus, piešķirt eksporta kompensācijas piena produktiem, atcelt soda naudas piemērošanu par pārsniegto piena kvotu pēdējā kvotas gadā, palielināt Eiropas </w:t>
            </w:r>
            <w:r w:rsidRPr="001A717B">
              <w:rPr>
                <w:rFonts w:asciiTheme="minorHAnsi" w:hAnsiTheme="minorHAnsi" w:cs="Times New Roman"/>
                <w:sz w:val="22"/>
                <w:lang w:val="lv-LV"/>
              </w:rPr>
              <w:lastRenderedPageBreak/>
              <w:t xml:space="preserve">Savienības atbalsta apjomu Skolas piena programmai, kā arī palielināt </w:t>
            </w:r>
            <w:proofErr w:type="spellStart"/>
            <w:r w:rsidRPr="001A717B">
              <w:rPr>
                <w:rFonts w:asciiTheme="minorHAnsi" w:hAnsiTheme="minorHAnsi" w:cs="Times New Roman"/>
                <w:sz w:val="22"/>
                <w:lang w:val="lv-LV"/>
              </w:rPr>
              <w:t>de</w:t>
            </w:r>
            <w:proofErr w:type="spellEnd"/>
            <w:r w:rsidRPr="001A717B">
              <w:rPr>
                <w:rFonts w:asciiTheme="minorHAnsi" w:hAnsiTheme="minorHAnsi" w:cs="Times New Roman"/>
                <w:sz w:val="22"/>
                <w:lang w:val="lv-LV"/>
              </w:rPr>
              <w:t xml:space="preserve"> </w:t>
            </w:r>
            <w:proofErr w:type="spellStart"/>
            <w:r w:rsidRPr="001A717B">
              <w:rPr>
                <w:rFonts w:asciiTheme="minorHAnsi" w:hAnsiTheme="minorHAnsi" w:cs="Times New Roman"/>
                <w:sz w:val="22"/>
                <w:lang w:val="lv-LV"/>
              </w:rPr>
              <w:t>minimis</w:t>
            </w:r>
            <w:proofErr w:type="spellEnd"/>
            <w:r w:rsidRPr="001A717B">
              <w:rPr>
                <w:rFonts w:asciiTheme="minorHAnsi" w:hAnsiTheme="minorHAnsi" w:cs="Times New Roman"/>
                <w:sz w:val="22"/>
                <w:lang w:val="lv-LV"/>
              </w:rPr>
              <w:t xml:space="preserve"> atbalsta summas uzņēmumiem, kas ir cietuši embargo rezultātā.</w:t>
            </w:r>
          </w:p>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ES Lauksaimniecības un zivsaimniecības ministru Padomes  sēdē </w:t>
            </w:r>
            <w:r w:rsidRPr="001A717B">
              <w:rPr>
                <w:rFonts w:asciiTheme="minorHAnsi" w:hAnsiTheme="minorHAnsi"/>
                <w:b/>
                <w:sz w:val="22"/>
                <w:lang w:val="lv-LV"/>
              </w:rPr>
              <w:t>tika panākta vienošanās,</w:t>
            </w:r>
            <w:r w:rsidRPr="001A717B">
              <w:rPr>
                <w:rFonts w:asciiTheme="minorHAnsi" w:hAnsiTheme="minorHAnsi"/>
                <w:sz w:val="22"/>
                <w:lang w:val="lv-LV"/>
              </w:rPr>
              <w:t xml:space="preserve"> ka tiks iedarbināti papildu instrumenti intervencē, pagarinot intervences periodu līdz 2014. gada beigām, tiks pagarināts privātās uzglabāšanas periods līdz 2014. gada beigām, un papildus tiks atvērta iespēja saņemt atbalstu par siera un biezpiena uzglabāšanu, kā arī palielināts finansējums lauksaimniecības un pārtikas produktu veicināšanai.</w:t>
            </w:r>
          </w:p>
        </w:tc>
      </w:tr>
      <w:tr w:rsidR="002F02BD" w:rsidRPr="00364FC9" w:rsidTr="007423AA">
        <w:tc>
          <w:tcPr>
            <w:tcW w:w="1083" w:type="dxa"/>
            <w:vMerge/>
            <w:shd w:val="clear" w:color="auto" w:fill="D9D9D9" w:themeFill="background1" w:themeFillShade="D9"/>
          </w:tcPr>
          <w:p w:rsidR="002F02BD" w:rsidRPr="00364FC9" w:rsidRDefault="002F02BD" w:rsidP="007423AA">
            <w:pPr>
              <w:rPr>
                <w:rFonts w:asciiTheme="minorHAnsi" w:hAnsiTheme="minorHAnsi"/>
                <w:sz w:val="22"/>
                <w:lang w:val="lv-LV"/>
              </w:rPr>
            </w:pPr>
          </w:p>
        </w:tc>
        <w:tc>
          <w:tcPr>
            <w:tcW w:w="1186" w:type="dxa"/>
            <w:tcBorders>
              <w:bottom w:val="single" w:sz="4" w:space="0" w:color="auto"/>
            </w:tcBorders>
          </w:tcPr>
          <w:p w:rsidR="002F02BD" w:rsidRPr="00364FC9" w:rsidRDefault="002F02BD" w:rsidP="007423AA">
            <w:pPr>
              <w:jc w:val="center"/>
              <w:rPr>
                <w:rFonts w:asciiTheme="minorHAnsi" w:hAnsiTheme="minorHAnsi"/>
                <w:sz w:val="22"/>
                <w:lang w:val="lv-LV"/>
              </w:rPr>
            </w:pPr>
          </w:p>
        </w:tc>
        <w:tc>
          <w:tcPr>
            <w:tcW w:w="4502" w:type="dxa"/>
          </w:tcPr>
          <w:p w:rsidR="002F02BD" w:rsidRPr="00364FC9" w:rsidRDefault="002F02BD" w:rsidP="007423AA">
            <w:pPr>
              <w:rPr>
                <w:rFonts w:asciiTheme="minorHAnsi" w:hAnsiTheme="minorHAnsi"/>
                <w:sz w:val="22"/>
                <w:lang w:val="lv-LV"/>
              </w:rPr>
            </w:pPr>
            <w:r w:rsidRPr="00364FC9">
              <w:rPr>
                <w:rFonts w:asciiTheme="minorHAnsi" w:hAnsiTheme="minorHAnsi"/>
                <w:sz w:val="22"/>
                <w:lang w:val="lv-LV"/>
              </w:rPr>
              <w:t>Paredzēt intervences atbalstu sieram un biezpienam.</w:t>
            </w:r>
          </w:p>
        </w:tc>
        <w:tc>
          <w:tcPr>
            <w:tcW w:w="8079" w:type="dxa"/>
          </w:tcPr>
          <w:p w:rsidR="002F02BD" w:rsidRDefault="002F02BD" w:rsidP="007423AA">
            <w:pPr>
              <w:rPr>
                <w:rFonts w:asciiTheme="minorHAnsi" w:hAnsiTheme="minorHAnsi"/>
                <w:sz w:val="22"/>
                <w:lang w:val="lv-LV"/>
              </w:rPr>
            </w:pPr>
            <w:r w:rsidRPr="00364FC9">
              <w:rPr>
                <w:rFonts w:asciiTheme="minorHAnsi" w:hAnsiTheme="minorHAnsi"/>
                <w:b/>
                <w:sz w:val="22"/>
                <w:lang w:val="lv-LV"/>
              </w:rPr>
              <w:t>IZPILDĪTS</w:t>
            </w:r>
            <w:r w:rsidRPr="00364FC9">
              <w:rPr>
                <w:rFonts w:asciiTheme="minorHAnsi" w:hAnsiTheme="minorHAnsi"/>
                <w:sz w:val="22"/>
                <w:lang w:val="lv-LV"/>
              </w:rPr>
              <w:t>. 16.septembra Ministru kabineta sēdē tika atbalstīts Ministru kabineta noteikumu projekts „Grozījumi Ministru kabineta 2011.gada 25.janvāra noteikumos Nr.74 „Kārtība, kādā tiek administrēti un uzraudzīti tirgus intervences pasākumi augkopības un lopkopības produktu tirgū”, kur mērķis ir iekļaut sieru un saldētu biezpienu preču sarakstā, kurus uzglabā privātā glabāšanā, saņemot ES tirgus regulēšanas pasākumu atbalstu.</w:t>
            </w:r>
          </w:p>
          <w:p w:rsidR="002F02BD" w:rsidRPr="00364FC9" w:rsidRDefault="002F02BD" w:rsidP="007423AA">
            <w:pPr>
              <w:rPr>
                <w:rFonts w:asciiTheme="minorHAnsi" w:hAnsiTheme="minorHAnsi"/>
                <w:sz w:val="22"/>
                <w:lang w:val="lv-LV"/>
              </w:rPr>
            </w:pPr>
            <w:r w:rsidRPr="00364FC9">
              <w:rPr>
                <w:rFonts w:asciiTheme="minorHAnsi" w:hAnsiTheme="minorHAnsi"/>
                <w:sz w:val="22"/>
                <w:u w:val="single"/>
                <w:lang w:val="lv-LV"/>
              </w:rPr>
              <w:t>2014.gada 23.septembrī EK pārtrauca</w:t>
            </w:r>
            <w:r w:rsidRPr="00364FC9">
              <w:rPr>
                <w:rFonts w:asciiTheme="minorHAnsi" w:hAnsiTheme="minorHAnsi"/>
                <w:sz w:val="22"/>
                <w:lang w:val="lv-LV"/>
              </w:rPr>
              <w:t xml:space="preserve"> pieteikšanos siera privātās uzglabāšanas atbalstam, jo uz dalībvalstu iesniegtie paziņojumi par pieteiktajiem produktu daudzumiem ļāva secināt, ka lielākā daļa siera ir pieteikts atbalstam tajos reģionos un par tādiem sieru veidiem, kuru eksportā uz Krieviju bija ļoti niecīga nozīme. Tas radīja EK bažas par nepietiekami mērķētu atbalsta pasākumu un nepamatotiem iesniegumiem, kas, savukārt, lika apšaubīt atbalsta lietderīgumu attiecībā uz tiem reģioniem, kurus embargo skāris visvairāk.  Piemēram, Latvijai 2013.gadā siers ar 16 </w:t>
            </w:r>
            <w:proofErr w:type="spellStart"/>
            <w:r w:rsidRPr="00364FC9">
              <w:rPr>
                <w:rFonts w:asciiTheme="minorHAnsi" w:hAnsiTheme="minorHAnsi"/>
                <w:sz w:val="22"/>
                <w:lang w:val="lv-LV"/>
              </w:rPr>
              <w:t>milj</w:t>
            </w:r>
            <w:proofErr w:type="spellEnd"/>
            <w:r w:rsidRPr="00364FC9">
              <w:rPr>
                <w:rFonts w:asciiTheme="minorHAnsi" w:hAnsiTheme="minorHAnsi"/>
                <w:sz w:val="22"/>
                <w:lang w:val="lv-LV"/>
              </w:rPr>
              <w:t xml:space="preserve">. eksporta vērtību bija nozīmīgākais (23%) uz Krieviju eksportētais produkts no sankcijām pakļautajiem produktiem, bet piena produkti kopā uz Krieviju tika eksportēti 27 </w:t>
            </w:r>
            <w:proofErr w:type="spellStart"/>
            <w:r w:rsidRPr="00364FC9">
              <w:rPr>
                <w:rFonts w:asciiTheme="minorHAnsi" w:hAnsiTheme="minorHAnsi"/>
                <w:sz w:val="22"/>
                <w:lang w:val="lv-LV"/>
              </w:rPr>
              <w:t>mlj</w:t>
            </w:r>
            <w:proofErr w:type="spellEnd"/>
            <w:r w:rsidRPr="00364FC9">
              <w:rPr>
                <w:rFonts w:asciiTheme="minorHAnsi" w:hAnsiTheme="minorHAnsi"/>
                <w:sz w:val="22"/>
                <w:lang w:val="lv-LV"/>
              </w:rPr>
              <w:t xml:space="preserve">. EUR vērtībā, aizņemot 38% sankcijām pakļauto produktu kopējā eksporta vērtībā. Privātai uzglabāšanai Latvijā līdz 23.septembrim bija pieteiktas 30 tonnas siera. </w:t>
            </w:r>
          </w:p>
          <w:p w:rsidR="002F02BD" w:rsidRPr="00364FC9" w:rsidRDefault="002F02BD" w:rsidP="007423AA">
            <w:pPr>
              <w:rPr>
                <w:rFonts w:asciiTheme="minorHAnsi" w:hAnsiTheme="minorHAnsi"/>
                <w:sz w:val="22"/>
                <w:lang w:val="lv-LV"/>
              </w:rPr>
            </w:pPr>
            <w:r w:rsidRPr="00364FC9">
              <w:rPr>
                <w:rFonts w:asciiTheme="minorHAnsi" w:hAnsiTheme="minorHAnsi"/>
                <w:sz w:val="22"/>
                <w:lang w:val="lv-LV"/>
              </w:rPr>
              <w:t>Pašreiz EK nav paziņojusi par jaunas atbalsta shēmas īstenošanu sieram. Taču, ņemot vērā iemeslus, kas kalpoja par pamatu lēmumam par privātās uzglabāšanas atbalsta pārtraukšanu, Latvija saskata līdzību ar ārkārtas atbalsta pasākumiem augļu un dārzeņu nozarē. Tādēļ uzskatām, ka arī attiecībā uz siera tirgu COM būtu jādomā par tālākiem uzlabotiem atbalsta mehānismiem, kas būtu tieši mērķēti uz tām dalībvalstīm, kuru siera eksports uz Krieviju veidoja būtisku daļu no to kopējiem siera eksporta apjomiem un vērtības. Bez tam, svarīgi būtu arī lemt par ES kompensācijām to valstu piena ražotājiem, kurās Krievijas sankciju ietekme ir visspēcīgākā. Pašreiz ZM veic detalizētus aprēķinus par sankciju ietekmi  uz piena iepirkuma cenām dažādās saimniecību lieluma grupās.</w:t>
            </w:r>
          </w:p>
        </w:tc>
      </w:tr>
      <w:tr w:rsidR="002F02BD" w:rsidRPr="001A717B" w:rsidTr="007423AA">
        <w:tc>
          <w:tcPr>
            <w:tcW w:w="1083" w:type="dxa"/>
            <w:vMerge/>
            <w:tcBorders>
              <w:bottom w:val="nil"/>
            </w:tcBorders>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tcBorders>
              <w:bottom w:val="single" w:sz="4" w:space="0" w:color="auto"/>
            </w:tcBorders>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MK 26.08.</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Zemkopības ministrijai sagatavot informatīvo </w:t>
            </w:r>
            <w:r w:rsidRPr="001A717B">
              <w:rPr>
                <w:rFonts w:asciiTheme="minorHAnsi" w:hAnsiTheme="minorHAnsi"/>
                <w:sz w:val="22"/>
                <w:lang w:val="lv-LV"/>
              </w:rPr>
              <w:lastRenderedPageBreak/>
              <w:t>ziņojumu par situāciju piena nozarē un zemkopības ministram iesniegt to izskatīšanai Ministru kabineta 2014.gada 28.oktobra sēdē, lai lemtu par papildu finansējuma piešķiršanu piena nozarei.</w:t>
            </w:r>
          </w:p>
        </w:tc>
        <w:tc>
          <w:tcPr>
            <w:tcW w:w="8079" w:type="dxa"/>
          </w:tcPr>
          <w:p w:rsidR="002F02BD" w:rsidRPr="001A717B" w:rsidRDefault="002F02BD" w:rsidP="007423AA">
            <w:pPr>
              <w:rPr>
                <w:rFonts w:asciiTheme="minorHAnsi" w:hAnsiTheme="minorHAnsi"/>
                <w:b/>
                <w:sz w:val="22"/>
                <w:lang w:val="lv-LV"/>
              </w:rPr>
            </w:pPr>
            <w:r w:rsidRPr="001A717B">
              <w:rPr>
                <w:rFonts w:asciiTheme="minorHAnsi" w:hAnsiTheme="minorHAnsi"/>
                <w:b/>
                <w:sz w:val="22"/>
                <w:lang w:val="lv-LV"/>
              </w:rPr>
              <w:lastRenderedPageBreak/>
              <w:t>IZPILDE TURPINĀS.</w:t>
            </w:r>
          </w:p>
        </w:tc>
      </w:tr>
      <w:tr w:rsidR="002F02BD" w:rsidRPr="001A717B" w:rsidTr="007423AA">
        <w:tc>
          <w:tcPr>
            <w:tcW w:w="1083" w:type="dxa"/>
            <w:vMerge/>
            <w:tcBorders>
              <w:top w:val="nil"/>
            </w:tcBorders>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val="restart"/>
            <w:tcBorders>
              <w:top w:val="single" w:sz="4" w:space="0" w:color="auto"/>
              <w:bottom w:val="single" w:sz="4" w:space="0" w:color="auto"/>
            </w:tcBorders>
          </w:tcPr>
          <w:p w:rsidR="002F02BD" w:rsidRPr="001A717B" w:rsidRDefault="002F02BD" w:rsidP="007423AA">
            <w:pPr>
              <w:jc w:val="center"/>
              <w:rPr>
                <w:rFonts w:asciiTheme="minorHAnsi" w:hAnsiTheme="minorHAnsi"/>
                <w:sz w:val="22"/>
                <w:lang w:val="lv-LV"/>
              </w:rPr>
            </w:pPr>
            <w:r w:rsidRPr="001A717B">
              <w:rPr>
                <w:rFonts w:asciiTheme="minorHAnsi" w:hAnsiTheme="minorHAnsi"/>
                <w:sz w:val="22"/>
                <w:lang w:val="lv-LV"/>
              </w:rPr>
              <w:t>Papildus aktivitātes</w:t>
            </w: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Palielināt </w:t>
            </w:r>
            <w:proofErr w:type="spellStart"/>
            <w:r w:rsidRPr="001A717B">
              <w:rPr>
                <w:rFonts w:asciiTheme="minorHAnsi" w:hAnsiTheme="minorHAnsi"/>
                <w:sz w:val="22"/>
                <w:lang w:val="lv-LV"/>
              </w:rPr>
              <w:t>kredītgarantiju</w:t>
            </w:r>
            <w:proofErr w:type="spellEnd"/>
            <w:r w:rsidRPr="001A717B">
              <w:rPr>
                <w:rFonts w:asciiTheme="minorHAnsi" w:hAnsiTheme="minorHAnsi"/>
                <w:sz w:val="22"/>
                <w:lang w:val="lv-LV"/>
              </w:rPr>
              <w:t xml:space="preserve"> apmēru lauksaimniekiem līdz 1 </w:t>
            </w:r>
            <w:proofErr w:type="spellStart"/>
            <w:r w:rsidRPr="001A717B">
              <w:rPr>
                <w:rFonts w:asciiTheme="minorHAnsi" w:hAnsiTheme="minorHAnsi"/>
                <w:sz w:val="22"/>
                <w:lang w:val="lv-LV"/>
              </w:rPr>
              <w:t>milj.EUR</w:t>
            </w:r>
            <w:proofErr w:type="spellEnd"/>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b/>
                <w:sz w:val="22"/>
                <w:lang w:val="lv-LV"/>
              </w:rPr>
              <w:t>IZPILDĪTS.</w:t>
            </w:r>
            <w:r w:rsidRPr="001A717B">
              <w:rPr>
                <w:rFonts w:asciiTheme="minorHAnsi" w:hAnsiTheme="minorHAnsi"/>
                <w:sz w:val="22"/>
                <w:lang w:val="lv-LV"/>
              </w:rPr>
              <w:t xml:space="preserve"> 23.septembrī Ministru kabinetā apstiprināts Zemkopības ministrijas sagatavotais Ministru kabineta noteikumu projekts „Grozījumi Ministru kabineta 2009.gada 7.jūlija noteikumos Nr.746 „Lauksaimniecības un lauku attīstības kredītu garantēšanas kārtība””. Grozījumi paredz izmaiņas noteikumos palielinot spēkā esošo kredītu garantiju apmēru (līdz 1 000 000 EUR) maziem un vidējiem uzņēmumiem, kas nodarbojas ar primāro lauksaimniecības produktu ražošanu.</w:t>
            </w:r>
          </w:p>
        </w:tc>
      </w:tr>
      <w:tr w:rsidR="002F02BD" w:rsidRPr="001A717B" w:rsidTr="007423AA">
        <w:tc>
          <w:tcPr>
            <w:tcW w:w="1083" w:type="dxa"/>
            <w:vMerge/>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Borders>
              <w:top w:val="single" w:sz="4" w:space="0" w:color="auto"/>
              <w:bottom w:val="single" w:sz="4" w:space="0" w:color="auto"/>
            </w:tcBorders>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Grozījumi „Publisko iepirkumu likumā”</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23.septembrī Saeimas Tautsaimniecības, agrārās, vides un reģionālās politikas komisijai atbalstīja ZM priekšlikumu grozījumiem Publisko iepirkumu likumā, lai palielinātu līgumcenas slieksni (līdz 42 000 EUR) pārtikas produktu iepirkumiem līdz kuram iepirkumu veicējam nav jāpiemēro iepirkumu procedūras. Taču šādiem iepirkumiem būs jāpiemēro zaļā publiskā iepirkuma prasības. Atbalstīts virzībai trešajam lasījumam.</w:t>
            </w:r>
          </w:p>
        </w:tc>
      </w:tr>
      <w:tr w:rsidR="002F02BD" w:rsidRPr="001A717B" w:rsidTr="007423AA">
        <w:tc>
          <w:tcPr>
            <w:tcW w:w="1083" w:type="dxa"/>
            <w:vMerge/>
            <w:tcBorders>
              <w:bottom w:val="nil"/>
            </w:tcBorders>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Borders>
              <w:top w:val="single" w:sz="4" w:space="0" w:color="auto"/>
              <w:bottom w:val="single" w:sz="4" w:space="0" w:color="auto"/>
            </w:tcBorders>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Sagatavot nepieciešamos grozījumus normatīvajos aktos, lai saņemtu Eiropas komisijas piešķirtā ārkārtas atbalsta finansējumu</w:t>
            </w:r>
          </w:p>
        </w:tc>
        <w:tc>
          <w:tcPr>
            <w:tcW w:w="8079" w:type="dxa"/>
          </w:tcPr>
          <w:p w:rsidR="002F02BD" w:rsidRDefault="002F02BD" w:rsidP="007423AA">
            <w:pPr>
              <w:rPr>
                <w:rFonts w:asciiTheme="minorHAnsi" w:hAnsiTheme="minorHAnsi"/>
                <w:sz w:val="22"/>
                <w:lang w:val="lv-LV"/>
              </w:rPr>
            </w:pPr>
            <w:r w:rsidRPr="001A717B">
              <w:rPr>
                <w:rFonts w:asciiTheme="minorHAnsi" w:hAnsiTheme="minorHAnsi"/>
                <w:sz w:val="22"/>
                <w:lang w:val="lv-LV"/>
              </w:rPr>
              <w:t xml:space="preserve">Ir izstrādāti  grozījumi normatīvajos aktos, lai nodrošinātu atbalsta saņemšanu Latvijas augļu un dārzeņu ražotājiem no Eiropas Komisijas 125 </w:t>
            </w:r>
            <w:proofErr w:type="spellStart"/>
            <w:r w:rsidRPr="001A717B">
              <w:rPr>
                <w:rFonts w:asciiTheme="minorHAnsi" w:hAnsiTheme="minorHAnsi"/>
                <w:sz w:val="22"/>
                <w:lang w:val="lv-LV"/>
              </w:rPr>
              <w:t>milj</w:t>
            </w:r>
            <w:proofErr w:type="spellEnd"/>
            <w:r w:rsidRPr="001A717B">
              <w:rPr>
                <w:rFonts w:asciiTheme="minorHAnsi" w:hAnsiTheme="minorHAnsi"/>
                <w:sz w:val="22"/>
                <w:lang w:val="lv-LV"/>
              </w:rPr>
              <w:t>. EUR ārkārtas atbalsta pasākumiem atvēlētā budžeta. Grozījumi tiks virzīti izskatīšanai steidzamības kārtā pēc  tam , kad tiks publicēta jaunā EK regula par ārkārtas atbalstu augļu un dārzeņu nozares ražotājiem.</w:t>
            </w:r>
          </w:p>
          <w:p w:rsidR="002F02BD" w:rsidRPr="00364FC9" w:rsidRDefault="002F02BD" w:rsidP="007423AA">
            <w:pPr>
              <w:rPr>
                <w:rFonts w:asciiTheme="minorHAnsi" w:hAnsiTheme="minorHAnsi"/>
                <w:sz w:val="22"/>
                <w:lang w:val="lv-LV"/>
              </w:rPr>
            </w:pPr>
            <w:r w:rsidRPr="00364FC9">
              <w:rPr>
                <w:rFonts w:asciiTheme="minorHAnsi" w:hAnsiTheme="minorHAnsi"/>
                <w:sz w:val="22"/>
                <w:u w:val="single"/>
                <w:lang w:val="lv-LV"/>
              </w:rPr>
              <w:t>2014.gada 10. septembrī</w:t>
            </w:r>
            <w:r w:rsidRPr="00364FC9">
              <w:rPr>
                <w:rFonts w:asciiTheme="minorHAnsi" w:hAnsiTheme="minorHAnsi"/>
                <w:sz w:val="22"/>
                <w:lang w:val="lv-LV"/>
              </w:rPr>
              <w:t xml:space="preserve"> Eiropas Komisija (EK) pārtrauca dalībvalstu atbalsta pieteikumu pieņemšanu ārkārtas atbalsta pasākumiem augļu un dārzeņu nozarē saistībā ar maksimālās atbalsta summas sasniegšanu abās produktu kategorijās (āboliem/bumbieriem 82 </w:t>
            </w:r>
            <w:proofErr w:type="spellStart"/>
            <w:r w:rsidRPr="00364FC9">
              <w:rPr>
                <w:rFonts w:asciiTheme="minorHAnsi" w:hAnsiTheme="minorHAnsi"/>
                <w:sz w:val="22"/>
                <w:lang w:val="lv-LV"/>
              </w:rPr>
              <w:t>milj</w:t>
            </w:r>
            <w:proofErr w:type="spellEnd"/>
            <w:r w:rsidRPr="00364FC9">
              <w:rPr>
                <w:rFonts w:asciiTheme="minorHAnsi" w:hAnsiTheme="minorHAnsi"/>
                <w:sz w:val="22"/>
                <w:lang w:val="lv-LV"/>
              </w:rPr>
              <w:t xml:space="preserve">. EUR, pārējiem augļiem un dārzeņiem 43 </w:t>
            </w:r>
            <w:proofErr w:type="spellStart"/>
            <w:r w:rsidRPr="00364FC9">
              <w:rPr>
                <w:rFonts w:asciiTheme="minorHAnsi" w:hAnsiTheme="minorHAnsi"/>
                <w:sz w:val="22"/>
                <w:lang w:val="lv-LV"/>
              </w:rPr>
              <w:t>milj</w:t>
            </w:r>
            <w:proofErr w:type="spellEnd"/>
            <w:r w:rsidRPr="00364FC9">
              <w:rPr>
                <w:rFonts w:asciiTheme="minorHAnsi" w:hAnsiTheme="minorHAnsi"/>
                <w:sz w:val="22"/>
                <w:lang w:val="lv-LV"/>
              </w:rPr>
              <w:t xml:space="preserve">. EUR). Atbalsts bija mērķēts uz iekšējā tirgus stabilizāciju, bet Eiropas Komisijai, saņemot dalībvalstu pirmos pieteikumus, radās bažas, ka šajā gadījumā tiks pārsniegts noteiktais finansējuma apjoms. Tāpat kopējais atbalstam pieteiktās produkcijas apjoms vairakkārt pārsniedza uz Krieviju eksportētos produkcijas apjomus. Savukārt daudzas dalībvalstis, tai skaitā Latvija, nepaspēja pieteikties atbalstam. Tas radīja EK bažas par nepietiekami mērķētu atbalsta pasākumu un nepamatotiem iesniegumiem, kas, savukārt, lika apšaubīt atbalsta lietderīgumu.  </w:t>
            </w:r>
          </w:p>
          <w:p w:rsidR="002F02BD" w:rsidRPr="001A717B" w:rsidRDefault="002F02BD" w:rsidP="007423AA">
            <w:pPr>
              <w:rPr>
                <w:rFonts w:asciiTheme="minorHAnsi" w:hAnsiTheme="minorHAnsi"/>
                <w:sz w:val="22"/>
                <w:lang w:val="lv-LV"/>
              </w:rPr>
            </w:pPr>
            <w:r>
              <w:rPr>
                <w:rFonts w:asciiTheme="minorHAnsi" w:hAnsiTheme="minorHAnsi"/>
                <w:sz w:val="22"/>
                <w:lang w:val="lv-LV"/>
              </w:rPr>
              <w:t>40.nedēļā</w:t>
            </w:r>
            <w:r w:rsidRPr="00364FC9">
              <w:rPr>
                <w:rFonts w:asciiTheme="minorHAnsi" w:hAnsiTheme="minorHAnsi"/>
                <w:sz w:val="22"/>
                <w:lang w:val="lv-LV"/>
              </w:rPr>
              <w:t xml:space="preserve"> Komisija plāno apstiprināt un publicēt tiesību aktu, kas paredzētu citus ārkārtas atbalsta pasākumus augļu un dārzeņu nozarē, kuri būtu mērķēti tieši un tikai uz to dalībvalstu ražotājiem, kuras 2013.gadā produkciju eksportējušas uz Krieviju. Šo atbalsta pasākumu ietvaros katrai dalībvalstij tiks noteikts produkcijas apjoms, attiecībā </w:t>
            </w:r>
            <w:r w:rsidRPr="00364FC9">
              <w:rPr>
                <w:rFonts w:asciiTheme="minorHAnsi" w:hAnsiTheme="minorHAnsi"/>
                <w:sz w:val="22"/>
                <w:lang w:val="lv-LV"/>
              </w:rPr>
              <w:lastRenderedPageBreak/>
              <w:t>uz kuru ražotāji būs tiesīgi īstenot kādu no ārkārtas pasākumiem līdz 2014.gada 31.decembrim. Latvijai tas būs 3 000 t. Diemžēl jaunais priekšlikums vēl nav stājies spēkā, jo notiek iekšējā saskaņošana Eiropas Komisijā.</w:t>
            </w:r>
          </w:p>
        </w:tc>
      </w:tr>
      <w:tr w:rsidR="002F02BD" w:rsidRPr="001A717B" w:rsidTr="007423AA">
        <w:tc>
          <w:tcPr>
            <w:tcW w:w="1083" w:type="dxa"/>
            <w:tcBorders>
              <w:top w:val="nil"/>
              <w:bottom w:val="single" w:sz="4" w:space="0" w:color="auto"/>
            </w:tcBorders>
            <w:shd w:val="clear" w:color="auto" w:fill="D9D9D9" w:themeFill="background1" w:themeFillShade="D9"/>
          </w:tcPr>
          <w:p w:rsidR="002F02BD" w:rsidRPr="001A717B" w:rsidRDefault="002F02BD" w:rsidP="007423AA">
            <w:pPr>
              <w:rPr>
                <w:rFonts w:asciiTheme="minorHAnsi" w:hAnsiTheme="minorHAnsi"/>
                <w:sz w:val="22"/>
                <w:lang w:val="lv-LV"/>
              </w:rPr>
            </w:pPr>
          </w:p>
        </w:tc>
        <w:tc>
          <w:tcPr>
            <w:tcW w:w="1186" w:type="dxa"/>
            <w:vMerge/>
            <w:tcBorders>
              <w:top w:val="single" w:sz="4" w:space="0" w:color="auto"/>
              <w:bottom w:val="single" w:sz="4" w:space="0" w:color="auto"/>
            </w:tcBorders>
          </w:tcPr>
          <w:p w:rsidR="002F02BD" w:rsidRPr="001A717B" w:rsidRDefault="002F02BD" w:rsidP="007423AA">
            <w:pPr>
              <w:jc w:val="center"/>
              <w:rPr>
                <w:rFonts w:asciiTheme="minorHAnsi" w:hAnsiTheme="minorHAnsi"/>
                <w:sz w:val="22"/>
                <w:lang w:val="lv-LV"/>
              </w:rPr>
            </w:pPr>
          </w:p>
        </w:tc>
        <w:tc>
          <w:tcPr>
            <w:tcW w:w="4502"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Eiropas Lauksaimniecības Komisāra vizīte Latvijā</w:t>
            </w:r>
          </w:p>
        </w:tc>
        <w:tc>
          <w:tcPr>
            <w:tcW w:w="8079" w:type="dxa"/>
          </w:tcPr>
          <w:p w:rsidR="002F02BD" w:rsidRPr="001A717B" w:rsidRDefault="002F02BD" w:rsidP="007423AA">
            <w:pPr>
              <w:rPr>
                <w:rFonts w:asciiTheme="minorHAnsi" w:hAnsiTheme="minorHAnsi"/>
                <w:sz w:val="22"/>
                <w:lang w:val="lv-LV"/>
              </w:rPr>
            </w:pPr>
            <w:r w:rsidRPr="001A717B">
              <w:rPr>
                <w:rFonts w:asciiTheme="minorHAnsi" w:hAnsiTheme="minorHAnsi"/>
                <w:sz w:val="22"/>
                <w:lang w:val="lv-LV"/>
              </w:rPr>
              <w:t xml:space="preserve">18.septembrī norisinājās </w:t>
            </w:r>
            <w:r w:rsidRPr="001A717B">
              <w:rPr>
                <w:rFonts w:asciiTheme="minorHAnsi" w:hAnsiTheme="minorHAnsi" w:cs="Times New Roman"/>
                <w:sz w:val="22"/>
                <w:lang w:val="lv-LV"/>
              </w:rPr>
              <w:t xml:space="preserve">Eiropas Savienības Lauksaimniecības un lauku attīstības komisāra vizīte Latvijā, kurai gatavojoties Latvijas vadībā ir sagatavota kopēja piecu valstu (Latvijas, Lietuvas un Igaunijas, Polijas, Somijas)  prasība </w:t>
            </w:r>
            <w:r w:rsidRPr="001A717B">
              <w:rPr>
                <w:rFonts w:asciiTheme="minorHAnsi" w:hAnsiTheme="minorHAnsi"/>
                <w:sz w:val="22"/>
                <w:lang w:val="lv-LV"/>
              </w:rPr>
              <w:t xml:space="preserve">ar galveno uzsvaru uz nepieciešamību pēc papildus finansējuma piena nozares atbalstam valstīs, kuras visvairāk cietušas Krievijas sankciju rezultātā. Šī prasība tika iesniegta komisāram viņa vizītes laikā Latvijā.  </w:t>
            </w:r>
          </w:p>
        </w:tc>
      </w:tr>
    </w:tbl>
    <w:p w:rsidR="002F02BD" w:rsidRPr="001A717B" w:rsidRDefault="002F02BD" w:rsidP="002F02BD">
      <w:pPr>
        <w:rPr>
          <w:sz w:val="22"/>
        </w:rPr>
      </w:pPr>
    </w:p>
    <w:p w:rsidR="002F02BD" w:rsidRPr="001A717B" w:rsidRDefault="002F02BD" w:rsidP="002F02BD">
      <w:pPr>
        <w:ind w:firstLine="567"/>
        <w:jc w:val="both"/>
      </w:pPr>
    </w:p>
    <w:p w:rsidR="00BA3844" w:rsidRPr="00BA3844" w:rsidRDefault="00BA3844" w:rsidP="00BA3844">
      <w:pPr>
        <w:ind w:firstLine="709"/>
        <w:jc w:val="both"/>
        <w:rPr>
          <w:szCs w:val="28"/>
        </w:rPr>
      </w:pPr>
    </w:p>
    <w:p w:rsidR="00BA3844" w:rsidRPr="00BA3844" w:rsidRDefault="00BA3844" w:rsidP="00BA3844">
      <w:r w:rsidRPr="00BA3844">
        <w:t>Ministru prezidents</w:t>
      </w:r>
      <w:r w:rsidRPr="00BA3844">
        <w:tab/>
      </w:r>
      <w:r w:rsidRPr="00BA3844">
        <w:tab/>
      </w:r>
      <w:r w:rsidRPr="00BA3844">
        <w:tab/>
      </w:r>
      <w:r w:rsidRPr="00BA3844">
        <w:tab/>
      </w:r>
      <w:r w:rsidRPr="00BA3844">
        <w:tab/>
      </w:r>
      <w:r w:rsidRPr="00BA3844">
        <w:tab/>
      </w:r>
      <w:r w:rsidRPr="00BA3844">
        <w:tab/>
      </w:r>
      <w:r>
        <w:tab/>
      </w:r>
      <w:r>
        <w:tab/>
      </w:r>
      <w:r>
        <w:tab/>
      </w:r>
      <w:r>
        <w:tab/>
      </w:r>
      <w:r>
        <w:tab/>
      </w:r>
      <w:r>
        <w:tab/>
      </w:r>
      <w:r>
        <w:tab/>
      </w:r>
      <w:r w:rsidRPr="00BA3844">
        <w:t>L.Straujuma</w:t>
      </w:r>
    </w:p>
    <w:p w:rsidR="00BA3844" w:rsidRPr="00BA3844" w:rsidRDefault="00BA3844" w:rsidP="00BA3844"/>
    <w:p w:rsidR="00BA3844" w:rsidRPr="00BA3844" w:rsidRDefault="00BA3844" w:rsidP="00BA3844"/>
    <w:p w:rsidR="00BA3844" w:rsidRPr="00BA3844" w:rsidRDefault="00BA3844" w:rsidP="00BA3844">
      <w:pPr>
        <w:tabs>
          <w:tab w:val="right" w:pos="9072"/>
        </w:tabs>
      </w:pPr>
      <w:r w:rsidRPr="00BA3844">
        <w:t>Ekonomikas ministrs</w:t>
      </w:r>
      <w:r w:rsidRPr="00BA3844">
        <w:tab/>
      </w:r>
      <w:r>
        <w:tab/>
      </w:r>
      <w:r>
        <w:tab/>
      </w:r>
      <w:r>
        <w:tab/>
      </w:r>
      <w:r>
        <w:tab/>
      </w:r>
      <w:r>
        <w:tab/>
      </w:r>
      <w:r w:rsidRPr="00BA3844">
        <w:t>V.Dombrovskis</w:t>
      </w:r>
    </w:p>
    <w:p w:rsidR="00BA3844" w:rsidRPr="00BA3844" w:rsidRDefault="00BA3844" w:rsidP="00BA3844">
      <w:pPr>
        <w:tabs>
          <w:tab w:val="right" w:pos="9072"/>
        </w:tabs>
      </w:pPr>
    </w:p>
    <w:p w:rsidR="00BA3844" w:rsidRPr="00BA3844" w:rsidRDefault="00BA3844" w:rsidP="00BA3844">
      <w:pPr>
        <w:tabs>
          <w:tab w:val="right" w:pos="9072"/>
        </w:tabs>
      </w:pPr>
      <w:r w:rsidRPr="00BA3844">
        <w:t>Iesniedzējs:</w:t>
      </w:r>
    </w:p>
    <w:p w:rsidR="00BA3844" w:rsidRPr="00BA3844" w:rsidRDefault="00BA3844" w:rsidP="00BA3844">
      <w:pPr>
        <w:tabs>
          <w:tab w:val="right" w:pos="9072"/>
        </w:tabs>
      </w:pPr>
      <w:r w:rsidRPr="00BA3844">
        <w:t>Ekonomikas ministrs</w:t>
      </w:r>
      <w:r w:rsidRPr="00BA3844">
        <w:tab/>
      </w:r>
      <w:r>
        <w:tab/>
      </w:r>
      <w:r>
        <w:tab/>
      </w:r>
      <w:r>
        <w:tab/>
      </w:r>
      <w:r>
        <w:tab/>
      </w:r>
      <w:r>
        <w:tab/>
      </w:r>
      <w:r w:rsidRPr="00BA3844">
        <w:t>V.Dombrovskis</w:t>
      </w:r>
    </w:p>
    <w:p w:rsidR="00BA3844" w:rsidRPr="00BA3844" w:rsidRDefault="00BA3844" w:rsidP="00BA3844">
      <w:pPr>
        <w:tabs>
          <w:tab w:val="right" w:pos="9639"/>
        </w:tabs>
        <w:jc w:val="both"/>
      </w:pPr>
    </w:p>
    <w:p w:rsidR="00BA3844" w:rsidRPr="00BA3844" w:rsidRDefault="00BA3844" w:rsidP="00BA3844">
      <w:pPr>
        <w:tabs>
          <w:tab w:val="right" w:pos="9639"/>
        </w:tabs>
        <w:jc w:val="both"/>
      </w:pPr>
    </w:p>
    <w:p w:rsidR="00BA3844" w:rsidRPr="00BA3844" w:rsidRDefault="00BA3844" w:rsidP="00BA3844">
      <w:pPr>
        <w:tabs>
          <w:tab w:val="right" w:pos="9639"/>
        </w:tabs>
        <w:jc w:val="both"/>
      </w:pPr>
      <w:r w:rsidRPr="00BA3844">
        <w:t>Vīza:</w:t>
      </w:r>
      <w:r>
        <w:tab/>
      </w:r>
      <w:r>
        <w:tab/>
      </w:r>
    </w:p>
    <w:p w:rsidR="00BA3844" w:rsidRPr="00BA3844" w:rsidRDefault="00BA3844" w:rsidP="00BA3844">
      <w:pPr>
        <w:tabs>
          <w:tab w:val="right" w:pos="9072"/>
        </w:tabs>
      </w:pPr>
      <w:r w:rsidRPr="00BA3844">
        <w:t xml:space="preserve">Valsts sekretārs </w:t>
      </w:r>
      <w:r w:rsidRPr="00BA3844">
        <w:tab/>
      </w:r>
      <w:r>
        <w:tab/>
      </w:r>
      <w:r>
        <w:tab/>
      </w:r>
      <w:r>
        <w:tab/>
      </w:r>
      <w:r>
        <w:tab/>
      </w:r>
      <w:r>
        <w:tab/>
      </w:r>
      <w:r w:rsidRPr="00BA3844">
        <w:t>M.Lazdovskis</w:t>
      </w:r>
    </w:p>
    <w:p w:rsidR="00BA3844" w:rsidRPr="00BA3844" w:rsidRDefault="00BA3844" w:rsidP="00BA3844">
      <w:pPr>
        <w:suppressAutoHyphens/>
        <w:ind w:right="4820"/>
        <w:rPr>
          <w:rFonts w:eastAsia="Times New Roman" w:cs="Times New Roman"/>
          <w:sz w:val="18"/>
          <w:szCs w:val="18"/>
        </w:rPr>
      </w:pPr>
    </w:p>
    <w:p w:rsidR="00BA3844" w:rsidRPr="00BA3844" w:rsidRDefault="00BA3844" w:rsidP="00BA3844"/>
    <w:p w:rsidR="00BA3844" w:rsidRPr="00BA3844" w:rsidRDefault="002F4C20" w:rsidP="00BA3844">
      <w:pPr>
        <w:suppressAutoHyphens/>
        <w:ind w:right="4820"/>
        <w:rPr>
          <w:rFonts w:eastAsia="Times New Roman" w:cs="Times New Roman"/>
          <w:sz w:val="20"/>
          <w:szCs w:val="20"/>
        </w:rPr>
      </w:pPr>
      <w:r>
        <w:rPr>
          <w:rFonts w:eastAsia="Times New Roman" w:cs="Times New Roman"/>
          <w:sz w:val="20"/>
          <w:szCs w:val="20"/>
        </w:rPr>
        <w:t>29.09.2014 22:42</w:t>
      </w:r>
    </w:p>
    <w:p w:rsidR="00BA3844" w:rsidRPr="00BA3844" w:rsidRDefault="002F4C20" w:rsidP="00BA3844">
      <w:pPr>
        <w:suppressAutoHyphens/>
        <w:ind w:right="4820"/>
        <w:rPr>
          <w:rFonts w:eastAsia="Times New Roman" w:cs="Times New Roman"/>
          <w:sz w:val="20"/>
          <w:szCs w:val="20"/>
        </w:rPr>
      </w:pPr>
      <w:r>
        <w:rPr>
          <w:rFonts w:eastAsia="Times New Roman" w:cs="Times New Roman"/>
          <w:sz w:val="20"/>
          <w:szCs w:val="20"/>
        </w:rPr>
        <w:t>2168</w:t>
      </w:r>
      <w:r w:rsidR="00BA3844" w:rsidRPr="00BA3844">
        <w:rPr>
          <w:rFonts w:eastAsia="Times New Roman" w:cs="Times New Roman"/>
          <w:sz w:val="20"/>
          <w:szCs w:val="20"/>
        </w:rPr>
        <w:br/>
        <w:t>Ilze Beināre, 67013151</w:t>
      </w:r>
    </w:p>
    <w:p w:rsidR="00BA3844" w:rsidRPr="00BA3844" w:rsidRDefault="00BA3844" w:rsidP="00BA3844">
      <w:pPr>
        <w:suppressAutoHyphens/>
        <w:ind w:right="4820"/>
        <w:rPr>
          <w:rFonts w:eastAsia="Times New Roman" w:cs="Times New Roman"/>
          <w:sz w:val="20"/>
          <w:szCs w:val="20"/>
        </w:rPr>
      </w:pPr>
      <w:hyperlink r:id="rId9" w:history="1">
        <w:r w:rsidRPr="00BA3844">
          <w:rPr>
            <w:rFonts w:eastAsia="Times New Roman" w:cs="Times New Roman"/>
            <w:sz w:val="20"/>
            <w:szCs w:val="20"/>
            <w:u w:val="single"/>
          </w:rPr>
          <w:t>Ilze.Beinare@em.gov.lv</w:t>
        </w:r>
      </w:hyperlink>
    </w:p>
    <w:p w:rsidR="00BA3844" w:rsidRPr="00BA3844" w:rsidRDefault="00BA3844" w:rsidP="00BA3844">
      <w:pPr>
        <w:jc w:val="right"/>
        <w:rPr>
          <w:sz w:val="24"/>
        </w:rPr>
      </w:pPr>
      <w:bookmarkStart w:id="0" w:name="_GoBack"/>
      <w:bookmarkEnd w:id="0"/>
    </w:p>
    <w:p w:rsidR="008F505F" w:rsidRDefault="008F505F"/>
    <w:sectPr w:rsidR="008F505F" w:rsidSect="0074002F">
      <w:headerReference w:type="default" r:id="rId10"/>
      <w:footerReference w:type="default" r:id="rId11"/>
      <w:pgSz w:w="16838" w:h="11906" w:orient="landscape" w:code="9"/>
      <w:pgMar w:top="811" w:right="1418" w:bottom="1134" w:left="1134"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34" w:rsidRDefault="008D6034" w:rsidP="002F02BD">
      <w:r>
        <w:separator/>
      </w:r>
    </w:p>
  </w:endnote>
  <w:endnote w:type="continuationSeparator" w:id="0">
    <w:p w:rsidR="008D6034" w:rsidRDefault="008D6034" w:rsidP="002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BD" w:rsidRPr="002F02BD" w:rsidRDefault="002F02BD" w:rsidP="002F02BD">
    <w:pPr>
      <w:pStyle w:val="Footer"/>
      <w:ind w:right="360"/>
      <w:jc w:val="both"/>
      <w:rPr>
        <w:sz w:val="20"/>
        <w:szCs w:val="20"/>
      </w:rPr>
    </w:pPr>
    <w:r w:rsidRPr="002F02BD">
      <w:rPr>
        <w:sz w:val="20"/>
        <w:szCs w:val="20"/>
      </w:rPr>
      <w:t>EMZino_</w:t>
    </w:r>
    <w:r>
      <w:rPr>
        <w:sz w:val="20"/>
        <w:szCs w:val="20"/>
      </w:rPr>
      <w:t>P1_</w:t>
    </w:r>
    <w:r w:rsidRPr="002F02BD">
      <w:rPr>
        <w:sz w:val="20"/>
        <w:szCs w:val="20"/>
      </w:rPr>
      <w:t>290914_paveiktais; Informatīvais ziņojums par pasākumiem Krievijas eko</w:t>
    </w:r>
    <w:r w:rsidR="00F20E4D">
      <w:rPr>
        <w:sz w:val="20"/>
        <w:szCs w:val="20"/>
      </w:rPr>
      <w:t>nomisko sankciju negatīvo</w:t>
    </w:r>
    <w:r w:rsidRPr="002F02BD">
      <w:rPr>
        <w:sz w:val="20"/>
        <w:szCs w:val="20"/>
      </w:rPr>
      <w:t xml:space="preserve"> </w:t>
    </w:r>
    <w:r w:rsidR="00F20E4D">
      <w:rPr>
        <w:sz w:val="20"/>
        <w:szCs w:val="20"/>
      </w:rPr>
      <w:t>seku</w:t>
    </w:r>
    <w:r w:rsidRPr="002F02BD">
      <w:rPr>
        <w:sz w:val="20"/>
        <w:szCs w:val="20"/>
      </w:rPr>
      <w:t xml:space="preserve"> mazināšanai</w:t>
    </w:r>
  </w:p>
  <w:p w:rsidR="002F02BD" w:rsidRDefault="002F02BD">
    <w:pPr>
      <w:pStyle w:val="Footer"/>
    </w:pPr>
  </w:p>
  <w:p w:rsidR="002F02BD" w:rsidRDefault="002F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34" w:rsidRDefault="008D6034" w:rsidP="002F02BD">
      <w:r>
        <w:separator/>
      </w:r>
    </w:p>
  </w:footnote>
  <w:footnote w:type="continuationSeparator" w:id="0">
    <w:p w:rsidR="008D6034" w:rsidRDefault="008D6034" w:rsidP="002F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2913"/>
      <w:docPartObj>
        <w:docPartGallery w:val="Page Numbers (Top of Page)"/>
        <w:docPartUnique/>
      </w:docPartObj>
    </w:sdtPr>
    <w:sdtEndPr>
      <w:rPr>
        <w:noProof/>
        <w:sz w:val="22"/>
      </w:rPr>
    </w:sdtEndPr>
    <w:sdtContent>
      <w:p w:rsidR="002F4C20" w:rsidRPr="002F4C20" w:rsidRDefault="002F4C20">
        <w:pPr>
          <w:pStyle w:val="Header"/>
          <w:jc w:val="center"/>
          <w:rPr>
            <w:sz w:val="22"/>
          </w:rPr>
        </w:pPr>
        <w:r w:rsidRPr="002F4C20">
          <w:rPr>
            <w:sz w:val="22"/>
          </w:rPr>
          <w:fldChar w:fldCharType="begin"/>
        </w:r>
        <w:r w:rsidRPr="002F4C20">
          <w:rPr>
            <w:sz w:val="22"/>
          </w:rPr>
          <w:instrText xml:space="preserve"> PAGE   \* MERGEFORMAT </w:instrText>
        </w:r>
        <w:r w:rsidRPr="002F4C20">
          <w:rPr>
            <w:sz w:val="22"/>
          </w:rPr>
          <w:fldChar w:fldCharType="separate"/>
        </w:r>
        <w:r>
          <w:rPr>
            <w:noProof/>
            <w:sz w:val="22"/>
          </w:rPr>
          <w:t>7</w:t>
        </w:r>
        <w:r w:rsidRPr="002F4C20">
          <w:rPr>
            <w:noProof/>
            <w:sz w:val="22"/>
          </w:rPr>
          <w:fldChar w:fldCharType="end"/>
        </w:r>
      </w:p>
    </w:sdtContent>
  </w:sdt>
  <w:p w:rsidR="002F4C20" w:rsidRDefault="002F4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BD"/>
    <w:rsid w:val="002F02BD"/>
    <w:rsid w:val="002F4C20"/>
    <w:rsid w:val="008D6034"/>
    <w:rsid w:val="008F505F"/>
    <w:rsid w:val="00BA3844"/>
    <w:rsid w:val="00C157A9"/>
    <w:rsid w:val="00F20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B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F02BD"/>
    <w:pPr>
      <w:spacing w:after="0" w:line="240" w:lineRule="auto"/>
    </w:pPr>
    <w:rPr>
      <w:rFonts w:ascii="Times New Roman" w:hAnsi="Times New Roman"/>
      <w:sz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2BD"/>
    <w:pPr>
      <w:tabs>
        <w:tab w:val="center" w:pos="4153"/>
        <w:tab w:val="right" w:pos="8306"/>
      </w:tabs>
    </w:pPr>
  </w:style>
  <w:style w:type="character" w:customStyle="1" w:styleId="HeaderChar">
    <w:name w:val="Header Char"/>
    <w:basedOn w:val="DefaultParagraphFont"/>
    <w:link w:val="Header"/>
    <w:uiPriority w:val="99"/>
    <w:rsid w:val="002F02BD"/>
    <w:rPr>
      <w:rFonts w:ascii="Times New Roman" w:hAnsi="Times New Roman"/>
      <w:sz w:val="28"/>
    </w:rPr>
  </w:style>
  <w:style w:type="paragraph" w:styleId="Footer">
    <w:name w:val="footer"/>
    <w:basedOn w:val="Normal"/>
    <w:link w:val="FooterChar"/>
    <w:uiPriority w:val="99"/>
    <w:unhideWhenUsed/>
    <w:rsid w:val="002F02BD"/>
    <w:pPr>
      <w:tabs>
        <w:tab w:val="center" w:pos="4153"/>
        <w:tab w:val="right" w:pos="8306"/>
      </w:tabs>
    </w:pPr>
  </w:style>
  <w:style w:type="character" w:customStyle="1" w:styleId="FooterChar">
    <w:name w:val="Footer Char"/>
    <w:basedOn w:val="DefaultParagraphFont"/>
    <w:link w:val="Footer"/>
    <w:uiPriority w:val="99"/>
    <w:rsid w:val="002F02BD"/>
    <w:rPr>
      <w:rFonts w:ascii="Times New Roman" w:hAnsi="Times New Roman"/>
      <w:sz w:val="28"/>
    </w:rPr>
  </w:style>
  <w:style w:type="paragraph" w:styleId="BalloonText">
    <w:name w:val="Balloon Text"/>
    <w:basedOn w:val="Normal"/>
    <w:link w:val="BalloonTextChar"/>
    <w:uiPriority w:val="99"/>
    <w:semiHidden/>
    <w:unhideWhenUsed/>
    <w:rsid w:val="002F02BD"/>
    <w:rPr>
      <w:rFonts w:ascii="Tahoma" w:hAnsi="Tahoma" w:cs="Tahoma"/>
      <w:sz w:val="16"/>
      <w:szCs w:val="16"/>
    </w:rPr>
  </w:style>
  <w:style w:type="character" w:customStyle="1" w:styleId="BalloonTextChar">
    <w:name w:val="Balloon Text Char"/>
    <w:basedOn w:val="DefaultParagraphFont"/>
    <w:link w:val="BalloonText"/>
    <w:uiPriority w:val="99"/>
    <w:semiHidden/>
    <w:rsid w:val="002F0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B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F02BD"/>
    <w:pPr>
      <w:spacing w:after="0" w:line="240" w:lineRule="auto"/>
    </w:pPr>
    <w:rPr>
      <w:rFonts w:ascii="Times New Roman" w:hAnsi="Times New Roman"/>
      <w:sz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2BD"/>
    <w:pPr>
      <w:tabs>
        <w:tab w:val="center" w:pos="4153"/>
        <w:tab w:val="right" w:pos="8306"/>
      </w:tabs>
    </w:pPr>
  </w:style>
  <w:style w:type="character" w:customStyle="1" w:styleId="HeaderChar">
    <w:name w:val="Header Char"/>
    <w:basedOn w:val="DefaultParagraphFont"/>
    <w:link w:val="Header"/>
    <w:uiPriority w:val="99"/>
    <w:rsid w:val="002F02BD"/>
    <w:rPr>
      <w:rFonts w:ascii="Times New Roman" w:hAnsi="Times New Roman"/>
      <w:sz w:val="28"/>
    </w:rPr>
  </w:style>
  <w:style w:type="paragraph" w:styleId="Footer">
    <w:name w:val="footer"/>
    <w:basedOn w:val="Normal"/>
    <w:link w:val="FooterChar"/>
    <w:uiPriority w:val="99"/>
    <w:unhideWhenUsed/>
    <w:rsid w:val="002F02BD"/>
    <w:pPr>
      <w:tabs>
        <w:tab w:val="center" w:pos="4153"/>
        <w:tab w:val="right" w:pos="8306"/>
      </w:tabs>
    </w:pPr>
  </w:style>
  <w:style w:type="character" w:customStyle="1" w:styleId="FooterChar">
    <w:name w:val="Footer Char"/>
    <w:basedOn w:val="DefaultParagraphFont"/>
    <w:link w:val="Footer"/>
    <w:uiPriority w:val="99"/>
    <w:rsid w:val="002F02BD"/>
    <w:rPr>
      <w:rFonts w:ascii="Times New Roman" w:hAnsi="Times New Roman"/>
      <w:sz w:val="28"/>
    </w:rPr>
  </w:style>
  <w:style w:type="paragraph" w:styleId="BalloonText">
    <w:name w:val="Balloon Text"/>
    <w:basedOn w:val="Normal"/>
    <w:link w:val="BalloonTextChar"/>
    <w:uiPriority w:val="99"/>
    <w:semiHidden/>
    <w:unhideWhenUsed/>
    <w:rsid w:val="002F02BD"/>
    <w:rPr>
      <w:rFonts w:ascii="Tahoma" w:hAnsi="Tahoma" w:cs="Tahoma"/>
      <w:sz w:val="16"/>
      <w:szCs w:val="16"/>
    </w:rPr>
  </w:style>
  <w:style w:type="character" w:customStyle="1" w:styleId="BalloonTextChar">
    <w:name w:val="Balloon Text Char"/>
    <w:basedOn w:val="DefaultParagraphFont"/>
    <w:link w:val="BalloonText"/>
    <w:uiPriority w:val="99"/>
    <w:semiHidden/>
    <w:rsid w:val="002F0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vid.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Beinare@em.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26"/>
    <w:rsid w:val="00036CD1"/>
    <w:rsid w:val="000C5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3301A7B64623A3091B41271D3220">
    <w:name w:val="439F3301A7B64623A3091B41271D3220"/>
    <w:rsid w:val="000C52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3301A7B64623A3091B41271D3220">
    <w:name w:val="439F3301A7B64623A3091B41271D3220"/>
    <w:rsid w:val="000C5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11572</Words>
  <Characters>6597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Beināre</dc:creator>
  <cp:lastModifiedBy>Ilze Beināre</cp:lastModifiedBy>
  <cp:revision>4</cp:revision>
  <dcterms:created xsi:type="dcterms:W3CDTF">2014-09-29T18:44:00Z</dcterms:created>
  <dcterms:modified xsi:type="dcterms:W3CDTF">2014-09-29T19:42:00Z</dcterms:modified>
</cp:coreProperties>
</file>