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F76F1E" w:rsidRPr="006159F2" w:rsidTr="00F76F1E">
        <w:trPr>
          <w:tblCellSpacing w:w="0" w:type="dxa"/>
        </w:trPr>
        <w:tc>
          <w:tcPr>
            <w:tcW w:w="0" w:type="auto"/>
            <w:vAlign w:val="center"/>
            <w:hideMark/>
          </w:tcPr>
          <w:p w:rsidR="0007264F" w:rsidRPr="006159F2" w:rsidRDefault="0007264F" w:rsidP="002D0587">
            <w:pPr>
              <w:pBdr>
                <w:bottom w:val="single" w:sz="12" w:space="1" w:color="auto"/>
              </w:pBdr>
              <w:tabs>
                <w:tab w:val="left" w:pos="851"/>
                <w:tab w:val="left" w:pos="6805"/>
                <w:tab w:val="left" w:pos="13041"/>
                <w:tab w:val="left" w:pos="19704"/>
                <w:tab w:val="left" w:pos="21263"/>
              </w:tabs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59F2">
              <w:rPr>
                <w:rFonts w:ascii="Times New Roman" w:hAnsi="Times New Roman" w:cs="Times New Roman"/>
                <w:i/>
                <w:sz w:val="28"/>
                <w:szCs w:val="28"/>
              </w:rPr>
              <w:t>Projekts</w:t>
            </w:r>
          </w:p>
          <w:p w:rsidR="0007264F" w:rsidRPr="006159F2" w:rsidRDefault="0007264F" w:rsidP="002D0587">
            <w:pPr>
              <w:pBdr>
                <w:bottom w:val="single" w:sz="12" w:space="1" w:color="auto"/>
              </w:pBdr>
              <w:tabs>
                <w:tab w:val="left" w:pos="851"/>
                <w:tab w:val="left" w:pos="6805"/>
                <w:tab w:val="left" w:pos="13041"/>
                <w:tab w:val="left" w:pos="19704"/>
                <w:tab w:val="left" w:pos="2126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>LATVIJAS REPUBLIKAS MINISTRU KABINETA SĒDE</w:t>
            </w:r>
          </w:p>
          <w:p w:rsidR="0007264F" w:rsidRPr="006159F2" w:rsidRDefault="0007264F" w:rsidP="002D0587">
            <w:pPr>
              <w:tabs>
                <w:tab w:val="left" w:pos="851"/>
                <w:tab w:val="left" w:pos="6805"/>
                <w:tab w:val="left" w:pos="13041"/>
                <w:tab w:val="left" w:pos="19704"/>
                <w:tab w:val="left" w:pos="21263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>PROTOKOLS</w:t>
            </w:r>
          </w:p>
          <w:p w:rsidR="0007264F" w:rsidRPr="006159F2" w:rsidRDefault="0007264F" w:rsidP="002D0587">
            <w:pPr>
              <w:tabs>
                <w:tab w:val="left" w:pos="851"/>
                <w:tab w:val="left" w:pos="6805"/>
                <w:tab w:val="left" w:pos="13041"/>
                <w:tab w:val="left" w:pos="19704"/>
                <w:tab w:val="left" w:pos="2126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214" w:type="dxa"/>
              <w:tblInd w:w="250" w:type="dxa"/>
              <w:tblLook w:val="00A0" w:firstRow="1" w:lastRow="0" w:firstColumn="1" w:lastColumn="0" w:noHBand="0" w:noVBand="0"/>
            </w:tblPr>
            <w:tblGrid>
              <w:gridCol w:w="3967"/>
              <w:gridCol w:w="886"/>
              <w:gridCol w:w="4361"/>
            </w:tblGrid>
            <w:tr w:rsidR="0007264F" w:rsidRPr="006159F2" w:rsidTr="00B93407">
              <w:trPr>
                <w:cantSplit/>
              </w:trPr>
              <w:tc>
                <w:tcPr>
                  <w:tcW w:w="3967" w:type="dxa"/>
                </w:tcPr>
                <w:p w:rsidR="0007264F" w:rsidRPr="006159F2" w:rsidRDefault="0007264F" w:rsidP="002D05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9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Rīgā</w:t>
                  </w:r>
                </w:p>
              </w:tc>
              <w:tc>
                <w:tcPr>
                  <w:tcW w:w="886" w:type="dxa"/>
                </w:tcPr>
                <w:p w:rsidR="0007264F" w:rsidRPr="006159F2" w:rsidRDefault="0007264F" w:rsidP="002D0587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9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Nr.</w:t>
                  </w:r>
                </w:p>
              </w:tc>
              <w:tc>
                <w:tcPr>
                  <w:tcW w:w="4361" w:type="dxa"/>
                </w:tcPr>
                <w:p w:rsidR="0007264F" w:rsidRPr="006159F2" w:rsidRDefault="0007264F" w:rsidP="002D05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59F2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2014.gada</w:t>
                  </w:r>
                </w:p>
              </w:tc>
            </w:tr>
          </w:tbl>
          <w:p w:rsidR="0007264F" w:rsidRPr="006159F2" w:rsidRDefault="0007264F" w:rsidP="002D0587">
            <w:pPr>
              <w:pStyle w:val="BodyText"/>
              <w:jc w:val="center"/>
              <w:rPr>
                <w:b/>
                <w:szCs w:val="28"/>
              </w:rPr>
            </w:pPr>
            <w:bookmarkStart w:id="0" w:name="75"/>
            <w:bookmarkEnd w:id="0"/>
            <w:r w:rsidRPr="006159F2">
              <w:rPr>
                <w:b/>
                <w:szCs w:val="28"/>
              </w:rPr>
              <w:t>.§</w:t>
            </w:r>
          </w:p>
          <w:p w:rsidR="0007264F" w:rsidRPr="006159F2" w:rsidRDefault="0007264F" w:rsidP="002D05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OLE_LINK6"/>
            <w:r w:rsidRPr="00615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Par </w:t>
            </w:r>
            <w:r w:rsidR="006159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valsts nodevu būvniecības pakalpojumiem</w:t>
            </w:r>
          </w:p>
          <w:bookmarkEnd w:id="1"/>
          <w:p w:rsidR="0007264F" w:rsidRPr="006159F2" w:rsidRDefault="0007264F" w:rsidP="002D0587">
            <w:pPr>
              <w:pStyle w:val="BodyText"/>
              <w:jc w:val="center"/>
              <w:rPr>
                <w:szCs w:val="28"/>
              </w:rPr>
            </w:pPr>
            <w:r w:rsidRPr="006159F2">
              <w:rPr>
                <w:szCs w:val="28"/>
              </w:rPr>
              <w:t>_________________________________________________</w:t>
            </w:r>
          </w:p>
          <w:p w:rsidR="0007264F" w:rsidRPr="006159F2" w:rsidRDefault="0007264F" w:rsidP="002D0587">
            <w:pPr>
              <w:pStyle w:val="BodyText"/>
              <w:rPr>
                <w:b/>
                <w:szCs w:val="28"/>
              </w:rPr>
            </w:pPr>
          </w:p>
          <w:p w:rsidR="0007264F" w:rsidRPr="00A37018" w:rsidRDefault="0007264F" w:rsidP="00A3701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357"/>
              <w:jc w:val="both"/>
              <w:rPr>
                <w:szCs w:val="28"/>
                <w:lang w:val="lv-LV"/>
              </w:rPr>
            </w:pPr>
            <w:r w:rsidRPr="00A37018">
              <w:rPr>
                <w:szCs w:val="28"/>
                <w:lang w:val="lv-LV"/>
              </w:rPr>
              <w:t>Pieņemt zināšanai iesniegto informatīvo ziņojumu.</w:t>
            </w:r>
          </w:p>
          <w:p w:rsidR="00694712" w:rsidRPr="00A37018" w:rsidRDefault="00694712" w:rsidP="00A37018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ind w:left="0" w:firstLine="357"/>
              <w:jc w:val="both"/>
              <w:rPr>
                <w:szCs w:val="28"/>
                <w:lang w:val="lv-LV"/>
              </w:rPr>
            </w:pPr>
            <w:r w:rsidRPr="00A37018">
              <w:rPr>
                <w:szCs w:val="28"/>
                <w:lang w:val="lv-LV"/>
              </w:rPr>
              <w:t>Ekonomikas ministrijai sagatavot un normatīvos aktos noteiktā kārtībā līdz</w:t>
            </w:r>
            <w:r w:rsidR="00643F1F">
              <w:rPr>
                <w:szCs w:val="28"/>
                <w:lang w:val="lv-LV"/>
              </w:rPr>
              <w:t xml:space="preserve"> 201</w:t>
            </w:r>
            <w:r w:rsidR="00BD7C38">
              <w:rPr>
                <w:szCs w:val="28"/>
                <w:lang w:val="lv-LV"/>
              </w:rPr>
              <w:t>5.gada 30</w:t>
            </w:r>
            <w:r w:rsidR="00643F1F">
              <w:rPr>
                <w:szCs w:val="28"/>
                <w:lang w:val="lv-LV"/>
              </w:rPr>
              <w:t>.</w:t>
            </w:r>
            <w:r w:rsidR="00BD7C38">
              <w:rPr>
                <w:szCs w:val="28"/>
                <w:lang w:val="lv-LV"/>
              </w:rPr>
              <w:t>janvārim</w:t>
            </w:r>
            <w:r w:rsidRPr="00A37018">
              <w:rPr>
                <w:szCs w:val="28"/>
                <w:lang w:val="lv-LV"/>
              </w:rPr>
              <w:t xml:space="preserve"> iesniegt Valsts kancelejā grozījumu</w:t>
            </w:r>
            <w:r w:rsidR="00A37018">
              <w:rPr>
                <w:szCs w:val="28"/>
                <w:lang w:val="lv-LV"/>
              </w:rPr>
              <w:t>s</w:t>
            </w:r>
            <w:r w:rsidRPr="00A37018">
              <w:rPr>
                <w:szCs w:val="28"/>
                <w:lang w:val="lv-LV"/>
              </w:rPr>
              <w:t xml:space="preserve"> </w:t>
            </w:r>
            <w:r w:rsidR="00643F1F">
              <w:rPr>
                <w:szCs w:val="28"/>
                <w:lang w:val="lv-LV"/>
              </w:rPr>
              <w:t xml:space="preserve">2014.gada 25.februāra </w:t>
            </w:r>
            <w:r w:rsidR="00A37018">
              <w:rPr>
                <w:szCs w:val="28"/>
                <w:lang w:val="lv-LV"/>
              </w:rPr>
              <w:t xml:space="preserve">Ministru kabineta noteikumos Nr.116 </w:t>
            </w:r>
            <w:r w:rsidRPr="00A37018">
              <w:rPr>
                <w:szCs w:val="28"/>
                <w:lang w:val="lv-LV"/>
              </w:rPr>
              <w:t>„</w:t>
            </w:r>
            <w:r w:rsidR="00A37018">
              <w:rPr>
                <w:szCs w:val="28"/>
                <w:lang w:val="lv-LV"/>
              </w:rPr>
              <w:t>Būvkomersantu reģistrācijas noteikumi</w:t>
            </w:r>
            <w:r w:rsidRPr="00A37018">
              <w:rPr>
                <w:szCs w:val="28"/>
                <w:lang w:val="lv-LV"/>
              </w:rPr>
              <w:t>”, pre</w:t>
            </w:r>
            <w:r w:rsidR="00A37018">
              <w:rPr>
                <w:szCs w:val="28"/>
                <w:lang w:val="lv-LV"/>
              </w:rPr>
              <w:t>cizējot</w:t>
            </w:r>
            <w:r w:rsidRPr="00A37018">
              <w:rPr>
                <w:szCs w:val="28"/>
                <w:lang w:val="lv-LV"/>
              </w:rPr>
              <w:t xml:space="preserve"> nodevu </w:t>
            </w:r>
            <w:r w:rsidR="00A37018">
              <w:rPr>
                <w:szCs w:val="28"/>
                <w:lang w:val="lv-LV"/>
              </w:rPr>
              <w:t>par darbībām būvkomersantu reģistrā un tās maksāšanas kārtību</w:t>
            </w:r>
            <w:r w:rsidRPr="00A37018">
              <w:rPr>
                <w:szCs w:val="28"/>
                <w:lang w:val="lv-LV"/>
              </w:rPr>
              <w:t>, ievērojot informatīvajā ziņojuma secinājumu daļā ietverto risinājumu.</w:t>
            </w:r>
          </w:p>
          <w:p w:rsidR="0007264F" w:rsidRPr="00A37018" w:rsidRDefault="00A37018" w:rsidP="00A37018">
            <w:pPr>
              <w:pStyle w:val="BodyText"/>
              <w:ind w:firstLine="357"/>
              <w:rPr>
                <w:szCs w:val="28"/>
              </w:rPr>
            </w:pPr>
            <w:r w:rsidRPr="00A37018">
              <w:rPr>
                <w:szCs w:val="28"/>
              </w:rPr>
              <w:t xml:space="preserve">3. Atbalstīt Ekonomikas ministrijas priekšlikumu palielināt izdevumus budžeta programmā 20.00.00 “Būvniecība” 2015.gadā 1629 684 </w:t>
            </w:r>
            <w:r w:rsidRPr="00A37018">
              <w:rPr>
                <w:i/>
                <w:szCs w:val="28"/>
              </w:rPr>
              <w:t>euro</w:t>
            </w:r>
            <w:r w:rsidRPr="00A37018">
              <w:rPr>
                <w:szCs w:val="28"/>
              </w:rPr>
              <w:t xml:space="preserve"> apmērā, tajā skaitā atlīdzībai 1 302 869 </w:t>
            </w:r>
            <w:r w:rsidRPr="00A37018">
              <w:rPr>
                <w:i/>
                <w:szCs w:val="28"/>
              </w:rPr>
              <w:t>euro</w:t>
            </w:r>
            <w:r w:rsidRPr="00A37018">
              <w:rPr>
                <w:szCs w:val="28"/>
              </w:rPr>
              <w:t xml:space="preserve"> (atalgojumam 1 006 447 </w:t>
            </w:r>
            <w:r w:rsidRPr="00A37018">
              <w:rPr>
                <w:i/>
                <w:szCs w:val="28"/>
              </w:rPr>
              <w:t>euro</w:t>
            </w:r>
            <w:r w:rsidRPr="00A37018">
              <w:rPr>
                <w:szCs w:val="28"/>
              </w:rPr>
              <w:t xml:space="preserve">), precēm un pakalpojumiem 286 894 </w:t>
            </w:r>
            <w:r w:rsidRPr="00A37018">
              <w:rPr>
                <w:i/>
                <w:szCs w:val="28"/>
              </w:rPr>
              <w:t>euro</w:t>
            </w:r>
            <w:r w:rsidRPr="00A37018">
              <w:rPr>
                <w:szCs w:val="28"/>
              </w:rPr>
              <w:t xml:space="preserve"> un kapitālajiem izdevumiem 39 921 </w:t>
            </w:r>
            <w:r w:rsidRPr="00A37018">
              <w:rPr>
                <w:i/>
                <w:szCs w:val="28"/>
              </w:rPr>
              <w:t>euro</w:t>
            </w:r>
            <w:r w:rsidRPr="00A37018">
              <w:rPr>
                <w:szCs w:val="28"/>
              </w:rPr>
              <w:t xml:space="preserve">, 2016.gadā un turpmāk 1 902 123 </w:t>
            </w:r>
            <w:r w:rsidRPr="00A37018">
              <w:rPr>
                <w:i/>
                <w:szCs w:val="28"/>
              </w:rPr>
              <w:t>euro</w:t>
            </w:r>
            <w:r w:rsidRPr="00A37018">
              <w:rPr>
                <w:szCs w:val="28"/>
              </w:rPr>
              <w:t xml:space="preserve"> gadā, tajā skaitā atlīdzībai 1 575 308 </w:t>
            </w:r>
            <w:r w:rsidRPr="00A37018">
              <w:rPr>
                <w:i/>
                <w:szCs w:val="28"/>
              </w:rPr>
              <w:t>euro</w:t>
            </w:r>
            <w:r w:rsidRPr="00A37018">
              <w:rPr>
                <w:szCs w:val="28"/>
              </w:rPr>
              <w:t xml:space="preserve"> (atalgojumam 1 220 872 </w:t>
            </w:r>
            <w:r w:rsidRPr="00A37018">
              <w:rPr>
                <w:i/>
                <w:szCs w:val="28"/>
              </w:rPr>
              <w:t>euro</w:t>
            </w:r>
            <w:r w:rsidRPr="00A37018">
              <w:rPr>
                <w:szCs w:val="28"/>
              </w:rPr>
              <w:t xml:space="preserve">), precēm un pakalpojumiem 286 894 </w:t>
            </w:r>
            <w:r w:rsidRPr="00A37018">
              <w:rPr>
                <w:i/>
                <w:szCs w:val="28"/>
              </w:rPr>
              <w:t>euro</w:t>
            </w:r>
            <w:r w:rsidRPr="00A37018">
              <w:rPr>
                <w:szCs w:val="28"/>
              </w:rPr>
              <w:t xml:space="preserve"> un kapitālajiem izdevumiem 39 921 </w:t>
            </w:r>
            <w:r w:rsidRPr="00A37018">
              <w:rPr>
                <w:i/>
                <w:szCs w:val="28"/>
              </w:rPr>
              <w:t>euro</w:t>
            </w:r>
            <w:r w:rsidRPr="00A37018">
              <w:rPr>
                <w:szCs w:val="28"/>
              </w:rPr>
              <w:t>.”</w:t>
            </w:r>
          </w:p>
          <w:p w:rsidR="00A37018" w:rsidRPr="00A37018" w:rsidRDefault="00A37018" w:rsidP="00A37018">
            <w:pPr>
              <w:spacing w:after="0" w:line="240" w:lineRule="auto"/>
              <w:ind w:firstLine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7018">
              <w:rPr>
                <w:rFonts w:ascii="Times New Roman" w:hAnsi="Times New Roman" w:cs="Times New Roman"/>
                <w:sz w:val="28"/>
                <w:szCs w:val="28"/>
              </w:rPr>
              <w:t xml:space="preserve">4. Atbalstīt Ekonomikas ministrijas priekšlikumu palielināt izdevumus budžeta programmā 97.00.00 “Nozaru vadība un politikas plānošana” 2015.gadā 227 336 </w:t>
            </w:r>
            <w:r w:rsidRPr="00A3701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A37018">
              <w:rPr>
                <w:rFonts w:ascii="Times New Roman" w:hAnsi="Times New Roman" w:cs="Times New Roman"/>
                <w:sz w:val="28"/>
                <w:szCs w:val="28"/>
              </w:rPr>
              <w:t xml:space="preserve"> apmērā, tajā skaitā atlīdzībai 58 066 </w:t>
            </w:r>
            <w:r w:rsidRPr="00A3701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A37018">
              <w:rPr>
                <w:rFonts w:ascii="Times New Roman" w:hAnsi="Times New Roman" w:cs="Times New Roman"/>
                <w:sz w:val="28"/>
                <w:szCs w:val="28"/>
              </w:rPr>
              <w:t xml:space="preserve"> (atalgojumam 46 638 </w:t>
            </w:r>
            <w:r w:rsidRPr="00A3701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A37018">
              <w:rPr>
                <w:rFonts w:ascii="Times New Roman" w:hAnsi="Times New Roman" w:cs="Times New Roman"/>
                <w:sz w:val="28"/>
                <w:szCs w:val="28"/>
              </w:rPr>
              <w:t xml:space="preserve">), precēm un pakalpojumiem 166 430 </w:t>
            </w:r>
            <w:r w:rsidRPr="00A3701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A37018">
              <w:rPr>
                <w:rFonts w:ascii="Times New Roman" w:hAnsi="Times New Roman" w:cs="Times New Roman"/>
                <w:sz w:val="28"/>
                <w:szCs w:val="28"/>
              </w:rPr>
              <w:t xml:space="preserve"> un kapitālajiem izdevumiem 2 840 </w:t>
            </w:r>
            <w:r w:rsidRPr="00A3701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A37018">
              <w:rPr>
                <w:rFonts w:ascii="Times New Roman" w:hAnsi="Times New Roman" w:cs="Times New Roman"/>
                <w:sz w:val="28"/>
                <w:szCs w:val="28"/>
              </w:rPr>
              <w:t xml:space="preserve">, 2016.gadā un turpmāk 180 946 </w:t>
            </w:r>
            <w:r w:rsidRPr="00A3701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A37018">
              <w:rPr>
                <w:rFonts w:ascii="Times New Roman" w:hAnsi="Times New Roman" w:cs="Times New Roman"/>
                <w:sz w:val="28"/>
                <w:szCs w:val="28"/>
              </w:rPr>
              <w:t xml:space="preserve"> gadā, tajā  skaitā atlīdzībai 58 066 (atalgojumam 46 638 </w:t>
            </w:r>
            <w:r w:rsidRPr="00A3701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A37018">
              <w:rPr>
                <w:rFonts w:ascii="Times New Roman" w:hAnsi="Times New Roman" w:cs="Times New Roman"/>
                <w:sz w:val="28"/>
                <w:szCs w:val="28"/>
              </w:rPr>
              <w:t xml:space="preserve">), precēm un pakalpojumiem 122 880 </w:t>
            </w:r>
            <w:r w:rsidRPr="00A37018">
              <w:rPr>
                <w:rFonts w:ascii="Times New Roman" w:hAnsi="Times New Roman" w:cs="Times New Roman"/>
                <w:i/>
                <w:sz w:val="28"/>
                <w:szCs w:val="28"/>
              </w:rPr>
              <w:t>euro</w:t>
            </w:r>
            <w:r w:rsidRPr="00A37018">
              <w:rPr>
                <w:rFonts w:ascii="Times New Roman" w:hAnsi="Times New Roman" w:cs="Times New Roman"/>
                <w:sz w:val="28"/>
                <w:szCs w:val="28"/>
              </w:rPr>
              <w:t xml:space="preserve"> 2 jaunu amata vietu izveidoša</w:t>
            </w:r>
            <w:r w:rsidR="00FD6D1C">
              <w:rPr>
                <w:rFonts w:ascii="Times New Roman" w:hAnsi="Times New Roman" w:cs="Times New Roman"/>
                <w:sz w:val="28"/>
                <w:szCs w:val="28"/>
              </w:rPr>
              <w:t>nai un darbības nodrošināšanai</w:t>
            </w:r>
            <w:r w:rsidRPr="00A37018">
              <w:rPr>
                <w:rFonts w:ascii="Times New Roman" w:hAnsi="Times New Roman" w:cs="Times New Roman"/>
                <w:sz w:val="28"/>
                <w:szCs w:val="28"/>
              </w:rPr>
              <w:t xml:space="preserve">”. </w:t>
            </w:r>
          </w:p>
          <w:p w:rsidR="00A37018" w:rsidRPr="006159F2" w:rsidRDefault="00A37018" w:rsidP="002D0587">
            <w:pPr>
              <w:pStyle w:val="BodyText"/>
              <w:rPr>
                <w:szCs w:val="28"/>
              </w:rPr>
            </w:pPr>
          </w:p>
          <w:p w:rsidR="0007264F" w:rsidRDefault="0007264F" w:rsidP="00B40633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 xml:space="preserve">Ministru prezidente </w:t>
            </w: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ab/>
              <w:t>L.Straujuma</w:t>
            </w:r>
          </w:p>
          <w:p w:rsidR="00B40633" w:rsidRDefault="00B40633" w:rsidP="00B40633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64F" w:rsidRDefault="00B40633" w:rsidP="00B40633">
            <w:pPr>
              <w:tabs>
                <w:tab w:val="right" w:pos="907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>Valsts kancelejas direktore</w:t>
            </w: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Dreimane</w:t>
            </w:r>
          </w:p>
          <w:p w:rsidR="00B40633" w:rsidRPr="006159F2" w:rsidRDefault="00B40633" w:rsidP="002D0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64F" w:rsidRPr="006159F2" w:rsidRDefault="0007264F" w:rsidP="00B40633">
            <w:pPr>
              <w:tabs>
                <w:tab w:val="right" w:pos="907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>Ekonomikas ministr</w:t>
            </w:r>
            <w:r w:rsidR="001230F1"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0F1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Pr="006159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30F1">
              <w:rPr>
                <w:rFonts w:ascii="Times New Roman" w:hAnsi="Times New Roman" w:cs="Times New Roman"/>
                <w:sz w:val="28"/>
                <w:szCs w:val="28"/>
              </w:rPr>
              <w:t>Reizniece - Ozola</w:t>
            </w:r>
          </w:p>
          <w:p w:rsidR="002D0587" w:rsidRPr="006159F2" w:rsidRDefault="002D0587" w:rsidP="002D05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33" w:rsidRPr="00B40633" w:rsidRDefault="00B40633" w:rsidP="00B40633">
            <w:pPr>
              <w:tabs>
                <w:tab w:val="right" w:pos="90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633">
              <w:rPr>
                <w:rFonts w:ascii="Times New Roman" w:hAnsi="Times New Roman" w:cs="Times New Roman"/>
                <w:bCs/>
                <w:sz w:val="28"/>
                <w:szCs w:val="28"/>
              </w:rPr>
              <w:t>Vīza: Valsts sekretāra vietā</w:t>
            </w:r>
          </w:p>
          <w:p w:rsidR="00B40633" w:rsidRPr="00B40633" w:rsidRDefault="00B40633" w:rsidP="00B40633">
            <w:pPr>
              <w:tabs>
                <w:tab w:val="right" w:pos="90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6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Stratēģiskās plānošanas </w:t>
            </w:r>
          </w:p>
          <w:p w:rsidR="00B40633" w:rsidRPr="00B40633" w:rsidRDefault="00B40633" w:rsidP="00B40633">
            <w:pPr>
              <w:tabs>
                <w:tab w:val="right" w:pos="90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40633">
              <w:rPr>
                <w:rFonts w:ascii="Times New Roman" w:hAnsi="Times New Roman" w:cs="Times New Roman"/>
                <w:bCs/>
                <w:sz w:val="28"/>
                <w:szCs w:val="28"/>
              </w:rPr>
              <w:t>un resursu vadības departamenta direktore</w:t>
            </w:r>
            <w:r w:rsidRPr="00B40633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>V.Feodorova</w:t>
            </w:r>
          </w:p>
          <w:p w:rsidR="00F76F1E" w:rsidRPr="006159F2" w:rsidRDefault="00F76F1E" w:rsidP="002D05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159F2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</w:p>
        </w:tc>
      </w:tr>
    </w:tbl>
    <w:p w:rsidR="002D0587" w:rsidRPr="002D0587" w:rsidRDefault="009502C8" w:rsidP="002D0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A37018">
        <w:rPr>
          <w:rFonts w:ascii="Times New Roman" w:hAnsi="Times New Roman" w:cs="Times New Roman"/>
          <w:sz w:val="20"/>
          <w:szCs w:val="20"/>
        </w:rPr>
        <w:t>.11</w:t>
      </w:r>
      <w:r w:rsidR="0045770E">
        <w:rPr>
          <w:rFonts w:ascii="Times New Roman" w:hAnsi="Times New Roman" w:cs="Times New Roman"/>
          <w:sz w:val="20"/>
          <w:szCs w:val="20"/>
        </w:rPr>
        <w:t>.201</w:t>
      </w:r>
      <w:bookmarkStart w:id="2" w:name="_GoBack"/>
      <w:bookmarkEnd w:id="2"/>
      <w:r w:rsidR="002D0587" w:rsidRPr="002D0587">
        <w:rPr>
          <w:rFonts w:ascii="Times New Roman" w:hAnsi="Times New Roman" w:cs="Times New Roman"/>
          <w:sz w:val="20"/>
          <w:szCs w:val="20"/>
        </w:rPr>
        <w:t>4.</w:t>
      </w:r>
    </w:p>
    <w:p w:rsidR="002D0587" w:rsidRPr="002D0587" w:rsidRDefault="00B8740E" w:rsidP="002D0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45770E">
        <w:rPr>
          <w:rFonts w:ascii="Times New Roman" w:hAnsi="Times New Roman" w:cs="Times New Roman"/>
          <w:sz w:val="20"/>
          <w:szCs w:val="20"/>
        </w:rPr>
        <w:t>38</w:t>
      </w:r>
    </w:p>
    <w:p w:rsidR="002D0587" w:rsidRPr="002D0587" w:rsidRDefault="002D0587" w:rsidP="002D058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D0587">
        <w:rPr>
          <w:rFonts w:ascii="Times New Roman" w:hAnsi="Times New Roman" w:cs="Times New Roman"/>
          <w:sz w:val="20"/>
          <w:szCs w:val="20"/>
        </w:rPr>
        <w:t xml:space="preserve">I.Oša, 67013031, </w:t>
      </w:r>
      <w:hyperlink r:id="rId9" w:history="1">
        <w:r w:rsidRPr="002D0587">
          <w:rPr>
            <w:rStyle w:val="Hyperlink"/>
            <w:rFonts w:ascii="Times New Roman" w:hAnsi="Times New Roman" w:cs="Times New Roman"/>
            <w:sz w:val="20"/>
            <w:szCs w:val="20"/>
          </w:rPr>
          <w:t>ilze.osa@em.gov.lv</w:t>
        </w:r>
      </w:hyperlink>
      <w:r w:rsidRPr="002D058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D0587" w:rsidRPr="002D0587" w:rsidSect="00643F1F">
      <w:footerReference w:type="default" r:id="rId10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0F6" w:rsidRDefault="005320F6" w:rsidP="002D0587">
      <w:pPr>
        <w:spacing w:after="0" w:line="240" w:lineRule="auto"/>
      </w:pPr>
      <w:r>
        <w:separator/>
      </w:r>
    </w:p>
  </w:endnote>
  <w:endnote w:type="continuationSeparator" w:id="0">
    <w:p w:rsidR="005320F6" w:rsidRDefault="005320F6" w:rsidP="002D0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ヒラギノ角ゴ Pro W3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587" w:rsidRPr="009D6EA3" w:rsidRDefault="009502C8" w:rsidP="009D6EA3">
    <w:pPr>
      <w:pStyle w:val="Footer"/>
      <w:jc w:val="both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EMprot_14</w:t>
    </w:r>
    <w:r w:rsidR="00A37018">
      <w:rPr>
        <w:rFonts w:ascii="Times New Roman" w:hAnsi="Times New Roman" w:cs="Times New Roman"/>
        <w:sz w:val="24"/>
        <w:szCs w:val="24"/>
      </w:rPr>
      <w:t>11</w:t>
    </w:r>
    <w:r w:rsidR="002D0587" w:rsidRPr="002D0587">
      <w:rPr>
        <w:rFonts w:ascii="Times New Roman" w:hAnsi="Times New Roman" w:cs="Times New Roman"/>
        <w:sz w:val="24"/>
        <w:szCs w:val="24"/>
      </w:rPr>
      <w:t xml:space="preserve">14_IZ_nodeva </w:t>
    </w:r>
    <w:r w:rsidR="006659F1" w:rsidRPr="002D0587">
      <w:rPr>
        <w:rFonts w:ascii="Times New Roman" w:hAnsi="Times New Roman" w:cs="Times New Roman"/>
        <w:sz w:val="24"/>
        <w:szCs w:val="24"/>
      </w:rPr>
      <w:t>Pr</w:t>
    </w:r>
    <w:r w:rsidR="006659F1">
      <w:rPr>
        <w:rFonts w:ascii="Times New Roman" w:hAnsi="Times New Roman" w:cs="Times New Roman"/>
        <w:sz w:val="24"/>
        <w:szCs w:val="24"/>
      </w:rPr>
      <w:t>o</w:t>
    </w:r>
    <w:r w:rsidR="00643F1F">
      <w:rPr>
        <w:rFonts w:ascii="Times New Roman" w:hAnsi="Times New Roman" w:cs="Times New Roman"/>
        <w:sz w:val="24"/>
        <w:szCs w:val="24"/>
      </w:rPr>
      <w:t>tokollēmums</w:t>
    </w:r>
    <w:r w:rsidR="002D0587" w:rsidRPr="002D0587">
      <w:rPr>
        <w:rFonts w:ascii="Times New Roman" w:hAnsi="Times New Roman" w:cs="Times New Roman"/>
        <w:sz w:val="24"/>
        <w:szCs w:val="24"/>
      </w:rPr>
      <w:t xml:space="preserve"> Informatīvajam ziņojumam „Par valsts nodevu būvniecības pakalpojumiem”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0F6" w:rsidRDefault="005320F6" w:rsidP="002D0587">
      <w:pPr>
        <w:spacing w:after="0" w:line="240" w:lineRule="auto"/>
      </w:pPr>
      <w:r>
        <w:separator/>
      </w:r>
    </w:p>
  </w:footnote>
  <w:footnote w:type="continuationSeparator" w:id="0">
    <w:p w:rsidR="005320F6" w:rsidRDefault="005320F6" w:rsidP="002D0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87D0B"/>
    <w:multiLevelType w:val="hybridMultilevel"/>
    <w:tmpl w:val="A626A8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A2B20"/>
    <w:multiLevelType w:val="hybridMultilevel"/>
    <w:tmpl w:val="0890E79C"/>
    <w:lvl w:ilvl="0" w:tplc="0426000F">
      <w:start w:val="1"/>
      <w:numFmt w:val="decimal"/>
      <w:lvlText w:val="%1."/>
      <w:lvlJc w:val="left"/>
      <w:pPr>
        <w:ind w:left="928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F1E"/>
    <w:rsid w:val="00007E9F"/>
    <w:rsid w:val="0007264F"/>
    <w:rsid w:val="001230F1"/>
    <w:rsid w:val="0029434B"/>
    <w:rsid w:val="002D0587"/>
    <w:rsid w:val="003F3411"/>
    <w:rsid w:val="0045770E"/>
    <w:rsid w:val="004B24F1"/>
    <w:rsid w:val="004D77A3"/>
    <w:rsid w:val="005320F6"/>
    <w:rsid w:val="00535DF9"/>
    <w:rsid w:val="005451E5"/>
    <w:rsid w:val="006159F2"/>
    <w:rsid w:val="00643F1F"/>
    <w:rsid w:val="006659F1"/>
    <w:rsid w:val="0067787B"/>
    <w:rsid w:val="00694712"/>
    <w:rsid w:val="008060C9"/>
    <w:rsid w:val="008B436F"/>
    <w:rsid w:val="009502C8"/>
    <w:rsid w:val="009D6EA3"/>
    <w:rsid w:val="00A35135"/>
    <w:rsid w:val="00A37018"/>
    <w:rsid w:val="00B40633"/>
    <w:rsid w:val="00B8740E"/>
    <w:rsid w:val="00BD7C38"/>
    <w:rsid w:val="00C852EE"/>
    <w:rsid w:val="00C972C6"/>
    <w:rsid w:val="00F02888"/>
    <w:rsid w:val="00F76F1E"/>
    <w:rsid w:val="00FD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0726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character" w:customStyle="1" w:styleId="HeaderChar">
    <w:name w:val="Header Char"/>
    <w:basedOn w:val="DefaultParagraphFont"/>
    <w:link w:val="Header"/>
    <w:rsid w:val="0007264F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072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07264F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uiPriority w:val="99"/>
    <w:rsid w:val="0007264F"/>
    <w:rPr>
      <w:rFonts w:cs="Times New Roman"/>
    </w:rPr>
  </w:style>
  <w:style w:type="paragraph" w:styleId="ListParagraph">
    <w:name w:val="List Paragraph"/>
    <w:basedOn w:val="Normal"/>
    <w:uiPriority w:val="34"/>
    <w:qFormat/>
    <w:rsid w:val="0007264F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8"/>
      <w:szCs w:val="20"/>
      <w:lang w:val="en-US" w:eastAsia="lv-LV"/>
    </w:rPr>
  </w:style>
  <w:style w:type="character" w:styleId="Hyperlink">
    <w:name w:val="Hyperlink"/>
    <w:basedOn w:val="DefaultParagraphFont"/>
    <w:uiPriority w:val="99"/>
    <w:unhideWhenUsed/>
    <w:rsid w:val="002D058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0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87"/>
  </w:style>
  <w:style w:type="paragraph" w:styleId="BalloonText">
    <w:name w:val="Balloon Text"/>
    <w:basedOn w:val="Normal"/>
    <w:link w:val="BalloonTextChar"/>
    <w:uiPriority w:val="99"/>
    <w:semiHidden/>
    <w:unhideWhenUsed/>
    <w:rsid w:val="002D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6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rsid w:val="0007264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character" w:customStyle="1" w:styleId="HeaderChar">
    <w:name w:val="Header Char"/>
    <w:basedOn w:val="DefaultParagraphFont"/>
    <w:link w:val="Header"/>
    <w:rsid w:val="0007264F"/>
    <w:rPr>
      <w:rFonts w:ascii="Times New Roman" w:eastAsia="Times New Roman" w:hAnsi="Times New Roman" w:cs="Times New Roman"/>
      <w:sz w:val="28"/>
      <w:szCs w:val="20"/>
      <w:lang w:val="en-GB" w:eastAsia="lv-LV"/>
    </w:rPr>
  </w:style>
  <w:style w:type="paragraph" w:styleId="BodyText">
    <w:name w:val="Body Text"/>
    <w:basedOn w:val="Normal"/>
    <w:link w:val="BodyTextChar"/>
    <w:uiPriority w:val="99"/>
    <w:rsid w:val="00072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rsid w:val="0007264F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pelle">
    <w:name w:val="spelle"/>
    <w:uiPriority w:val="99"/>
    <w:rsid w:val="0007264F"/>
    <w:rPr>
      <w:rFonts w:cs="Times New Roman"/>
    </w:rPr>
  </w:style>
  <w:style w:type="paragraph" w:styleId="ListParagraph">
    <w:name w:val="List Paragraph"/>
    <w:basedOn w:val="Normal"/>
    <w:uiPriority w:val="34"/>
    <w:qFormat/>
    <w:rsid w:val="0007264F"/>
    <w:pPr>
      <w:spacing w:after="0" w:line="240" w:lineRule="auto"/>
      <w:ind w:left="720"/>
    </w:pPr>
    <w:rPr>
      <w:rFonts w:ascii="Times New Roman" w:eastAsia="ヒラギノ角ゴ Pro W3" w:hAnsi="Times New Roman" w:cs="Times New Roman"/>
      <w:color w:val="000000"/>
      <w:sz w:val="28"/>
      <w:szCs w:val="20"/>
      <w:lang w:val="en-US" w:eastAsia="lv-LV"/>
    </w:rPr>
  </w:style>
  <w:style w:type="character" w:styleId="Hyperlink">
    <w:name w:val="Hyperlink"/>
    <w:basedOn w:val="DefaultParagraphFont"/>
    <w:uiPriority w:val="99"/>
    <w:unhideWhenUsed/>
    <w:rsid w:val="002D058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D05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587"/>
  </w:style>
  <w:style w:type="paragraph" w:styleId="BalloonText">
    <w:name w:val="Balloon Text"/>
    <w:basedOn w:val="Normal"/>
    <w:link w:val="BalloonTextChar"/>
    <w:uiPriority w:val="99"/>
    <w:semiHidden/>
    <w:unhideWhenUsed/>
    <w:rsid w:val="002D0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lze.osa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7BE01-8CDB-4477-8538-CEF478E9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1221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Elga Bučinska</dc:creator>
  <cp:lastModifiedBy>Ilze Oša</cp:lastModifiedBy>
  <cp:revision>10</cp:revision>
  <cp:lastPrinted>2014-10-28T06:20:00Z</cp:lastPrinted>
  <dcterms:created xsi:type="dcterms:W3CDTF">2014-11-12T16:05:00Z</dcterms:created>
  <dcterms:modified xsi:type="dcterms:W3CDTF">2014-11-19T06:09:00Z</dcterms:modified>
</cp:coreProperties>
</file>