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A5" w:rsidRPr="00AF71AF" w:rsidRDefault="00DB6A04" w:rsidP="004654A5">
      <w:pPr>
        <w:jc w:val="center"/>
        <w:rPr>
          <w:b/>
          <w:sz w:val="32"/>
          <w:szCs w:val="32"/>
        </w:rPr>
      </w:pPr>
      <w:r w:rsidRPr="00AF71AF">
        <w:rPr>
          <w:b/>
          <w:sz w:val="32"/>
          <w:szCs w:val="32"/>
        </w:rPr>
        <w:t>Informatīvais ziņojums „Par valsts nodevu būvniecības pakalpojumiem”</w:t>
      </w:r>
    </w:p>
    <w:p w:rsidR="007A0D68" w:rsidRPr="00AF71AF" w:rsidRDefault="007A0D68" w:rsidP="00E22BEE"/>
    <w:p w:rsidR="005242AA" w:rsidRPr="00AF71AF" w:rsidRDefault="00F400F9" w:rsidP="007A0D68">
      <w:pPr>
        <w:jc w:val="center"/>
        <w:rPr>
          <w:b/>
        </w:rPr>
      </w:pPr>
      <w:r w:rsidRPr="00AF71AF">
        <w:rPr>
          <w:b/>
        </w:rPr>
        <w:t>1.Esošā situācija</w:t>
      </w:r>
    </w:p>
    <w:p w:rsidR="00F400F9" w:rsidRPr="00AF71AF" w:rsidRDefault="00F400F9" w:rsidP="00F400F9">
      <w:pPr>
        <w:ind w:firstLine="567"/>
        <w:jc w:val="center"/>
      </w:pPr>
    </w:p>
    <w:p w:rsidR="00975729" w:rsidRPr="00AF71AF" w:rsidRDefault="00975729" w:rsidP="00501A34">
      <w:pPr>
        <w:ind w:firstLine="720"/>
        <w:jc w:val="both"/>
      </w:pPr>
      <w:r w:rsidRPr="00AF71AF">
        <w:t xml:space="preserve">Stājoties spēkā jaunajam Būvniecības likumam būtiski tiek pārstrādāti ne tikai būvniecības procesu regulējošie normatīvie akti, bet arī </w:t>
      </w:r>
      <w:r w:rsidR="004169A7" w:rsidRPr="00AF71AF">
        <w:t xml:space="preserve">ieviestas jaunas normas attiecībā uz būvniecības uzraudzību un kontroli, </w:t>
      </w:r>
      <w:r w:rsidR="00224D8C" w:rsidRPr="00AF71AF">
        <w:t xml:space="preserve">plānots ieviest </w:t>
      </w:r>
      <w:r w:rsidR="00793D3D" w:rsidRPr="00AF71AF">
        <w:t>būvkomersantu klasifikācijas sistēm</w:t>
      </w:r>
      <w:r w:rsidR="00224D8C" w:rsidRPr="00AF71AF">
        <w:t>u</w:t>
      </w:r>
      <w:r w:rsidR="00793D3D" w:rsidRPr="00AF71AF">
        <w:t xml:space="preserve">, </w:t>
      </w:r>
      <w:r w:rsidR="00224D8C" w:rsidRPr="00AF71AF">
        <w:t xml:space="preserve">nodrošināt </w:t>
      </w:r>
      <w:r w:rsidR="004169A7" w:rsidRPr="00AF71AF">
        <w:t>Būv</w:t>
      </w:r>
      <w:r w:rsidR="00F400F9" w:rsidRPr="00AF71AF">
        <w:t>niecības informācijas sistēmas</w:t>
      </w:r>
      <w:r w:rsidR="004169A7" w:rsidRPr="00AF71AF">
        <w:t xml:space="preserve"> uzturēšanu</w:t>
      </w:r>
      <w:r w:rsidR="00224D8C" w:rsidRPr="00AF71AF">
        <w:t xml:space="preserve"> un tajā esošo pakalpojumu klāsta paplašināšanu. P</w:t>
      </w:r>
      <w:r w:rsidR="004169A7" w:rsidRPr="00AF71AF">
        <w:t>ilnībā tiek pārskatītas nacionālās normatīvās prasības, k</w:t>
      </w:r>
      <w:r w:rsidR="00501A34" w:rsidRPr="00AF71AF">
        <w:t>as pašreiz ir ietvertas</w:t>
      </w:r>
      <w:r w:rsidR="004169A7" w:rsidRPr="00AF71AF">
        <w:t xml:space="preserve"> nacionālaj</w:t>
      </w:r>
      <w:r w:rsidR="00501A34" w:rsidRPr="00AF71AF">
        <w:t>os</w:t>
      </w:r>
      <w:r w:rsidR="004169A7" w:rsidRPr="00AF71AF">
        <w:t xml:space="preserve"> būvnormatīv</w:t>
      </w:r>
      <w:r w:rsidR="00501A34" w:rsidRPr="00AF71AF">
        <w:t>os</w:t>
      </w:r>
      <w:r w:rsidR="005A17F4" w:rsidRPr="00AF71AF">
        <w:t>, kā arī tiek izveidota jauna iestāde būv</w:t>
      </w:r>
      <w:r w:rsidR="00326438" w:rsidRPr="00AF71AF">
        <w:t xml:space="preserve">niecības publiskai uzraudzībai - </w:t>
      </w:r>
      <w:r w:rsidR="005A17F4" w:rsidRPr="00AF71AF">
        <w:t>Būvn</w:t>
      </w:r>
      <w:r w:rsidR="00326438" w:rsidRPr="00AF71AF">
        <w:t>iecības valsts kontroles birojs</w:t>
      </w:r>
      <w:r w:rsidR="005A17F4" w:rsidRPr="00AF71AF">
        <w:t>.</w:t>
      </w:r>
    </w:p>
    <w:p w:rsidR="00A84A4E" w:rsidRPr="00AF71AF" w:rsidRDefault="005A17F4" w:rsidP="00501A34">
      <w:pPr>
        <w:ind w:firstLine="720"/>
        <w:jc w:val="both"/>
      </w:pPr>
      <w:r w:rsidRPr="00AF71AF">
        <w:rPr>
          <w:rFonts w:cstheme="minorHAnsi"/>
        </w:rPr>
        <w:t xml:space="preserve">Saskaņā ar Ministru kabineta 29.07.2014. sēdes protokollēmuma </w:t>
      </w:r>
      <w:r w:rsidRPr="00AF71AF">
        <w:t>(prot. Nr.41 30.§)</w:t>
      </w:r>
      <w:r w:rsidRPr="00AF71AF">
        <w:rPr>
          <w:rFonts w:cstheme="minorHAnsi"/>
        </w:rPr>
        <w:t xml:space="preserve"> „</w:t>
      </w:r>
      <w:r w:rsidR="00A84A4E" w:rsidRPr="00AF71AF">
        <w:rPr>
          <w:rFonts w:cstheme="minorHAnsi"/>
        </w:rPr>
        <w:t>Informatīvais ziņojums "Par Būvniecības valsts kontroles biroja izveidei un uzdevumu izpildei nepieciešamajiem pasākumiem un finansējumu" un rīkojuma projekts "Par Būvniecības valsts kontroles biroja izveidei un uzdevumu izpildei nepieciešamajiem pasākumiem un finansējumu"</w:t>
      </w:r>
      <w:r w:rsidRPr="00AF71AF">
        <w:t xml:space="preserve"> 5.punktu</w:t>
      </w:r>
      <w:r w:rsidR="00F400F9" w:rsidRPr="00AF71AF">
        <w:t>,</w:t>
      </w:r>
      <w:r w:rsidRPr="00AF71AF">
        <w:t xml:space="preserve"> </w:t>
      </w:r>
      <w:r w:rsidR="00A84A4E" w:rsidRPr="00AF71AF">
        <w:t xml:space="preserve">Ekonomikas ministrijai kopīgi ar Finanšu ministriju </w:t>
      </w:r>
      <w:r w:rsidRPr="00AF71AF">
        <w:t>uzdots</w:t>
      </w:r>
      <w:r w:rsidR="00A84A4E" w:rsidRPr="00AF71AF">
        <w:t xml:space="preserve"> izvērtēt iespēju ieviest valsts nodevu par būvniecības pakalpojumiem</w:t>
      </w:r>
      <w:r w:rsidR="000C528F" w:rsidRPr="00AF71AF">
        <w:t xml:space="preserve"> (…)</w:t>
      </w:r>
      <w:r w:rsidR="00A84A4E" w:rsidRPr="00AF71AF">
        <w:t>.</w:t>
      </w:r>
    </w:p>
    <w:p w:rsidR="003D42F2" w:rsidRPr="00AF71AF" w:rsidRDefault="00DB6A04" w:rsidP="003D42F2">
      <w:pPr>
        <w:ind w:firstLine="720"/>
        <w:jc w:val="both"/>
      </w:pPr>
      <w:r w:rsidRPr="00AF71AF">
        <w:t>Vērtējot nozares vajadzības kopumā secināms, ka</w:t>
      </w:r>
      <w:r w:rsidR="005C6C29" w:rsidRPr="00AF71AF">
        <w:t>,</w:t>
      </w:r>
      <w:r w:rsidRPr="00AF71AF">
        <w:t xml:space="preserve"> l</w:t>
      </w:r>
      <w:r w:rsidR="00DB4C09" w:rsidRPr="00AF71AF">
        <w:t xml:space="preserve">ai </w:t>
      </w:r>
      <w:r w:rsidR="00793EAB">
        <w:t>veiktu</w:t>
      </w:r>
      <w:r w:rsidR="00DB4C09" w:rsidRPr="00AF71AF">
        <w:t xml:space="preserve"> </w:t>
      </w:r>
      <w:r w:rsidR="007A7D86" w:rsidRPr="00AF71AF">
        <w:t xml:space="preserve">kvalitatīvu </w:t>
      </w:r>
      <w:r w:rsidR="00FD5EB2" w:rsidRPr="00AF71AF">
        <w:t>nacionālo projektēšanas parametru izstrād</w:t>
      </w:r>
      <w:r w:rsidR="005A58A5" w:rsidRPr="00AF71AF">
        <w:t>i</w:t>
      </w:r>
      <w:r w:rsidR="005C6C29" w:rsidRPr="00AF71AF">
        <w:t>,</w:t>
      </w:r>
      <w:r w:rsidR="005A58A5" w:rsidRPr="00AF71AF">
        <w:t xml:space="preserve"> ir </w:t>
      </w:r>
      <w:r w:rsidR="00FD5EB2" w:rsidRPr="00AF71AF">
        <w:t>b</w:t>
      </w:r>
      <w:r w:rsidR="00793D3D" w:rsidRPr="00AF71AF">
        <w:t xml:space="preserve">ūtiski </w:t>
      </w:r>
      <w:r w:rsidR="005A58A5" w:rsidRPr="00AF71AF">
        <w:t xml:space="preserve">nodrošināt </w:t>
      </w:r>
      <w:r w:rsidR="00FD5EB2" w:rsidRPr="00AF71AF">
        <w:t>nozarē strādājošo profesionā</w:t>
      </w:r>
      <w:r w:rsidR="005A58A5" w:rsidRPr="00AF71AF">
        <w:t xml:space="preserve">ļu un akadēmisko mācību spēku iesaisti. </w:t>
      </w:r>
      <w:r w:rsidR="00DB18F9" w:rsidRPr="00AF71AF">
        <w:t>Rezultāta sasniegšanai</w:t>
      </w:r>
      <w:r w:rsidR="00EE58E4" w:rsidRPr="00AF71AF">
        <w:t>,</w:t>
      </w:r>
      <w:r w:rsidR="00DB18F9" w:rsidRPr="00AF71AF">
        <w:t xml:space="preserve"> </w:t>
      </w:r>
      <w:r w:rsidR="00135AF0" w:rsidRPr="00AF71AF">
        <w:t xml:space="preserve">nākamo piecu gadu laikā </w:t>
      </w:r>
      <w:r w:rsidR="000F77B1" w:rsidRPr="00AF71AF">
        <w:t>nepieciešams</w:t>
      </w:r>
      <w:r w:rsidR="00DB18F9" w:rsidRPr="00AF71AF">
        <w:t xml:space="preserve"> iesaistīties</w:t>
      </w:r>
      <w:r w:rsidR="005A58A5" w:rsidRPr="00AF71AF">
        <w:t xml:space="preserve"> </w:t>
      </w:r>
      <w:r w:rsidR="00FD5EB2" w:rsidRPr="00AF71AF">
        <w:t>Standartizācijas tehnisko komiteju</w:t>
      </w:r>
      <w:r w:rsidR="00DB18F9" w:rsidRPr="00AF71AF">
        <w:t xml:space="preserve"> (STK)</w:t>
      </w:r>
      <w:r w:rsidR="00FD5EB2" w:rsidRPr="00AF71AF">
        <w:t xml:space="preserve"> </w:t>
      </w:r>
      <w:r w:rsidR="00DB18F9" w:rsidRPr="00AF71AF">
        <w:t>darba organizēšanas procesā t.sk. nodrošinot vispusīgu informatīv</w:t>
      </w:r>
      <w:r w:rsidR="00793EAB">
        <w:t>ā</w:t>
      </w:r>
      <w:r w:rsidR="00DB18F9" w:rsidRPr="00AF71AF">
        <w:t xml:space="preserve"> atbalsta sniegšanu no Latvijas Valsts standarta (LVS),</w:t>
      </w:r>
      <w:r w:rsidR="005A31BE" w:rsidRPr="00AF71AF">
        <w:t xml:space="preserve"> Eiropas standartizācijas komitejas</w:t>
      </w:r>
      <w:r w:rsidR="00DB18F9" w:rsidRPr="00AF71AF">
        <w:t xml:space="preserve"> </w:t>
      </w:r>
      <w:r w:rsidR="005A31BE" w:rsidRPr="00AF71AF">
        <w:t>(</w:t>
      </w:r>
      <w:r w:rsidR="00DB18F9" w:rsidRPr="00AF71AF">
        <w:t>CEN</w:t>
      </w:r>
      <w:r w:rsidR="005A31BE" w:rsidRPr="00AF71AF">
        <w:t>)</w:t>
      </w:r>
      <w:r w:rsidR="00DB18F9" w:rsidRPr="00AF71AF">
        <w:t>, Eiropas Komisijas Zinātniskās pētniecības centra (Joint Research Centre) un citām datubāzēm, skaidrojot</w:t>
      </w:r>
      <w:r w:rsidR="00135AF0" w:rsidRPr="00AF71AF">
        <w:t xml:space="preserve"> un apmainoties pieredzē ar </w:t>
      </w:r>
      <w:r w:rsidR="00DB18F9" w:rsidRPr="00AF71AF">
        <w:t xml:space="preserve">citu ES valstu standartizācijas institūciju standartu </w:t>
      </w:r>
      <w:r w:rsidR="003D42F2" w:rsidRPr="00AF71AF">
        <w:t xml:space="preserve">izstrādes un </w:t>
      </w:r>
      <w:r w:rsidR="00DB18F9" w:rsidRPr="00AF71AF">
        <w:t xml:space="preserve">pārņemšanas pieredzi un </w:t>
      </w:r>
      <w:r w:rsidR="003D42F2" w:rsidRPr="00AF71AF">
        <w:t>n</w:t>
      </w:r>
      <w:r w:rsidR="00DB18F9" w:rsidRPr="00AF71AF">
        <w:t>acionālo pielikumu izstrādes praksi.</w:t>
      </w:r>
      <w:r w:rsidR="003D42F2" w:rsidRPr="00AF71AF">
        <w:t xml:space="preserve"> Vienlaikus jānorāda, ka būs jānodrošina arī jaunu Eirokodeksu standartu</w:t>
      </w:r>
      <w:r w:rsidR="00793EAB">
        <w:t xml:space="preserve"> </w:t>
      </w:r>
      <w:r w:rsidR="00793EAB" w:rsidRPr="00AF71AF">
        <w:t>pārņemšana</w:t>
      </w:r>
      <w:r w:rsidR="003D42F2" w:rsidRPr="00AF71AF">
        <w:t xml:space="preserve"> un esošo standartu grozījumu un labojumu </w:t>
      </w:r>
      <w:r w:rsidR="00793EAB">
        <w:t>veikšana</w:t>
      </w:r>
      <w:r w:rsidR="003D42F2" w:rsidRPr="00AF71AF">
        <w:t>, kur būs nepieciešams organizēt ekspertu darbu Eirokodeksa standartu izstrādāšanas jomā, kā arī nodrošināt atbilstošu grozījumu izstrādāšanu Eirokodeksa standartu nacionālajos pielikumos.</w:t>
      </w:r>
    </w:p>
    <w:p w:rsidR="00EE58E4" w:rsidRPr="00AF71AF" w:rsidRDefault="00BA5090" w:rsidP="00C90AD0">
      <w:pPr>
        <w:ind w:firstLine="720"/>
        <w:jc w:val="both"/>
      </w:pPr>
      <w:r w:rsidRPr="00AF71AF">
        <w:t xml:space="preserve">No jaunā būvniecības regulējuma izrietošo uzdevumu efektīvai izpildei ir jāveic </w:t>
      </w:r>
      <w:r w:rsidR="005C6C29" w:rsidRPr="00AF71AF">
        <w:t xml:space="preserve">arī </w:t>
      </w:r>
      <w:r w:rsidRPr="00AF71AF">
        <w:t xml:space="preserve">kvalitatīva tirgus </w:t>
      </w:r>
      <w:r w:rsidR="001031B0" w:rsidRPr="00AF71AF">
        <w:t>izpēte</w:t>
      </w:r>
      <w:r w:rsidRPr="00AF71AF">
        <w:t xml:space="preserve"> </w:t>
      </w:r>
      <w:r w:rsidR="00C86246" w:rsidRPr="00AF71AF">
        <w:t xml:space="preserve">par dažādu faktoru ietekmi uz būvniecības nozari, tās attīstību, kā arī </w:t>
      </w:r>
      <w:r w:rsidR="00E25F12" w:rsidRPr="00AF71AF">
        <w:t xml:space="preserve">nozares </w:t>
      </w:r>
      <w:r w:rsidR="00C86246" w:rsidRPr="00AF71AF">
        <w:t>prognoz</w:t>
      </w:r>
      <w:r w:rsidR="00E25F12" w:rsidRPr="00AF71AF">
        <w:t>ēšana un vidēja termiņa nozares attīst</w:t>
      </w:r>
      <w:r w:rsidR="001031B0" w:rsidRPr="00AF71AF">
        <w:t>ībai</w:t>
      </w:r>
      <w:r w:rsidR="00E25F12" w:rsidRPr="00AF71AF">
        <w:t xml:space="preserve"> plānoto pasākumu</w:t>
      </w:r>
      <w:r w:rsidR="00C86246" w:rsidRPr="00AF71AF">
        <w:t xml:space="preserve"> stipro un vājo pušu </w:t>
      </w:r>
      <w:r w:rsidR="00602564" w:rsidRPr="00AF71AF">
        <w:t xml:space="preserve">detalizēta </w:t>
      </w:r>
      <w:r w:rsidR="00C86246" w:rsidRPr="00AF71AF">
        <w:t>analīze</w:t>
      </w:r>
      <w:r w:rsidR="00F92BB5" w:rsidRPr="00AF71AF">
        <w:t>.</w:t>
      </w:r>
    </w:p>
    <w:p w:rsidR="00C90AD0" w:rsidRPr="00AF71AF" w:rsidRDefault="00630947" w:rsidP="003D42F2">
      <w:pPr>
        <w:ind w:firstLine="720"/>
        <w:jc w:val="both"/>
      </w:pPr>
      <w:r w:rsidRPr="00AF71AF">
        <w:t xml:space="preserve">Visu iepriekš minēto pasākumu veikšana sniegtu nepieciešamo atbalstu būvniecības dalībnieku kompetences paaugstināšanai, administratīvā sloga mazināšanai publiskos iepirkumos, vienveidīgu kvalitatīvu nosacījumu izstrādei dažādos būvniecības procesos (piem. konstrukciju projektēšanas standartu izstrāde), kuru galarezultātā sabiedrībai lietošanā </w:t>
      </w:r>
      <w:r w:rsidR="00EB3F61">
        <w:t>nonāk kvalitatīvi</w:t>
      </w:r>
      <w:r w:rsidRPr="00AF71AF">
        <w:t xml:space="preserve"> uzbūvēta </w:t>
      </w:r>
      <w:r w:rsidRPr="00AF71AF">
        <w:lastRenderedPageBreak/>
        <w:t xml:space="preserve">droša būve. Pilnveidojot un papildinot normatīvo aktu un standartu bāzi tiek nodrošināta arī iespēja izskaust nekvalitatīvus pakalpojumu sniedzējus, kas darbojas būvniecības tirgū. Veicot atbilstošu un padziļinātu izpēti par procesiem, kuru regulēšanai tiek izstrādāti normatīvie akti, iespējams iegūt pilnvērtīgu informāciju un indikatorus kvalitatīvu priekšlikumu sagatavošanai par nepieciešamajām izmaiņām regulējumā un to ietekmi </w:t>
      </w:r>
      <w:r w:rsidR="007949CE" w:rsidRPr="00AF71AF">
        <w:t>uz visiem attiecīgās nozares dalībniekiem.</w:t>
      </w:r>
    </w:p>
    <w:p w:rsidR="00630947" w:rsidRPr="00AF71AF" w:rsidRDefault="00630947" w:rsidP="003D42F2">
      <w:pPr>
        <w:ind w:firstLine="720"/>
        <w:jc w:val="both"/>
      </w:pPr>
    </w:p>
    <w:p w:rsidR="00F22616" w:rsidRPr="00AF71AF" w:rsidRDefault="005C6C29" w:rsidP="0034782B">
      <w:pPr>
        <w:ind w:firstLine="567"/>
        <w:jc w:val="both"/>
      </w:pPr>
      <w:r w:rsidRPr="00AF71AF">
        <w:t xml:space="preserve">Augšminēto </w:t>
      </w:r>
      <w:r w:rsidR="009F6F45" w:rsidRPr="00AF71AF">
        <w:t>mērķu – kvalitatīva un sabiedrībai droša būvniecība, mazinot administratīvo slogu būvniecības nozarē strādājošiem, sasniegšanai</w:t>
      </w:r>
      <w:r w:rsidR="00F22616" w:rsidRPr="00AF71AF">
        <w:t xml:space="preserve"> nepieciešams finansējums.</w:t>
      </w:r>
    </w:p>
    <w:p w:rsidR="008A6355" w:rsidRPr="00AF71AF" w:rsidRDefault="00F22616" w:rsidP="00F22616">
      <w:pPr>
        <w:ind w:firstLine="567"/>
        <w:jc w:val="both"/>
      </w:pPr>
      <w:r w:rsidRPr="00AF71AF">
        <w:t xml:space="preserve">Ekonomikas ministrija </w:t>
      </w:r>
      <w:r w:rsidR="00C70898" w:rsidRPr="00AF71AF">
        <w:t xml:space="preserve">aprēķinājusi </w:t>
      </w:r>
      <w:r w:rsidR="005C6C29" w:rsidRPr="00AF71AF">
        <w:t>nepieciešamā finansējuma apmēru</w:t>
      </w:r>
      <w:r w:rsidR="008A6355" w:rsidRPr="00AF71AF">
        <w:t>, ievērojot šādu sadalījumu:</w:t>
      </w:r>
    </w:p>
    <w:p w:rsidR="008A6355" w:rsidRPr="00AF71AF" w:rsidRDefault="007A0D68" w:rsidP="00F22616">
      <w:pPr>
        <w:ind w:firstLine="567"/>
        <w:jc w:val="both"/>
      </w:pPr>
      <w:r w:rsidRPr="00AF71AF">
        <w:rPr>
          <w:rFonts w:cs="Times New Roman"/>
          <w:szCs w:val="28"/>
        </w:rPr>
        <w:t>1.</w:t>
      </w:r>
      <w:r w:rsidR="008A6355" w:rsidRPr="00AF71AF">
        <w:rPr>
          <w:rFonts w:cs="Times New Roman"/>
          <w:szCs w:val="28"/>
        </w:rPr>
        <w:t xml:space="preserve">1.Būvniecības kontroles </w:t>
      </w:r>
      <w:r w:rsidR="00326438" w:rsidRPr="00AF71AF">
        <w:rPr>
          <w:rFonts w:cs="Times New Roman"/>
          <w:szCs w:val="28"/>
        </w:rPr>
        <w:t xml:space="preserve">sistēmas </w:t>
      </w:r>
      <w:r w:rsidR="0043575A">
        <w:rPr>
          <w:rFonts w:cs="Times New Roman"/>
          <w:szCs w:val="28"/>
        </w:rPr>
        <w:t>izveidei un nodrošināšanai</w:t>
      </w:r>
      <w:r w:rsidR="00326438" w:rsidRPr="00AF71AF">
        <w:rPr>
          <w:rFonts w:cs="Times New Roman"/>
          <w:szCs w:val="28"/>
        </w:rPr>
        <w:t xml:space="preserve"> </w:t>
      </w:r>
      <w:r w:rsidR="008A6355" w:rsidRPr="00AF71AF">
        <w:rPr>
          <w:rFonts w:cs="Times New Roman"/>
          <w:szCs w:val="28"/>
        </w:rPr>
        <w:t>nepieciešamie līdzekļi</w:t>
      </w:r>
      <w:r w:rsidR="00BF0B15" w:rsidRPr="00AF71AF">
        <w:rPr>
          <w:rStyle w:val="FootnoteReference"/>
        </w:rPr>
        <w:footnoteReference w:id="1"/>
      </w:r>
      <w:r w:rsidR="008A6355" w:rsidRPr="00AF71AF">
        <w:rPr>
          <w:rFonts w:cs="Times New Roman"/>
          <w:szCs w:val="28"/>
        </w:rPr>
        <w:t xml:space="preserve"> </w:t>
      </w:r>
    </w:p>
    <w:p w:rsidR="008A6355" w:rsidRPr="00AF71AF" w:rsidRDefault="008A6355" w:rsidP="00F22616">
      <w:pPr>
        <w:ind w:firstLine="567"/>
        <w:jc w:val="both"/>
        <w:rPr>
          <w:rStyle w:val="spelle"/>
        </w:rPr>
      </w:pPr>
      <w:r w:rsidRPr="00AF71AF">
        <w:rPr>
          <w:rStyle w:val="spelle"/>
        </w:rPr>
        <w:t>- 2015.gadā ir 1 629 684 EUR apmērā</w:t>
      </w:r>
      <w:r w:rsidR="00326438" w:rsidRPr="00AF71AF">
        <w:rPr>
          <w:rStyle w:val="spelle"/>
        </w:rPr>
        <w:t>;</w:t>
      </w:r>
    </w:p>
    <w:p w:rsidR="00BF0B15" w:rsidRPr="00AF71AF" w:rsidRDefault="008A6355" w:rsidP="00BF0B15">
      <w:pPr>
        <w:ind w:firstLine="567"/>
        <w:jc w:val="both"/>
        <w:rPr>
          <w:rFonts w:cs="Times New Roman"/>
          <w:szCs w:val="28"/>
        </w:rPr>
      </w:pPr>
      <w:r w:rsidRPr="00AF71AF">
        <w:rPr>
          <w:rStyle w:val="spelle"/>
        </w:rPr>
        <w:t>- 2016.gadā un turpmāk 1 902 123 EUR gadā</w:t>
      </w:r>
      <w:r w:rsidR="00BF0B15" w:rsidRPr="00AF71AF">
        <w:rPr>
          <w:rFonts w:cs="Times New Roman"/>
          <w:szCs w:val="28"/>
        </w:rPr>
        <w:t>;</w:t>
      </w:r>
    </w:p>
    <w:p w:rsidR="00BF0B15" w:rsidRPr="00AF71AF" w:rsidRDefault="007A0D68" w:rsidP="00BF0B15">
      <w:pPr>
        <w:ind w:firstLine="567"/>
        <w:jc w:val="both"/>
        <w:rPr>
          <w:rFonts w:cs="Times New Roman"/>
          <w:szCs w:val="28"/>
        </w:rPr>
      </w:pPr>
      <w:r w:rsidRPr="00AF71AF">
        <w:rPr>
          <w:rFonts w:cs="Times New Roman"/>
          <w:szCs w:val="28"/>
        </w:rPr>
        <w:t>1.</w:t>
      </w:r>
      <w:r w:rsidR="00BF0B15" w:rsidRPr="00AF71AF">
        <w:rPr>
          <w:rFonts w:cs="Times New Roman"/>
          <w:szCs w:val="28"/>
        </w:rPr>
        <w:t>2.Būvniecības nozares standartu izstrādei un pilnveidošanai</w:t>
      </w:r>
      <w:r w:rsidRPr="00AF71AF">
        <w:rPr>
          <w:rFonts w:cs="Times New Roman"/>
          <w:szCs w:val="28"/>
        </w:rPr>
        <w:t>, kā arī nozares izpētes pasākumiem</w:t>
      </w:r>
      <w:r w:rsidR="00BF0B15" w:rsidRPr="00AF71AF">
        <w:rPr>
          <w:rFonts w:cs="Times New Roman"/>
          <w:szCs w:val="28"/>
        </w:rPr>
        <w:t xml:space="preserve"> </w:t>
      </w:r>
      <w:r w:rsidR="005C6C29" w:rsidRPr="00AF71AF">
        <w:rPr>
          <w:rFonts w:cs="Times New Roman"/>
          <w:szCs w:val="28"/>
        </w:rPr>
        <w:t xml:space="preserve">nepieciešamie līdzekļi </w:t>
      </w:r>
      <w:r w:rsidR="00BF0B15" w:rsidRPr="00AF71AF">
        <w:rPr>
          <w:rFonts w:cs="Times New Roman"/>
          <w:szCs w:val="28"/>
        </w:rPr>
        <w:t>ik gadu 70 000 EUR;</w:t>
      </w:r>
    </w:p>
    <w:p w:rsidR="00BF0B15" w:rsidRPr="00AF71AF" w:rsidRDefault="007A0D68" w:rsidP="00BF0B15">
      <w:pPr>
        <w:ind w:firstLine="567"/>
        <w:jc w:val="both"/>
        <w:rPr>
          <w:rFonts w:cs="Times New Roman"/>
          <w:szCs w:val="28"/>
        </w:rPr>
      </w:pPr>
      <w:r w:rsidRPr="00AF71AF">
        <w:rPr>
          <w:rFonts w:cs="Times New Roman"/>
          <w:szCs w:val="28"/>
        </w:rPr>
        <w:t>1.</w:t>
      </w:r>
      <w:r w:rsidR="00BF0B15" w:rsidRPr="00AF71AF">
        <w:rPr>
          <w:rFonts w:cs="Times New Roman"/>
          <w:szCs w:val="28"/>
        </w:rPr>
        <w:t>3.Būvniecības informācijas sistēmas pakalpojumu paplašināšanai</w:t>
      </w:r>
      <w:r w:rsidR="005C6C29" w:rsidRPr="00AF71AF">
        <w:rPr>
          <w:rFonts w:cs="Times New Roman"/>
          <w:szCs w:val="28"/>
        </w:rPr>
        <w:t xml:space="preserve"> nepieciešamie līdzekļi</w:t>
      </w:r>
      <w:r w:rsidR="00BF0B15" w:rsidRPr="00AF71AF">
        <w:rPr>
          <w:rFonts w:cs="Times New Roman"/>
          <w:szCs w:val="28"/>
        </w:rPr>
        <w:t xml:space="preserve"> ik gadu </w:t>
      </w:r>
      <w:r w:rsidRPr="00AF71AF">
        <w:rPr>
          <w:rFonts w:cs="Times New Roman"/>
          <w:szCs w:val="28"/>
        </w:rPr>
        <w:t>4</w:t>
      </w:r>
      <w:r w:rsidR="00BF0B15" w:rsidRPr="00AF71AF">
        <w:rPr>
          <w:rFonts w:cs="Times New Roman"/>
          <w:szCs w:val="28"/>
        </w:rPr>
        <w:t>0 000 EUR;</w:t>
      </w:r>
    </w:p>
    <w:p w:rsidR="00BF0B15" w:rsidRPr="00AF71AF" w:rsidRDefault="007A0D68" w:rsidP="00BF0B15">
      <w:pPr>
        <w:ind w:firstLine="567"/>
        <w:jc w:val="both"/>
        <w:rPr>
          <w:rFonts w:cs="Times New Roman"/>
          <w:szCs w:val="28"/>
        </w:rPr>
      </w:pPr>
      <w:r w:rsidRPr="00AF71AF">
        <w:rPr>
          <w:rFonts w:cs="Times New Roman"/>
          <w:szCs w:val="28"/>
        </w:rPr>
        <w:t>1.</w:t>
      </w:r>
      <w:r w:rsidR="00CB6A2D" w:rsidRPr="00AF71AF">
        <w:rPr>
          <w:rFonts w:cs="Times New Roman"/>
          <w:szCs w:val="28"/>
        </w:rPr>
        <w:t>4.Būvkomer</w:t>
      </w:r>
      <w:r w:rsidR="00BF0B15" w:rsidRPr="00AF71AF">
        <w:rPr>
          <w:rFonts w:cs="Times New Roman"/>
          <w:szCs w:val="28"/>
        </w:rPr>
        <w:t>santu klasifikācijas sistēmas izveidei un nodrošināšanai</w:t>
      </w:r>
      <w:r w:rsidR="005C6C29" w:rsidRPr="00AF71AF">
        <w:rPr>
          <w:rFonts w:cs="Times New Roman"/>
          <w:szCs w:val="28"/>
        </w:rPr>
        <w:t xml:space="preserve"> nepieciešamie līdzekļi</w:t>
      </w:r>
      <w:r w:rsidR="00BF0B15" w:rsidRPr="00AF71AF">
        <w:rPr>
          <w:rFonts w:cs="Times New Roman"/>
          <w:szCs w:val="28"/>
        </w:rPr>
        <w:t>:</w:t>
      </w:r>
    </w:p>
    <w:p w:rsidR="00BF0B15" w:rsidRPr="00AF71AF" w:rsidRDefault="00BF0B15" w:rsidP="00BF0B15">
      <w:pPr>
        <w:ind w:firstLine="567"/>
        <w:jc w:val="both"/>
        <w:rPr>
          <w:rStyle w:val="spelle"/>
        </w:rPr>
      </w:pPr>
      <w:r w:rsidRPr="00AF71AF">
        <w:rPr>
          <w:rFonts w:cs="Times New Roman"/>
          <w:szCs w:val="28"/>
        </w:rPr>
        <w:t xml:space="preserve">- </w:t>
      </w:r>
      <w:r w:rsidRPr="00AF71AF">
        <w:rPr>
          <w:rStyle w:val="spelle"/>
        </w:rPr>
        <w:t xml:space="preserve">2015.gadā </w:t>
      </w:r>
      <w:r w:rsidR="007A0D68" w:rsidRPr="00AF71AF">
        <w:rPr>
          <w:rStyle w:val="spelle"/>
        </w:rPr>
        <w:t>5</w:t>
      </w:r>
      <w:r w:rsidRPr="00AF71AF">
        <w:rPr>
          <w:rStyle w:val="spelle"/>
        </w:rPr>
        <w:t>0 000 EUR;</w:t>
      </w:r>
    </w:p>
    <w:p w:rsidR="007A0D68" w:rsidRPr="00AF71AF" w:rsidRDefault="00BF0B15" w:rsidP="00E22BEE">
      <w:pPr>
        <w:ind w:firstLine="567"/>
        <w:jc w:val="both"/>
        <w:rPr>
          <w:rFonts w:cs="Times New Roman"/>
          <w:szCs w:val="28"/>
        </w:rPr>
      </w:pPr>
      <w:r w:rsidRPr="00AF71AF">
        <w:rPr>
          <w:rStyle w:val="spelle"/>
        </w:rPr>
        <w:t>-2016.gadā 8 000 EUR.</w:t>
      </w:r>
    </w:p>
    <w:p w:rsidR="005242AA" w:rsidRPr="00AF71AF" w:rsidRDefault="005242AA" w:rsidP="001A1D0C">
      <w:pPr>
        <w:ind w:firstLine="567"/>
        <w:jc w:val="both"/>
      </w:pPr>
      <w:r w:rsidRPr="00AF71AF">
        <w:rPr>
          <w:rFonts w:cs="Times New Roman"/>
          <w:szCs w:val="28"/>
        </w:rPr>
        <w:t>F</w:t>
      </w:r>
      <w:r w:rsidRPr="00AF71AF">
        <w:t>inansēšan</w:t>
      </w:r>
      <w:r w:rsidR="00805666" w:rsidRPr="00AF71AF">
        <w:t>ai</w:t>
      </w:r>
      <w:r w:rsidR="009F6F45" w:rsidRPr="00AF71AF">
        <w:t xml:space="preserve"> piedāvāts nodevu par reģistrācijas darbībām būvkomersantu reģistrā (Likums „Par nodokļiem un nodevām” 11.panta 23.</w:t>
      </w:r>
      <w:r w:rsidR="009F6F45" w:rsidRPr="00AF71AF">
        <w:rPr>
          <w:vertAlign w:val="superscript"/>
        </w:rPr>
        <w:t>1</w:t>
      </w:r>
      <w:r w:rsidR="009F6F45" w:rsidRPr="00AF71AF">
        <w:t>.punkts)</w:t>
      </w:r>
      <w:r w:rsidRPr="00AF71AF">
        <w:t xml:space="preserve"> </w:t>
      </w:r>
      <w:r w:rsidR="009F6F45" w:rsidRPr="00AF71AF">
        <w:t>pared</w:t>
      </w:r>
      <w:r w:rsidR="00622868" w:rsidRPr="00AF71AF">
        <w:t>zēt kā ikgadēju un piesaistīt to</w:t>
      </w:r>
      <w:r w:rsidR="009F6F45" w:rsidRPr="00AF71AF">
        <w:t xml:space="preserve"> </w:t>
      </w:r>
      <w:r w:rsidRPr="00AF71AF">
        <w:t>būvkomersantu apgrozījumam</w:t>
      </w:r>
      <w:r w:rsidRPr="00AF71AF">
        <w:rPr>
          <w:rStyle w:val="FootnoteReference"/>
        </w:rPr>
        <w:footnoteReference w:id="2"/>
      </w:r>
      <w:r w:rsidRPr="00AF71AF">
        <w:t xml:space="preserve"> apmēru aprēķinot:</w:t>
      </w:r>
    </w:p>
    <w:p w:rsidR="005242AA" w:rsidRPr="00AF71AF" w:rsidRDefault="0002390B" w:rsidP="001A1D0C">
      <w:pPr>
        <w:ind w:firstLine="567"/>
        <w:jc w:val="both"/>
      </w:pPr>
      <w:r w:rsidRPr="00AF71AF">
        <w:t>a)</w:t>
      </w:r>
      <w:r w:rsidR="005242AA" w:rsidRPr="00AF71AF">
        <w:t xml:space="preserve"> no būvkomersanta kopējā veiktā būvdarbu apjoma (diagramma 1);</w:t>
      </w:r>
    </w:p>
    <w:p w:rsidR="005242AA" w:rsidRPr="00AF71AF" w:rsidRDefault="005242AA" w:rsidP="001A1D0C">
      <w:pPr>
        <w:ind w:firstLine="567"/>
        <w:jc w:val="both"/>
      </w:pPr>
      <w:r w:rsidRPr="00AF71AF">
        <w:t>vai</w:t>
      </w:r>
    </w:p>
    <w:p w:rsidR="005242AA" w:rsidRPr="00AF71AF" w:rsidRDefault="0002390B" w:rsidP="001A1D0C">
      <w:pPr>
        <w:ind w:firstLine="567"/>
        <w:jc w:val="both"/>
      </w:pPr>
      <w:r w:rsidRPr="00AF71AF">
        <w:t>b)</w:t>
      </w:r>
      <w:r w:rsidR="005242AA" w:rsidRPr="00AF71AF">
        <w:t xml:space="preserve"> no būvkomersanta pašu spēkiem veiktā būvdarbu apjoma (diagramma 2).</w:t>
      </w:r>
    </w:p>
    <w:p w:rsidR="0002390B" w:rsidRPr="00AF71AF" w:rsidRDefault="0002390B" w:rsidP="00E22BEE">
      <w:pPr>
        <w:jc w:val="both"/>
        <w:rPr>
          <w:rFonts w:cs="Times New Roman"/>
          <w:szCs w:val="28"/>
        </w:rPr>
      </w:pPr>
    </w:p>
    <w:p w:rsidR="00A62D8F" w:rsidRPr="00AF71AF" w:rsidRDefault="005242AA" w:rsidP="00A62D8F">
      <w:pPr>
        <w:ind w:firstLine="720"/>
        <w:jc w:val="center"/>
        <w:rPr>
          <w:rFonts w:cs="Times New Roman"/>
          <w:b/>
          <w:szCs w:val="28"/>
        </w:rPr>
      </w:pPr>
      <w:r w:rsidRPr="00AF71AF">
        <w:rPr>
          <w:rFonts w:cs="Times New Roman"/>
          <w:b/>
          <w:szCs w:val="28"/>
        </w:rPr>
        <w:t>2.</w:t>
      </w:r>
      <w:r w:rsidR="00A62D8F" w:rsidRPr="00AF71AF">
        <w:rPr>
          <w:rFonts w:cs="Times New Roman"/>
          <w:b/>
          <w:szCs w:val="28"/>
        </w:rPr>
        <w:t>Informācija par ekonomiski aktīviem būvkomersantiem un veiktajiem iepirkumiem</w:t>
      </w:r>
    </w:p>
    <w:p w:rsidR="00F22616" w:rsidRPr="00AF71AF" w:rsidRDefault="00F22616" w:rsidP="00A62D8F">
      <w:pPr>
        <w:ind w:firstLine="720"/>
        <w:jc w:val="center"/>
        <w:rPr>
          <w:rFonts w:cs="Times New Roman"/>
          <w:b/>
          <w:szCs w:val="28"/>
        </w:rPr>
      </w:pPr>
    </w:p>
    <w:p w:rsidR="0043579B" w:rsidRPr="00AF71AF" w:rsidRDefault="0043579B" w:rsidP="0043579B">
      <w:pPr>
        <w:ind w:firstLine="720"/>
        <w:jc w:val="both"/>
        <w:rPr>
          <w:rFonts w:cs="Times New Roman"/>
          <w:szCs w:val="28"/>
        </w:rPr>
      </w:pPr>
      <w:r w:rsidRPr="00AF71AF">
        <w:rPr>
          <w:rFonts w:cs="Times New Roman"/>
          <w:szCs w:val="28"/>
        </w:rPr>
        <w:t>Saskaņā ar būvkomersantu reģistrā iesniegtajiem datiem 2012.gadā</w:t>
      </w:r>
      <w:r w:rsidR="0077440D" w:rsidRPr="00AF71AF">
        <w:rPr>
          <w:rFonts w:cs="Times New Roman"/>
          <w:szCs w:val="28"/>
        </w:rPr>
        <w:t xml:space="preserve"> </w:t>
      </w:r>
      <w:r w:rsidRPr="00AF71AF">
        <w:rPr>
          <w:rFonts w:cs="Times New Roman"/>
          <w:szCs w:val="28"/>
        </w:rPr>
        <w:t>pakalpojumus būvniecībā reglamentētajās jomās sniedza 3852 būvkomersanti.</w:t>
      </w:r>
    </w:p>
    <w:p w:rsidR="00A62D8F" w:rsidRPr="00AF71AF" w:rsidRDefault="00A62D8F" w:rsidP="00A62D8F">
      <w:pPr>
        <w:jc w:val="both"/>
      </w:pPr>
      <w:r w:rsidRPr="00AF71AF">
        <w:t>Tika organizēti 2562 iepirkumi, par kopējo summu,</w:t>
      </w:r>
      <w:r w:rsidR="0034782B" w:rsidRPr="00AF71AF">
        <w:t xml:space="preserve"> </w:t>
      </w:r>
      <w:r w:rsidRPr="00AF71AF">
        <w:t>kas sastādīja 918 697 266 eiro</w:t>
      </w:r>
      <w:r w:rsidR="0034782B" w:rsidRPr="00AF71AF">
        <w:t xml:space="preserve"> </w:t>
      </w:r>
      <w:r w:rsidRPr="00AF71AF">
        <w:t xml:space="preserve">(Publisko iepirkumu likums - 2539 būvdarbu iepirkumi par kopējo summu </w:t>
      </w:r>
      <w:r w:rsidRPr="00AF71AF">
        <w:lastRenderedPageBreak/>
        <w:t>805 588 101 eiro (566 451 662 LVL), Sabiedrisko pakalpojumu sniedzēju iepirkumu likums - 23 iepirkumi 113 109 165 eiro (79 493 574 LVL) apmērā.</w:t>
      </w:r>
    </w:p>
    <w:p w:rsidR="0002390B" w:rsidRPr="00AF71AF" w:rsidRDefault="0002390B" w:rsidP="00805666">
      <w:pPr>
        <w:ind w:firstLine="709"/>
        <w:jc w:val="both"/>
        <w:rPr>
          <w:rFonts w:cs="Times New Roman"/>
          <w:b/>
          <w:szCs w:val="28"/>
        </w:rPr>
      </w:pPr>
    </w:p>
    <w:p w:rsidR="00893FEB" w:rsidRPr="00AF71AF" w:rsidRDefault="00893FEB" w:rsidP="00941F16">
      <w:pPr>
        <w:keepNext/>
        <w:ind w:firstLine="709"/>
        <w:jc w:val="both"/>
        <w:rPr>
          <w:rFonts w:cs="Times New Roman"/>
          <w:b/>
          <w:szCs w:val="28"/>
        </w:rPr>
      </w:pPr>
      <w:r w:rsidRPr="00AF71AF">
        <w:rPr>
          <w:rFonts w:cs="Times New Roman"/>
          <w:b/>
          <w:szCs w:val="28"/>
        </w:rPr>
        <w:t>Nodevas apmēra atspoguļojums atkarībā no kopējā veiktā būvdarbu apjoma:</w:t>
      </w:r>
    </w:p>
    <w:p w:rsidR="0043579B" w:rsidRPr="00AF71AF" w:rsidRDefault="00545FD5" w:rsidP="00941F16">
      <w:pPr>
        <w:keepNext/>
        <w:ind w:firstLine="720"/>
        <w:jc w:val="both"/>
        <w:rPr>
          <w:rFonts w:cs="Times New Roman"/>
          <w:sz w:val="24"/>
          <w:szCs w:val="24"/>
        </w:rPr>
      </w:pPr>
      <w:r w:rsidRPr="00AF71AF">
        <w:rPr>
          <w:rFonts w:cs="Times New Roman"/>
          <w:sz w:val="24"/>
          <w:szCs w:val="24"/>
        </w:rPr>
        <w:t>Diagramma 1</w:t>
      </w:r>
    </w:p>
    <w:p w:rsidR="00941F16" w:rsidRPr="00AF71AF" w:rsidRDefault="0043579B" w:rsidP="0043579B">
      <w:r w:rsidRPr="00AF71AF">
        <w:rPr>
          <w:noProof/>
          <w:lang w:eastAsia="lv-LV"/>
        </w:rPr>
        <w:drawing>
          <wp:inline distT="0" distB="0" distL="0" distR="0" wp14:anchorId="14A47A69" wp14:editId="04F8BD6E">
            <wp:extent cx="5038725" cy="28670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5FD5" w:rsidRPr="00AF71AF" w:rsidRDefault="00545FD5" w:rsidP="00545FD5">
      <w:pPr>
        <w:ind w:firstLine="720"/>
        <w:jc w:val="both"/>
        <w:rPr>
          <w:rFonts w:cs="Times New Roman"/>
          <w:szCs w:val="28"/>
        </w:rPr>
      </w:pPr>
      <w:r w:rsidRPr="00AF71AF">
        <w:rPr>
          <w:rFonts w:cs="Times New Roman"/>
          <w:szCs w:val="28"/>
        </w:rPr>
        <w:t xml:space="preserve">-līdz 50 000 EUR - 1209 būvkomersanti, jeb 31% no kopējā būvkomersantu skaita, plānotā nodeva 100 </w:t>
      </w:r>
      <w:r w:rsidRPr="00AF71AF">
        <w:rPr>
          <w:rFonts w:cs="Times New Roman"/>
          <w:i/>
          <w:szCs w:val="28"/>
        </w:rPr>
        <w:t>euro</w:t>
      </w:r>
      <w:r w:rsidRPr="00AF71AF">
        <w:rPr>
          <w:rFonts w:cs="Times New Roman"/>
          <w:szCs w:val="28"/>
        </w:rPr>
        <w:t xml:space="preserve"> gadā;</w:t>
      </w:r>
    </w:p>
    <w:p w:rsidR="00545FD5" w:rsidRPr="00AF71AF" w:rsidRDefault="00545FD5" w:rsidP="00545FD5">
      <w:pPr>
        <w:ind w:firstLine="720"/>
        <w:jc w:val="both"/>
        <w:rPr>
          <w:rFonts w:cs="Times New Roman"/>
          <w:i/>
          <w:szCs w:val="28"/>
        </w:rPr>
      </w:pPr>
      <w:r w:rsidRPr="00AF71AF">
        <w:rPr>
          <w:rFonts w:cs="Times New Roman"/>
          <w:szCs w:val="28"/>
        </w:rPr>
        <w:t xml:space="preserve">-no 50 000 līdz 500 000 EUR – 1718 būvkomersanti, jeb 45% no kopējā būvkomersantu skaita, plānotā nodeva 500 </w:t>
      </w:r>
      <w:r w:rsidRPr="00AF71AF">
        <w:rPr>
          <w:rFonts w:cs="Times New Roman"/>
          <w:i/>
          <w:szCs w:val="28"/>
        </w:rPr>
        <w:t>euro</w:t>
      </w:r>
      <w:r w:rsidRPr="00AF71AF">
        <w:rPr>
          <w:rFonts w:cs="Times New Roman"/>
          <w:szCs w:val="28"/>
        </w:rPr>
        <w:t xml:space="preserve"> gadā;</w:t>
      </w:r>
    </w:p>
    <w:p w:rsidR="00545FD5" w:rsidRPr="00AF71AF" w:rsidRDefault="00545FD5" w:rsidP="00545FD5">
      <w:pPr>
        <w:ind w:firstLine="720"/>
        <w:jc w:val="both"/>
        <w:rPr>
          <w:rFonts w:cs="Times New Roman"/>
          <w:szCs w:val="28"/>
        </w:rPr>
      </w:pPr>
      <w:r w:rsidRPr="00AF71AF">
        <w:rPr>
          <w:rFonts w:cs="Times New Roman"/>
          <w:szCs w:val="28"/>
        </w:rPr>
        <w:t xml:space="preserve">-no 500 000 līdz 1 milj. EUR – 365 būvkomersanti, jeb 9% no kopējā būvkomersantu skaita, plānotā nodeva 1000 </w:t>
      </w:r>
      <w:r w:rsidRPr="00AF71AF">
        <w:rPr>
          <w:rFonts w:cs="Times New Roman"/>
          <w:i/>
          <w:szCs w:val="28"/>
        </w:rPr>
        <w:t>euro</w:t>
      </w:r>
      <w:r w:rsidRPr="00AF71AF">
        <w:rPr>
          <w:rFonts w:cs="Times New Roman"/>
          <w:szCs w:val="28"/>
        </w:rPr>
        <w:t xml:space="preserve"> gadā</w:t>
      </w:r>
    </w:p>
    <w:p w:rsidR="00545FD5" w:rsidRPr="00AF71AF" w:rsidRDefault="00545FD5" w:rsidP="00545FD5">
      <w:pPr>
        <w:ind w:firstLine="720"/>
        <w:jc w:val="both"/>
        <w:rPr>
          <w:rFonts w:cs="Times New Roman"/>
          <w:szCs w:val="28"/>
        </w:rPr>
      </w:pPr>
      <w:r w:rsidRPr="00AF71AF">
        <w:rPr>
          <w:rFonts w:cs="Times New Roman"/>
          <w:szCs w:val="28"/>
        </w:rPr>
        <w:t xml:space="preserve">-no 1 milj. līdz 5 milj. EUR – 435 būvkomersanti, jeb 11% no kopējā būvkomersantu skaita, plānotā nodeva 2000 </w:t>
      </w:r>
      <w:r w:rsidRPr="00AF71AF">
        <w:rPr>
          <w:rFonts w:cs="Times New Roman"/>
          <w:i/>
          <w:szCs w:val="28"/>
        </w:rPr>
        <w:t>euro</w:t>
      </w:r>
      <w:r w:rsidRPr="00AF71AF">
        <w:rPr>
          <w:rFonts w:cs="Times New Roman"/>
          <w:szCs w:val="28"/>
        </w:rPr>
        <w:t xml:space="preserve"> gadā</w:t>
      </w:r>
    </w:p>
    <w:p w:rsidR="00545FD5" w:rsidRPr="00AF71AF" w:rsidRDefault="00545FD5" w:rsidP="00545FD5">
      <w:pPr>
        <w:ind w:firstLine="720"/>
        <w:jc w:val="both"/>
        <w:rPr>
          <w:rFonts w:cs="Times New Roman"/>
          <w:szCs w:val="28"/>
        </w:rPr>
      </w:pPr>
      <w:r w:rsidRPr="00AF71AF">
        <w:rPr>
          <w:rFonts w:cs="Times New Roman"/>
          <w:szCs w:val="28"/>
        </w:rPr>
        <w:t xml:space="preserve">-no 5 milj. līdz 10 milj. EUR – 67 būvkomersanti, jeb 2% no kopējā būvkomersantu skaita plānotā nodeva 3000 </w:t>
      </w:r>
      <w:r w:rsidRPr="00AF71AF">
        <w:rPr>
          <w:rFonts w:cs="Times New Roman"/>
          <w:i/>
          <w:szCs w:val="28"/>
        </w:rPr>
        <w:t>euro</w:t>
      </w:r>
      <w:r w:rsidRPr="00AF71AF">
        <w:rPr>
          <w:rFonts w:cs="Times New Roman"/>
          <w:szCs w:val="28"/>
        </w:rPr>
        <w:t xml:space="preserve"> gadā</w:t>
      </w:r>
    </w:p>
    <w:p w:rsidR="00545FD5" w:rsidRPr="00AF71AF" w:rsidRDefault="00545FD5" w:rsidP="00545FD5">
      <w:pPr>
        <w:ind w:firstLine="720"/>
        <w:jc w:val="both"/>
        <w:rPr>
          <w:rFonts w:cs="Times New Roman"/>
          <w:szCs w:val="28"/>
        </w:rPr>
      </w:pPr>
      <w:r w:rsidRPr="00AF71AF">
        <w:rPr>
          <w:rFonts w:cs="Times New Roman"/>
          <w:szCs w:val="28"/>
        </w:rPr>
        <w:t>-vairāk par 10 milj. EUR – 58 būvkomersants, jeb 2%</w:t>
      </w:r>
      <w:r w:rsidR="00E20272" w:rsidRPr="00AF71AF">
        <w:rPr>
          <w:rFonts w:cs="Times New Roman"/>
          <w:szCs w:val="28"/>
        </w:rPr>
        <w:t xml:space="preserve"> no kopējā būvkomersantu skaita,</w:t>
      </w:r>
      <w:r w:rsidRPr="00AF71AF">
        <w:rPr>
          <w:rFonts w:cs="Times New Roman"/>
          <w:szCs w:val="28"/>
        </w:rPr>
        <w:t xml:space="preserve"> plānotā nodeva 5000 </w:t>
      </w:r>
      <w:r w:rsidRPr="00AF71AF">
        <w:rPr>
          <w:rFonts w:cs="Times New Roman"/>
          <w:i/>
          <w:szCs w:val="28"/>
        </w:rPr>
        <w:t>euro</w:t>
      </w:r>
      <w:r w:rsidRPr="00AF71AF">
        <w:rPr>
          <w:rFonts w:cs="Times New Roman"/>
          <w:szCs w:val="28"/>
        </w:rPr>
        <w:t xml:space="preserve"> gadā</w:t>
      </w:r>
      <w:r w:rsidR="00E20272" w:rsidRPr="00AF71AF">
        <w:rPr>
          <w:rFonts w:cs="Times New Roman"/>
          <w:szCs w:val="28"/>
        </w:rPr>
        <w:t>.</w:t>
      </w:r>
    </w:p>
    <w:p w:rsidR="00545FD5" w:rsidRPr="00AF71AF" w:rsidRDefault="00545FD5" w:rsidP="00893FEB">
      <w:pPr>
        <w:jc w:val="both"/>
        <w:rPr>
          <w:rFonts w:cs="Times New Roman"/>
          <w:sz w:val="24"/>
          <w:szCs w:val="24"/>
        </w:rPr>
      </w:pPr>
    </w:p>
    <w:p w:rsidR="0002390B" w:rsidRPr="00AF71AF" w:rsidRDefault="00893FEB" w:rsidP="00941F16">
      <w:pPr>
        <w:keepNext/>
        <w:ind w:firstLine="567"/>
        <w:jc w:val="both"/>
        <w:rPr>
          <w:rFonts w:cs="Times New Roman"/>
          <w:b/>
          <w:szCs w:val="28"/>
        </w:rPr>
      </w:pPr>
      <w:r w:rsidRPr="00AF71AF">
        <w:rPr>
          <w:rFonts w:cs="Times New Roman"/>
          <w:b/>
          <w:szCs w:val="28"/>
        </w:rPr>
        <w:lastRenderedPageBreak/>
        <w:t>Nodevas apmēra atspoguļojums atkarībā no pašu spēkiem veiktā būvdarbu apjoma:</w:t>
      </w:r>
    </w:p>
    <w:p w:rsidR="00545FD5" w:rsidRPr="00AF71AF" w:rsidRDefault="00545FD5" w:rsidP="00941F16">
      <w:pPr>
        <w:keepNext/>
        <w:ind w:firstLine="720"/>
        <w:jc w:val="both"/>
        <w:rPr>
          <w:rFonts w:cs="Times New Roman"/>
          <w:sz w:val="24"/>
          <w:szCs w:val="24"/>
        </w:rPr>
      </w:pPr>
      <w:r w:rsidRPr="00AF71AF">
        <w:rPr>
          <w:rFonts w:cs="Times New Roman"/>
          <w:sz w:val="24"/>
          <w:szCs w:val="24"/>
        </w:rPr>
        <w:t>Diagramma 2</w:t>
      </w:r>
    </w:p>
    <w:p w:rsidR="00AC5445" w:rsidRPr="00AF71AF" w:rsidRDefault="00545FD5" w:rsidP="0043579B">
      <w:pPr>
        <w:ind w:firstLine="720"/>
        <w:jc w:val="both"/>
        <w:rPr>
          <w:rFonts w:cs="Times New Roman"/>
          <w:szCs w:val="28"/>
        </w:rPr>
      </w:pPr>
      <w:r w:rsidRPr="00AF71AF">
        <w:rPr>
          <w:noProof/>
          <w:lang w:eastAsia="lv-LV"/>
        </w:rPr>
        <w:drawing>
          <wp:inline distT="0" distB="0" distL="0" distR="0" wp14:anchorId="11DE8874" wp14:editId="21257886">
            <wp:extent cx="5105400" cy="26003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0D68" w:rsidRPr="00AF71AF" w:rsidRDefault="007A0D68" w:rsidP="005D3C18">
      <w:pPr>
        <w:ind w:firstLine="720"/>
        <w:jc w:val="both"/>
        <w:rPr>
          <w:rFonts w:cs="Times New Roman"/>
          <w:szCs w:val="28"/>
        </w:rPr>
      </w:pPr>
    </w:p>
    <w:p w:rsidR="00AC5445" w:rsidRPr="00AF71AF" w:rsidRDefault="00AC5445" w:rsidP="005D3C18">
      <w:pPr>
        <w:ind w:firstLine="720"/>
        <w:jc w:val="both"/>
        <w:rPr>
          <w:rFonts w:cs="Times New Roman"/>
          <w:szCs w:val="28"/>
        </w:rPr>
      </w:pPr>
      <w:r w:rsidRPr="00AF71AF">
        <w:rPr>
          <w:rFonts w:cs="Times New Roman"/>
          <w:szCs w:val="28"/>
        </w:rPr>
        <w:t>-</w:t>
      </w:r>
      <w:r w:rsidR="0043579B" w:rsidRPr="00AF71AF">
        <w:rPr>
          <w:rFonts w:cs="Times New Roman"/>
          <w:szCs w:val="28"/>
        </w:rPr>
        <w:t xml:space="preserve">līdz 50 000 EUR </w:t>
      </w:r>
      <w:r w:rsidRPr="00AF71AF">
        <w:rPr>
          <w:rFonts w:cs="Times New Roman"/>
          <w:szCs w:val="28"/>
        </w:rPr>
        <w:t>-</w:t>
      </w:r>
      <w:r w:rsidR="0043579B" w:rsidRPr="00AF71AF">
        <w:rPr>
          <w:rFonts w:cs="Times New Roman"/>
          <w:szCs w:val="28"/>
        </w:rPr>
        <w:t xml:space="preserve"> 1 522 būvkomersanti, jeb 40% no kopējā būvkomersantu skaita, </w:t>
      </w:r>
      <w:r w:rsidR="005D3C18" w:rsidRPr="00AF71AF">
        <w:rPr>
          <w:rFonts w:cs="Times New Roman"/>
          <w:szCs w:val="28"/>
        </w:rPr>
        <w:t xml:space="preserve">plānotā nodeva 100 </w:t>
      </w:r>
      <w:r w:rsidR="005D3C18" w:rsidRPr="00AF71AF">
        <w:rPr>
          <w:rFonts w:cs="Times New Roman"/>
          <w:i/>
          <w:szCs w:val="28"/>
        </w:rPr>
        <w:t>euro</w:t>
      </w:r>
      <w:r w:rsidR="00800499" w:rsidRPr="00AF71AF">
        <w:rPr>
          <w:rFonts w:cs="Times New Roman"/>
          <w:szCs w:val="28"/>
        </w:rPr>
        <w:t xml:space="preserve"> </w:t>
      </w:r>
      <w:r w:rsidR="005D3C18" w:rsidRPr="00AF71AF">
        <w:rPr>
          <w:rFonts w:cs="Times New Roman"/>
          <w:szCs w:val="28"/>
        </w:rPr>
        <w:t>gadā</w:t>
      </w:r>
    </w:p>
    <w:p w:rsidR="005D3C18" w:rsidRPr="00AF71AF" w:rsidRDefault="00AC5445" w:rsidP="005D3C18">
      <w:pPr>
        <w:ind w:firstLine="720"/>
        <w:jc w:val="both"/>
        <w:rPr>
          <w:rFonts w:cs="Times New Roman"/>
          <w:szCs w:val="28"/>
        </w:rPr>
      </w:pPr>
      <w:r w:rsidRPr="00AF71AF">
        <w:rPr>
          <w:rFonts w:cs="Times New Roman"/>
          <w:szCs w:val="28"/>
        </w:rPr>
        <w:t>-</w:t>
      </w:r>
      <w:r w:rsidR="0043579B" w:rsidRPr="00AF71AF">
        <w:rPr>
          <w:rFonts w:cs="Times New Roman"/>
          <w:szCs w:val="28"/>
        </w:rPr>
        <w:t>no 50 000 līdz 500 000 EUR – 1629 būvkomersanti, jeb 42% no kopējā būvkomersantu skaita,</w:t>
      </w:r>
      <w:r w:rsidR="00B23A00" w:rsidRPr="00AF71AF">
        <w:rPr>
          <w:rFonts w:cs="Times New Roman"/>
          <w:szCs w:val="28"/>
        </w:rPr>
        <w:t xml:space="preserve"> </w:t>
      </w:r>
      <w:r w:rsidR="005D3C18" w:rsidRPr="00AF71AF">
        <w:rPr>
          <w:rFonts w:cs="Times New Roman"/>
          <w:szCs w:val="28"/>
        </w:rPr>
        <w:t xml:space="preserve">plānotā nodeva 500 </w:t>
      </w:r>
      <w:r w:rsidR="005D3C18" w:rsidRPr="00AF71AF">
        <w:rPr>
          <w:rFonts w:cs="Times New Roman"/>
          <w:i/>
          <w:szCs w:val="28"/>
        </w:rPr>
        <w:t>euro</w:t>
      </w:r>
      <w:r w:rsidR="00800499" w:rsidRPr="00AF71AF">
        <w:rPr>
          <w:rFonts w:cs="Times New Roman"/>
          <w:szCs w:val="28"/>
        </w:rPr>
        <w:t xml:space="preserve"> </w:t>
      </w:r>
      <w:r w:rsidR="005D3C18" w:rsidRPr="00AF71AF">
        <w:rPr>
          <w:rFonts w:cs="Times New Roman"/>
          <w:szCs w:val="28"/>
        </w:rPr>
        <w:t>gadā</w:t>
      </w:r>
    </w:p>
    <w:p w:rsidR="005D3C18" w:rsidRPr="00AF71AF" w:rsidRDefault="00AC5445" w:rsidP="005D3C18">
      <w:pPr>
        <w:ind w:firstLine="720"/>
        <w:jc w:val="both"/>
        <w:rPr>
          <w:rFonts w:cs="Times New Roman"/>
          <w:szCs w:val="28"/>
        </w:rPr>
      </w:pPr>
      <w:r w:rsidRPr="00AF71AF">
        <w:rPr>
          <w:rFonts w:cs="Times New Roman"/>
          <w:szCs w:val="28"/>
        </w:rPr>
        <w:t>-</w:t>
      </w:r>
      <w:r w:rsidR="0043579B" w:rsidRPr="00AF71AF">
        <w:rPr>
          <w:rFonts w:cs="Times New Roman"/>
          <w:szCs w:val="28"/>
        </w:rPr>
        <w:t xml:space="preserve">no 500 000 līdz 1 milj. EUR – 316 būvkomersanti, jeb 8% no kopējā būvkomersantu skaita, </w:t>
      </w:r>
      <w:r w:rsidR="005D3C18" w:rsidRPr="00AF71AF">
        <w:rPr>
          <w:rFonts w:cs="Times New Roman"/>
          <w:szCs w:val="28"/>
        </w:rPr>
        <w:t xml:space="preserve">plānotā nodeva 1000 </w:t>
      </w:r>
      <w:r w:rsidR="005D3C18" w:rsidRPr="00AF71AF">
        <w:rPr>
          <w:rFonts w:cs="Times New Roman"/>
          <w:i/>
          <w:szCs w:val="28"/>
        </w:rPr>
        <w:t>euro</w:t>
      </w:r>
      <w:r w:rsidR="00800499" w:rsidRPr="00AF71AF">
        <w:rPr>
          <w:rFonts w:cs="Times New Roman"/>
          <w:szCs w:val="28"/>
        </w:rPr>
        <w:t xml:space="preserve"> </w:t>
      </w:r>
      <w:r w:rsidR="005D3C18" w:rsidRPr="00AF71AF">
        <w:rPr>
          <w:rFonts w:cs="Times New Roman"/>
          <w:szCs w:val="28"/>
        </w:rPr>
        <w:t>gadā</w:t>
      </w:r>
    </w:p>
    <w:p w:rsidR="00AC5445" w:rsidRPr="00AF71AF" w:rsidRDefault="00AC5445" w:rsidP="005D3C18">
      <w:pPr>
        <w:ind w:firstLine="720"/>
        <w:jc w:val="both"/>
        <w:rPr>
          <w:rFonts w:cs="Times New Roman"/>
          <w:szCs w:val="28"/>
        </w:rPr>
      </w:pPr>
      <w:r w:rsidRPr="00AF71AF">
        <w:rPr>
          <w:rFonts w:cs="Times New Roman"/>
          <w:szCs w:val="28"/>
        </w:rPr>
        <w:t xml:space="preserve">-no </w:t>
      </w:r>
      <w:r w:rsidR="0043579B" w:rsidRPr="00AF71AF">
        <w:rPr>
          <w:rFonts w:cs="Times New Roman"/>
          <w:szCs w:val="28"/>
        </w:rPr>
        <w:t xml:space="preserve">1 milj. līdz 5 milj. EUR – 314 būvkomersanti, jeb 8% no kopējā būvkomersantu skaita, </w:t>
      </w:r>
      <w:r w:rsidR="005D3C18" w:rsidRPr="00AF71AF">
        <w:rPr>
          <w:rFonts w:cs="Times New Roman"/>
          <w:szCs w:val="28"/>
        </w:rPr>
        <w:t xml:space="preserve">plānotā nodeva 2000 </w:t>
      </w:r>
      <w:r w:rsidR="005D3C18" w:rsidRPr="00AF71AF">
        <w:rPr>
          <w:rFonts w:cs="Times New Roman"/>
          <w:i/>
          <w:szCs w:val="28"/>
        </w:rPr>
        <w:t>euro</w:t>
      </w:r>
      <w:r w:rsidR="005D3C18" w:rsidRPr="00AF71AF">
        <w:rPr>
          <w:rFonts w:cs="Times New Roman"/>
          <w:szCs w:val="28"/>
        </w:rPr>
        <w:t xml:space="preserve"> gadā</w:t>
      </w:r>
    </w:p>
    <w:p w:rsidR="00AC5445" w:rsidRPr="00AF71AF" w:rsidRDefault="00AC5445" w:rsidP="005D3C18">
      <w:pPr>
        <w:ind w:firstLine="720"/>
        <w:jc w:val="both"/>
        <w:rPr>
          <w:rFonts w:cs="Times New Roman"/>
          <w:szCs w:val="28"/>
        </w:rPr>
      </w:pPr>
      <w:r w:rsidRPr="00AF71AF">
        <w:rPr>
          <w:rFonts w:cs="Times New Roman"/>
          <w:szCs w:val="28"/>
        </w:rPr>
        <w:t>- no</w:t>
      </w:r>
      <w:r w:rsidR="00601B3D" w:rsidRPr="00AF71AF">
        <w:rPr>
          <w:rFonts w:cs="Times New Roman"/>
          <w:szCs w:val="28"/>
        </w:rPr>
        <w:t xml:space="preserve"> </w:t>
      </w:r>
      <w:r w:rsidR="0043579B" w:rsidRPr="00AF71AF">
        <w:rPr>
          <w:rFonts w:cs="Times New Roman"/>
          <w:szCs w:val="28"/>
        </w:rPr>
        <w:t>5 milj. līdz 10 milj. EUR – 40 būvkomersanti, jeb 1% no kopējā būvkomersan</w:t>
      </w:r>
      <w:r w:rsidRPr="00AF71AF">
        <w:rPr>
          <w:rFonts w:cs="Times New Roman"/>
          <w:szCs w:val="28"/>
        </w:rPr>
        <w:t>tu skaita,</w:t>
      </w:r>
      <w:r w:rsidR="00B23A00" w:rsidRPr="00AF71AF">
        <w:rPr>
          <w:rFonts w:cs="Times New Roman"/>
          <w:szCs w:val="28"/>
        </w:rPr>
        <w:t xml:space="preserve"> </w:t>
      </w:r>
      <w:r w:rsidR="005D3C18" w:rsidRPr="00AF71AF">
        <w:rPr>
          <w:rFonts w:cs="Times New Roman"/>
          <w:szCs w:val="28"/>
        </w:rPr>
        <w:t xml:space="preserve">plānotā nodeva 3000 </w:t>
      </w:r>
      <w:r w:rsidR="005D3C18" w:rsidRPr="00AF71AF">
        <w:rPr>
          <w:rFonts w:cs="Times New Roman"/>
          <w:i/>
          <w:szCs w:val="28"/>
        </w:rPr>
        <w:t>euro</w:t>
      </w:r>
      <w:r w:rsidR="005D3C18" w:rsidRPr="00AF71AF">
        <w:rPr>
          <w:rFonts w:cs="Times New Roman"/>
          <w:szCs w:val="28"/>
        </w:rPr>
        <w:t xml:space="preserve"> gadā</w:t>
      </w:r>
    </w:p>
    <w:p w:rsidR="005D3C18" w:rsidRPr="00AF71AF" w:rsidRDefault="00AC5445" w:rsidP="0002390B">
      <w:pPr>
        <w:ind w:firstLine="709"/>
        <w:jc w:val="both"/>
        <w:rPr>
          <w:rFonts w:cs="Times New Roman"/>
          <w:szCs w:val="28"/>
        </w:rPr>
      </w:pPr>
      <w:r w:rsidRPr="00AF71AF">
        <w:rPr>
          <w:rFonts w:cs="Times New Roman"/>
          <w:szCs w:val="28"/>
        </w:rPr>
        <w:t xml:space="preserve">- </w:t>
      </w:r>
      <w:r w:rsidR="0043579B" w:rsidRPr="00AF71AF">
        <w:rPr>
          <w:rFonts w:cs="Times New Roman"/>
          <w:szCs w:val="28"/>
        </w:rPr>
        <w:t>vairāk par 10 milj. EUR – 31 būvkomersants, jeb 1% no kopējā būvkomersantu skaita</w:t>
      </w:r>
      <w:r w:rsidR="00E20272" w:rsidRPr="00AF71AF">
        <w:rPr>
          <w:rFonts w:cs="Times New Roman"/>
          <w:szCs w:val="28"/>
        </w:rPr>
        <w:t>,</w:t>
      </w:r>
      <w:r w:rsidR="00B23A00" w:rsidRPr="00AF71AF">
        <w:rPr>
          <w:rFonts w:cs="Times New Roman"/>
          <w:szCs w:val="28"/>
        </w:rPr>
        <w:t xml:space="preserve"> </w:t>
      </w:r>
      <w:r w:rsidR="005D3C18" w:rsidRPr="00AF71AF">
        <w:rPr>
          <w:rFonts w:cs="Times New Roman"/>
          <w:szCs w:val="28"/>
        </w:rPr>
        <w:t xml:space="preserve">plānotā nodeva 5000 </w:t>
      </w:r>
      <w:r w:rsidR="005D3C18" w:rsidRPr="00AF71AF">
        <w:rPr>
          <w:rFonts w:cs="Times New Roman"/>
          <w:i/>
          <w:szCs w:val="28"/>
        </w:rPr>
        <w:t>euro</w:t>
      </w:r>
      <w:r w:rsidR="005D3C18" w:rsidRPr="00AF71AF">
        <w:rPr>
          <w:rFonts w:cs="Times New Roman"/>
          <w:szCs w:val="28"/>
        </w:rPr>
        <w:t xml:space="preserve"> gadā</w:t>
      </w:r>
      <w:r w:rsidR="00800499" w:rsidRPr="00AF71AF">
        <w:rPr>
          <w:rFonts w:cs="Times New Roman"/>
          <w:szCs w:val="28"/>
        </w:rPr>
        <w:t>.</w:t>
      </w:r>
    </w:p>
    <w:p w:rsidR="00764EBF" w:rsidRPr="00AF71AF" w:rsidRDefault="00764EBF" w:rsidP="0002390B">
      <w:pPr>
        <w:ind w:firstLine="709"/>
        <w:jc w:val="both"/>
      </w:pPr>
    </w:p>
    <w:p w:rsidR="008320DA" w:rsidRPr="00AF71AF" w:rsidRDefault="001C7C70" w:rsidP="0002390B">
      <w:pPr>
        <w:ind w:firstLine="709"/>
        <w:jc w:val="both"/>
      </w:pPr>
      <w:r>
        <w:t xml:space="preserve">Informatīvā ziņojuma 1.nodaļa minēto pasākumu uzskaitījums un priekšlikums par nodevas aprēķiniem </w:t>
      </w:r>
      <w:r w:rsidR="008320DA" w:rsidRPr="00AF71AF">
        <w:t xml:space="preserve">nosūtīts arī viedokļa sniegšanai </w:t>
      </w:r>
      <w:r w:rsidR="008320DA" w:rsidRPr="00AF71AF">
        <w:rPr>
          <w:rFonts w:cs="Times New Roman"/>
          <w:szCs w:val="28"/>
        </w:rPr>
        <w:t>Būvindustrijas nevalstisko organizāciju koordinācijas centram (BKC)</w:t>
      </w:r>
      <w:r w:rsidR="0002390B" w:rsidRPr="00AF71AF">
        <w:rPr>
          <w:rStyle w:val="FootnoteReference"/>
          <w:rFonts w:cs="Times New Roman"/>
          <w:szCs w:val="28"/>
        </w:rPr>
        <w:footnoteReference w:id="3"/>
      </w:r>
      <w:r w:rsidR="008320DA" w:rsidRPr="00AF71AF">
        <w:rPr>
          <w:rFonts w:cs="Times New Roman"/>
          <w:szCs w:val="28"/>
        </w:rPr>
        <w:t xml:space="preserve">. </w:t>
      </w:r>
    </w:p>
    <w:p w:rsidR="0002390B" w:rsidRPr="00AF71AF" w:rsidRDefault="0002390B" w:rsidP="005242AA">
      <w:pPr>
        <w:jc w:val="center"/>
        <w:rPr>
          <w:rFonts w:cs="Times New Roman"/>
          <w:b/>
          <w:szCs w:val="28"/>
        </w:rPr>
      </w:pPr>
    </w:p>
    <w:p w:rsidR="00601B3D" w:rsidRPr="00AF71AF" w:rsidRDefault="00601B3D" w:rsidP="005242AA">
      <w:pPr>
        <w:jc w:val="center"/>
        <w:rPr>
          <w:rFonts w:cs="Times New Roman"/>
          <w:b/>
          <w:szCs w:val="28"/>
        </w:rPr>
      </w:pPr>
      <w:r w:rsidRPr="00AF71AF">
        <w:rPr>
          <w:rFonts w:cs="Times New Roman"/>
          <w:b/>
          <w:szCs w:val="28"/>
        </w:rPr>
        <w:t>3.Nodevas ieviešana un administrēšana</w:t>
      </w:r>
    </w:p>
    <w:p w:rsidR="0077440D" w:rsidRPr="00AF71AF" w:rsidRDefault="0077440D" w:rsidP="0077440D">
      <w:pPr>
        <w:jc w:val="both"/>
        <w:rPr>
          <w:rFonts w:cs="Times New Roman"/>
          <w:bCs/>
          <w:szCs w:val="28"/>
        </w:rPr>
      </w:pPr>
    </w:p>
    <w:p w:rsidR="001B714C" w:rsidRPr="00AF71AF" w:rsidRDefault="001B714C" w:rsidP="001B714C">
      <w:pPr>
        <w:autoSpaceDE w:val="0"/>
        <w:autoSpaceDN w:val="0"/>
        <w:adjustRightInd w:val="0"/>
        <w:ind w:firstLine="709"/>
        <w:jc w:val="both"/>
        <w:rPr>
          <w:rFonts w:cs="Times New Roman"/>
          <w:bCs/>
          <w:szCs w:val="28"/>
        </w:rPr>
      </w:pPr>
      <w:r w:rsidRPr="00AF71AF">
        <w:rPr>
          <w:rFonts w:cs="Times New Roman"/>
          <w:bCs/>
          <w:szCs w:val="28"/>
        </w:rPr>
        <w:t>Saskaņā ar Būvniecības likuma 22.pantu, lai veiktu komercdarbību vienā vai vairākās būvniecības jomās, kā arī arhitektūras vai elektroenerģētikas jomā, komersants reģistrējas būvkomersantu reģistrā, iesniedzot informāciju par visiem uz darba līguma pamata nodarbinātajiem būvspeciālistiem.</w:t>
      </w:r>
    </w:p>
    <w:p w:rsidR="00840241" w:rsidRPr="00AF71AF" w:rsidRDefault="0083268D" w:rsidP="00840241">
      <w:pPr>
        <w:autoSpaceDE w:val="0"/>
        <w:autoSpaceDN w:val="0"/>
        <w:adjustRightInd w:val="0"/>
        <w:ind w:firstLine="709"/>
        <w:jc w:val="both"/>
        <w:rPr>
          <w:rFonts w:eastAsia="Times New Roman" w:cs="Times New Roman"/>
          <w:szCs w:val="28"/>
          <w:u w:val="single"/>
          <w:lang w:eastAsia="lv-LV"/>
        </w:rPr>
      </w:pPr>
      <w:r w:rsidRPr="00AF71AF">
        <w:rPr>
          <w:rFonts w:cs="Times New Roman"/>
          <w:bCs/>
          <w:szCs w:val="28"/>
        </w:rPr>
        <w:t>Tādējādi reģistrācija attiecīgajā reģistrā ir priekšnosacījums, lai sniegtu pakalpojumus būvniecības jomā.</w:t>
      </w:r>
      <w:r w:rsidR="007216FB" w:rsidRPr="00AF71AF">
        <w:rPr>
          <w:rFonts w:eastAsia="Times New Roman" w:cs="Times New Roman"/>
          <w:szCs w:val="28"/>
          <w:u w:val="single"/>
          <w:lang w:eastAsia="lv-LV"/>
        </w:rPr>
        <w:t xml:space="preserve"> </w:t>
      </w:r>
    </w:p>
    <w:p w:rsidR="00840241" w:rsidRPr="00AF71AF" w:rsidRDefault="00840241" w:rsidP="00840241">
      <w:pPr>
        <w:autoSpaceDE w:val="0"/>
        <w:autoSpaceDN w:val="0"/>
        <w:adjustRightInd w:val="0"/>
        <w:ind w:firstLine="709"/>
        <w:jc w:val="both"/>
        <w:rPr>
          <w:rFonts w:eastAsia="Times New Roman" w:cs="Times New Roman"/>
          <w:szCs w:val="28"/>
          <w:lang w:eastAsia="lv-LV"/>
        </w:rPr>
      </w:pPr>
      <w:r w:rsidRPr="00AF71AF">
        <w:rPr>
          <w:rFonts w:cs="Times New Roman"/>
          <w:bCs/>
          <w:szCs w:val="28"/>
        </w:rPr>
        <w:lastRenderedPageBreak/>
        <w:t xml:space="preserve">Tas arī atbilst likuma „Par nodokļiem un nodevām” 1.panta otrajā punktā noteiktajam, ka </w:t>
      </w:r>
      <w:r w:rsidRPr="00AF71AF">
        <w:rPr>
          <w:rFonts w:cs="Times New Roman"/>
        </w:rPr>
        <w:t>valsts nodevas mērķis ir personu darbību regulēšana (kontrolēšana, veicināšana, ierobežošana).</w:t>
      </w:r>
      <w:r w:rsidRPr="00AF71AF">
        <w:rPr>
          <w:rFonts w:cs="Times New Roman"/>
          <w:bCs/>
          <w:szCs w:val="28"/>
        </w:rPr>
        <w:t xml:space="preserve"> </w:t>
      </w:r>
      <w:r w:rsidRPr="00AF71AF">
        <w:rPr>
          <w:rFonts w:eastAsia="Times New Roman" w:cs="Times New Roman"/>
          <w:szCs w:val="28"/>
          <w:lang w:eastAsia="lv-LV"/>
        </w:rPr>
        <w:t>Deleģējums nodevai būvniecības jomā ir noteikts minētā likuma 11.panta 23.</w:t>
      </w:r>
      <w:r w:rsidRPr="00AF71AF">
        <w:rPr>
          <w:rFonts w:eastAsia="Times New Roman" w:cs="Times New Roman"/>
          <w:szCs w:val="28"/>
          <w:vertAlign w:val="superscript"/>
          <w:lang w:eastAsia="lv-LV"/>
        </w:rPr>
        <w:t xml:space="preserve">1 </w:t>
      </w:r>
      <w:r w:rsidRPr="00AF71AF">
        <w:rPr>
          <w:rFonts w:eastAsia="Times New Roman" w:cs="Times New Roman"/>
          <w:szCs w:val="28"/>
          <w:lang w:eastAsia="lv-LV"/>
        </w:rPr>
        <w:t xml:space="preserve">punktā – tās ir reģistrācijas </w:t>
      </w:r>
      <w:r w:rsidR="008A60E5">
        <w:rPr>
          <w:rFonts w:eastAsia="Times New Roman" w:cs="Times New Roman"/>
          <w:szCs w:val="28"/>
          <w:lang w:eastAsia="lv-LV"/>
        </w:rPr>
        <w:t xml:space="preserve">darbības būvkomersantu reģistrā. </w:t>
      </w:r>
    </w:p>
    <w:p w:rsidR="007216FB" w:rsidRPr="00AF71AF" w:rsidRDefault="007216FB" w:rsidP="007216FB">
      <w:pPr>
        <w:autoSpaceDE w:val="0"/>
        <w:autoSpaceDN w:val="0"/>
        <w:adjustRightInd w:val="0"/>
        <w:ind w:firstLine="709"/>
        <w:jc w:val="both"/>
        <w:rPr>
          <w:rFonts w:eastAsia="Times New Roman" w:cs="Times New Roman"/>
          <w:szCs w:val="28"/>
          <w:u w:val="single"/>
          <w:lang w:eastAsia="lv-LV"/>
        </w:rPr>
      </w:pPr>
    </w:p>
    <w:p w:rsidR="007216FB" w:rsidRPr="00AF71AF" w:rsidRDefault="007216FB" w:rsidP="007216FB">
      <w:pPr>
        <w:autoSpaceDE w:val="0"/>
        <w:autoSpaceDN w:val="0"/>
        <w:adjustRightInd w:val="0"/>
        <w:ind w:firstLine="709"/>
        <w:jc w:val="both"/>
        <w:rPr>
          <w:rFonts w:eastAsia="Times New Roman" w:cs="Times New Roman"/>
          <w:szCs w:val="28"/>
          <w:lang w:eastAsia="lv-LV"/>
        </w:rPr>
      </w:pPr>
      <w:r w:rsidRPr="00AF71AF">
        <w:rPr>
          <w:rFonts w:eastAsia="Times New Roman" w:cs="Times New Roman"/>
          <w:szCs w:val="28"/>
          <w:lang w:eastAsia="lv-LV"/>
        </w:rPr>
        <w:t>Būvkomersantu reģistrāciju, atkārtotu reģistrāciju, izslēgšanu no reģistra un reģistrā iekļautās informācijas aktualizēšanu veic Ekonomikas ministrija (turpmāk – reģistra iestāde).</w:t>
      </w:r>
    </w:p>
    <w:p w:rsidR="007216FB" w:rsidRPr="00AF71AF" w:rsidRDefault="007216FB" w:rsidP="007216FB">
      <w:pPr>
        <w:autoSpaceDE w:val="0"/>
        <w:autoSpaceDN w:val="0"/>
        <w:adjustRightInd w:val="0"/>
        <w:ind w:firstLine="709"/>
        <w:jc w:val="both"/>
        <w:rPr>
          <w:rFonts w:cs="Times New Roman"/>
          <w:szCs w:val="28"/>
        </w:rPr>
      </w:pPr>
      <w:r w:rsidRPr="00AF71AF">
        <w:rPr>
          <w:rFonts w:cs="Times New Roman"/>
          <w:szCs w:val="28"/>
        </w:rPr>
        <w:t>Reģistra iestāde nodrošina arī reģistra uzturēšanu un vešanu, tā publisku pieejamību. Reģistrs ir iekļauts būvniecības informācijas sistēmā.</w:t>
      </w:r>
    </w:p>
    <w:p w:rsidR="0083268D" w:rsidRPr="00AF71AF" w:rsidRDefault="0083268D" w:rsidP="001B714C">
      <w:pPr>
        <w:autoSpaceDE w:val="0"/>
        <w:autoSpaceDN w:val="0"/>
        <w:adjustRightInd w:val="0"/>
        <w:ind w:firstLine="709"/>
        <w:jc w:val="both"/>
        <w:rPr>
          <w:rFonts w:cs="Times New Roman"/>
          <w:bCs/>
          <w:szCs w:val="28"/>
        </w:rPr>
      </w:pPr>
    </w:p>
    <w:p w:rsidR="007216FB" w:rsidRPr="00AF71AF" w:rsidRDefault="0077440D" w:rsidP="0089472D">
      <w:pPr>
        <w:autoSpaceDE w:val="0"/>
        <w:autoSpaceDN w:val="0"/>
        <w:adjustRightInd w:val="0"/>
        <w:ind w:firstLine="709"/>
        <w:jc w:val="both"/>
        <w:rPr>
          <w:rFonts w:eastAsia="Times New Roman" w:cs="Times New Roman"/>
          <w:szCs w:val="28"/>
          <w:u w:val="single"/>
          <w:lang w:eastAsia="lv-LV"/>
        </w:rPr>
      </w:pPr>
      <w:r w:rsidRPr="00AF71AF">
        <w:rPr>
          <w:rFonts w:eastAsia="Times New Roman" w:cs="Times New Roman"/>
          <w:szCs w:val="28"/>
          <w:lang w:eastAsia="lv-LV"/>
        </w:rPr>
        <w:t>Šobrīd nodeva par reģistrācijas darbībām būvkomersantu reģistrā atbilstoši Ministru kabineta noteikumiem Nr. 116 „Būvkomersantu reģistrācijas noteikumi” noteikta 70 vai 355 eiro apmērā (atkarībā no tā vai tiek veikta pirmreizēja vai atkārtota reģistrācija būvkomersantu reģistrā)</w:t>
      </w:r>
      <w:r w:rsidR="0089472D" w:rsidRPr="00AF71AF">
        <w:rPr>
          <w:rFonts w:eastAsia="Times New Roman" w:cs="Times New Roman"/>
          <w:szCs w:val="28"/>
          <w:lang w:eastAsia="lv-LV"/>
        </w:rPr>
        <w:t xml:space="preserve">. Tā tiek maksāta vienu reizi. </w:t>
      </w:r>
      <w:r w:rsidR="0089472D" w:rsidRPr="00AF71AF">
        <w:rPr>
          <w:rFonts w:eastAsia="Times New Roman" w:cs="Times New Roman"/>
          <w:szCs w:val="28"/>
          <w:u w:val="single"/>
          <w:lang w:eastAsia="lv-LV"/>
        </w:rPr>
        <w:t xml:space="preserve">Taču Ekonomikas ministrijas ieskatā nodeva par reģistrācijas darbībām būtu </w:t>
      </w:r>
      <w:r w:rsidR="0068051A" w:rsidRPr="00AF71AF">
        <w:rPr>
          <w:rFonts w:eastAsia="Times New Roman" w:cs="Times New Roman"/>
          <w:szCs w:val="28"/>
          <w:u w:val="single"/>
          <w:lang w:eastAsia="lv-LV"/>
        </w:rPr>
        <w:t>maksājama kā pirmreizēja t.i. reģistrējoties reģistrā un turpmāk kā ikgadēja</w:t>
      </w:r>
      <w:r w:rsidR="0089472D" w:rsidRPr="00AF71AF">
        <w:rPr>
          <w:rFonts w:eastAsia="Times New Roman" w:cs="Times New Roman"/>
          <w:szCs w:val="28"/>
          <w:u w:val="single"/>
          <w:lang w:eastAsia="lv-LV"/>
        </w:rPr>
        <w:t xml:space="preserve">, tās apmēru nosakot </w:t>
      </w:r>
      <w:r w:rsidR="0068051A" w:rsidRPr="00AF71AF">
        <w:rPr>
          <w:rFonts w:eastAsia="Times New Roman" w:cs="Times New Roman"/>
          <w:szCs w:val="28"/>
          <w:u w:val="single"/>
          <w:lang w:eastAsia="lv-LV"/>
        </w:rPr>
        <w:t xml:space="preserve">atbilstoši būvkomersanta iepriekšējā gada apgrozījumam (aprēķini pie </w:t>
      </w:r>
      <w:r w:rsidR="007216FB" w:rsidRPr="00AF71AF">
        <w:rPr>
          <w:rFonts w:eastAsia="Times New Roman" w:cs="Times New Roman"/>
          <w:szCs w:val="28"/>
          <w:u w:val="single"/>
          <w:lang w:eastAsia="lv-LV"/>
        </w:rPr>
        <w:t>šī ziņojuma 2.nodaļā iekļautas 2.diagrammas</w:t>
      </w:r>
      <w:r w:rsidR="0068051A" w:rsidRPr="00AF71AF">
        <w:rPr>
          <w:rFonts w:eastAsia="Times New Roman" w:cs="Times New Roman"/>
          <w:szCs w:val="28"/>
          <w:u w:val="single"/>
          <w:lang w:eastAsia="lv-LV"/>
        </w:rPr>
        <w:t>)</w:t>
      </w:r>
      <w:r w:rsidR="007216FB" w:rsidRPr="00AF71AF">
        <w:rPr>
          <w:rFonts w:eastAsia="Times New Roman" w:cs="Times New Roman"/>
          <w:szCs w:val="28"/>
          <w:u w:val="single"/>
          <w:lang w:eastAsia="lv-LV"/>
        </w:rPr>
        <w:t xml:space="preserve">. </w:t>
      </w:r>
    </w:p>
    <w:p w:rsidR="007216FB" w:rsidRPr="00AF71AF" w:rsidRDefault="007216FB" w:rsidP="0077440D">
      <w:pPr>
        <w:autoSpaceDE w:val="0"/>
        <w:autoSpaceDN w:val="0"/>
        <w:adjustRightInd w:val="0"/>
        <w:ind w:firstLine="709"/>
        <w:jc w:val="both"/>
        <w:rPr>
          <w:rFonts w:cs="Times New Roman"/>
          <w:szCs w:val="28"/>
        </w:rPr>
      </w:pPr>
    </w:p>
    <w:p w:rsidR="00946A73" w:rsidRPr="00AF71AF" w:rsidRDefault="0083268D" w:rsidP="00946A73">
      <w:pPr>
        <w:autoSpaceDE w:val="0"/>
        <w:autoSpaceDN w:val="0"/>
        <w:adjustRightInd w:val="0"/>
        <w:ind w:firstLine="709"/>
        <w:jc w:val="both"/>
        <w:rPr>
          <w:rFonts w:eastAsia="Times New Roman" w:cs="Times New Roman"/>
          <w:szCs w:val="28"/>
          <w:lang w:eastAsia="lv-LV"/>
        </w:rPr>
      </w:pPr>
      <w:r w:rsidRPr="00AF71AF">
        <w:rPr>
          <w:rFonts w:cs="Times New Roman"/>
          <w:bCs/>
          <w:szCs w:val="28"/>
        </w:rPr>
        <w:t xml:space="preserve">Ekonomikas ministrijas ieskatā, ņemot vērā augstāk minēto, </w:t>
      </w:r>
      <w:r w:rsidR="00946A73">
        <w:rPr>
          <w:rFonts w:cs="Times New Roman"/>
          <w:bCs/>
          <w:szCs w:val="28"/>
        </w:rPr>
        <w:t xml:space="preserve">papildināms ir deleģējums likumā „Par nodokļiem un nodevām”, nosakot, ka </w:t>
      </w:r>
      <w:r w:rsidR="00946A73" w:rsidRPr="00AF71AF">
        <w:rPr>
          <w:rFonts w:eastAsia="Times New Roman" w:cs="Times New Roman"/>
          <w:szCs w:val="28"/>
          <w:lang w:eastAsia="lv-LV"/>
        </w:rPr>
        <w:t>11.panta 23.</w:t>
      </w:r>
      <w:r w:rsidR="00946A73" w:rsidRPr="00AF71AF">
        <w:rPr>
          <w:rFonts w:eastAsia="Times New Roman" w:cs="Times New Roman"/>
          <w:szCs w:val="28"/>
          <w:vertAlign w:val="superscript"/>
          <w:lang w:eastAsia="lv-LV"/>
        </w:rPr>
        <w:t xml:space="preserve">1 </w:t>
      </w:r>
      <w:r w:rsidR="00946A73" w:rsidRPr="00AF71AF">
        <w:rPr>
          <w:rFonts w:eastAsia="Times New Roman" w:cs="Times New Roman"/>
          <w:szCs w:val="28"/>
          <w:lang w:eastAsia="lv-LV"/>
        </w:rPr>
        <w:t xml:space="preserve">punktā </w:t>
      </w:r>
      <w:r w:rsidR="00946A73">
        <w:rPr>
          <w:rFonts w:eastAsia="Times New Roman" w:cs="Times New Roman"/>
          <w:szCs w:val="28"/>
          <w:lang w:eastAsia="lv-LV"/>
        </w:rPr>
        <w:t xml:space="preserve">minētā nodeva – par </w:t>
      </w:r>
      <w:r w:rsidR="00946A73" w:rsidRPr="00AF71AF">
        <w:rPr>
          <w:rFonts w:eastAsia="Times New Roman" w:cs="Times New Roman"/>
          <w:szCs w:val="28"/>
          <w:lang w:eastAsia="lv-LV"/>
        </w:rPr>
        <w:t xml:space="preserve">reģistrācijas </w:t>
      </w:r>
      <w:r w:rsidR="00946A73">
        <w:rPr>
          <w:rFonts w:eastAsia="Times New Roman" w:cs="Times New Roman"/>
          <w:szCs w:val="28"/>
          <w:lang w:eastAsia="lv-LV"/>
        </w:rPr>
        <w:t>darbībām būvkomersantu reģistrā, ir ikgadēja.</w:t>
      </w:r>
    </w:p>
    <w:p w:rsidR="00D82A68" w:rsidRPr="00AF71AF" w:rsidRDefault="00946A73" w:rsidP="0077440D">
      <w:pPr>
        <w:autoSpaceDE w:val="0"/>
        <w:autoSpaceDN w:val="0"/>
        <w:adjustRightInd w:val="0"/>
        <w:ind w:firstLine="709"/>
        <w:jc w:val="both"/>
        <w:rPr>
          <w:szCs w:val="28"/>
        </w:rPr>
      </w:pPr>
      <w:r>
        <w:rPr>
          <w:rFonts w:cs="Times New Roman"/>
          <w:bCs/>
          <w:szCs w:val="28"/>
        </w:rPr>
        <w:t xml:space="preserve">Pēc attiecīga papildinājuma nepieciešams grozīt </w:t>
      </w:r>
      <w:r w:rsidR="009F31F6" w:rsidRPr="00AF71AF">
        <w:rPr>
          <w:szCs w:val="28"/>
        </w:rPr>
        <w:t>Ministru kabineta 2</w:t>
      </w:r>
      <w:r w:rsidR="007216FB" w:rsidRPr="00AF71AF">
        <w:rPr>
          <w:szCs w:val="28"/>
        </w:rPr>
        <w:t>014.gada 25.februāra noteikum</w:t>
      </w:r>
      <w:r>
        <w:rPr>
          <w:szCs w:val="28"/>
        </w:rPr>
        <w:t>us</w:t>
      </w:r>
      <w:r w:rsidR="009F31F6" w:rsidRPr="00AF71AF">
        <w:rPr>
          <w:szCs w:val="28"/>
        </w:rPr>
        <w:t xml:space="preserve"> Nr.116 "Būvkomersantu reģistrācijas noteikumi"</w:t>
      </w:r>
      <w:r w:rsidR="0067366B" w:rsidRPr="00AF71AF">
        <w:rPr>
          <w:szCs w:val="28"/>
        </w:rPr>
        <w:t>,</w:t>
      </w:r>
      <w:r w:rsidR="00707ADC" w:rsidRPr="00AF71AF">
        <w:rPr>
          <w:szCs w:val="28"/>
        </w:rPr>
        <w:t xml:space="preserve"> sasaistot </w:t>
      </w:r>
      <w:r w:rsidR="007216FB" w:rsidRPr="00AF71AF">
        <w:rPr>
          <w:szCs w:val="28"/>
        </w:rPr>
        <w:t xml:space="preserve">ikgadējās </w:t>
      </w:r>
      <w:r w:rsidR="00707ADC" w:rsidRPr="00AF71AF">
        <w:rPr>
          <w:szCs w:val="28"/>
        </w:rPr>
        <w:t>nodevas iekasēšanu ar būvkomersanta pienākumu katru gadu līdz 30.aprīlim iesniegt reģistra iestādē informāciju par būvkomersanta darbību iepriekšējā kalendāra gadā</w:t>
      </w:r>
      <w:r w:rsidR="00CD2BA9" w:rsidRPr="00AF71AF">
        <w:rPr>
          <w:szCs w:val="28"/>
        </w:rPr>
        <w:t>.</w:t>
      </w:r>
      <w:r w:rsidR="00707ADC" w:rsidRPr="00AF71AF">
        <w:rPr>
          <w:szCs w:val="28"/>
        </w:rPr>
        <w:t xml:space="preserve"> </w:t>
      </w:r>
      <w:r w:rsidR="00D2434C" w:rsidRPr="00AF71AF">
        <w:rPr>
          <w:szCs w:val="28"/>
        </w:rPr>
        <w:t xml:space="preserve">Savukārt pirmreizējo nodevu saglabājot tādā apmērā kā to šobrīd jau paredz augšminētie noteikumi. </w:t>
      </w:r>
    </w:p>
    <w:p w:rsidR="00411534" w:rsidRPr="00AF71AF" w:rsidRDefault="00CD2BA9" w:rsidP="0077440D">
      <w:pPr>
        <w:autoSpaceDE w:val="0"/>
        <w:autoSpaceDN w:val="0"/>
        <w:adjustRightInd w:val="0"/>
        <w:ind w:firstLine="709"/>
        <w:jc w:val="both"/>
        <w:rPr>
          <w:szCs w:val="28"/>
        </w:rPr>
      </w:pPr>
      <w:r w:rsidRPr="00AF71AF">
        <w:rPr>
          <w:szCs w:val="28"/>
        </w:rPr>
        <w:t>I</w:t>
      </w:r>
      <w:r w:rsidR="00BD7B98" w:rsidRPr="00AF71AF">
        <w:rPr>
          <w:szCs w:val="28"/>
        </w:rPr>
        <w:t xml:space="preserve">kgadējā informācija </w:t>
      </w:r>
      <w:r w:rsidR="0067366B" w:rsidRPr="00AF71AF">
        <w:rPr>
          <w:szCs w:val="28"/>
        </w:rPr>
        <w:t xml:space="preserve">būvkomersantu reģistrā </w:t>
      </w:r>
      <w:r w:rsidRPr="00AF71AF">
        <w:rPr>
          <w:szCs w:val="28"/>
        </w:rPr>
        <w:t>t</w:t>
      </w:r>
      <w:r w:rsidR="00BD7B98" w:rsidRPr="00AF71AF">
        <w:rPr>
          <w:szCs w:val="28"/>
        </w:rPr>
        <w:t>iek atjaunota, ja būvkomersants nomaksājis noteiktajā apmērā (nodevas apmērs nosakāms pēc pašu sniegtā pakalpojuma apmēra</w:t>
      </w:r>
      <w:r w:rsidR="0044306B" w:rsidRPr="00AF71AF">
        <w:rPr>
          <w:szCs w:val="28"/>
        </w:rPr>
        <w:t xml:space="preserve"> </w:t>
      </w:r>
      <w:r w:rsidR="0067366B" w:rsidRPr="00AF71AF">
        <w:rPr>
          <w:szCs w:val="28"/>
        </w:rPr>
        <w:t>konkrētajā gadā</w:t>
      </w:r>
      <w:r w:rsidR="00BD7B98" w:rsidRPr="00AF71AF">
        <w:rPr>
          <w:szCs w:val="28"/>
        </w:rPr>
        <w:t xml:space="preserve">) valsts nodevu </w:t>
      </w:r>
      <w:r w:rsidR="007216FB" w:rsidRPr="00AF71AF">
        <w:rPr>
          <w:szCs w:val="28"/>
        </w:rPr>
        <w:t>par reģistrācijas darbībām būvkomersantu reģistrā</w:t>
      </w:r>
      <w:r w:rsidR="00BD7B98" w:rsidRPr="00AF71AF">
        <w:rPr>
          <w:szCs w:val="28"/>
        </w:rPr>
        <w:t xml:space="preserve">. Valsts nodeva var tikt apmaksāta ar maksājumu iestādes starpniecību, kurai ir tiesības sniegt maksājumu pakalpojumus Maksājumu pakalpojumu un elektroniskās naudas likuma izpratnē, pirms </w:t>
      </w:r>
      <w:r w:rsidR="0044306B" w:rsidRPr="00AF71AF">
        <w:rPr>
          <w:szCs w:val="28"/>
        </w:rPr>
        <w:t xml:space="preserve">ikgadējās informācijas iesnieguma iesniegšanas </w:t>
      </w:r>
      <w:r w:rsidR="0067366B" w:rsidRPr="00AF71AF">
        <w:rPr>
          <w:szCs w:val="28"/>
        </w:rPr>
        <w:t xml:space="preserve">reģistrā iestādei </w:t>
      </w:r>
      <w:r w:rsidR="00CC460F" w:rsidRPr="00AF71AF">
        <w:rPr>
          <w:szCs w:val="28"/>
        </w:rPr>
        <w:t xml:space="preserve">papīra dokumenta formā </w:t>
      </w:r>
      <w:r w:rsidR="00BD7B98" w:rsidRPr="00AF71AF">
        <w:rPr>
          <w:szCs w:val="28"/>
        </w:rPr>
        <w:t>vai izmantojot Valsts reģionālās attīstības aģentūras pārziņā esošā Valsts informācijas sistēmu savietotāja koplietošanas maksā</w:t>
      </w:r>
      <w:r w:rsidR="0044306B" w:rsidRPr="00AF71AF">
        <w:rPr>
          <w:szCs w:val="28"/>
        </w:rPr>
        <w:t>juma moduli, ja minēto informāciju būvkomersants iesniedz reģistra iestādē elektroniski, aizpildot speciālu tiešsaistes formu būvniecības informācijas sistēmas tīmekļa vietnē www.bis.gov.lv. Valsts nodevas iemaksāšana notiek Valsts kases kontā.</w:t>
      </w:r>
    </w:p>
    <w:p w:rsidR="003738A7" w:rsidRPr="00AF71AF" w:rsidRDefault="00EE711B" w:rsidP="00C424AE">
      <w:pPr>
        <w:ind w:firstLine="720"/>
        <w:jc w:val="both"/>
        <w:rPr>
          <w:szCs w:val="28"/>
        </w:rPr>
      </w:pPr>
      <w:r w:rsidRPr="00AF71AF">
        <w:rPr>
          <w:szCs w:val="28"/>
        </w:rPr>
        <w:lastRenderedPageBreak/>
        <w:t>Šī ziņojuma 1</w:t>
      </w:r>
      <w:r w:rsidR="00D82A68" w:rsidRPr="00AF71AF">
        <w:rPr>
          <w:szCs w:val="28"/>
        </w:rPr>
        <w:t>.nodaļā</w:t>
      </w:r>
      <w:r w:rsidRPr="00AF71AF">
        <w:rPr>
          <w:szCs w:val="28"/>
        </w:rPr>
        <w:t xml:space="preserve"> </w:t>
      </w:r>
      <w:r w:rsidR="00D82A68" w:rsidRPr="00AF71AF">
        <w:rPr>
          <w:szCs w:val="28"/>
        </w:rPr>
        <w:t>noteikto mērķu sasniegšanai</w:t>
      </w:r>
      <w:r w:rsidRPr="00AF71AF">
        <w:rPr>
          <w:szCs w:val="28"/>
        </w:rPr>
        <w:t xml:space="preserve"> t.sk. </w:t>
      </w:r>
      <w:r w:rsidR="00C424AE" w:rsidRPr="00AF71AF">
        <w:rPr>
          <w:szCs w:val="28"/>
        </w:rPr>
        <w:t>būvkomersantu klasifikācijas sistēmas izveidei</w:t>
      </w:r>
      <w:r w:rsidRPr="00AF71AF">
        <w:rPr>
          <w:szCs w:val="28"/>
        </w:rPr>
        <w:t xml:space="preserve"> kā arī n</w:t>
      </w:r>
      <w:r w:rsidR="00A0418A" w:rsidRPr="00AF71AF">
        <w:rPr>
          <w:szCs w:val="28"/>
        </w:rPr>
        <w:t xml:space="preserve">odevas administrēšanai </w:t>
      </w:r>
      <w:r w:rsidR="00D82A68" w:rsidRPr="00AF71AF">
        <w:rPr>
          <w:szCs w:val="28"/>
        </w:rPr>
        <w:t xml:space="preserve">nepieciešams palielināt izdevumus budžeta programmā </w:t>
      </w:r>
      <w:r w:rsidR="003738A7" w:rsidRPr="00AF71AF">
        <w:rPr>
          <w:szCs w:val="28"/>
        </w:rPr>
        <w:t xml:space="preserve">nozaru vadība un politikas plānošana” 2015.gadā 227 336 </w:t>
      </w:r>
      <w:r w:rsidR="003738A7" w:rsidRPr="00AF71AF">
        <w:rPr>
          <w:i/>
          <w:szCs w:val="28"/>
        </w:rPr>
        <w:t>euro</w:t>
      </w:r>
      <w:r w:rsidR="003738A7" w:rsidRPr="00AF71AF">
        <w:rPr>
          <w:szCs w:val="28"/>
        </w:rPr>
        <w:t xml:space="preserve"> apmērā, tajā skaitā atlīdzībai 58 066 </w:t>
      </w:r>
      <w:r w:rsidR="003738A7" w:rsidRPr="00AF71AF">
        <w:rPr>
          <w:i/>
          <w:szCs w:val="28"/>
        </w:rPr>
        <w:t>euro</w:t>
      </w:r>
      <w:r w:rsidR="003738A7" w:rsidRPr="00AF71AF">
        <w:rPr>
          <w:szCs w:val="28"/>
        </w:rPr>
        <w:t xml:space="preserve"> (atalgojumam 46 638 </w:t>
      </w:r>
      <w:r w:rsidR="003738A7" w:rsidRPr="00AF71AF">
        <w:rPr>
          <w:i/>
          <w:szCs w:val="28"/>
        </w:rPr>
        <w:t>euro</w:t>
      </w:r>
      <w:r w:rsidR="003738A7" w:rsidRPr="00AF71AF">
        <w:rPr>
          <w:szCs w:val="28"/>
        </w:rPr>
        <w:t xml:space="preserve">), precēm un pakalpojumiem 166 430 </w:t>
      </w:r>
      <w:r w:rsidR="003738A7" w:rsidRPr="00AF71AF">
        <w:rPr>
          <w:i/>
          <w:szCs w:val="28"/>
        </w:rPr>
        <w:t>euro</w:t>
      </w:r>
      <w:r w:rsidR="003738A7" w:rsidRPr="00AF71AF">
        <w:rPr>
          <w:szCs w:val="28"/>
        </w:rPr>
        <w:t xml:space="preserve"> un kapitālajiem izdevumiem 2 840 </w:t>
      </w:r>
      <w:r w:rsidR="003738A7" w:rsidRPr="00AF71AF">
        <w:rPr>
          <w:i/>
          <w:szCs w:val="28"/>
        </w:rPr>
        <w:t>euro</w:t>
      </w:r>
      <w:r w:rsidR="003738A7" w:rsidRPr="00AF71AF">
        <w:rPr>
          <w:szCs w:val="28"/>
        </w:rPr>
        <w:t xml:space="preserve">, 2016.gadā un turpmāk 180 946 </w:t>
      </w:r>
      <w:r w:rsidR="003738A7" w:rsidRPr="00AF71AF">
        <w:rPr>
          <w:i/>
          <w:szCs w:val="28"/>
        </w:rPr>
        <w:t>euro</w:t>
      </w:r>
      <w:r w:rsidR="003738A7" w:rsidRPr="00AF71AF">
        <w:rPr>
          <w:szCs w:val="28"/>
        </w:rPr>
        <w:t xml:space="preserve"> gadā, tajā skaitā atlīdzībai 58 066 (atalgojumam 46 638 </w:t>
      </w:r>
      <w:r w:rsidR="003738A7" w:rsidRPr="00AF71AF">
        <w:rPr>
          <w:i/>
          <w:szCs w:val="28"/>
        </w:rPr>
        <w:t>euro</w:t>
      </w:r>
      <w:r w:rsidR="003738A7" w:rsidRPr="00AF71AF">
        <w:rPr>
          <w:szCs w:val="28"/>
        </w:rPr>
        <w:t xml:space="preserve">), precēm un pakalpojumiem 122 880 </w:t>
      </w:r>
      <w:r w:rsidR="003738A7" w:rsidRPr="00AF71AF">
        <w:rPr>
          <w:i/>
          <w:szCs w:val="28"/>
        </w:rPr>
        <w:t>euro</w:t>
      </w:r>
      <w:r w:rsidR="003738A7" w:rsidRPr="00AF71AF">
        <w:rPr>
          <w:szCs w:val="28"/>
        </w:rPr>
        <w:t xml:space="preserve"> 2 jaunu amata vietu izveidošanai un darbības nodrošināšanai.</w:t>
      </w:r>
      <w:r w:rsidR="003738A7" w:rsidRPr="00AF71AF">
        <w:rPr>
          <w:rFonts w:cs="Times New Roman"/>
          <w:szCs w:val="28"/>
        </w:rPr>
        <w:t xml:space="preserve"> Tas ietver darbu pie </w:t>
      </w:r>
      <w:r w:rsidR="003738A7" w:rsidRPr="00AF71AF">
        <w:rPr>
          <w:szCs w:val="28"/>
        </w:rPr>
        <w:t>visu ar b</w:t>
      </w:r>
      <w:r w:rsidR="003738A7" w:rsidRPr="00AF71AF">
        <w:rPr>
          <w:rFonts w:cs="Times New Roman"/>
          <w:szCs w:val="28"/>
        </w:rPr>
        <w:t xml:space="preserve">ūvniecības nozares saistīto standartu izstrādes administrēšanas, t.sk. saturisku gan tehnisku pieteikumu apstrādi, nepieciešamo specifikāciju izstrādi, informācijas atlasi, maksājumu dokumentu pārbaudi, atsevišķu produktu testēšanu BIS sistēmā, darba grupu sanāksmju organizēšanu, protokolēšanu un darbu ar dokumentu apriti, iepirkumu organizēšanu un izstrādāto dokumentu vērtēšanu, kā arī Būvkomersantu klasifikācijas sistēmas izveidi. </w:t>
      </w:r>
    </w:p>
    <w:p w:rsidR="00AA049D" w:rsidRPr="00AF71AF" w:rsidRDefault="003738A7" w:rsidP="003738A7">
      <w:pPr>
        <w:ind w:firstLine="720"/>
        <w:jc w:val="both"/>
        <w:rPr>
          <w:szCs w:val="28"/>
        </w:rPr>
      </w:pPr>
      <w:r w:rsidRPr="00AF71AF">
        <w:rPr>
          <w:szCs w:val="28"/>
        </w:rPr>
        <w:t xml:space="preserve">Tāpat valsts būvniecības kontroles un uzraudzības sistēmas izveidei </w:t>
      </w:r>
      <w:r w:rsidR="00B815B0" w:rsidRPr="00AF71AF">
        <w:rPr>
          <w:szCs w:val="28"/>
        </w:rPr>
        <w:t xml:space="preserve">un nodrošināšanai </w:t>
      </w:r>
      <w:r w:rsidRPr="00AF71AF">
        <w:rPr>
          <w:szCs w:val="28"/>
        </w:rPr>
        <w:t xml:space="preserve">nepieciešams paredzēt līdzekļus budžeta programmā </w:t>
      </w:r>
      <w:r w:rsidR="00D82A68" w:rsidRPr="00AF71AF">
        <w:rPr>
          <w:szCs w:val="28"/>
        </w:rPr>
        <w:t>20.00.00 “Būvniecība” 2015.gadā 1629 684 euro apmērā, tajā skaitā atlīdzībai 1 302 869 euro (atalgojumam 1 006 447 euro), precēm un pakalpojumiem 286 894 euro un kapitālajiem izdevumiem 39 921 euro, 2016.gadā un turpmāk 1 902 123 euro gadā, tajā skaitā atlīdzībai 1 575 308 euro (atalgojumam 1 220 872 euro), precēm un pakalpojumiem 286 894 euro un kapitālajiem izdevumiem 39 921 euro.</w:t>
      </w:r>
      <w:r w:rsidR="0055744C" w:rsidRPr="00AF71AF">
        <w:rPr>
          <w:rFonts w:cs="Times New Roman"/>
          <w:szCs w:val="28"/>
        </w:rPr>
        <w:t xml:space="preserve"> </w:t>
      </w:r>
    </w:p>
    <w:p w:rsidR="00601B3D" w:rsidRPr="00AF71AF" w:rsidRDefault="00601B3D" w:rsidP="005242AA">
      <w:pPr>
        <w:jc w:val="center"/>
        <w:rPr>
          <w:rFonts w:cs="Times New Roman"/>
          <w:b/>
          <w:szCs w:val="28"/>
        </w:rPr>
      </w:pPr>
    </w:p>
    <w:p w:rsidR="005242AA" w:rsidRPr="00AF71AF" w:rsidRDefault="00601B3D" w:rsidP="005242AA">
      <w:pPr>
        <w:jc w:val="center"/>
        <w:rPr>
          <w:rFonts w:cs="Times New Roman"/>
          <w:b/>
          <w:szCs w:val="28"/>
        </w:rPr>
      </w:pPr>
      <w:r w:rsidRPr="00AF71AF">
        <w:rPr>
          <w:rFonts w:cs="Times New Roman"/>
          <w:b/>
          <w:szCs w:val="28"/>
        </w:rPr>
        <w:t>4</w:t>
      </w:r>
      <w:r w:rsidR="005242AA" w:rsidRPr="00AF71AF">
        <w:rPr>
          <w:rFonts w:cs="Times New Roman"/>
          <w:b/>
          <w:szCs w:val="28"/>
        </w:rPr>
        <w:t>.Būvniecības nevalstisko organizāciju</w:t>
      </w:r>
      <w:r w:rsidR="00805666" w:rsidRPr="00AF71AF">
        <w:rPr>
          <w:rFonts w:cs="Times New Roman"/>
          <w:b/>
          <w:szCs w:val="28"/>
        </w:rPr>
        <w:t xml:space="preserve"> viedoklis par nodevas ieviešanu būvniecības pakalpojumiem </w:t>
      </w:r>
    </w:p>
    <w:p w:rsidR="005242AA" w:rsidRPr="00AF71AF" w:rsidRDefault="005242AA" w:rsidP="005242AA">
      <w:pPr>
        <w:jc w:val="both"/>
        <w:rPr>
          <w:rFonts w:cs="Times New Roman"/>
          <w:b/>
          <w:szCs w:val="28"/>
        </w:rPr>
      </w:pPr>
    </w:p>
    <w:p w:rsidR="005242AA" w:rsidRPr="00AF71AF" w:rsidRDefault="005242AA" w:rsidP="007A0D68">
      <w:pPr>
        <w:ind w:firstLine="720"/>
        <w:jc w:val="both"/>
        <w:rPr>
          <w:rFonts w:cs="Times New Roman"/>
          <w:szCs w:val="28"/>
        </w:rPr>
      </w:pPr>
      <w:r w:rsidRPr="00AF71AF">
        <w:rPr>
          <w:rFonts w:cs="Times New Roman"/>
          <w:szCs w:val="28"/>
        </w:rPr>
        <w:t xml:space="preserve">Izskatot jautājumu par </w:t>
      </w:r>
      <w:r w:rsidR="007216FB" w:rsidRPr="00AF71AF">
        <w:rPr>
          <w:rFonts w:cs="Times New Roman"/>
          <w:szCs w:val="28"/>
        </w:rPr>
        <w:t>ikgadējās</w:t>
      </w:r>
      <w:r w:rsidRPr="00AF71AF">
        <w:rPr>
          <w:rFonts w:cs="Times New Roman"/>
          <w:szCs w:val="28"/>
        </w:rPr>
        <w:t xml:space="preserve"> nodevas ieviešanu BKC dalībnieku 2014.gada 24.septembra </w:t>
      </w:r>
      <w:r w:rsidR="008320DA" w:rsidRPr="00AF71AF">
        <w:rPr>
          <w:rFonts w:cs="Times New Roman"/>
          <w:szCs w:val="28"/>
        </w:rPr>
        <w:t>pilnsapulcē</w:t>
      </w:r>
      <w:r w:rsidRPr="00AF71AF">
        <w:rPr>
          <w:rFonts w:cs="Times New Roman"/>
          <w:szCs w:val="28"/>
        </w:rPr>
        <w:t>, tika atbalstīt</w:t>
      </w:r>
      <w:r w:rsidR="008320DA" w:rsidRPr="00AF71AF">
        <w:rPr>
          <w:rFonts w:cs="Times New Roman"/>
          <w:szCs w:val="28"/>
        </w:rPr>
        <w:t>a</w:t>
      </w:r>
      <w:r w:rsidRPr="00AF71AF">
        <w:rPr>
          <w:rFonts w:cs="Times New Roman"/>
          <w:szCs w:val="28"/>
        </w:rPr>
        <w:t xml:space="preserve"> šādas nodevas ieviešanas nepieciešamība. </w:t>
      </w:r>
    </w:p>
    <w:p w:rsidR="005242AA" w:rsidRPr="00AF71AF" w:rsidRDefault="005242AA" w:rsidP="007A0D68">
      <w:pPr>
        <w:ind w:firstLine="720"/>
        <w:jc w:val="both"/>
        <w:rPr>
          <w:rFonts w:cs="Times New Roman"/>
          <w:szCs w:val="28"/>
        </w:rPr>
      </w:pPr>
      <w:r w:rsidRPr="00AF71AF">
        <w:rPr>
          <w:rFonts w:cs="Times New Roman"/>
          <w:szCs w:val="28"/>
        </w:rPr>
        <w:t>Diskutējot par nodevas piemērošanas apjomu un izlietošanas mērķiem tika nolemts, ka ir atbalstāma speciāla fonda izveide</w:t>
      </w:r>
      <w:r w:rsidR="007C4E25">
        <w:rPr>
          <w:rFonts w:cs="Times New Roman"/>
          <w:szCs w:val="28"/>
        </w:rPr>
        <w:t>,</w:t>
      </w:r>
      <w:r w:rsidRPr="00AF71AF">
        <w:rPr>
          <w:rFonts w:cs="Times New Roman"/>
          <w:szCs w:val="28"/>
        </w:rPr>
        <w:t xml:space="preserve"> kura finansējums tie izlietots:</w:t>
      </w:r>
    </w:p>
    <w:p w:rsidR="005242AA" w:rsidRPr="00AF71AF" w:rsidRDefault="005242AA" w:rsidP="007A0D68">
      <w:pPr>
        <w:numPr>
          <w:ilvl w:val="0"/>
          <w:numId w:val="1"/>
        </w:numPr>
        <w:jc w:val="both"/>
      </w:pPr>
      <w:r w:rsidRPr="00AF71AF">
        <w:t>būvniecības nozarei nepieciešamo tehnisko normatīvu izstrādei;</w:t>
      </w:r>
    </w:p>
    <w:p w:rsidR="005242AA" w:rsidRPr="00AF71AF" w:rsidRDefault="005242AA" w:rsidP="007A0D68">
      <w:pPr>
        <w:numPr>
          <w:ilvl w:val="0"/>
          <w:numId w:val="1"/>
        </w:numPr>
        <w:jc w:val="both"/>
      </w:pPr>
      <w:r w:rsidRPr="00AF71AF">
        <w:t>būvuzņēmumu klasifikācijas ieviešanai;</w:t>
      </w:r>
    </w:p>
    <w:p w:rsidR="005242AA" w:rsidRPr="00AF71AF" w:rsidRDefault="005242AA" w:rsidP="007A0D68">
      <w:pPr>
        <w:numPr>
          <w:ilvl w:val="0"/>
          <w:numId w:val="1"/>
        </w:numPr>
        <w:jc w:val="both"/>
      </w:pPr>
      <w:r w:rsidRPr="00AF71AF">
        <w:t>Būvniecības padomes darba administrēšanai (padomes locekļiem atalgojumu neparedzot) un ekspertu atalgojumam pēc Būvniecības padomes pieprasījuma;</w:t>
      </w:r>
    </w:p>
    <w:p w:rsidR="005242AA" w:rsidRPr="00AF71AF" w:rsidRDefault="005242AA" w:rsidP="007A0D68">
      <w:pPr>
        <w:numPr>
          <w:ilvl w:val="0"/>
          <w:numId w:val="1"/>
        </w:numPr>
        <w:jc w:val="both"/>
      </w:pPr>
      <w:r w:rsidRPr="00AF71AF">
        <w:t>BIS pilnveidošanai.</w:t>
      </w:r>
    </w:p>
    <w:p w:rsidR="005242AA" w:rsidRPr="00AF71AF" w:rsidRDefault="005242AA" w:rsidP="007A0D68">
      <w:pPr>
        <w:ind w:firstLine="568"/>
        <w:jc w:val="both"/>
      </w:pPr>
      <w:r w:rsidRPr="00AF71AF">
        <w:t>Savukārt nodeva tiek piemērojama, kā ikgadēju reģistrācijas maksa Būvkomersantu reģistrā, kas sastāda 100 eiro apmērā.</w:t>
      </w:r>
    </w:p>
    <w:p w:rsidR="005242AA" w:rsidRPr="00AF71AF" w:rsidRDefault="005242AA" w:rsidP="005242AA">
      <w:pPr>
        <w:ind w:firstLine="568"/>
        <w:jc w:val="both"/>
      </w:pPr>
    </w:p>
    <w:p w:rsidR="005242AA" w:rsidRPr="00AF71AF" w:rsidRDefault="005242AA" w:rsidP="005242AA">
      <w:pPr>
        <w:ind w:firstLine="568"/>
        <w:jc w:val="both"/>
      </w:pPr>
      <w:r w:rsidRPr="00AF71AF">
        <w:lastRenderedPageBreak/>
        <w:t>Vienlaikus BKC pilnsapulce kategoriski iebilda attiecībā par iegūtā finansējuma novirzīšanu Valsts būvniecības kontroles biroja funkciju finansēšanai.</w:t>
      </w:r>
    </w:p>
    <w:p w:rsidR="00E22BEE" w:rsidRPr="00AF71AF" w:rsidRDefault="00E22BEE" w:rsidP="0002390B">
      <w:pPr>
        <w:jc w:val="center"/>
        <w:rPr>
          <w:b/>
        </w:rPr>
      </w:pPr>
    </w:p>
    <w:p w:rsidR="00F400F9" w:rsidRPr="00AF71AF" w:rsidRDefault="0002390B" w:rsidP="0002390B">
      <w:pPr>
        <w:jc w:val="center"/>
        <w:rPr>
          <w:b/>
        </w:rPr>
      </w:pPr>
      <w:r w:rsidRPr="00AF71AF">
        <w:rPr>
          <w:b/>
        </w:rPr>
        <w:t>Secinājumi</w:t>
      </w:r>
    </w:p>
    <w:p w:rsidR="0002390B" w:rsidRPr="00AF71AF" w:rsidRDefault="0002390B" w:rsidP="0002390B">
      <w:pPr>
        <w:jc w:val="center"/>
      </w:pPr>
    </w:p>
    <w:p w:rsidR="005C6C29" w:rsidRPr="00AF71AF" w:rsidRDefault="0002390B" w:rsidP="00E22BEE">
      <w:pPr>
        <w:ind w:firstLine="567"/>
        <w:jc w:val="both"/>
      </w:pPr>
      <w:r w:rsidRPr="00AF71AF">
        <w:t xml:space="preserve">Ekonomikas ministrija ir veikusi aprēķinus par iespējām finansēt būvniecības nozares </w:t>
      </w:r>
      <w:r w:rsidR="007C4E25">
        <w:t xml:space="preserve">kvalitatīvai attīstībai </w:t>
      </w:r>
      <w:r w:rsidRPr="00AF71AF">
        <w:t xml:space="preserve">nepieciešamos pasākumus, </w:t>
      </w:r>
      <w:r w:rsidR="00B815B0" w:rsidRPr="00AF71AF">
        <w:t xml:space="preserve">mainot </w:t>
      </w:r>
      <w:r w:rsidR="007216FB" w:rsidRPr="00AF71AF">
        <w:t>nodevas par reģistrācijas darbībām būvkomersantu reģistrā</w:t>
      </w:r>
      <w:r w:rsidR="00B815B0" w:rsidRPr="00AF71AF">
        <w:t xml:space="preserve"> apmēru un maksāšanas kārtību</w:t>
      </w:r>
      <w:r w:rsidRPr="00AF71AF">
        <w:t xml:space="preserve">. Šīs nodevas iekasēšanai par pamatu izmantojams aprēķins, kas atspoguļots 2.diagrammā t.i. būvniecības nodevu būtu nepieciešams rēķināt no būvdarbu apjoma, ko būvkomersants veicis saviem spēkiem, lai novērstu situāciju, ka nodeva tiek iekasēta gan no ģenerāluzņēmēja gan apakšuzņēmējiem par vienu un to pašu būvdarbu apjomu. </w:t>
      </w:r>
    </w:p>
    <w:p w:rsidR="005C6C29" w:rsidRPr="00AF71AF" w:rsidRDefault="0002390B" w:rsidP="00E22BEE">
      <w:pPr>
        <w:ind w:firstLine="567"/>
        <w:jc w:val="both"/>
      </w:pPr>
      <w:r w:rsidRPr="00AF71AF">
        <w:t xml:space="preserve">Informācija par būvkomnersanta paša spēkiem veiktajiem būvdarbiem tiek ik gadu iesniegta būvkomersantu reģistrā, tādējādi tā ir aktuāla un pieejama </w:t>
      </w:r>
      <w:r w:rsidR="005C6C29" w:rsidRPr="00AF71AF">
        <w:t>aprēķinu veikšanai</w:t>
      </w:r>
      <w:r w:rsidRPr="00AF71AF">
        <w:t xml:space="preserve">. </w:t>
      </w:r>
      <w:r w:rsidR="005C6C29" w:rsidRPr="00AF71AF">
        <w:t>Par šāds nodevas apmēru komersantam var nosūtīt paziņojumu Būvniecības informācijas sistēmas ietvaros</w:t>
      </w:r>
      <w:r w:rsidR="006C6D4E" w:rsidRPr="00AF71AF">
        <w:rPr>
          <w:rStyle w:val="FootnoteReference"/>
        </w:rPr>
        <w:footnoteReference w:id="4"/>
      </w:r>
      <w:r w:rsidR="005C6C29" w:rsidRPr="00AF71AF">
        <w:t>.</w:t>
      </w:r>
    </w:p>
    <w:p w:rsidR="0002390B" w:rsidRPr="00AF71AF" w:rsidRDefault="0002390B" w:rsidP="00E22BEE">
      <w:pPr>
        <w:ind w:firstLine="567"/>
        <w:jc w:val="both"/>
      </w:pPr>
      <w:r w:rsidRPr="00AF71AF">
        <w:t xml:space="preserve">Nodevas ir diferencētas atkarībā no </w:t>
      </w:r>
      <w:r w:rsidR="00985C98" w:rsidRPr="00AF71AF">
        <w:t>būvkomersanta veikto darbu apjoma konkrētajā gadā, tādējādi nodrošinot taisnīgāku pieeju nozares finansēšanas jautājumā t.i. komersantam ar lielāku apgrozījumu nosakot lielāku maksājamo nodevu, savukārt komersantam ar mazāku apgrozījumu – attiecīgi mazāku maksājamo nodevu.</w:t>
      </w:r>
    </w:p>
    <w:p w:rsidR="0002390B" w:rsidRPr="00AF71AF" w:rsidRDefault="0002390B" w:rsidP="00E22BEE">
      <w:pPr>
        <w:ind w:firstLine="567"/>
        <w:jc w:val="both"/>
      </w:pPr>
      <w:r w:rsidRPr="00AF71AF">
        <w:t xml:space="preserve">Piedāvātais nodevu apmērs ļauj </w:t>
      </w:r>
      <w:r w:rsidR="00B815B0" w:rsidRPr="00AF71AF">
        <w:t xml:space="preserve">finansēt </w:t>
      </w:r>
      <w:r w:rsidR="002422EE" w:rsidRPr="00AF71AF">
        <w:t>nepieciešamo</w:t>
      </w:r>
      <w:r w:rsidR="007C4E25">
        <w:t>s</w:t>
      </w:r>
      <w:r w:rsidR="002422EE" w:rsidRPr="00AF71AF">
        <w:t xml:space="preserve"> pasākumu</w:t>
      </w:r>
      <w:r w:rsidR="00B815B0" w:rsidRPr="00AF71AF">
        <w:t>s</w:t>
      </w:r>
      <w:r w:rsidR="002422EE" w:rsidRPr="00AF71AF">
        <w:t xml:space="preserve"> </w:t>
      </w:r>
      <w:r w:rsidR="00B815B0" w:rsidRPr="00AF71AF">
        <w:t>šī ziņojuma 1.nodaļā izvirzīto mērķu sasniegšanai</w:t>
      </w:r>
      <w:r w:rsidR="002422EE" w:rsidRPr="00AF71AF">
        <w:t>.</w:t>
      </w:r>
    </w:p>
    <w:p w:rsidR="0002390B" w:rsidRPr="00AF71AF" w:rsidRDefault="00035437" w:rsidP="00E22BEE">
      <w:pPr>
        <w:ind w:firstLine="567"/>
        <w:jc w:val="both"/>
      </w:pPr>
      <w:r w:rsidRPr="00AF71AF">
        <w:t>N</w:t>
      </w:r>
      <w:r w:rsidR="0002390B" w:rsidRPr="00AF71AF">
        <w:t>ozares nevalstisk</w:t>
      </w:r>
      <w:r w:rsidRPr="00AF71AF">
        <w:t>as</w:t>
      </w:r>
      <w:r w:rsidR="0002390B" w:rsidRPr="00AF71AF">
        <w:t xml:space="preserve"> organi</w:t>
      </w:r>
      <w:r w:rsidR="002422EE" w:rsidRPr="00AF71AF">
        <w:t xml:space="preserve">zācijas </w:t>
      </w:r>
      <w:r w:rsidRPr="00AF71AF">
        <w:t>sniegušas</w:t>
      </w:r>
      <w:r w:rsidR="002422EE" w:rsidRPr="00AF71AF">
        <w:t xml:space="preserve"> priekšlikumu par nodevas noteikšanu vienādā apmērā – 100 EUR visiem būvkomersantiem.</w:t>
      </w:r>
    </w:p>
    <w:p w:rsidR="00E22BEE" w:rsidRPr="00AF71AF" w:rsidRDefault="00E22BEE" w:rsidP="00E22BEE">
      <w:pPr>
        <w:ind w:firstLine="567"/>
        <w:jc w:val="both"/>
      </w:pPr>
    </w:p>
    <w:p w:rsidR="00941F16" w:rsidRPr="00AF71AF" w:rsidRDefault="00941F16" w:rsidP="00E22BEE">
      <w:pPr>
        <w:ind w:firstLine="567"/>
        <w:jc w:val="both"/>
      </w:pPr>
    </w:p>
    <w:p w:rsidR="00E22BEE" w:rsidRPr="00AF71AF" w:rsidRDefault="0040009C" w:rsidP="00E22BEE">
      <w:pPr>
        <w:tabs>
          <w:tab w:val="right" w:pos="9072"/>
        </w:tabs>
        <w:rPr>
          <w:bCs/>
          <w:szCs w:val="28"/>
        </w:rPr>
      </w:pPr>
      <w:r w:rsidRPr="00AF71AF">
        <w:rPr>
          <w:bCs/>
          <w:szCs w:val="28"/>
        </w:rPr>
        <w:t>Ekonomikas ministre</w:t>
      </w:r>
      <w:r w:rsidR="00E22BEE" w:rsidRPr="00AF71AF">
        <w:rPr>
          <w:bCs/>
          <w:szCs w:val="28"/>
        </w:rPr>
        <w:tab/>
      </w:r>
      <w:r w:rsidRPr="00AF71AF">
        <w:rPr>
          <w:bCs/>
          <w:szCs w:val="28"/>
        </w:rPr>
        <w:t>D.Reizniece - Ozola</w:t>
      </w:r>
    </w:p>
    <w:p w:rsidR="00E22BEE" w:rsidRDefault="00E22BEE" w:rsidP="00E22BEE">
      <w:pPr>
        <w:tabs>
          <w:tab w:val="right" w:pos="9072"/>
          <w:tab w:val="left" w:pos="10992"/>
          <w:tab w:val="left" w:pos="11908"/>
          <w:tab w:val="left" w:pos="12824"/>
          <w:tab w:val="left" w:pos="13740"/>
          <w:tab w:val="left" w:pos="14656"/>
        </w:tabs>
        <w:rPr>
          <w:bCs/>
          <w:szCs w:val="28"/>
        </w:rPr>
      </w:pPr>
    </w:p>
    <w:p w:rsidR="00946A73" w:rsidRPr="00AF71AF" w:rsidRDefault="00946A73" w:rsidP="00E22BEE">
      <w:pPr>
        <w:tabs>
          <w:tab w:val="right" w:pos="9072"/>
          <w:tab w:val="left" w:pos="10992"/>
          <w:tab w:val="left" w:pos="11908"/>
          <w:tab w:val="left" w:pos="12824"/>
          <w:tab w:val="left" w:pos="13740"/>
          <w:tab w:val="left" w:pos="14656"/>
        </w:tabs>
        <w:rPr>
          <w:bCs/>
          <w:szCs w:val="28"/>
        </w:rPr>
      </w:pPr>
    </w:p>
    <w:p w:rsidR="000D4F77" w:rsidRDefault="000D4F77" w:rsidP="00E22BEE">
      <w:pPr>
        <w:tabs>
          <w:tab w:val="right" w:pos="9072"/>
          <w:tab w:val="left" w:pos="10992"/>
          <w:tab w:val="left" w:pos="11908"/>
          <w:tab w:val="left" w:pos="12824"/>
          <w:tab w:val="left" w:pos="13740"/>
          <w:tab w:val="left" w:pos="14656"/>
        </w:tabs>
        <w:rPr>
          <w:bCs/>
          <w:szCs w:val="28"/>
        </w:rPr>
      </w:pPr>
      <w:r>
        <w:rPr>
          <w:bCs/>
          <w:szCs w:val="28"/>
        </w:rPr>
        <w:t>Vīza: Valsts sekretāra vietā</w:t>
      </w:r>
    </w:p>
    <w:p w:rsidR="000D4F77" w:rsidRDefault="000D4F77" w:rsidP="00E22BEE">
      <w:pPr>
        <w:tabs>
          <w:tab w:val="right" w:pos="9072"/>
          <w:tab w:val="left" w:pos="10992"/>
          <w:tab w:val="left" w:pos="11908"/>
          <w:tab w:val="left" w:pos="12824"/>
          <w:tab w:val="left" w:pos="13740"/>
          <w:tab w:val="left" w:pos="14656"/>
        </w:tabs>
        <w:rPr>
          <w:bCs/>
          <w:szCs w:val="28"/>
        </w:rPr>
      </w:pPr>
      <w:r>
        <w:rPr>
          <w:bCs/>
          <w:szCs w:val="28"/>
        </w:rPr>
        <w:t xml:space="preserve">Stratēģiskās plānošanas </w:t>
      </w:r>
    </w:p>
    <w:p w:rsidR="00E22BEE" w:rsidRPr="00AF71AF" w:rsidRDefault="000D4F77" w:rsidP="00E22BEE">
      <w:pPr>
        <w:tabs>
          <w:tab w:val="right" w:pos="9072"/>
          <w:tab w:val="left" w:pos="10992"/>
          <w:tab w:val="left" w:pos="11908"/>
          <w:tab w:val="left" w:pos="12824"/>
          <w:tab w:val="left" w:pos="13740"/>
          <w:tab w:val="left" w:pos="14656"/>
        </w:tabs>
        <w:rPr>
          <w:bCs/>
          <w:szCs w:val="28"/>
        </w:rPr>
      </w:pPr>
      <w:r>
        <w:rPr>
          <w:bCs/>
          <w:szCs w:val="28"/>
        </w:rPr>
        <w:t>un resursu vadības departamenta direktore</w:t>
      </w:r>
      <w:r w:rsidR="00E22BEE" w:rsidRPr="00AF71AF">
        <w:rPr>
          <w:bCs/>
          <w:szCs w:val="28"/>
        </w:rPr>
        <w:tab/>
      </w:r>
      <w:r>
        <w:rPr>
          <w:bCs/>
          <w:szCs w:val="28"/>
        </w:rPr>
        <w:t>V.Feodorova</w:t>
      </w:r>
    </w:p>
    <w:p w:rsidR="00643F13" w:rsidRPr="00AF71AF" w:rsidRDefault="00643F13" w:rsidP="00E22BEE">
      <w:pPr>
        <w:tabs>
          <w:tab w:val="right" w:pos="9072"/>
          <w:tab w:val="left" w:pos="10992"/>
          <w:tab w:val="left" w:pos="11908"/>
          <w:tab w:val="left" w:pos="12824"/>
          <w:tab w:val="left" w:pos="13740"/>
          <w:tab w:val="left" w:pos="14656"/>
        </w:tabs>
        <w:rPr>
          <w:sz w:val="20"/>
          <w:szCs w:val="20"/>
        </w:rPr>
      </w:pPr>
      <w:bookmarkStart w:id="0" w:name="_GoBack"/>
      <w:bookmarkEnd w:id="0"/>
    </w:p>
    <w:p w:rsidR="00E22BEE" w:rsidRPr="00AF71AF" w:rsidRDefault="00212557" w:rsidP="00E22BEE">
      <w:pPr>
        <w:tabs>
          <w:tab w:val="right" w:pos="9072"/>
          <w:tab w:val="left" w:pos="10992"/>
          <w:tab w:val="left" w:pos="11908"/>
          <w:tab w:val="left" w:pos="12824"/>
          <w:tab w:val="left" w:pos="13740"/>
          <w:tab w:val="left" w:pos="14656"/>
        </w:tabs>
        <w:rPr>
          <w:bCs/>
          <w:szCs w:val="28"/>
        </w:rPr>
      </w:pPr>
      <w:r>
        <w:rPr>
          <w:sz w:val="20"/>
          <w:szCs w:val="20"/>
        </w:rPr>
        <w:t>14</w:t>
      </w:r>
      <w:r w:rsidR="00E22BEE" w:rsidRPr="00AF71AF">
        <w:rPr>
          <w:sz w:val="20"/>
          <w:szCs w:val="20"/>
        </w:rPr>
        <w:t>.</w:t>
      </w:r>
      <w:r w:rsidR="0040009C" w:rsidRPr="00AF71AF">
        <w:rPr>
          <w:sz w:val="20"/>
          <w:szCs w:val="20"/>
        </w:rPr>
        <w:t>11</w:t>
      </w:r>
      <w:r w:rsidR="00E22BEE" w:rsidRPr="00AF71AF">
        <w:rPr>
          <w:sz w:val="20"/>
          <w:szCs w:val="20"/>
        </w:rPr>
        <w:t xml:space="preserve">.2014. </w:t>
      </w:r>
    </w:p>
    <w:p w:rsidR="00E22BEE" w:rsidRPr="00AF71AF" w:rsidRDefault="00941F16" w:rsidP="00E22BEE">
      <w:pPr>
        <w:rPr>
          <w:sz w:val="20"/>
          <w:szCs w:val="20"/>
        </w:rPr>
      </w:pPr>
      <w:r w:rsidRPr="00AF71AF">
        <w:rPr>
          <w:sz w:val="20"/>
          <w:szCs w:val="20"/>
        </w:rPr>
        <w:t xml:space="preserve">1 </w:t>
      </w:r>
      <w:r w:rsidR="000A5EF5" w:rsidRPr="00AF71AF">
        <w:rPr>
          <w:sz w:val="20"/>
          <w:szCs w:val="20"/>
        </w:rPr>
        <w:t>8</w:t>
      </w:r>
      <w:r w:rsidR="00946A73">
        <w:rPr>
          <w:sz w:val="20"/>
          <w:szCs w:val="20"/>
        </w:rPr>
        <w:t>7</w:t>
      </w:r>
      <w:r w:rsidR="007C4E25">
        <w:rPr>
          <w:sz w:val="20"/>
          <w:szCs w:val="20"/>
        </w:rPr>
        <w:t>6</w:t>
      </w:r>
    </w:p>
    <w:p w:rsidR="00E22BEE" w:rsidRPr="00AF71AF" w:rsidRDefault="00E22BEE" w:rsidP="00E22BEE">
      <w:pPr>
        <w:rPr>
          <w:sz w:val="20"/>
          <w:szCs w:val="20"/>
        </w:rPr>
      </w:pPr>
      <w:r w:rsidRPr="00AF71AF">
        <w:rPr>
          <w:sz w:val="20"/>
          <w:szCs w:val="20"/>
        </w:rPr>
        <w:t>Oša</w:t>
      </w:r>
    </w:p>
    <w:p w:rsidR="00E22BEE" w:rsidRPr="00AF71AF" w:rsidRDefault="00E22BEE" w:rsidP="00E22BEE">
      <w:pPr>
        <w:rPr>
          <w:sz w:val="20"/>
          <w:szCs w:val="20"/>
        </w:rPr>
      </w:pPr>
      <w:r w:rsidRPr="00AF71AF">
        <w:rPr>
          <w:sz w:val="20"/>
          <w:szCs w:val="20"/>
        </w:rPr>
        <w:t xml:space="preserve">67013031, </w:t>
      </w:r>
      <w:hyperlink r:id="rId11" w:history="1">
        <w:r w:rsidRPr="00AF71AF">
          <w:rPr>
            <w:rStyle w:val="Hyperlink"/>
            <w:color w:val="auto"/>
            <w:sz w:val="20"/>
            <w:szCs w:val="20"/>
          </w:rPr>
          <w:t>ilze.osa@em.gov.lv</w:t>
        </w:r>
      </w:hyperlink>
    </w:p>
    <w:sectPr w:rsidR="00E22BEE" w:rsidRPr="00AF71AF" w:rsidSect="006C6D4E">
      <w:footerReference w:type="default" r:id="rId12"/>
      <w:pgSz w:w="11906" w:h="16838"/>
      <w:pgMar w:top="1418" w:right="1134"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7E" w:rsidRDefault="00A6367E" w:rsidP="00D50997">
      <w:r>
        <w:separator/>
      </w:r>
    </w:p>
  </w:endnote>
  <w:endnote w:type="continuationSeparator" w:id="0">
    <w:p w:rsidR="00A6367E" w:rsidRDefault="00A6367E" w:rsidP="00D5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DA" w:rsidRPr="008320DA" w:rsidRDefault="00941F16" w:rsidP="008320DA">
    <w:pPr>
      <w:pStyle w:val="Footer"/>
      <w:jc w:val="both"/>
      <w:rPr>
        <w:sz w:val="20"/>
        <w:szCs w:val="20"/>
      </w:rPr>
    </w:pPr>
    <w:r>
      <w:rPr>
        <w:sz w:val="20"/>
        <w:szCs w:val="20"/>
      </w:rPr>
      <w:t>EMZino_</w:t>
    </w:r>
    <w:r w:rsidR="00353EB4">
      <w:rPr>
        <w:sz w:val="20"/>
        <w:szCs w:val="20"/>
      </w:rPr>
      <w:t>14</w:t>
    </w:r>
    <w:r w:rsidR="00AF71AF">
      <w:rPr>
        <w:sz w:val="20"/>
        <w:szCs w:val="20"/>
      </w:rPr>
      <w:t>11</w:t>
    </w:r>
    <w:r w:rsidR="008320DA">
      <w:rPr>
        <w:sz w:val="20"/>
        <w:szCs w:val="20"/>
      </w:rPr>
      <w:t>14</w:t>
    </w:r>
    <w:r w:rsidR="008320DA" w:rsidRPr="00FB00BC">
      <w:rPr>
        <w:sz w:val="20"/>
        <w:szCs w:val="20"/>
      </w:rPr>
      <w:t xml:space="preserve">; Informatīvais ziņojums </w:t>
    </w:r>
    <w:r w:rsidR="008320DA">
      <w:rPr>
        <w:sz w:val="20"/>
        <w:szCs w:val="20"/>
      </w:rPr>
      <w:t>„Par valsts nodevu būvniecības pakalpojumiem”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7E" w:rsidRDefault="00A6367E" w:rsidP="00D50997">
      <w:r>
        <w:separator/>
      </w:r>
    </w:p>
  </w:footnote>
  <w:footnote w:type="continuationSeparator" w:id="0">
    <w:p w:rsidR="00A6367E" w:rsidRDefault="00A6367E" w:rsidP="00D50997">
      <w:r>
        <w:continuationSeparator/>
      </w:r>
    </w:p>
  </w:footnote>
  <w:footnote w:id="1">
    <w:p w:rsidR="00BF0B15" w:rsidRDefault="00BF0B15" w:rsidP="0077440D">
      <w:pPr>
        <w:pStyle w:val="FootnoteText"/>
        <w:jc w:val="both"/>
      </w:pPr>
      <w:r>
        <w:rPr>
          <w:rStyle w:val="FootnoteReference"/>
        </w:rPr>
        <w:footnoteRef/>
      </w:r>
      <w:r>
        <w:t xml:space="preserve"> </w:t>
      </w:r>
      <w:r>
        <w:rPr>
          <w:rFonts w:cs="Times New Roman"/>
          <w:szCs w:val="28"/>
        </w:rPr>
        <w:t xml:space="preserve">Norādīti Ministru kabineta </w:t>
      </w:r>
      <w:r>
        <w:rPr>
          <w:rFonts w:cstheme="minorHAnsi"/>
        </w:rPr>
        <w:t>29</w:t>
      </w:r>
      <w:r w:rsidRPr="005F26E6">
        <w:rPr>
          <w:rFonts w:cstheme="minorHAnsi"/>
        </w:rPr>
        <w:t xml:space="preserve">.07.2014. </w:t>
      </w:r>
      <w:r>
        <w:rPr>
          <w:rFonts w:cstheme="minorHAnsi"/>
        </w:rPr>
        <w:t xml:space="preserve">sēdes protokollēmuma </w:t>
      </w:r>
      <w:r w:rsidRPr="005F26E6">
        <w:t>(prot. Nr.41 30.§)</w:t>
      </w:r>
      <w:r>
        <w:t xml:space="preserve"> 3.punktā.</w:t>
      </w:r>
    </w:p>
  </w:footnote>
  <w:footnote w:id="2">
    <w:p w:rsidR="005242AA" w:rsidRDefault="005242AA" w:rsidP="005242AA">
      <w:pPr>
        <w:pStyle w:val="FootnoteText"/>
        <w:jc w:val="both"/>
      </w:pPr>
      <w:r>
        <w:rPr>
          <w:rStyle w:val="FootnoteReference"/>
        </w:rPr>
        <w:footnoteRef/>
      </w:r>
      <w:r>
        <w:t xml:space="preserve"> Nodevu piemēro būvkomersantiem, kas veic būvdarbus vai būvdarbu uzraudzības pakalpojumus. Nodeva netiek piemērot personām, kas sniedz pakalpojumus tikai arhitektūras un projektēšanas jomā.</w:t>
      </w:r>
    </w:p>
  </w:footnote>
  <w:footnote w:id="3">
    <w:p w:rsidR="0002390B" w:rsidRPr="0002390B" w:rsidRDefault="0002390B" w:rsidP="0002390B">
      <w:pPr>
        <w:ind w:firstLine="709"/>
        <w:jc w:val="both"/>
        <w:rPr>
          <w:sz w:val="20"/>
          <w:szCs w:val="20"/>
        </w:rPr>
      </w:pPr>
      <w:r>
        <w:rPr>
          <w:rStyle w:val="FootnoteReference"/>
        </w:rPr>
        <w:footnoteRef/>
      </w:r>
      <w:r>
        <w:t xml:space="preserve"> </w:t>
      </w:r>
      <w:r w:rsidRPr="0002390B">
        <w:rPr>
          <w:rFonts w:cs="Times New Roman"/>
          <w:sz w:val="20"/>
          <w:szCs w:val="20"/>
        </w:rPr>
        <w:t>Saskaņā ar sniegto informāciju, BKC sastāvā ietilpst 22 nevalstiskās organizācijas, kas apver praktiski visus būvniecības nozarē strādājošos.</w:t>
      </w:r>
    </w:p>
  </w:footnote>
  <w:footnote w:id="4">
    <w:p w:rsidR="006C6D4E" w:rsidRDefault="006C6D4E" w:rsidP="006C6D4E">
      <w:pPr>
        <w:pStyle w:val="FootnoteText"/>
        <w:jc w:val="both"/>
      </w:pPr>
      <w:r>
        <w:rPr>
          <w:rStyle w:val="FootnoteReference"/>
        </w:rPr>
        <w:footnoteRef/>
      </w:r>
      <w:r>
        <w:t xml:space="preserve"> </w:t>
      </w:r>
      <w:r w:rsidRPr="008A0F79">
        <w:t>S</w:t>
      </w:r>
      <w:r w:rsidRPr="008A0F79">
        <w:rPr>
          <w:rFonts w:cs="Times New Roman"/>
        </w:rPr>
        <w:t xml:space="preserve">askaņā ar Ministru kabineta 2011.gada 19.oktobra noteikumos </w:t>
      </w:r>
      <w:hyperlink r:id="rId1" w:tgtFrame="_blank" w:history="1">
        <w:r w:rsidRPr="008A0F79">
          <w:rPr>
            <w:rFonts w:cs="Times New Roman"/>
          </w:rPr>
          <w:t>Nr.799</w:t>
        </w:r>
      </w:hyperlink>
      <w:r w:rsidRPr="008A0F79">
        <w:rPr>
          <w:rFonts w:cs="Times New Roman"/>
        </w:rPr>
        <w:t xml:space="preserve"> „</w:t>
      </w:r>
      <w:hyperlink r:id="rId2" w:history="1">
        <w:r w:rsidRPr="008A0F79">
          <w:rPr>
            <w:rFonts w:cs="Times New Roman"/>
          </w:rPr>
          <w:t>Būvkomersantu reģistrācijas noteikumi</w:t>
        </w:r>
      </w:hyperlink>
      <w:r w:rsidRPr="008A0F79">
        <w:rPr>
          <w:rFonts w:cs="Times New Roman"/>
        </w:rPr>
        <w:t xml:space="preserve">” noteikto, būvkomersanti būvniecībā raksturojošas ziņas sniedz atbilstoši komersanta reģistrācijas datumam būvkomersantu reģistrā. Līdz ar to, precīza informācija par būvniecības apjomiem 2013.gadā būs pieejama 2014.gada sākumā. Savukārt saskaņā ar jauno regulējumu - Ministru kabineta 2014.gada 25.februāra noteikumiem </w:t>
      </w:r>
      <w:hyperlink r:id="rId3" w:tgtFrame="_blank" w:history="1">
        <w:r w:rsidRPr="008A0F79">
          <w:rPr>
            <w:rFonts w:cs="Times New Roman"/>
          </w:rPr>
          <w:t>Nr.116</w:t>
        </w:r>
      </w:hyperlink>
      <w:r w:rsidRPr="008A0F79">
        <w:rPr>
          <w:rFonts w:cs="Times New Roman"/>
        </w:rPr>
        <w:t xml:space="preserve"> „</w:t>
      </w:r>
      <w:hyperlink r:id="rId4" w:history="1">
        <w:r w:rsidRPr="008A0F79">
          <w:rPr>
            <w:rFonts w:cs="Times New Roman"/>
          </w:rPr>
          <w:t>Būvkomersantu reģistrācijas noteikumi</w:t>
        </w:r>
      </w:hyperlink>
      <w:r w:rsidRPr="008A0F79">
        <w:rPr>
          <w:rFonts w:cs="Times New Roman"/>
        </w:rPr>
        <w:t>” (stāsies spēkā 01.10.2014.) turpmāk informāciju par iepriekšējā kalendārajā gadā paveikto (sākot ar informāciju par 2014.gadu) katru gadu būs jāsniedz līdz 30.aprīlim.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E0E7F"/>
    <w:multiLevelType w:val="hybridMultilevel"/>
    <w:tmpl w:val="5C3E0EF0"/>
    <w:lvl w:ilvl="0" w:tplc="A2AC3B9C">
      <w:start w:val="1"/>
      <w:numFmt w:val="lowerLetter"/>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A5"/>
    <w:rsid w:val="0002390B"/>
    <w:rsid w:val="00026071"/>
    <w:rsid w:val="00033B0D"/>
    <w:rsid w:val="00035437"/>
    <w:rsid w:val="00054D2E"/>
    <w:rsid w:val="000624AF"/>
    <w:rsid w:val="000675A8"/>
    <w:rsid w:val="00071FDF"/>
    <w:rsid w:val="00084113"/>
    <w:rsid w:val="00087D13"/>
    <w:rsid w:val="00095BA0"/>
    <w:rsid w:val="000A37D7"/>
    <w:rsid w:val="000A5EF5"/>
    <w:rsid w:val="000C528F"/>
    <w:rsid w:val="000C6C39"/>
    <w:rsid w:val="000D4F77"/>
    <w:rsid w:val="000E1A17"/>
    <w:rsid w:val="000E4360"/>
    <w:rsid w:val="000F77B1"/>
    <w:rsid w:val="00102C2C"/>
    <w:rsid w:val="001031B0"/>
    <w:rsid w:val="00103BE7"/>
    <w:rsid w:val="00116B3B"/>
    <w:rsid w:val="00135AF0"/>
    <w:rsid w:val="00141238"/>
    <w:rsid w:val="001837E3"/>
    <w:rsid w:val="0018380C"/>
    <w:rsid w:val="001A1D0C"/>
    <w:rsid w:val="001B528B"/>
    <w:rsid w:val="001B714C"/>
    <w:rsid w:val="001C1014"/>
    <w:rsid w:val="001C6B1C"/>
    <w:rsid w:val="001C7C70"/>
    <w:rsid w:val="002063A5"/>
    <w:rsid w:val="00212557"/>
    <w:rsid w:val="00212DBF"/>
    <w:rsid w:val="00224D8C"/>
    <w:rsid w:val="002422EE"/>
    <w:rsid w:val="00267A96"/>
    <w:rsid w:val="00294501"/>
    <w:rsid w:val="002A4D6F"/>
    <w:rsid w:val="002D0B3E"/>
    <w:rsid w:val="002E0689"/>
    <w:rsid w:val="003227BC"/>
    <w:rsid w:val="00326438"/>
    <w:rsid w:val="0034782B"/>
    <w:rsid w:val="00353EB4"/>
    <w:rsid w:val="00367574"/>
    <w:rsid w:val="003738A7"/>
    <w:rsid w:val="003A1529"/>
    <w:rsid w:val="003A3BCE"/>
    <w:rsid w:val="003B1C5E"/>
    <w:rsid w:val="003B7DC7"/>
    <w:rsid w:val="003C16C3"/>
    <w:rsid w:val="003C5F09"/>
    <w:rsid w:val="003D42F2"/>
    <w:rsid w:val="0040009C"/>
    <w:rsid w:val="00411534"/>
    <w:rsid w:val="004169A7"/>
    <w:rsid w:val="004231E7"/>
    <w:rsid w:val="00424F82"/>
    <w:rsid w:val="00433DBC"/>
    <w:rsid w:val="0043575A"/>
    <w:rsid w:val="0043579B"/>
    <w:rsid w:val="0044306B"/>
    <w:rsid w:val="004654A5"/>
    <w:rsid w:val="00473481"/>
    <w:rsid w:val="00501A34"/>
    <w:rsid w:val="005157FD"/>
    <w:rsid w:val="00523A87"/>
    <w:rsid w:val="005242AA"/>
    <w:rsid w:val="00545FD5"/>
    <w:rsid w:val="005552BF"/>
    <w:rsid w:val="0055744C"/>
    <w:rsid w:val="00557A99"/>
    <w:rsid w:val="005A17F4"/>
    <w:rsid w:val="005A1901"/>
    <w:rsid w:val="005A31BE"/>
    <w:rsid w:val="005A58A5"/>
    <w:rsid w:val="005B095B"/>
    <w:rsid w:val="005C6C29"/>
    <w:rsid w:val="005D3C18"/>
    <w:rsid w:val="005E73DA"/>
    <w:rsid w:val="00600AD5"/>
    <w:rsid w:val="00601B3D"/>
    <w:rsid w:val="00602564"/>
    <w:rsid w:val="006148A4"/>
    <w:rsid w:val="00615AC3"/>
    <w:rsid w:val="006212E7"/>
    <w:rsid w:val="00622868"/>
    <w:rsid w:val="00630947"/>
    <w:rsid w:val="006408E0"/>
    <w:rsid w:val="00643F13"/>
    <w:rsid w:val="00655DFC"/>
    <w:rsid w:val="00666F12"/>
    <w:rsid w:val="0067366B"/>
    <w:rsid w:val="0068051A"/>
    <w:rsid w:val="006850F9"/>
    <w:rsid w:val="006C6D4E"/>
    <w:rsid w:val="006D462B"/>
    <w:rsid w:val="00703A21"/>
    <w:rsid w:val="00707ADC"/>
    <w:rsid w:val="007118F4"/>
    <w:rsid w:val="007141B3"/>
    <w:rsid w:val="007216FB"/>
    <w:rsid w:val="00760D83"/>
    <w:rsid w:val="00761440"/>
    <w:rsid w:val="0076420C"/>
    <w:rsid w:val="00764EBF"/>
    <w:rsid w:val="0077440D"/>
    <w:rsid w:val="007870F3"/>
    <w:rsid w:val="00793D3D"/>
    <w:rsid w:val="00793EAB"/>
    <w:rsid w:val="007949CE"/>
    <w:rsid w:val="007973A0"/>
    <w:rsid w:val="007A0D68"/>
    <w:rsid w:val="007A1D83"/>
    <w:rsid w:val="007A7D86"/>
    <w:rsid w:val="007C4E25"/>
    <w:rsid w:val="007C7D37"/>
    <w:rsid w:val="00800499"/>
    <w:rsid w:val="00805666"/>
    <w:rsid w:val="008320DA"/>
    <w:rsid w:val="0083268D"/>
    <w:rsid w:val="00840241"/>
    <w:rsid w:val="0086744E"/>
    <w:rsid w:val="00893FEB"/>
    <w:rsid w:val="0089472D"/>
    <w:rsid w:val="008A0F79"/>
    <w:rsid w:val="008A60E5"/>
    <w:rsid w:val="008A6355"/>
    <w:rsid w:val="008E5244"/>
    <w:rsid w:val="00941F16"/>
    <w:rsid w:val="00946A73"/>
    <w:rsid w:val="00975729"/>
    <w:rsid w:val="00985C98"/>
    <w:rsid w:val="009D172C"/>
    <w:rsid w:val="009E057B"/>
    <w:rsid w:val="009E4624"/>
    <w:rsid w:val="009F31F6"/>
    <w:rsid w:val="009F6F45"/>
    <w:rsid w:val="00A0156E"/>
    <w:rsid w:val="00A0418A"/>
    <w:rsid w:val="00A4783F"/>
    <w:rsid w:val="00A611B5"/>
    <w:rsid w:val="00A62D8F"/>
    <w:rsid w:val="00A6367E"/>
    <w:rsid w:val="00A662D9"/>
    <w:rsid w:val="00A84A4E"/>
    <w:rsid w:val="00A96670"/>
    <w:rsid w:val="00AA049D"/>
    <w:rsid w:val="00AA64AF"/>
    <w:rsid w:val="00AC5445"/>
    <w:rsid w:val="00AC6CA0"/>
    <w:rsid w:val="00AD35D0"/>
    <w:rsid w:val="00AE15C3"/>
    <w:rsid w:val="00AF4D47"/>
    <w:rsid w:val="00AF71AF"/>
    <w:rsid w:val="00B0213E"/>
    <w:rsid w:val="00B23A00"/>
    <w:rsid w:val="00B815B0"/>
    <w:rsid w:val="00B94096"/>
    <w:rsid w:val="00BA5090"/>
    <w:rsid w:val="00BD7B98"/>
    <w:rsid w:val="00BF0B15"/>
    <w:rsid w:val="00BF553E"/>
    <w:rsid w:val="00BF7303"/>
    <w:rsid w:val="00C05FF6"/>
    <w:rsid w:val="00C155AD"/>
    <w:rsid w:val="00C171D9"/>
    <w:rsid w:val="00C3350C"/>
    <w:rsid w:val="00C35100"/>
    <w:rsid w:val="00C424AE"/>
    <w:rsid w:val="00C502E9"/>
    <w:rsid w:val="00C70898"/>
    <w:rsid w:val="00C708A8"/>
    <w:rsid w:val="00C86246"/>
    <w:rsid w:val="00C90AD0"/>
    <w:rsid w:val="00CA171D"/>
    <w:rsid w:val="00CA230A"/>
    <w:rsid w:val="00CA354D"/>
    <w:rsid w:val="00CB6A2D"/>
    <w:rsid w:val="00CC460F"/>
    <w:rsid w:val="00CD2BA9"/>
    <w:rsid w:val="00CD7A32"/>
    <w:rsid w:val="00D2434C"/>
    <w:rsid w:val="00D50997"/>
    <w:rsid w:val="00D5188A"/>
    <w:rsid w:val="00D76113"/>
    <w:rsid w:val="00D82A68"/>
    <w:rsid w:val="00D8609D"/>
    <w:rsid w:val="00DB18F9"/>
    <w:rsid w:val="00DB4C09"/>
    <w:rsid w:val="00DB6A04"/>
    <w:rsid w:val="00DB7E14"/>
    <w:rsid w:val="00DF7CEB"/>
    <w:rsid w:val="00E0136A"/>
    <w:rsid w:val="00E20272"/>
    <w:rsid w:val="00E22BEE"/>
    <w:rsid w:val="00E25F12"/>
    <w:rsid w:val="00E47B16"/>
    <w:rsid w:val="00E50E20"/>
    <w:rsid w:val="00E7767F"/>
    <w:rsid w:val="00E904B8"/>
    <w:rsid w:val="00EA1182"/>
    <w:rsid w:val="00EB3F61"/>
    <w:rsid w:val="00EB7E79"/>
    <w:rsid w:val="00EC384D"/>
    <w:rsid w:val="00EE58E4"/>
    <w:rsid w:val="00EE711B"/>
    <w:rsid w:val="00F04C57"/>
    <w:rsid w:val="00F15385"/>
    <w:rsid w:val="00F17F83"/>
    <w:rsid w:val="00F22616"/>
    <w:rsid w:val="00F400F9"/>
    <w:rsid w:val="00F462AC"/>
    <w:rsid w:val="00F51996"/>
    <w:rsid w:val="00F738FD"/>
    <w:rsid w:val="00F82907"/>
    <w:rsid w:val="00F92BB5"/>
    <w:rsid w:val="00FD5EB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0997"/>
    <w:rPr>
      <w:sz w:val="20"/>
      <w:szCs w:val="20"/>
    </w:rPr>
  </w:style>
  <w:style w:type="character" w:customStyle="1" w:styleId="FootnoteTextChar">
    <w:name w:val="Footnote Text Char"/>
    <w:basedOn w:val="DefaultParagraphFont"/>
    <w:link w:val="FootnoteText"/>
    <w:uiPriority w:val="99"/>
    <w:semiHidden/>
    <w:rsid w:val="00D50997"/>
    <w:rPr>
      <w:sz w:val="20"/>
      <w:szCs w:val="20"/>
    </w:rPr>
  </w:style>
  <w:style w:type="character" w:styleId="FootnoteReference">
    <w:name w:val="footnote reference"/>
    <w:basedOn w:val="DefaultParagraphFont"/>
    <w:uiPriority w:val="99"/>
    <w:semiHidden/>
    <w:unhideWhenUsed/>
    <w:rsid w:val="00D50997"/>
    <w:rPr>
      <w:vertAlign w:val="superscript"/>
    </w:rPr>
  </w:style>
  <w:style w:type="character" w:styleId="CommentReference">
    <w:name w:val="annotation reference"/>
    <w:basedOn w:val="DefaultParagraphFont"/>
    <w:uiPriority w:val="99"/>
    <w:semiHidden/>
    <w:unhideWhenUsed/>
    <w:rsid w:val="00F15385"/>
    <w:rPr>
      <w:sz w:val="16"/>
      <w:szCs w:val="16"/>
    </w:rPr>
  </w:style>
  <w:style w:type="paragraph" w:styleId="CommentText">
    <w:name w:val="annotation text"/>
    <w:basedOn w:val="Normal"/>
    <w:link w:val="CommentTextChar"/>
    <w:uiPriority w:val="99"/>
    <w:semiHidden/>
    <w:unhideWhenUsed/>
    <w:rsid w:val="00F15385"/>
    <w:rPr>
      <w:sz w:val="20"/>
      <w:szCs w:val="20"/>
    </w:rPr>
  </w:style>
  <w:style w:type="character" w:customStyle="1" w:styleId="CommentTextChar">
    <w:name w:val="Comment Text Char"/>
    <w:basedOn w:val="DefaultParagraphFont"/>
    <w:link w:val="CommentText"/>
    <w:uiPriority w:val="99"/>
    <w:semiHidden/>
    <w:rsid w:val="00F15385"/>
    <w:rPr>
      <w:sz w:val="20"/>
      <w:szCs w:val="20"/>
    </w:rPr>
  </w:style>
  <w:style w:type="paragraph" w:styleId="CommentSubject">
    <w:name w:val="annotation subject"/>
    <w:basedOn w:val="CommentText"/>
    <w:next w:val="CommentText"/>
    <w:link w:val="CommentSubjectChar"/>
    <w:uiPriority w:val="99"/>
    <w:semiHidden/>
    <w:unhideWhenUsed/>
    <w:rsid w:val="00F15385"/>
    <w:rPr>
      <w:b/>
      <w:bCs/>
    </w:rPr>
  </w:style>
  <w:style w:type="character" w:customStyle="1" w:styleId="CommentSubjectChar">
    <w:name w:val="Comment Subject Char"/>
    <w:basedOn w:val="CommentTextChar"/>
    <w:link w:val="CommentSubject"/>
    <w:uiPriority w:val="99"/>
    <w:semiHidden/>
    <w:rsid w:val="00F15385"/>
    <w:rPr>
      <w:b/>
      <w:bCs/>
      <w:sz w:val="20"/>
      <w:szCs w:val="20"/>
    </w:rPr>
  </w:style>
  <w:style w:type="paragraph" w:styleId="BalloonText">
    <w:name w:val="Balloon Text"/>
    <w:basedOn w:val="Normal"/>
    <w:link w:val="BalloonTextChar"/>
    <w:uiPriority w:val="99"/>
    <w:semiHidden/>
    <w:unhideWhenUsed/>
    <w:rsid w:val="00F15385"/>
    <w:rPr>
      <w:rFonts w:ascii="Tahoma" w:hAnsi="Tahoma" w:cs="Tahoma"/>
      <w:sz w:val="16"/>
      <w:szCs w:val="16"/>
    </w:rPr>
  </w:style>
  <w:style w:type="character" w:customStyle="1" w:styleId="BalloonTextChar">
    <w:name w:val="Balloon Text Char"/>
    <w:basedOn w:val="DefaultParagraphFont"/>
    <w:link w:val="BalloonText"/>
    <w:uiPriority w:val="99"/>
    <w:semiHidden/>
    <w:rsid w:val="00F15385"/>
    <w:rPr>
      <w:rFonts w:ascii="Tahoma" w:hAnsi="Tahoma" w:cs="Tahoma"/>
      <w:sz w:val="16"/>
      <w:szCs w:val="16"/>
    </w:rPr>
  </w:style>
  <w:style w:type="paragraph" w:styleId="ListParagraph">
    <w:name w:val="List Paragraph"/>
    <w:basedOn w:val="Normal"/>
    <w:uiPriority w:val="34"/>
    <w:qFormat/>
    <w:rsid w:val="00AC5445"/>
    <w:pPr>
      <w:ind w:left="720"/>
      <w:contextualSpacing/>
    </w:pPr>
  </w:style>
  <w:style w:type="paragraph" w:styleId="Header">
    <w:name w:val="header"/>
    <w:basedOn w:val="Normal"/>
    <w:link w:val="HeaderChar"/>
    <w:uiPriority w:val="99"/>
    <w:unhideWhenUsed/>
    <w:rsid w:val="00087D13"/>
    <w:pPr>
      <w:tabs>
        <w:tab w:val="center" w:pos="4153"/>
        <w:tab w:val="right" w:pos="8306"/>
      </w:tabs>
    </w:pPr>
  </w:style>
  <w:style w:type="character" w:customStyle="1" w:styleId="HeaderChar">
    <w:name w:val="Header Char"/>
    <w:basedOn w:val="DefaultParagraphFont"/>
    <w:link w:val="Header"/>
    <w:uiPriority w:val="99"/>
    <w:rsid w:val="00087D13"/>
  </w:style>
  <w:style w:type="paragraph" w:styleId="Footer">
    <w:name w:val="footer"/>
    <w:basedOn w:val="Normal"/>
    <w:link w:val="FooterChar"/>
    <w:uiPriority w:val="99"/>
    <w:unhideWhenUsed/>
    <w:rsid w:val="00087D13"/>
    <w:pPr>
      <w:tabs>
        <w:tab w:val="center" w:pos="4153"/>
        <w:tab w:val="right" w:pos="8306"/>
      </w:tabs>
    </w:pPr>
  </w:style>
  <w:style w:type="character" w:customStyle="1" w:styleId="FooterChar">
    <w:name w:val="Footer Char"/>
    <w:basedOn w:val="DefaultParagraphFont"/>
    <w:link w:val="Footer"/>
    <w:uiPriority w:val="99"/>
    <w:rsid w:val="00087D13"/>
  </w:style>
  <w:style w:type="paragraph" w:styleId="EndnoteText">
    <w:name w:val="endnote text"/>
    <w:basedOn w:val="Normal"/>
    <w:link w:val="EndnoteTextChar"/>
    <w:uiPriority w:val="99"/>
    <w:semiHidden/>
    <w:unhideWhenUsed/>
    <w:rsid w:val="003A3BCE"/>
    <w:rPr>
      <w:sz w:val="20"/>
      <w:szCs w:val="20"/>
    </w:rPr>
  </w:style>
  <w:style w:type="character" w:customStyle="1" w:styleId="EndnoteTextChar">
    <w:name w:val="Endnote Text Char"/>
    <w:basedOn w:val="DefaultParagraphFont"/>
    <w:link w:val="EndnoteText"/>
    <w:uiPriority w:val="99"/>
    <w:semiHidden/>
    <w:rsid w:val="003A3BCE"/>
    <w:rPr>
      <w:sz w:val="20"/>
      <w:szCs w:val="20"/>
    </w:rPr>
  </w:style>
  <w:style w:type="character" w:styleId="EndnoteReference">
    <w:name w:val="endnote reference"/>
    <w:basedOn w:val="DefaultParagraphFont"/>
    <w:uiPriority w:val="99"/>
    <w:semiHidden/>
    <w:unhideWhenUsed/>
    <w:rsid w:val="003A3BCE"/>
    <w:rPr>
      <w:vertAlign w:val="superscript"/>
    </w:rPr>
  </w:style>
  <w:style w:type="character" w:customStyle="1" w:styleId="spelle">
    <w:name w:val="spelle"/>
    <w:basedOn w:val="DefaultParagraphFont"/>
    <w:rsid w:val="00F22616"/>
  </w:style>
  <w:style w:type="character" w:styleId="Hyperlink">
    <w:name w:val="Hyperlink"/>
    <w:rsid w:val="00E22BEE"/>
    <w:rPr>
      <w:color w:val="0000FF"/>
      <w:u w:val="single"/>
    </w:rPr>
  </w:style>
  <w:style w:type="paragraph" w:customStyle="1" w:styleId="tv2131">
    <w:name w:val="tv2131"/>
    <w:basedOn w:val="Normal"/>
    <w:rsid w:val="0077440D"/>
    <w:pPr>
      <w:spacing w:line="360" w:lineRule="auto"/>
      <w:ind w:firstLine="300"/>
    </w:pPr>
    <w:rPr>
      <w:rFonts w:eastAsia="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0997"/>
    <w:rPr>
      <w:sz w:val="20"/>
      <w:szCs w:val="20"/>
    </w:rPr>
  </w:style>
  <w:style w:type="character" w:customStyle="1" w:styleId="FootnoteTextChar">
    <w:name w:val="Footnote Text Char"/>
    <w:basedOn w:val="DefaultParagraphFont"/>
    <w:link w:val="FootnoteText"/>
    <w:uiPriority w:val="99"/>
    <w:semiHidden/>
    <w:rsid w:val="00D50997"/>
    <w:rPr>
      <w:sz w:val="20"/>
      <w:szCs w:val="20"/>
    </w:rPr>
  </w:style>
  <w:style w:type="character" w:styleId="FootnoteReference">
    <w:name w:val="footnote reference"/>
    <w:basedOn w:val="DefaultParagraphFont"/>
    <w:uiPriority w:val="99"/>
    <w:semiHidden/>
    <w:unhideWhenUsed/>
    <w:rsid w:val="00D50997"/>
    <w:rPr>
      <w:vertAlign w:val="superscript"/>
    </w:rPr>
  </w:style>
  <w:style w:type="character" w:styleId="CommentReference">
    <w:name w:val="annotation reference"/>
    <w:basedOn w:val="DefaultParagraphFont"/>
    <w:uiPriority w:val="99"/>
    <w:semiHidden/>
    <w:unhideWhenUsed/>
    <w:rsid w:val="00F15385"/>
    <w:rPr>
      <w:sz w:val="16"/>
      <w:szCs w:val="16"/>
    </w:rPr>
  </w:style>
  <w:style w:type="paragraph" w:styleId="CommentText">
    <w:name w:val="annotation text"/>
    <w:basedOn w:val="Normal"/>
    <w:link w:val="CommentTextChar"/>
    <w:uiPriority w:val="99"/>
    <w:semiHidden/>
    <w:unhideWhenUsed/>
    <w:rsid w:val="00F15385"/>
    <w:rPr>
      <w:sz w:val="20"/>
      <w:szCs w:val="20"/>
    </w:rPr>
  </w:style>
  <w:style w:type="character" w:customStyle="1" w:styleId="CommentTextChar">
    <w:name w:val="Comment Text Char"/>
    <w:basedOn w:val="DefaultParagraphFont"/>
    <w:link w:val="CommentText"/>
    <w:uiPriority w:val="99"/>
    <w:semiHidden/>
    <w:rsid w:val="00F15385"/>
    <w:rPr>
      <w:sz w:val="20"/>
      <w:szCs w:val="20"/>
    </w:rPr>
  </w:style>
  <w:style w:type="paragraph" w:styleId="CommentSubject">
    <w:name w:val="annotation subject"/>
    <w:basedOn w:val="CommentText"/>
    <w:next w:val="CommentText"/>
    <w:link w:val="CommentSubjectChar"/>
    <w:uiPriority w:val="99"/>
    <w:semiHidden/>
    <w:unhideWhenUsed/>
    <w:rsid w:val="00F15385"/>
    <w:rPr>
      <w:b/>
      <w:bCs/>
    </w:rPr>
  </w:style>
  <w:style w:type="character" w:customStyle="1" w:styleId="CommentSubjectChar">
    <w:name w:val="Comment Subject Char"/>
    <w:basedOn w:val="CommentTextChar"/>
    <w:link w:val="CommentSubject"/>
    <w:uiPriority w:val="99"/>
    <w:semiHidden/>
    <w:rsid w:val="00F15385"/>
    <w:rPr>
      <w:b/>
      <w:bCs/>
      <w:sz w:val="20"/>
      <w:szCs w:val="20"/>
    </w:rPr>
  </w:style>
  <w:style w:type="paragraph" w:styleId="BalloonText">
    <w:name w:val="Balloon Text"/>
    <w:basedOn w:val="Normal"/>
    <w:link w:val="BalloonTextChar"/>
    <w:uiPriority w:val="99"/>
    <w:semiHidden/>
    <w:unhideWhenUsed/>
    <w:rsid w:val="00F15385"/>
    <w:rPr>
      <w:rFonts w:ascii="Tahoma" w:hAnsi="Tahoma" w:cs="Tahoma"/>
      <w:sz w:val="16"/>
      <w:szCs w:val="16"/>
    </w:rPr>
  </w:style>
  <w:style w:type="character" w:customStyle="1" w:styleId="BalloonTextChar">
    <w:name w:val="Balloon Text Char"/>
    <w:basedOn w:val="DefaultParagraphFont"/>
    <w:link w:val="BalloonText"/>
    <w:uiPriority w:val="99"/>
    <w:semiHidden/>
    <w:rsid w:val="00F15385"/>
    <w:rPr>
      <w:rFonts w:ascii="Tahoma" w:hAnsi="Tahoma" w:cs="Tahoma"/>
      <w:sz w:val="16"/>
      <w:szCs w:val="16"/>
    </w:rPr>
  </w:style>
  <w:style w:type="paragraph" w:styleId="ListParagraph">
    <w:name w:val="List Paragraph"/>
    <w:basedOn w:val="Normal"/>
    <w:uiPriority w:val="34"/>
    <w:qFormat/>
    <w:rsid w:val="00AC5445"/>
    <w:pPr>
      <w:ind w:left="720"/>
      <w:contextualSpacing/>
    </w:pPr>
  </w:style>
  <w:style w:type="paragraph" w:styleId="Header">
    <w:name w:val="header"/>
    <w:basedOn w:val="Normal"/>
    <w:link w:val="HeaderChar"/>
    <w:uiPriority w:val="99"/>
    <w:unhideWhenUsed/>
    <w:rsid w:val="00087D13"/>
    <w:pPr>
      <w:tabs>
        <w:tab w:val="center" w:pos="4153"/>
        <w:tab w:val="right" w:pos="8306"/>
      </w:tabs>
    </w:pPr>
  </w:style>
  <w:style w:type="character" w:customStyle="1" w:styleId="HeaderChar">
    <w:name w:val="Header Char"/>
    <w:basedOn w:val="DefaultParagraphFont"/>
    <w:link w:val="Header"/>
    <w:uiPriority w:val="99"/>
    <w:rsid w:val="00087D13"/>
  </w:style>
  <w:style w:type="paragraph" w:styleId="Footer">
    <w:name w:val="footer"/>
    <w:basedOn w:val="Normal"/>
    <w:link w:val="FooterChar"/>
    <w:uiPriority w:val="99"/>
    <w:unhideWhenUsed/>
    <w:rsid w:val="00087D13"/>
    <w:pPr>
      <w:tabs>
        <w:tab w:val="center" w:pos="4153"/>
        <w:tab w:val="right" w:pos="8306"/>
      </w:tabs>
    </w:pPr>
  </w:style>
  <w:style w:type="character" w:customStyle="1" w:styleId="FooterChar">
    <w:name w:val="Footer Char"/>
    <w:basedOn w:val="DefaultParagraphFont"/>
    <w:link w:val="Footer"/>
    <w:uiPriority w:val="99"/>
    <w:rsid w:val="00087D13"/>
  </w:style>
  <w:style w:type="paragraph" w:styleId="EndnoteText">
    <w:name w:val="endnote text"/>
    <w:basedOn w:val="Normal"/>
    <w:link w:val="EndnoteTextChar"/>
    <w:uiPriority w:val="99"/>
    <w:semiHidden/>
    <w:unhideWhenUsed/>
    <w:rsid w:val="003A3BCE"/>
    <w:rPr>
      <w:sz w:val="20"/>
      <w:szCs w:val="20"/>
    </w:rPr>
  </w:style>
  <w:style w:type="character" w:customStyle="1" w:styleId="EndnoteTextChar">
    <w:name w:val="Endnote Text Char"/>
    <w:basedOn w:val="DefaultParagraphFont"/>
    <w:link w:val="EndnoteText"/>
    <w:uiPriority w:val="99"/>
    <w:semiHidden/>
    <w:rsid w:val="003A3BCE"/>
    <w:rPr>
      <w:sz w:val="20"/>
      <w:szCs w:val="20"/>
    </w:rPr>
  </w:style>
  <w:style w:type="character" w:styleId="EndnoteReference">
    <w:name w:val="endnote reference"/>
    <w:basedOn w:val="DefaultParagraphFont"/>
    <w:uiPriority w:val="99"/>
    <w:semiHidden/>
    <w:unhideWhenUsed/>
    <w:rsid w:val="003A3BCE"/>
    <w:rPr>
      <w:vertAlign w:val="superscript"/>
    </w:rPr>
  </w:style>
  <w:style w:type="character" w:customStyle="1" w:styleId="spelle">
    <w:name w:val="spelle"/>
    <w:basedOn w:val="DefaultParagraphFont"/>
    <w:rsid w:val="00F22616"/>
  </w:style>
  <w:style w:type="character" w:styleId="Hyperlink">
    <w:name w:val="Hyperlink"/>
    <w:rsid w:val="00E22BEE"/>
    <w:rPr>
      <w:color w:val="0000FF"/>
      <w:u w:val="single"/>
    </w:rPr>
  </w:style>
  <w:style w:type="paragraph" w:customStyle="1" w:styleId="tv2131">
    <w:name w:val="tv2131"/>
    <w:basedOn w:val="Normal"/>
    <w:rsid w:val="0077440D"/>
    <w:pPr>
      <w:spacing w:line="360" w:lineRule="auto"/>
      <w:ind w:firstLine="300"/>
    </w:pPr>
    <w:rPr>
      <w:rFonts w:eastAsia="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5093">
      <w:bodyDiv w:val="1"/>
      <w:marLeft w:val="0"/>
      <w:marRight w:val="0"/>
      <w:marTop w:val="0"/>
      <w:marBottom w:val="0"/>
      <w:divBdr>
        <w:top w:val="none" w:sz="0" w:space="0" w:color="auto"/>
        <w:left w:val="none" w:sz="0" w:space="0" w:color="auto"/>
        <w:bottom w:val="none" w:sz="0" w:space="0" w:color="auto"/>
        <w:right w:val="none" w:sz="0" w:space="0" w:color="auto"/>
      </w:divBdr>
    </w:div>
    <w:div w:id="161093073">
      <w:bodyDiv w:val="1"/>
      <w:marLeft w:val="0"/>
      <w:marRight w:val="0"/>
      <w:marTop w:val="0"/>
      <w:marBottom w:val="0"/>
      <w:divBdr>
        <w:top w:val="none" w:sz="0" w:space="0" w:color="auto"/>
        <w:left w:val="none" w:sz="0" w:space="0" w:color="auto"/>
        <w:bottom w:val="none" w:sz="0" w:space="0" w:color="auto"/>
        <w:right w:val="none" w:sz="0" w:space="0" w:color="auto"/>
      </w:divBdr>
    </w:div>
    <w:div w:id="496381945">
      <w:bodyDiv w:val="1"/>
      <w:marLeft w:val="0"/>
      <w:marRight w:val="0"/>
      <w:marTop w:val="0"/>
      <w:marBottom w:val="0"/>
      <w:divBdr>
        <w:top w:val="none" w:sz="0" w:space="0" w:color="auto"/>
        <w:left w:val="none" w:sz="0" w:space="0" w:color="auto"/>
        <w:bottom w:val="none" w:sz="0" w:space="0" w:color="auto"/>
        <w:right w:val="none" w:sz="0" w:space="0" w:color="auto"/>
      </w:divBdr>
      <w:divsChild>
        <w:div w:id="1223978266">
          <w:marLeft w:val="0"/>
          <w:marRight w:val="0"/>
          <w:marTop w:val="0"/>
          <w:marBottom w:val="0"/>
          <w:divBdr>
            <w:top w:val="none" w:sz="0" w:space="0" w:color="auto"/>
            <w:left w:val="none" w:sz="0" w:space="0" w:color="auto"/>
            <w:bottom w:val="none" w:sz="0" w:space="0" w:color="auto"/>
            <w:right w:val="none" w:sz="0" w:space="0" w:color="auto"/>
          </w:divBdr>
          <w:divsChild>
            <w:div w:id="31469083">
              <w:marLeft w:val="0"/>
              <w:marRight w:val="0"/>
              <w:marTop w:val="0"/>
              <w:marBottom w:val="0"/>
              <w:divBdr>
                <w:top w:val="none" w:sz="0" w:space="0" w:color="auto"/>
                <w:left w:val="none" w:sz="0" w:space="0" w:color="auto"/>
                <w:bottom w:val="none" w:sz="0" w:space="0" w:color="auto"/>
                <w:right w:val="none" w:sz="0" w:space="0" w:color="auto"/>
              </w:divBdr>
              <w:divsChild>
                <w:div w:id="1664162414">
                  <w:marLeft w:val="0"/>
                  <w:marRight w:val="0"/>
                  <w:marTop w:val="0"/>
                  <w:marBottom w:val="0"/>
                  <w:divBdr>
                    <w:top w:val="none" w:sz="0" w:space="0" w:color="auto"/>
                    <w:left w:val="none" w:sz="0" w:space="0" w:color="auto"/>
                    <w:bottom w:val="none" w:sz="0" w:space="0" w:color="auto"/>
                    <w:right w:val="none" w:sz="0" w:space="0" w:color="auto"/>
                  </w:divBdr>
                  <w:divsChild>
                    <w:div w:id="284311142">
                      <w:marLeft w:val="0"/>
                      <w:marRight w:val="0"/>
                      <w:marTop w:val="0"/>
                      <w:marBottom w:val="0"/>
                      <w:divBdr>
                        <w:top w:val="none" w:sz="0" w:space="0" w:color="auto"/>
                        <w:left w:val="none" w:sz="0" w:space="0" w:color="auto"/>
                        <w:bottom w:val="none" w:sz="0" w:space="0" w:color="auto"/>
                        <w:right w:val="none" w:sz="0" w:space="0" w:color="auto"/>
                      </w:divBdr>
                      <w:divsChild>
                        <w:div w:id="8037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lze.osa@em.gov.lv" TargetMode="Externa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ikumi.lv/doc.php?id=238298&amp;from=off%20" TargetMode="External"/><Relationship Id="rId2" Type="http://schemas.openxmlformats.org/officeDocument/2006/relationships/hyperlink" Target="http://www.likumi.lv/doc.php?id=238298" TargetMode="External"/><Relationship Id="rId1" Type="http://schemas.openxmlformats.org/officeDocument/2006/relationships/hyperlink" Target="http://www.likumi.lv/doc.php?id=238298&amp;from=off%20" TargetMode="External"/><Relationship Id="rId4" Type="http://schemas.openxmlformats.org/officeDocument/2006/relationships/hyperlink" Target="http://www.likumi.lv/doc.php?id=23829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oidaS\Desktop\Copy%20of%20Copy%20of%20BIS_3551_komersanti_lv.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oidaS\Desktop\Copy%20of%20Copy%20of%20BIS_3551_komersanti_lv.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lv-LV" sz="1400" b="1" i="0" baseline="0">
                <a:effectLst/>
                <a:latin typeface="Times New Roman" panose="02020603050405020304" pitchFamily="18" charset="0"/>
                <a:cs typeface="Times New Roman" panose="02020603050405020304" pitchFamily="18" charset="0"/>
              </a:rPr>
              <a:t>Būvkomersanti (%) pēc 2012.gadā kopējā sniegto būvniecības pakalpojumu apjoma (EUR)</a:t>
            </a:r>
            <a:endParaRPr lang="lv-LV" sz="1400">
              <a:effectLst/>
              <a:latin typeface="Times New Roman" panose="02020603050405020304" pitchFamily="18" charset="0"/>
              <a:cs typeface="Times New Roman" panose="02020603050405020304" pitchFamily="18" charset="0"/>
            </a:endParaRPr>
          </a:p>
        </c:rich>
      </c:tx>
      <c:layout>
        <c:manualLayout>
          <c:xMode val="edge"/>
          <c:yMode val="edge"/>
          <c:x val="0.11880332907104561"/>
          <c:y val="1.8042391949513126E-2"/>
        </c:manualLayout>
      </c:layout>
      <c:overlay val="0"/>
    </c:title>
    <c:autoTitleDeleted val="0"/>
    <c:view3D>
      <c:rotX val="30"/>
      <c:rotY val="220"/>
      <c:rAngAx val="0"/>
      <c:perspective val="30"/>
    </c:view3D>
    <c:floor>
      <c:thickness val="0"/>
    </c:floor>
    <c:sideWall>
      <c:thickness val="0"/>
    </c:sideWall>
    <c:backWall>
      <c:thickness val="0"/>
    </c:backWall>
    <c:plotArea>
      <c:layout>
        <c:manualLayout>
          <c:layoutTarget val="inner"/>
          <c:xMode val="edge"/>
          <c:yMode val="edge"/>
          <c:x val="8.5291876976916342E-2"/>
          <c:y val="0.2271366667149691"/>
          <c:w val="0.82485784148776276"/>
          <c:h val="0.66552814911482894"/>
        </c:manualLayout>
      </c:layout>
      <c:pie3DChart>
        <c:varyColors val="1"/>
        <c:ser>
          <c:idx val="0"/>
          <c:order val="0"/>
          <c:dPt>
            <c:idx val="0"/>
            <c:bubble3D val="0"/>
            <c:spPr>
              <a:solidFill>
                <a:schemeClr val="accent2">
                  <a:lumMod val="40000"/>
                  <a:lumOff val="60000"/>
                </a:schemeClr>
              </a:solidFill>
            </c:spPr>
          </c:dPt>
          <c:dLbls>
            <c:dLbl>
              <c:idx val="0"/>
              <c:layout>
                <c:manualLayout>
                  <c:x val="0.2106514121632232"/>
                  <c:y val="3.2613825472959282E-2"/>
                </c:manualLayout>
              </c:layout>
              <c:tx>
                <c:rich>
                  <a:bodyPr/>
                  <a:lstStyle/>
                  <a:p>
                    <a:r>
                      <a:rPr lang="en-US"/>
                      <a:t>līdz 50 tūkst. 
</a:t>
                    </a:r>
                    <a:r>
                      <a:rPr lang="en-US" sz="1200" b="1"/>
                      <a:t>31%</a:t>
                    </a:r>
                  </a:p>
                </c:rich>
              </c:tx>
              <c:showLegendKey val="0"/>
              <c:showVal val="0"/>
              <c:showCatName val="1"/>
              <c:showSerName val="0"/>
              <c:showPercent val="1"/>
              <c:showBubbleSize val="0"/>
            </c:dLbl>
            <c:dLbl>
              <c:idx val="1"/>
              <c:layout>
                <c:manualLayout>
                  <c:x val="-0.1929064764340355"/>
                  <c:y val="0.12072405965752414"/>
                </c:manualLayout>
              </c:layout>
              <c:tx>
                <c:rich>
                  <a:bodyPr/>
                  <a:lstStyle/>
                  <a:p>
                    <a:r>
                      <a:rPr lang="en-US"/>
                      <a:t>50 - 500 tūkst.
</a:t>
                    </a:r>
                    <a:r>
                      <a:rPr lang="en-US" sz="1200" b="1"/>
                      <a:t>45%</a:t>
                    </a:r>
                  </a:p>
                </c:rich>
              </c:tx>
              <c:showLegendKey val="0"/>
              <c:showVal val="0"/>
              <c:showCatName val="1"/>
              <c:showSerName val="0"/>
              <c:showPercent val="1"/>
              <c:showBubbleSize val="0"/>
            </c:dLbl>
            <c:dLbl>
              <c:idx val="2"/>
              <c:layout>
                <c:manualLayout>
                  <c:x val="-0.14653942616147342"/>
                  <c:y val="-0.22944012610921644"/>
                </c:manualLayout>
              </c:layout>
              <c:tx>
                <c:rich>
                  <a:bodyPr/>
                  <a:lstStyle/>
                  <a:p>
                    <a:r>
                      <a:rPr lang="en-US"/>
                      <a:t>500 tūkst. - 1 milj.
</a:t>
                    </a:r>
                    <a:r>
                      <a:rPr lang="en-US" sz="1200" b="1"/>
                      <a:t>9%</a:t>
                    </a:r>
                  </a:p>
                </c:rich>
              </c:tx>
              <c:showLegendKey val="0"/>
              <c:showVal val="0"/>
              <c:showCatName val="1"/>
              <c:showSerName val="0"/>
              <c:showPercent val="1"/>
              <c:showBubbleSize val="0"/>
            </c:dLbl>
            <c:dLbl>
              <c:idx val="3"/>
              <c:layout>
                <c:manualLayout>
                  <c:x val="5.9754133297440386E-2"/>
                  <c:y val="-0.24783057995066898"/>
                </c:manualLayout>
              </c:layout>
              <c:tx>
                <c:rich>
                  <a:bodyPr/>
                  <a:lstStyle/>
                  <a:p>
                    <a:r>
                      <a:rPr lang="en-US"/>
                      <a:t>1 milj. - 5 milj.
</a:t>
                    </a:r>
                    <a:r>
                      <a:rPr lang="en-US" sz="1200" b="1"/>
                      <a:t>11%</a:t>
                    </a:r>
                  </a:p>
                </c:rich>
              </c:tx>
              <c:showLegendKey val="0"/>
              <c:showVal val="0"/>
              <c:showCatName val="1"/>
              <c:showSerName val="0"/>
              <c:showPercent val="1"/>
              <c:showBubbleSize val="0"/>
            </c:dLbl>
            <c:dLbl>
              <c:idx val="4"/>
              <c:layout>
                <c:manualLayout>
                  <c:x val="5.9052515871413531E-2"/>
                  <c:y val="4.0298463782668451E-2"/>
                </c:manualLayout>
              </c:layout>
              <c:tx>
                <c:rich>
                  <a:bodyPr/>
                  <a:lstStyle/>
                  <a:p>
                    <a:r>
                      <a:rPr lang="en-US"/>
                      <a:t>5 milj. - 10 milj.
</a:t>
                    </a:r>
                    <a:r>
                      <a:rPr lang="en-US" sz="1200" b="1"/>
                      <a:t>2%</a:t>
                    </a:r>
                  </a:p>
                </c:rich>
              </c:tx>
              <c:showLegendKey val="0"/>
              <c:showVal val="0"/>
              <c:showCatName val="1"/>
              <c:showSerName val="0"/>
              <c:showPercent val="1"/>
              <c:showBubbleSize val="0"/>
            </c:dLbl>
            <c:dLbl>
              <c:idx val="5"/>
              <c:layout>
                <c:manualLayout>
                  <c:x val="-4.2577024025842923E-2"/>
                  <c:y val="-5.0618711977789957E-2"/>
                </c:manualLayout>
              </c:layout>
              <c:tx>
                <c:rich>
                  <a:bodyPr/>
                  <a:lstStyle/>
                  <a:p>
                    <a:r>
                      <a:rPr lang="en-US"/>
                      <a:t>vairāk par 10 milj.
</a:t>
                    </a:r>
                    <a:r>
                      <a:rPr lang="en-US" sz="1200" b="1"/>
                      <a:t>2%</a:t>
                    </a:r>
                  </a:p>
                </c:rich>
              </c:tx>
              <c:showLegendKey val="0"/>
              <c:showVal val="0"/>
              <c:showCatName val="1"/>
              <c:showSerName val="0"/>
              <c:showPercent val="1"/>
              <c:showBubbleSize val="0"/>
            </c:dLbl>
            <c:txPr>
              <a:bodyPr/>
              <a:lstStyle/>
              <a:p>
                <a:pPr>
                  <a:defRPr sz="1050">
                    <a:latin typeface="Times New Roman" panose="02020603050405020304" pitchFamily="18" charset="0"/>
                    <a:cs typeface="Times New Roman" panose="02020603050405020304" pitchFamily="18" charset="0"/>
                  </a:defRPr>
                </a:pPr>
                <a:endParaRPr lang="lv-LV"/>
              </a:p>
            </c:txPr>
            <c:showLegendKey val="0"/>
            <c:showVal val="0"/>
            <c:showCatName val="1"/>
            <c:showSerName val="0"/>
            <c:showPercent val="1"/>
            <c:showBubbleSize val="0"/>
            <c:showLeaderLines val="1"/>
          </c:dLbls>
          <c:cat>
            <c:strRef>
              <c:f>Sheet1!$B$13:$B$18</c:f>
              <c:strCache>
                <c:ptCount val="6"/>
                <c:pt idx="0">
                  <c:v>līdz 50 tūkst. </c:v>
                </c:pt>
                <c:pt idx="1">
                  <c:v>50 - 500 tūkst.</c:v>
                </c:pt>
                <c:pt idx="2">
                  <c:v>500 tūkst. - 1 milj.</c:v>
                </c:pt>
                <c:pt idx="3">
                  <c:v>1 milj. - 5 milj.</c:v>
                </c:pt>
                <c:pt idx="4">
                  <c:v>5 milj. - 10 milj.</c:v>
                </c:pt>
                <c:pt idx="5">
                  <c:v>vairāk par 10 milj.</c:v>
                </c:pt>
              </c:strCache>
            </c:strRef>
          </c:cat>
          <c:val>
            <c:numRef>
              <c:f>Sheet1!$E$13:$E$18</c:f>
              <c:numCache>
                <c:formatCode>0%</c:formatCode>
                <c:ptCount val="6"/>
                <c:pt idx="0">
                  <c:v>0.31</c:v>
                </c:pt>
                <c:pt idx="1">
                  <c:v>0.45</c:v>
                </c:pt>
                <c:pt idx="2">
                  <c:v>0.09</c:v>
                </c:pt>
                <c:pt idx="3">
                  <c:v>0.11</c:v>
                </c:pt>
                <c:pt idx="4">
                  <c:v>0.02</c:v>
                </c:pt>
                <c:pt idx="5">
                  <c:v>0.02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400" b="1" i="0" baseline="0">
                <a:effectLst/>
                <a:latin typeface="Times New Roman" panose="02020603050405020304" pitchFamily="18" charset="0"/>
                <a:cs typeface="Times New Roman" panose="02020603050405020304" pitchFamily="18" charset="0"/>
              </a:rPr>
              <a:t>Būvkomersanti (%) pēc 2012.gadā pašu spēkiem sniegto būvniecības pakalpojumu apjoma (EUR)</a:t>
            </a:r>
            <a:endParaRPr lang="lv-LV" sz="1400">
              <a:effectLst/>
              <a:latin typeface="Times New Roman" panose="02020603050405020304" pitchFamily="18" charset="0"/>
              <a:cs typeface="Times New Roman" panose="02020603050405020304" pitchFamily="18" charset="0"/>
            </a:endParaRPr>
          </a:p>
        </c:rich>
      </c:tx>
      <c:layout/>
      <c:overlay val="0"/>
    </c:title>
    <c:autoTitleDeleted val="0"/>
    <c:view3D>
      <c:rotX val="30"/>
      <c:rotY val="200"/>
      <c:rAngAx val="0"/>
      <c:perspective val="30"/>
    </c:view3D>
    <c:floor>
      <c:thickness val="0"/>
    </c:floor>
    <c:sideWall>
      <c:thickness val="0"/>
    </c:sideWall>
    <c:backWall>
      <c:thickness val="0"/>
    </c:backWall>
    <c:plotArea>
      <c:layout/>
      <c:pie3DChart>
        <c:varyColors val="1"/>
        <c:ser>
          <c:idx val="0"/>
          <c:order val="0"/>
          <c:dPt>
            <c:idx val="0"/>
            <c:bubble3D val="0"/>
            <c:spPr>
              <a:solidFill>
                <a:schemeClr val="accent2">
                  <a:lumMod val="40000"/>
                  <a:lumOff val="60000"/>
                </a:schemeClr>
              </a:solidFill>
            </c:spPr>
          </c:dPt>
          <c:dLbls>
            <c:dLbl>
              <c:idx val="0"/>
              <c:layout/>
              <c:tx>
                <c:rich>
                  <a:bodyPr/>
                  <a:lstStyle/>
                  <a:p>
                    <a:r>
                      <a:rPr lang="en-US"/>
                      <a:t>līdz 50 tūkst. 
</a:t>
                    </a:r>
                    <a:r>
                      <a:rPr lang="en-US" sz="1200" b="1"/>
                      <a:t>40%</a:t>
                    </a:r>
                  </a:p>
                </c:rich>
              </c:tx>
              <c:showLegendKey val="0"/>
              <c:showVal val="0"/>
              <c:showCatName val="1"/>
              <c:showSerName val="0"/>
              <c:showPercent val="1"/>
              <c:showBubbleSize val="0"/>
            </c:dLbl>
            <c:dLbl>
              <c:idx val="1"/>
              <c:layout>
                <c:manualLayout>
                  <c:x val="-0.17566254142367554"/>
                  <c:y val="0.10597043779674975"/>
                </c:manualLayout>
              </c:layout>
              <c:tx>
                <c:rich>
                  <a:bodyPr/>
                  <a:lstStyle/>
                  <a:p>
                    <a:r>
                      <a:rPr lang="en-US"/>
                      <a:t>50 - 500 tūkst.
</a:t>
                    </a:r>
                    <a:r>
                      <a:rPr lang="en-US" sz="1200" b="1"/>
                      <a:t>41%</a:t>
                    </a:r>
                  </a:p>
                </c:rich>
              </c:tx>
              <c:showLegendKey val="0"/>
              <c:showVal val="0"/>
              <c:showCatName val="1"/>
              <c:showSerName val="0"/>
              <c:showPercent val="1"/>
              <c:showBubbleSize val="0"/>
            </c:dLbl>
            <c:dLbl>
              <c:idx val="2"/>
              <c:layout>
                <c:manualLayout>
                  <c:x val="9.6532011764977776E-2"/>
                  <c:y val="-0.10386052564963125"/>
                </c:manualLayout>
              </c:layout>
              <c:tx>
                <c:rich>
                  <a:bodyPr/>
                  <a:lstStyle/>
                  <a:p>
                    <a:r>
                      <a:rPr lang="en-US"/>
                      <a:t>500 tūkst. - 1 milj.
</a:t>
                    </a:r>
                    <a:r>
                      <a:rPr lang="en-US" sz="1200" b="1"/>
                      <a:t>8%</a:t>
                    </a:r>
                  </a:p>
                </c:rich>
              </c:tx>
              <c:showLegendKey val="0"/>
              <c:showVal val="0"/>
              <c:showCatName val="1"/>
              <c:showSerName val="0"/>
              <c:showPercent val="1"/>
              <c:showBubbleSize val="0"/>
            </c:dLbl>
            <c:dLbl>
              <c:idx val="3"/>
              <c:layout>
                <c:manualLayout>
                  <c:x val="-3.9839825170007941E-2"/>
                  <c:y val="-0.22320114033305347"/>
                </c:manualLayout>
              </c:layout>
              <c:tx>
                <c:rich>
                  <a:bodyPr/>
                  <a:lstStyle/>
                  <a:p>
                    <a:r>
                      <a:rPr lang="en-US"/>
                      <a:t>1 milj. - 5 milj.
</a:t>
                    </a:r>
                    <a:r>
                      <a:rPr lang="en-US" sz="1200" b="1"/>
                      <a:t>8%</a:t>
                    </a:r>
                  </a:p>
                </c:rich>
              </c:tx>
              <c:showLegendKey val="0"/>
              <c:showVal val="0"/>
              <c:showCatName val="1"/>
              <c:showSerName val="0"/>
              <c:showPercent val="1"/>
              <c:showBubbleSize val="0"/>
            </c:dLbl>
            <c:dLbl>
              <c:idx val="4"/>
              <c:layout>
                <c:manualLayout>
                  <c:x val="-2.352529744335502E-3"/>
                  <c:y val="0"/>
                </c:manualLayout>
              </c:layout>
              <c:tx>
                <c:rich>
                  <a:bodyPr/>
                  <a:lstStyle/>
                  <a:p>
                    <a:r>
                      <a:rPr lang="en-US"/>
                      <a:t>5 milj. - 10 milj.
</a:t>
                    </a:r>
                    <a:r>
                      <a:rPr lang="lv-LV" sz="1200" b="1"/>
                      <a:t>1</a:t>
                    </a:r>
                    <a:r>
                      <a:rPr lang="en-US" sz="1200" b="1"/>
                      <a:t>%</a:t>
                    </a:r>
                  </a:p>
                </c:rich>
              </c:tx>
              <c:showLegendKey val="0"/>
              <c:showVal val="0"/>
              <c:showCatName val="1"/>
              <c:showSerName val="0"/>
              <c:showPercent val="1"/>
              <c:showBubbleSize val="0"/>
            </c:dLbl>
            <c:dLbl>
              <c:idx val="5"/>
              <c:layout>
                <c:manualLayout>
                  <c:x val="-0.13941108105827471"/>
                  <c:y val="-7.3397069556184621E-2"/>
                </c:manualLayout>
              </c:layout>
              <c:tx>
                <c:rich>
                  <a:bodyPr/>
                  <a:lstStyle/>
                  <a:p>
                    <a:r>
                      <a:rPr lang="en-US"/>
                      <a:t>vairāk par 10 milj.
</a:t>
                    </a:r>
                    <a:r>
                      <a:rPr lang="en-US" sz="1200" b="1"/>
                      <a:t>1%</a:t>
                    </a:r>
                  </a:p>
                </c:rich>
              </c:tx>
              <c:showLegendKey val="0"/>
              <c:showVal val="0"/>
              <c:showCatName val="1"/>
              <c:showSerName val="0"/>
              <c:showPercent val="1"/>
              <c:showBubbleSize val="0"/>
            </c:dLbl>
            <c:txPr>
              <a:bodyPr/>
              <a:lstStyle/>
              <a:p>
                <a:pPr>
                  <a:defRPr sz="1050">
                    <a:latin typeface="Times New Roman" panose="02020603050405020304" pitchFamily="18" charset="0"/>
                    <a:cs typeface="Times New Roman" panose="02020603050405020304" pitchFamily="18" charset="0"/>
                  </a:defRPr>
                </a:pPr>
                <a:endParaRPr lang="lv-LV"/>
              </a:p>
            </c:txPr>
            <c:showLegendKey val="0"/>
            <c:showVal val="0"/>
            <c:showCatName val="1"/>
            <c:showSerName val="0"/>
            <c:showPercent val="1"/>
            <c:showBubbleSize val="0"/>
            <c:showLeaderLines val="1"/>
          </c:dLbls>
          <c:cat>
            <c:strRef>
              <c:f>Sheet1!$B$3:$B$8</c:f>
              <c:strCache>
                <c:ptCount val="6"/>
                <c:pt idx="0">
                  <c:v>līdz 50 tūkst. </c:v>
                </c:pt>
                <c:pt idx="1">
                  <c:v>50 - 500 tūkst.</c:v>
                </c:pt>
                <c:pt idx="2">
                  <c:v>500 tūkst. - 1 milj.</c:v>
                </c:pt>
                <c:pt idx="3">
                  <c:v>1 milj. - 5 milj.</c:v>
                </c:pt>
                <c:pt idx="4">
                  <c:v>5 milj. - 10 milj.</c:v>
                </c:pt>
                <c:pt idx="5">
                  <c:v>vairāk par 10 milj.</c:v>
                </c:pt>
              </c:strCache>
            </c:strRef>
          </c:cat>
          <c:val>
            <c:numRef>
              <c:f>Sheet1!$E$3:$E$8</c:f>
              <c:numCache>
                <c:formatCode>0%</c:formatCode>
                <c:ptCount val="6"/>
                <c:pt idx="0">
                  <c:v>0.4</c:v>
                </c:pt>
                <c:pt idx="1">
                  <c:v>0.42</c:v>
                </c:pt>
                <c:pt idx="2">
                  <c:v>0.08</c:v>
                </c:pt>
                <c:pt idx="3">
                  <c:v>0.08</c:v>
                </c:pt>
                <c:pt idx="4">
                  <c:v>0.01</c:v>
                </c:pt>
                <c:pt idx="5">
                  <c:v>0.01</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solidFill>
        <a:schemeClr val="accent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9540-F126-4459-8216-70278824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9096</Words>
  <Characters>5185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Ilze.Osa@em.gov.lv</dc:creator>
  <cp:lastModifiedBy>Ilze Oša</cp:lastModifiedBy>
  <cp:revision>25</cp:revision>
  <cp:lastPrinted>2014-11-14T14:08:00Z</cp:lastPrinted>
  <dcterms:created xsi:type="dcterms:W3CDTF">2014-11-11T12:42:00Z</dcterms:created>
  <dcterms:modified xsi:type="dcterms:W3CDTF">2014-11-19T06:05:00Z</dcterms:modified>
</cp:coreProperties>
</file>