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F12" w:rsidRPr="005E02F0" w:rsidRDefault="00593F12" w:rsidP="00593F12">
      <w:pPr>
        <w:pStyle w:val="ListParagraph"/>
        <w:ind w:left="0" w:firstLine="0"/>
        <w:jc w:val="center"/>
        <w:rPr>
          <w:b/>
          <w:szCs w:val="28"/>
        </w:rPr>
      </w:pPr>
      <w:r w:rsidRPr="005E02F0">
        <w:rPr>
          <w:b/>
          <w:szCs w:val="28"/>
        </w:rPr>
        <w:t>Informatīvais ziņojums</w:t>
      </w:r>
    </w:p>
    <w:p w:rsidR="00593F12" w:rsidRPr="005E02F0" w:rsidRDefault="00593F12" w:rsidP="00593F12">
      <w:pPr>
        <w:pStyle w:val="ListParagraph"/>
        <w:ind w:left="0" w:firstLine="0"/>
        <w:jc w:val="center"/>
        <w:rPr>
          <w:b/>
          <w:szCs w:val="28"/>
        </w:rPr>
      </w:pPr>
      <w:r w:rsidRPr="005E02F0">
        <w:rPr>
          <w:b/>
          <w:szCs w:val="28"/>
        </w:rPr>
        <w:t>par Būvniecības valsts kontroles biroja izveidei</w:t>
      </w:r>
    </w:p>
    <w:p w:rsidR="00593F12" w:rsidRPr="005E02F0" w:rsidRDefault="00593F12" w:rsidP="00593F12">
      <w:pPr>
        <w:pStyle w:val="ListParagraph"/>
        <w:ind w:left="0" w:firstLine="0"/>
        <w:jc w:val="center"/>
        <w:rPr>
          <w:b/>
          <w:szCs w:val="28"/>
        </w:rPr>
      </w:pPr>
      <w:r w:rsidRPr="005E02F0">
        <w:rPr>
          <w:b/>
          <w:szCs w:val="28"/>
        </w:rPr>
        <w:t>un uzdevumu izpildei nepieciešamajiem pasākumiem un finansējumu</w:t>
      </w:r>
    </w:p>
    <w:p w:rsidR="00593F12" w:rsidRPr="005E02F0" w:rsidRDefault="00593F12" w:rsidP="00593F12">
      <w:pPr>
        <w:pStyle w:val="ListParagraph"/>
        <w:ind w:left="0" w:firstLine="567"/>
        <w:rPr>
          <w:szCs w:val="28"/>
        </w:rPr>
      </w:pPr>
    </w:p>
    <w:p w:rsidR="00593F12" w:rsidRPr="005E02F0" w:rsidRDefault="00593F12" w:rsidP="00593F12">
      <w:pPr>
        <w:pStyle w:val="ListParagraph"/>
        <w:ind w:left="0" w:firstLine="567"/>
        <w:rPr>
          <w:szCs w:val="28"/>
        </w:rPr>
      </w:pPr>
      <w:r w:rsidRPr="005E02F0">
        <w:rPr>
          <w:szCs w:val="28"/>
        </w:rPr>
        <w:t xml:space="preserve">Ministru kabineta 2013.gada 3.decembra sēdē (prot.Nr.64, 41.§, TA-3559) tika skatīts Ekonomikas ministrijas iesniegtais informatīvais ziņojums „Par pasākumiem sabiedriski nozīmīgu ēku būvniecībā un konceptuāliem jautājumiem nākotnes darbībā”, kurā Ekonomikas ministrija informēja par progresu konceptuālo darbības virzienu izpildē. Plānotie darbības virzieni tika iezīmēti jau Ministru kabineta 2013.gada 26.novembra sēdē (prot.Nr.63, 33.§) skatītajā informatīvajā ziņojumā. Kā uzdevums tika noteikts valsts līmeņa kontroles sistēmas izveide. Ņemot vērā minēto Ekonomikas ministrija sagatavoja priekšlikumu par darbību sarakstu būvniecības valsts kontroles nodrošināšanai. Viens no priekšlikumiem paredzēja izveidot </w:t>
      </w:r>
      <w:r w:rsidRPr="005E02F0">
        <w:rPr>
          <w:b/>
          <w:i/>
          <w:szCs w:val="28"/>
        </w:rPr>
        <w:t>Būvniecības valsts kontroles biroju (turpmāk – Birojs)</w:t>
      </w:r>
      <w:r w:rsidRPr="005E02F0">
        <w:rPr>
          <w:szCs w:val="28"/>
        </w:rPr>
        <w:t>, kura kompetencē ietilptu noteiktu būvju pieņemšana ekspluatācijā, kā arī jau ekspluatācijā nodoto būvju drošības pārraudzība.</w:t>
      </w:r>
    </w:p>
    <w:p w:rsidR="00593F12" w:rsidRPr="005E02F0" w:rsidRDefault="00593F12" w:rsidP="00593F12">
      <w:pPr>
        <w:pStyle w:val="Style"/>
        <w:ind w:firstLine="567"/>
        <w:jc w:val="both"/>
        <w:rPr>
          <w:sz w:val="28"/>
          <w:szCs w:val="28"/>
        </w:rPr>
      </w:pPr>
      <w:r w:rsidRPr="005E02F0">
        <w:rPr>
          <w:sz w:val="28"/>
          <w:szCs w:val="28"/>
        </w:rPr>
        <w:t>Lai nodrošinātu Ministru kabineta 2013.gada 3.decembra sēdē dotā uzdevuma izpildi, Ekonomikas ministrija Saeimā iesniedza priekšlikumus par grozījumiem Būvniecības likumā (Saeimā 3.lasījumā pieņemts 2013.gada 9.jūlijā un nav stājies spēkā ), kas paredz Biroja izveidi. Saskaņā ar ministrijas sagatavotajiem priekšlikumiem plānots nodalīt biroja un pašvaldību būvvaldes kompetenci, tādējādi neatkārtojot sistēmu, kāda tā bija laika periodā līdz 2009.gadam, kad būvniecības publisko uzraudzību veica gan pašvaldības, gan Valsts būvinspekcija un tika konstatēts, ka būvniecības uzraudzībā pastāv uzdevumu un kompetenču dublēšana.</w:t>
      </w:r>
    </w:p>
    <w:p w:rsidR="00593F12" w:rsidRPr="005E02F0" w:rsidRDefault="00593F12" w:rsidP="00593F12">
      <w:pPr>
        <w:pStyle w:val="Style"/>
        <w:ind w:firstLine="567"/>
        <w:jc w:val="both"/>
        <w:rPr>
          <w:sz w:val="28"/>
          <w:szCs w:val="28"/>
        </w:rPr>
      </w:pPr>
      <w:r w:rsidRPr="005E02F0">
        <w:rPr>
          <w:sz w:val="28"/>
          <w:szCs w:val="28"/>
        </w:rPr>
        <w:t xml:space="preserve">Saeima 2013.gada 5.decembra sēdē atbalstīja ministrijas iesniegtos priekšlikumus, ko Tautsaimniecības, agrārās, vides un reģionālās komisija virzīja kā likumprojektu „Grozījums Būvniecības likumā” 1.lasījumā (Saeimas reģ.Nr.1020/Lp11) un nodeva to </w:t>
      </w:r>
      <w:r w:rsidRPr="005E02F0">
        <w:rPr>
          <w:sz w:val="28"/>
          <w:szCs w:val="28"/>
          <w:lang w:eastAsia="lv-LV"/>
        </w:rPr>
        <w:t xml:space="preserve">Tautsaimniecības, agrārās, vides un reģionālās politikas </w:t>
      </w:r>
      <w:r w:rsidRPr="005E02F0">
        <w:rPr>
          <w:sz w:val="28"/>
          <w:szCs w:val="28"/>
        </w:rPr>
        <w:t xml:space="preserve">komisijai turpmākam darbam. </w:t>
      </w:r>
    </w:p>
    <w:p w:rsidR="00593F12" w:rsidRPr="005E02F0" w:rsidRDefault="00593F12" w:rsidP="00593F12">
      <w:pPr>
        <w:spacing w:before="0" w:after="0" w:line="240" w:lineRule="auto"/>
        <w:ind w:firstLine="567"/>
        <w:rPr>
          <w:sz w:val="28"/>
          <w:szCs w:val="28"/>
          <w:lang w:val="lv-LV"/>
        </w:rPr>
      </w:pPr>
      <w:bookmarkStart w:id="0" w:name="p-177901"/>
      <w:bookmarkStart w:id="1" w:name="p135"/>
      <w:bookmarkEnd w:id="0"/>
      <w:bookmarkEnd w:id="1"/>
      <w:r w:rsidRPr="005E02F0">
        <w:rPr>
          <w:sz w:val="28"/>
          <w:szCs w:val="28"/>
          <w:lang w:val="lv-LV"/>
        </w:rPr>
        <w:t>Saeima 2014.gada 24.aprīļa sēdē steidzamības kārtībā, 2.lasījumā pieņēma likumprojektu „Grozījumi Būvniecības likumā” (Nr.1126/Lp11). Likumprojekts stājās spēkā šā gada 1.maijā. Attiecīgi grozījumi Būvniecības likumā nosaka, ka par būvniecības nozari atbildīgās ministrijas padotībā ir birojs, kas likumā un Ministru kabineta noteikumos paredzētajos gadījumos veic būvdarbu valsts kontroli un būvju ekspluatācijas uzraudzību, organizē ekspertīzes un piešķir patstāvīgās prakses tiesības būvekspertīzes veikšanai, kā arī veic šīs specialitātes patstāvīgās prakses uzraudzību.</w:t>
      </w:r>
    </w:p>
    <w:p w:rsidR="00593F12" w:rsidRPr="005E02F0" w:rsidRDefault="00593F12" w:rsidP="00593F12">
      <w:pPr>
        <w:tabs>
          <w:tab w:val="right" w:pos="0"/>
        </w:tabs>
        <w:spacing w:before="0" w:after="0" w:line="240" w:lineRule="auto"/>
        <w:ind w:firstLine="567"/>
        <w:rPr>
          <w:sz w:val="28"/>
          <w:szCs w:val="28"/>
          <w:lang w:val="lv-LV"/>
        </w:rPr>
      </w:pPr>
      <w:r w:rsidRPr="005E02F0">
        <w:rPr>
          <w:sz w:val="28"/>
          <w:szCs w:val="28"/>
          <w:lang w:val="lv-LV"/>
        </w:rPr>
        <w:t xml:space="preserve">Likumā ir noteikta biroja </w:t>
      </w:r>
      <w:r w:rsidRPr="005E02F0">
        <w:rPr>
          <w:b/>
          <w:i/>
          <w:sz w:val="28"/>
          <w:szCs w:val="28"/>
          <w:lang w:val="lv-LV"/>
        </w:rPr>
        <w:t xml:space="preserve">kompetence, </w:t>
      </w:r>
      <w:proofErr w:type="spellStart"/>
      <w:r w:rsidRPr="005E02F0">
        <w:rPr>
          <w:b/>
          <w:i/>
          <w:sz w:val="28"/>
          <w:szCs w:val="28"/>
          <w:lang w:val="lv-LV"/>
        </w:rPr>
        <w:t>t.i</w:t>
      </w:r>
      <w:proofErr w:type="spellEnd"/>
      <w:r w:rsidRPr="005E02F0">
        <w:rPr>
          <w:b/>
          <w:i/>
          <w:sz w:val="28"/>
          <w:szCs w:val="28"/>
          <w:lang w:val="lv-LV"/>
        </w:rPr>
        <w:t>.</w:t>
      </w:r>
      <w:r w:rsidRPr="005E02F0">
        <w:rPr>
          <w:sz w:val="28"/>
          <w:szCs w:val="28"/>
          <w:lang w:val="lv-LV"/>
        </w:rPr>
        <w:t>:</w:t>
      </w:r>
    </w:p>
    <w:p w:rsidR="00593F12" w:rsidRPr="005E02F0" w:rsidRDefault="00593F12" w:rsidP="00593F12">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1)</w:t>
      </w:r>
      <w:r w:rsidRPr="005E02F0">
        <w:rPr>
          <w:color w:val="000000"/>
          <w:sz w:val="28"/>
          <w:szCs w:val="28"/>
          <w:lang w:val="lv-LV" w:eastAsia="lv-LV"/>
        </w:rPr>
        <w:tab/>
        <w:t>nodrošina būvdarbu valsts kontroli, veicot šādu būvju būvdarbu kontroli un pieņemšanu ekspluatācijā:</w:t>
      </w:r>
    </w:p>
    <w:p w:rsidR="00593F12" w:rsidRPr="005E02F0" w:rsidRDefault="00593F12" w:rsidP="00EF028C">
      <w:pPr>
        <w:widowControl/>
        <w:tabs>
          <w:tab w:val="left" w:pos="1134"/>
        </w:tabs>
        <w:spacing w:before="0" w:after="0" w:line="240" w:lineRule="auto"/>
        <w:ind w:left="1134" w:hanging="567"/>
        <w:rPr>
          <w:color w:val="000000"/>
          <w:sz w:val="28"/>
          <w:szCs w:val="28"/>
          <w:lang w:val="lv-LV" w:eastAsia="lv-LV"/>
        </w:rPr>
      </w:pPr>
      <w:r w:rsidRPr="005E02F0">
        <w:rPr>
          <w:color w:val="000000"/>
          <w:sz w:val="28"/>
          <w:szCs w:val="28"/>
          <w:lang w:val="lv-LV" w:eastAsia="lv-LV"/>
        </w:rPr>
        <w:lastRenderedPageBreak/>
        <w:t>a)</w:t>
      </w:r>
      <w:r w:rsidRPr="005E02F0">
        <w:rPr>
          <w:color w:val="000000"/>
          <w:sz w:val="28"/>
          <w:szCs w:val="28"/>
          <w:lang w:val="lv-LV" w:eastAsia="lv-LV"/>
        </w:rPr>
        <w:tab/>
        <w:t>tādu jaunu publisku ēku būvniecību un pārbūvi, kurās paredzēts vienlaikus uzturēties vairāk nekā 100 cilvēkiem (turpmāk - publiska ēka),</w:t>
      </w:r>
    </w:p>
    <w:p w:rsidR="00593F12" w:rsidRPr="005E02F0" w:rsidRDefault="00593F12" w:rsidP="00EF028C">
      <w:pPr>
        <w:widowControl/>
        <w:tabs>
          <w:tab w:val="left" w:pos="1134"/>
        </w:tabs>
        <w:spacing w:before="0" w:after="0" w:line="240" w:lineRule="auto"/>
        <w:ind w:left="1134" w:hanging="567"/>
        <w:rPr>
          <w:color w:val="000000"/>
          <w:sz w:val="28"/>
          <w:szCs w:val="28"/>
          <w:lang w:val="lv-LV" w:eastAsia="lv-LV"/>
        </w:rPr>
      </w:pPr>
      <w:r w:rsidRPr="005E02F0">
        <w:rPr>
          <w:color w:val="000000"/>
          <w:sz w:val="28"/>
          <w:szCs w:val="28"/>
          <w:lang w:val="lv-LV" w:eastAsia="lv-LV"/>
        </w:rPr>
        <w:t>b)</w:t>
      </w:r>
      <w:r w:rsidRPr="005E02F0">
        <w:rPr>
          <w:color w:val="000000"/>
          <w:sz w:val="28"/>
          <w:szCs w:val="28"/>
          <w:lang w:val="lv-LV" w:eastAsia="lv-LV"/>
        </w:rPr>
        <w:tab/>
        <w:t>būves, kuru paredzētajai būvniecībai atbilstoši likuma “Par ietekmes uz vidi novērtēšanu” 4.panta pirmās daļas 1.punktam piemērota ietekmes uz vidi novērtējuma procedūra,</w:t>
      </w:r>
    </w:p>
    <w:p w:rsidR="00593F12" w:rsidRPr="005E02F0" w:rsidRDefault="00593F12" w:rsidP="00EF028C">
      <w:pPr>
        <w:widowControl/>
        <w:tabs>
          <w:tab w:val="left" w:pos="1134"/>
        </w:tabs>
        <w:spacing w:before="0" w:after="0" w:line="240" w:lineRule="auto"/>
        <w:ind w:left="1134" w:hanging="567"/>
        <w:rPr>
          <w:color w:val="000000"/>
          <w:sz w:val="28"/>
          <w:szCs w:val="28"/>
          <w:lang w:val="lv-LV" w:eastAsia="lv-LV"/>
        </w:rPr>
      </w:pPr>
      <w:r w:rsidRPr="005E02F0">
        <w:rPr>
          <w:color w:val="000000"/>
          <w:sz w:val="28"/>
          <w:szCs w:val="28"/>
          <w:lang w:val="lv-LV" w:eastAsia="lv-LV"/>
        </w:rPr>
        <w:t>c)</w:t>
      </w:r>
      <w:r w:rsidRPr="005E02F0">
        <w:rPr>
          <w:color w:val="000000"/>
          <w:sz w:val="28"/>
          <w:szCs w:val="28"/>
          <w:lang w:val="lv-LV" w:eastAsia="lv-LV"/>
        </w:rPr>
        <w:tab/>
        <w:t xml:space="preserve">jaunas būves vai esošu būvju pārbūves, kuru ieceres iesniedzējs ir pašvaldība, ja publisku būvdarbu līguma līgumcena ir 1,5 miljoni </w:t>
      </w:r>
      <w:proofErr w:type="spellStart"/>
      <w:r w:rsidRPr="005E02F0">
        <w:rPr>
          <w:i/>
          <w:iCs/>
          <w:color w:val="000000"/>
          <w:sz w:val="28"/>
          <w:szCs w:val="28"/>
          <w:lang w:val="lv-LV" w:eastAsia="lv-LV"/>
        </w:rPr>
        <w:t>euro</w:t>
      </w:r>
      <w:proofErr w:type="spellEnd"/>
      <w:r w:rsidRPr="005E02F0">
        <w:rPr>
          <w:color w:val="000000"/>
          <w:sz w:val="28"/>
          <w:szCs w:val="28"/>
          <w:lang w:val="lv-LV" w:eastAsia="lv-LV"/>
        </w:rPr>
        <w:t xml:space="preserve"> vai lielāka;</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2)</w:t>
      </w:r>
      <w:r w:rsidRPr="005E02F0">
        <w:rPr>
          <w:color w:val="000000"/>
          <w:sz w:val="28"/>
          <w:szCs w:val="28"/>
          <w:lang w:val="lv-LV" w:eastAsia="lv-LV"/>
        </w:rPr>
        <w:tab/>
        <w:t>nodrošina publisku ēku ekspluatācijas uzraudzību;</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3)</w:t>
      </w:r>
      <w:r w:rsidRPr="005E02F0">
        <w:rPr>
          <w:color w:val="000000"/>
          <w:sz w:val="28"/>
          <w:szCs w:val="28"/>
          <w:lang w:val="lv-LV" w:eastAsia="lv-LV"/>
        </w:rPr>
        <w:tab/>
        <w:t>nodrošina būvniecības informācijas sistēmā iekļautās informācijas pieejamību;</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4)</w:t>
      </w:r>
      <w:r w:rsidRPr="005E02F0">
        <w:rPr>
          <w:color w:val="000000"/>
          <w:sz w:val="28"/>
          <w:szCs w:val="28"/>
          <w:lang w:val="lv-LV" w:eastAsia="lv-LV"/>
        </w:rPr>
        <w:tab/>
        <w:t>organizē būvprojektu un būvju ekspertīzi:</w:t>
      </w:r>
    </w:p>
    <w:p w:rsidR="00593F12" w:rsidRPr="005E02F0" w:rsidRDefault="00593F12" w:rsidP="00EF028C">
      <w:pPr>
        <w:widowControl/>
        <w:tabs>
          <w:tab w:val="left" w:pos="1134"/>
        </w:tabs>
        <w:spacing w:before="0" w:after="0" w:line="240" w:lineRule="auto"/>
        <w:ind w:left="1134" w:hanging="567"/>
        <w:rPr>
          <w:color w:val="000000"/>
          <w:sz w:val="28"/>
          <w:szCs w:val="28"/>
          <w:lang w:val="lv-LV" w:eastAsia="lv-LV"/>
        </w:rPr>
      </w:pPr>
      <w:r w:rsidRPr="005E02F0">
        <w:rPr>
          <w:color w:val="000000"/>
          <w:sz w:val="28"/>
          <w:szCs w:val="28"/>
          <w:lang w:val="lv-LV" w:eastAsia="lv-LV"/>
        </w:rPr>
        <w:t>a)</w:t>
      </w:r>
      <w:r w:rsidRPr="005E02F0">
        <w:rPr>
          <w:color w:val="000000"/>
          <w:sz w:val="28"/>
          <w:szCs w:val="28"/>
          <w:lang w:val="lv-LV" w:eastAsia="lv-LV"/>
        </w:rPr>
        <w:tab/>
        <w:t>gadījumos, kad būvniecības pasūtītājs ir publisko tiesību juridiskā persona vai tās institūcija,</w:t>
      </w:r>
    </w:p>
    <w:p w:rsidR="00593F12" w:rsidRPr="005E02F0" w:rsidRDefault="00593F12" w:rsidP="00EF028C">
      <w:pPr>
        <w:widowControl/>
        <w:tabs>
          <w:tab w:val="left" w:pos="1134"/>
        </w:tabs>
        <w:spacing w:before="0" w:after="0" w:line="240" w:lineRule="auto"/>
        <w:ind w:left="1134" w:hanging="567"/>
        <w:rPr>
          <w:color w:val="000000"/>
          <w:sz w:val="28"/>
          <w:szCs w:val="28"/>
          <w:lang w:val="lv-LV" w:eastAsia="lv-LV"/>
        </w:rPr>
      </w:pPr>
      <w:r w:rsidRPr="005E02F0">
        <w:rPr>
          <w:color w:val="000000"/>
          <w:sz w:val="28"/>
          <w:szCs w:val="28"/>
          <w:lang w:val="lv-LV" w:eastAsia="lv-LV"/>
        </w:rPr>
        <w:t>b)</w:t>
      </w:r>
      <w:r w:rsidRPr="005E02F0">
        <w:rPr>
          <w:color w:val="000000"/>
          <w:sz w:val="28"/>
          <w:szCs w:val="28"/>
          <w:lang w:val="lv-LV" w:eastAsia="lv-LV"/>
        </w:rPr>
        <w:tab/>
        <w:t>gadījumos, kad starp būvniecības procesa dalībniekiem ir strīds un nepieciešams neatkarīgas būvprojekta vai būves ekspertīzes atzinums;</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5)</w:t>
      </w:r>
      <w:r w:rsidRPr="005E02F0">
        <w:rPr>
          <w:color w:val="000000"/>
          <w:sz w:val="28"/>
          <w:szCs w:val="28"/>
          <w:lang w:val="lv-LV" w:eastAsia="lv-LV"/>
        </w:rPr>
        <w:tab/>
        <w:t xml:space="preserve">informē kompetences pārbaudes iestādes par </w:t>
      </w:r>
      <w:proofErr w:type="spellStart"/>
      <w:r w:rsidRPr="005E02F0">
        <w:rPr>
          <w:color w:val="000000"/>
          <w:sz w:val="28"/>
          <w:szCs w:val="28"/>
          <w:lang w:val="lv-LV" w:eastAsia="lv-LV"/>
        </w:rPr>
        <w:t>būvspeciālistu</w:t>
      </w:r>
      <w:proofErr w:type="spellEnd"/>
      <w:r w:rsidRPr="005E02F0">
        <w:rPr>
          <w:color w:val="000000"/>
          <w:sz w:val="28"/>
          <w:szCs w:val="28"/>
          <w:lang w:val="lv-LV" w:eastAsia="lv-LV"/>
        </w:rPr>
        <w:t xml:space="preserve"> profesionālās darbības pārkāpumiem;</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6)</w:t>
      </w:r>
      <w:r w:rsidRPr="005E02F0">
        <w:rPr>
          <w:color w:val="000000"/>
          <w:sz w:val="28"/>
          <w:szCs w:val="28"/>
          <w:lang w:val="lv-LV" w:eastAsia="lv-LV"/>
        </w:rPr>
        <w:tab/>
        <w:t>nodrošina metodisku palīdzību savas kompetences jautājumos;</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7)</w:t>
      </w:r>
      <w:r w:rsidRPr="005E02F0">
        <w:rPr>
          <w:color w:val="000000"/>
          <w:sz w:val="28"/>
          <w:szCs w:val="28"/>
          <w:lang w:val="lv-LV" w:eastAsia="lv-LV"/>
        </w:rPr>
        <w:tab/>
        <w:t xml:space="preserve">organizē būvniecības procesā iesaistīto uzraudzības un kontroles iestāžu un nevalstisko organizāciju sadarbību, lai veicinātu </w:t>
      </w:r>
      <w:proofErr w:type="spellStart"/>
      <w:r w:rsidRPr="005E02F0">
        <w:rPr>
          <w:color w:val="000000"/>
          <w:sz w:val="28"/>
          <w:szCs w:val="28"/>
          <w:lang w:val="lv-LV" w:eastAsia="lv-LV"/>
        </w:rPr>
        <w:t>būvspeciālistu</w:t>
      </w:r>
      <w:proofErr w:type="spellEnd"/>
      <w:r w:rsidRPr="005E02F0">
        <w:rPr>
          <w:color w:val="000000"/>
          <w:sz w:val="28"/>
          <w:szCs w:val="28"/>
          <w:lang w:val="lv-LV" w:eastAsia="lv-LV"/>
        </w:rPr>
        <w:t xml:space="preserve"> profesionālās kompetences paaugstināšanu;</w:t>
      </w:r>
    </w:p>
    <w:p w:rsidR="00593F12" w:rsidRPr="005E02F0" w:rsidRDefault="00593F12" w:rsidP="00EF028C">
      <w:pPr>
        <w:widowControl/>
        <w:tabs>
          <w:tab w:val="left" w:pos="1134"/>
        </w:tabs>
        <w:spacing w:before="0" w:after="0" w:line="240" w:lineRule="auto"/>
        <w:ind w:firstLine="567"/>
        <w:rPr>
          <w:color w:val="000000"/>
          <w:sz w:val="28"/>
          <w:szCs w:val="28"/>
          <w:lang w:val="lv-LV" w:eastAsia="lv-LV"/>
        </w:rPr>
      </w:pPr>
      <w:r w:rsidRPr="005E02F0">
        <w:rPr>
          <w:color w:val="000000"/>
          <w:sz w:val="28"/>
          <w:szCs w:val="28"/>
          <w:lang w:val="lv-LV" w:eastAsia="lv-LV"/>
        </w:rPr>
        <w:t>8)</w:t>
      </w:r>
      <w:r w:rsidRPr="005E02F0">
        <w:rPr>
          <w:color w:val="000000"/>
          <w:sz w:val="28"/>
          <w:szCs w:val="28"/>
          <w:lang w:val="lv-LV" w:eastAsia="lv-LV"/>
        </w:rPr>
        <w:tab/>
        <w:t>izskata iesniegumus un sūdzības par būtiskiem normatīvo aktu pārkāpumiem būvniecības procesā vai arī gadījumos, kad būve ir radījusi vai var radīt bīstamību vai būtisku kaitējumu personu dzīvībai, veselībai, īpašumam vai videi. Birojā nevar apstrīdēt valsts un pašvaldību institūciju administratīvos aktus, kuri izdoti saskaņā ar šo likumu.</w:t>
      </w:r>
    </w:p>
    <w:p w:rsidR="00593F12" w:rsidRPr="005E02F0" w:rsidRDefault="00593F12" w:rsidP="00593F12">
      <w:pPr>
        <w:widowControl/>
        <w:spacing w:before="0" w:after="0" w:line="240" w:lineRule="auto"/>
        <w:ind w:firstLine="567"/>
        <w:rPr>
          <w:color w:val="000000"/>
          <w:sz w:val="28"/>
          <w:szCs w:val="28"/>
          <w:lang w:val="lv-LV" w:eastAsia="lv-LV"/>
        </w:rPr>
      </w:pPr>
      <w:r w:rsidRPr="005E02F0">
        <w:rPr>
          <w:color w:val="000000"/>
          <w:sz w:val="28"/>
          <w:szCs w:val="28"/>
          <w:lang w:val="lv-LV" w:eastAsia="lv-LV"/>
        </w:rPr>
        <w:t>Būvdarbu valsts kontroli un būvju ekspluatācijas uzraudzību veic birojā nodarbināti būvinspektori - personas, kuras ir reģistrētas būvinspektoru reģistrā.</w:t>
      </w:r>
    </w:p>
    <w:p w:rsidR="00593F12" w:rsidRPr="005E02F0" w:rsidRDefault="00593F12" w:rsidP="00593F12">
      <w:pPr>
        <w:widowControl/>
        <w:spacing w:before="0" w:after="0" w:line="240" w:lineRule="auto"/>
        <w:ind w:firstLine="567"/>
        <w:rPr>
          <w:color w:val="000000"/>
          <w:sz w:val="28"/>
          <w:szCs w:val="28"/>
          <w:lang w:val="lv-LV" w:eastAsia="lv-LV"/>
        </w:rPr>
      </w:pPr>
      <w:r w:rsidRPr="005E02F0">
        <w:rPr>
          <w:color w:val="000000"/>
          <w:sz w:val="28"/>
          <w:szCs w:val="28"/>
          <w:lang w:val="lv-LV" w:eastAsia="lv-LV"/>
        </w:rPr>
        <w:t xml:space="preserve">Vienlaikus Būvniecības likumā ir noteikts, ka </w:t>
      </w:r>
      <w:r w:rsidRPr="005E02F0">
        <w:rPr>
          <w:sz w:val="28"/>
          <w:szCs w:val="28"/>
          <w:lang w:val="lv-LV"/>
        </w:rPr>
        <w:t xml:space="preserve">likuma regulējums par Biroja statusu un kompetenci stājas spēkā saskaņā ar šā likuma grozījumiem, kas likumā noteiks kārtību, kādā birojs piešķir patstāvīgās prakses tiesības, īsteno būvdarbu valsts kontroli, būvju ekspluatācijas uzraudzību un citus ar biroja darbību saistītus jautājumus. </w:t>
      </w:r>
    </w:p>
    <w:p w:rsidR="00593F12" w:rsidRPr="005E02F0" w:rsidRDefault="00593F12" w:rsidP="00593F12">
      <w:pPr>
        <w:widowControl/>
        <w:spacing w:before="0" w:after="0" w:line="240" w:lineRule="auto"/>
        <w:ind w:firstLine="567"/>
        <w:rPr>
          <w:sz w:val="28"/>
          <w:szCs w:val="28"/>
          <w:lang w:val="lv-LV" w:eastAsia="lv-LV"/>
        </w:rPr>
      </w:pPr>
      <w:r w:rsidRPr="005E02F0">
        <w:rPr>
          <w:sz w:val="28"/>
          <w:szCs w:val="28"/>
          <w:lang w:val="lv-LV"/>
        </w:rPr>
        <w:t xml:space="preserve">Nepieciešamie grozījumi Būvniecības likumā par kārtību kādā birojs piešķir patstāvīgās prakses tiesības, īsteno būvdarbu valsts kontroli, būvju ekspluatācijas uzraudzību un citus ar biroja darbību saistītus jautājums tika iekļauti likumprojektā „Grozījums Būvniecības likumā” (Nr.1020/Lp11). Atbildīgā komisija pabeidza darbu pie likumprojekta „Grozījums Būvniecības likumā” (Nr.1020/Lp11) un Saeimas </w:t>
      </w:r>
      <w:r w:rsidR="00DF6A0F" w:rsidRPr="005E02F0">
        <w:rPr>
          <w:sz w:val="28"/>
          <w:szCs w:val="28"/>
          <w:lang w:val="lv-LV"/>
        </w:rPr>
        <w:t xml:space="preserve">attiecīgos grozījumus pieņēma </w:t>
      </w:r>
      <w:r w:rsidRPr="005E02F0">
        <w:rPr>
          <w:sz w:val="28"/>
          <w:szCs w:val="28"/>
          <w:lang w:val="lv-LV"/>
        </w:rPr>
        <w:t>2014.gada 3.jūlijā. Likum</w:t>
      </w:r>
      <w:r w:rsidR="00DF6A0F" w:rsidRPr="005E02F0">
        <w:rPr>
          <w:sz w:val="28"/>
          <w:szCs w:val="28"/>
          <w:lang w:val="lv-LV"/>
        </w:rPr>
        <w:t>s</w:t>
      </w:r>
      <w:r w:rsidRPr="005E02F0">
        <w:rPr>
          <w:sz w:val="28"/>
          <w:szCs w:val="28"/>
          <w:lang w:val="lv-LV"/>
        </w:rPr>
        <w:t xml:space="preserve"> </w:t>
      </w:r>
      <w:r w:rsidR="00DF6A0F" w:rsidRPr="005E02F0">
        <w:rPr>
          <w:sz w:val="28"/>
          <w:szCs w:val="28"/>
          <w:lang w:val="lv-LV"/>
        </w:rPr>
        <w:t xml:space="preserve">„Grozījums Būvniecības likumā” </w:t>
      </w:r>
      <w:r w:rsidRPr="005E02F0">
        <w:rPr>
          <w:sz w:val="28"/>
          <w:szCs w:val="28"/>
          <w:lang w:val="lv-LV"/>
        </w:rPr>
        <w:t>nosaka biroja darbību, līdz ar to izpildot Būvniecības likuma pārejas noteikumu 10.punktā noteikto</w:t>
      </w:r>
      <w:r w:rsidRPr="005E02F0">
        <w:rPr>
          <w:sz w:val="28"/>
          <w:szCs w:val="28"/>
          <w:lang w:val="lv-LV" w:eastAsia="lv-LV"/>
        </w:rPr>
        <w:t>.</w:t>
      </w:r>
    </w:p>
    <w:p w:rsidR="00EF028C" w:rsidRPr="005E02F0" w:rsidRDefault="00EF028C" w:rsidP="00593F12">
      <w:pPr>
        <w:pStyle w:val="excerpt"/>
        <w:spacing w:before="0" w:beforeAutospacing="0" w:after="0" w:afterAutospacing="0"/>
        <w:ind w:firstLine="567"/>
        <w:jc w:val="both"/>
        <w:rPr>
          <w:sz w:val="28"/>
          <w:szCs w:val="28"/>
        </w:rPr>
      </w:pPr>
    </w:p>
    <w:p w:rsidR="00593F12" w:rsidRPr="005E02F0" w:rsidRDefault="00DF6A0F" w:rsidP="00593F12">
      <w:pPr>
        <w:pStyle w:val="excerpt"/>
        <w:spacing w:before="0" w:beforeAutospacing="0" w:after="0" w:afterAutospacing="0"/>
        <w:ind w:firstLine="567"/>
        <w:jc w:val="both"/>
        <w:rPr>
          <w:sz w:val="28"/>
          <w:szCs w:val="28"/>
        </w:rPr>
      </w:pPr>
      <w:r w:rsidRPr="005E02F0">
        <w:rPr>
          <w:sz w:val="28"/>
          <w:szCs w:val="28"/>
        </w:rPr>
        <w:lastRenderedPageBreak/>
        <w:t>P</w:t>
      </w:r>
      <w:r w:rsidR="00593F12" w:rsidRPr="005E02F0">
        <w:rPr>
          <w:sz w:val="28"/>
          <w:szCs w:val="28"/>
        </w:rPr>
        <w:t xml:space="preserve">aredzēts, ka birojs ar 2014.gada 1.oktobri uzsāk pildīt tikai daļu no tam noteiktajiem uzdevumiem, </w:t>
      </w:r>
      <w:proofErr w:type="spellStart"/>
      <w:r w:rsidR="00593F12" w:rsidRPr="005E02F0">
        <w:rPr>
          <w:sz w:val="28"/>
          <w:szCs w:val="28"/>
        </w:rPr>
        <w:t>t.i</w:t>
      </w:r>
      <w:proofErr w:type="spellEnd"/>
      <w:r w:rsidR="00593F12" w:rsidRPr="005E02F0">
        <w:rPr>
          <w:sz w:val="28"/>
          <w:szCs w:val="28"/>
        </w:rPr>
        <w:t>.:</w:t>
      </w:r>
    </w:p>
    <w:p w:rsidR="00593F12" w:rsidRPr="005E02F0" w:rsidRDefault="00593F12" w:rsidP="00EF028C">
      <w:pPr>
        <w:pStyle w:val="ListParagraph"/>
        <w:numPr>
          <w:ilvl w:val="0"/>
          <w:numId w:val="3"/>
        </w:numPr>
        <w:tabs>
          <w:tab w:val="left" w:pos="1134"/>
        </w:tabs>
        <w:ind w:left="0" w:firstLine="567"/>
        <w:contextualSpacing w:val="0"/>
        <w:rPr>
          <w:szCs w:val="28"/>
          <w:lang w:eastAsia="lv-LV"/>
        </w:rPr>
      </w:pPr>
      <w:r w:rsidRPr="005E02F0">
        <w:rPr>
          <w:szCs w:val="28"/>
          <w:lang w:eastAsia="lv-LV"/>
        </w:rPr>
        <w:t>Nodrošina būvniecības informācijas sistēmā iekļautās informācijas pieejamību;</w:t>
      </w:r>
    </w:p>
    <w:p w:rsidR="00593F12" w:rsidRPr="005E02F0" w:rsidRDefault="00593F12" w:rsidP="00EF028C">
      <w:pPr>
        <w:pStyle w:val="ListParagraph"/>
        <w:numPr>
          <w:ilvl w:val="0"/>
          <w:numId w:val="3"/>
        </w:numPr>
        <w:tabs>
          <w:tab w:val="left" w:pos="1134"/>
        </w:tabs>
        <w:ind w:left="0" w:firstLine="567"/>
        <w:rPr>
          <w:szCs w:val="28"/>
          <w:lang w:eastAsia="lv-LV"/>
        </w:rPr>
      </w:pPr>
      <w:r w:rsidRPr="005E02F0">
        <w:rPr>
          <w:szCs w:val="28"/>
          <w:lang w:eastAsia="lv-LV"/>
        </w:rPr>
        <w:t>Organizē būvprojektu un būvju ekspertīzi:</w:t>
      </w:r>
    </w:p>
    <w:p w:rsidR="00593F12" w:rsidRPr="005E02F0" w:rsidRDefault="00593F12" w:rsidP="00EF028C">
      <w:pPr>
        <w:pStyle w:val="ListParagraph"/>
        <w:numPr>
          <w:ilvl w:val="0"/>
          <w:numId w:val="4"/>
        </w:numPr>
        <w:ind w:left="1134" w:hanging="567"/>
        <w:contextualSpacing w:val="0"/>
        <w:rPr>
          <w:szCs w:val="28"/>
          <w:lang w:eastAsia="lv-LV"/>
        </w:rPr>
      </w:pPr>
      <w:r w:rsidRPr="005E02F0">
        <w:rPr>
          <w:szCs w:val="28"/>
          <w:lang w:eastAsia="lv-LV"/>
        </w:rPr>
        <w:t>gadījumos, kad būvniecības pasūtītājs ir publisko tiesību juridiskā persona vai tās institūcija,</w:t>
      </w:r>
    </w:p>
    <w:p w:rsidR="00593F12" w:rsidRPr="005E02F0" w:rsidRDefault="00593F12" w:rsidP="00EF028C">
      <w:pPr>
        <w:pStyle w:val="ListParagraph"/>
        <w:numPr>
          <w:ilvl w:val="0"/>
          <w:numId w:val="4"/>
        </w:numPr>
        <w:ind w:left="1134" w:hanging="567"/>
        <w:contextualSpacing w:val="0"/>
        <w:rPr>
          <w:szCs w:val="28"/>
          <w:lang w:eastAsia="lv-LV"/>
        </w:rPr>
      </w:pPr>
      <w:r w:rsidRPr="005E02F0">
        <w:rPr>
          <w:szCs w:val="28"/>
          <w:lang w:eastAsia="lv-LV"/>
        </w:rPr>
        <w:t>gadījumos, kad starp būvniecības procesa dalībniekiem ir strīds un nepieciešams neatkarīgas būvprojekta vai būves ekspertīzes atzinums;</w:t>
      </w:r>
    </w:p>
    <w:p w:rsidR="00593F12" w:rsidRPr="005E02F0" w:rsidRDefault="00593F12" w:rsidP="00EF028C">
      <w:pPr>
        <w:pStyle w:val="ListParagraph"/>
        <w:numPr>
          <w:ilvl w:val="0"/>
          <w:numId w:val="3"/>
        </w:numPr>
        <w:tabs>
          <w:tab w:val="left" w:pos="1134"/>
        </w:tabs>
        <w:ind w:left="0" w:firstLine="567"/>
        <w:contextualSpacing w:val="0"/>
        <w:rPr>
          <w:szCs w:val="28"/>
          <w:lang w:eastAsia="lv-LV"/>
        </w:rPr>
      </w:pPr>
      <w:r w:rsidRPr="005E02F0">
        <w:rPr>
          <w:szCs w:val="28"/>
          <w:lang w:eastAsia="lv-LV"/>
        </w:rPr>
        <w:t xml:space="preserve">Informē kompetences pārbaudes iestādes par </w:t>
      </w:r>
      <w:proofErr w:type="spellStart"/>
      <w:r w:rsidRPr="005E02F0">
        <w:rPr>
          <w:szCs w:val="28"/>
          <w:lang w:eastAsia="lv-LV"/>
        </w:rPr>
        <w:t>būvspeciālistu</w:t>
      </w:r>
      <w:proofErr w:type="spellEnd"/>
      <w:r w:rsidRPr="005E02F0">
        <w:rPr>
          <w:szCs w:val="28"/>
          <w:lang w:eastAsia="lv-LV"/>
        </w:rPr>
        <w:t xml:space="preserve"> profesionālās darbības pārkāpumiem;</w:t>
      </w:r>
    </w:p>
    <w:p w:rsidR="00593F12" w:rsidRPr="005E02F0" w:rsidRDefault="00593F12" w:rsidP="00EF028C">
      <w:pPr>
        <w:pStyle w:val="ListParagraph"/>
        <w:numPr>
          <w:ilvl w:val="0"/>
          <w:numId w:val="3"/>
        </w:numPr>
        <w:tabs>
          <w:tab w:val="left" w:pos="1134"/>
        </w:tabs>
        <w:ind w:left="0" w:firstLine="567"/>
        <w:contextualSpacing w:val="0"/>
        <w:rPr>
          <w:szCs w:val="28"/>
          <w:lang w:eastAsia="lv-LV"/>
        </w:rPr>
      </w:pPr>
      <w:r w:rsidRPr="005E02F0">
        <w:rPr>
          <w:szCs w:val="28"/>
          <w:lang w:eastAsia="lv-LV"/>
        </w:rPr>
        <w:t>Nodrošina metodisku palīdzību savas kompetences jautājumos;</w:t>
      </w:r>
    </w:p>
    <w:p w:rsidR="00593F12" w:rsidRPr="005E02F0" w:rsidRDefault="00593F12" w:rsidP="00EF028C">
      <w:pPr>
        <w:pStyle w:val="ListParagraph"/>
        <w:numPr>
          <w:ilvl w:val="0"/>
          <w:numId w:val="3"/>
        </w:numPr>
        <w:tabs>
          <w:tab w:val="left" w:pos="1134"/>
        </w:tabs>
        <w:ind w:left="0" w:firstLine="567"/>
        <w:contextualSpacing w:val="0"/>
        <w:rPr>
          <w:szCs w:val="28"/>
          <w:lang w:eastAsia="lv-LV"/>
        </w:rPr>
      </w:pPr>
      <w:r w:rsidRPr="005E02F0">
        <w:rPr>
          <w:szCs w:val="28"/>
          <w:lang w:eastAsia="lv-LV"/>
        </w:rPr>
        <w:t xml:space="preserve">Organizē būvniecības procesā iesaistīto uzraudzības un kontroles iestāžu un nevalstisko organizāciju sadarbību, lai veicinātu </w:t>
      </w:r>
      <w:proofErr w:type="spellStart"/>
      <w:r w:rsidRPr="005E02F0">
        <w:rPr>
          <w:szCs w:val="28"/>
          <w:lang w:eastAsia="lv-LV"/>
        </w:rPr>
        <w:t>būvspeciālistu</w:t>
      </w:r>
      <w:proofErr w:type="spellEnd"/>
      <w:r w:rsidRPr="005E02F0">
        <w:rPr>
          <w:szCs w:val="28"/>
          <w:lang w:eastAsia="lv-LV"/>
        </w:rPr>
        <w:t xml:space="preserve"> profesionālās kompetences paaugstināšanu;</w:t>
      </w:r>
    </w:p>
    <w:p w:rsidR="00593F12" w:rsidRPr="005E02F0" w:rsidRDefault="00593F12" w:rsidP="00EF028C">
      <w:pPr>
        <w:pStyle w:val="ListParagraph"/>
        <w:numPr>
          <w:ilvl w:val="0"/>
          <w:numId w:val="3"/>
        </w:numPr>
        <w:tabs>
          <w:tab w:val="left" w:pos="1134"/>
        </w:tabs>
        <w:ind w:left="0" w:firstLine="567"/>
        <w:contextualSpacing w:val="0"/>
        <w:rPr>
          <w:szCs w:val="28"/>
          <w:lang w:eastAsia="lv-LV"/>
        </w:rPr>
      </w:pPr>
      <w:r w:rsidRPr="005E02F0">
        <w:rPr>
          <w:szCs w:val="28"/>
        </w:rPr>
        <w:t>Izskata iesniegumus un sūdzības par būtiskiem normatīvo aktu pārkāpumiem</w:t>
      </w:r>
    </w:p>
    <w:p w:rsidR="00593F12" w:rsidRPr="005E02F0" w:rsidRDefault="00593F12" w:rsidP="00EF028C">
      <w:pPr>
        <w:spacing w:before="0" w:after="0" w:line="240" w:lineRule="auto"/>
        <w:ind w:firstLine="567"/>
        <w:rPr>
          <w:sz w:val="28"/>
          <w:szCs w:val="28"/>
          <w:lang w:val="lv-LV" w:eastAsia="lv-LV"/>
        </w:rPr>
      </w:pPr>
      <w:r w:rsidRPr="005E02F0">
        <w:rPr>
          <w:sz w:val="28"/>
          <w:szCs w:val="28"/>
          <w:lang w:val="lv-LV" w:eastAsia="lv-LV"/>
        </w:rPr>
        <w:t>Ar 2015.gada 1.janvāri papildus iepriekš minētajam Birojs nodrošina publisku ēku (ēkas, kurās paredzēts vienlaikus uzturēties vairāk kā 100 cilvēkiem) ekspluatācijas uzraudzību.</w:t>
      </w:r>
    </w:p>
    <w:p w:rsidR="00593F12" w:rsidRPr="005E02F0" w:rsidRDefault="00593F12" w:rsidP="00593F12">
      <w:pPr>
        <w:spacing w:before="0" w:after="0" w:line="240" w:lineRule="auto"/>
        <w:ind w:firstLine="567"/>
        <w:rPr>
          <w:sz w:val="28"/>
          <w:szCs w:val="28"/>
          <w:lang w:val="lv-LV" w:eastAsia="lv-LV"/>
        </w:rPr>
      </w:pPr>
      <w:r w:rsidRPr="005E02F0">
        <w:rPr>
          <w:sz w:val="28"/>
          <w:szCs w:val="28"/>
          <w:lang w:val="lv-LV" w:eastAsia="lv-LV"/>
        </w:rPr>
        <w:t>Savukārt ar 2015.gada 1.jūliju Birojs nodrošina būvdarbu valsts kontroli, veicot šādu būvju būvdarbu kontroli un pieņemšanu ekspluatācijā:</w:t>
      </w:r>
    </w:p>
    <w:p w:rsidR="00593F12" w:rsidRPr="005E02F0" w:rsidRDefault="00593F12" w:rsidP="00EF028C">
      <w:pPr>
        <w:pStyle w:val="ListParagraph"/>
        <w:numPr>
          <w:ilvl w:val="0"/>
          <w:numId w:val="5"/>
        </w:numPr>
        <w:ind w:left="0" w:firstLine="567"/>
        <w:rPr>
          <w:szCs w:val="28"/>
          <w:lang w:eastAsia="lv-LV"/>
        </w:rPr>
      </w:pPr>
      <w:r w:rsidRPr="005E02F0">
        <w:rPr>
          <w:szCs w:val="28"/>
          <w:lang w:eastAsia="lv-LV"/>
        </w:rPr>
        <w:t>tādu jaunu publisku ēku būvniecību un pārbūvi, kurās paredzēts vienlaikus uzturēties vairāk nekā 100 cilvēkiem;</w:t>
      </w:r>
    </w:p>
    <w:p w:rsidR="00593F12" w:rsidRPr="005E02F0" w:rsidRDefault="00593F12" w:rsidP="00EF028C">
      <w:pPr>
        <w:pStyle w:val="ListParagraph"/>
        <w:numPr>
          <w:ilvl w:val="0"/>
          <w:numId w:val="5"/>
        </w:numPr>
        <w:ind w:left="0" w:firstLine="567"/>
        <w:rPr>
          <w:szCs w:val="28"/>
          <w:lang w:eastAsia="lv-LV"/>
        </w:rPr>
      </w:pPr>
      <w:r w:rsidRPr="005E02F0">
        <w:rPr>
          <w:szCs w:val="28"/>
          <w:lang w:eastAsia="lv-LV"/>
        </w:rPr>
        <w:t>būves, kuru paredzētajai būvniecībai atbilstoši likuma "Par ietekmes uz vidi novērtēšanu" 4.panta pirmās daļas 1.punktam piemērota ietekmes uz vidi novērtējuma procedūra,</w:t>
      </w:r>
    </w:p>
    <w:p w:rsidR="00593F12" w:rsidRPr="005E02F0" w:rsidRDefault="00593F12" w:rsidP="00EF028C">
      <w:pPr>
        <w:pStyle w:val="ListParagraph"/>
        <w:numPr>
          <w:ilvl w:val="0"/>
          <w:numId w:val="5"/>
        </w:numPr>
        <w:ind w:left="0" w:firstLine="567"/>
        <w:rPr>
          <w:szCs w:val="28"/>
          <w:lang w:eastAsia="lv-LV"/>
        </w:rPr>
      </w:pPr>
      <w:r w:rsidRPr="005E02F0">
        <w:rPr>
          <w:szCs w:val="28"/>
          <w:lang w:eastAsia="lv-LV"/>
        </w:rPr>
        <w:t xml:space="preserve">jaunas būves vai esošu būvju pārbūves, kuru ieceres iesniedzējs ir pašvaldība, ja publisku būvdarbu līguma līgumcena ir 1,5 miljoni </w:t>
      </w:r>
      <w:proofErr w:type="spellStart"/>
      <w:r w:rsidRPr="005E02F0">
        <w:rPr>
          <w:i/>
          <w:iCs/>
          <w:szCs w:val="28"/>
          <w:lang w:eastAsia="lv-LV"/>
        </w:rPr>
        <w:t>euro</w:t>
      </w:r>
      <w:proofErr w:type="spellEnd"/>
      <w:r w:rsidRPr="005E02F0">
        <w:rPr>
          <w:szCs w:val="28"/>
          <w:lang w:eastAsia="lv-LV"/>
        </w:rPr>
        <w:t xml:space="preserve"> vai lielāka;</w:t>
      </w:r>
    </w:p>
    <w:p w:rsidR="00593F12" w:rsidRPr="005E02F0" w:rsidRDefault="00593F12" w:rsidP="00EF028C">
      <w:pPr>
        <w:spacing w:before="0" w:after="0" w:line="240" w:lineRule="auto"/>
        <w:ind w:firstLine="567"/>
        <w:rPr>
          <w:sz w:val="28"/>
          <w:szCs w:val="28"/>
          <w:lang w:val="lv-LV" w:eastAsia="lv-LV"/>
        </w:rPr>
      </w:pPr>
      <w:r w:rsidRPr="005E02F0">
        <w:rPr>
          <w:sz w:val="28"/>
          <w:szCs w:val="28"/>
          <w:lang w:val="lv-LV" w:eastAsia="lv-LV"/>
        </w:rPr>
        <w:t xml:space="preserve">Minēto uzdevumu izpildi jānodrošina biroja amatpersonām - </w:t>
      </w:r>
      <w:r w:rsidRPr="005E02F0">
        <w:rPr>
          <w:sz w:val="28"/>
          <w:szCs w:val="28"/>
          <w:lang w:val="lv-LV"/>
        </w:rPr>
        <w:t xml:space="preserve">būvinspektoru reģistrā reģistrētiem būvinspektoriem, kuru amata </w:t>
      </w:r>
      <w:r w:rsidRPr="005E02F0">
        <w:rPr>
          <w:sz w:val="28"/>
          <w:szCs w:val="28"/>
          <w:lang w:val="lv-LV" w:eastAsia="lv-LV"/>
        </w:rPr>
        <w:t>pienākumos ietilpst:</w:t>
      </w:r>
    </w:p>
    <w:p w:rsidR="00593F12" w:rsidRPr="005E02F0" w:rsidRDefault="00593F12" w:rsidP="00EF028C">
      <w:pPr>
        <w:pStyle w:val="ListParagraph"/>
        <w:numPr>
          <w:ilvl w:val="0"/>
          <w:numId w:val="1"/>
        </w:numPr>
        <w:ind w:left="0" w:firstLine="567"/>
        <w:rPr>
          <w:szCs w:val="28"/>
        </w:rPr>
      </w:pPr>
      <w:r w:rsidRPr="005E02F0">
        <w:rPr>
          <w:szCs w:val="28"/>
        </w:rPr>
        <w:t xml:space="preserve">pēc būvdarbu uzsākšanas kontrolēt būvniecības procesu, apsekojot būvdarbu veikšanas vietu atbilstoši būvuzraudzības plānā noteiktajiem galvenajiem būvdarbu posmiem vai ne mazāk kā divas reizes, ja būvobjektam netiek nodrošināta būvuzraudzība. Veicot būvobjektu pārbaudi, pārliecināties, ka būvdarbu veikšanai ir saņemta būvatļauja un pirms to uzsākšanas ir izpildīti būvatļaujas nosacījumi; būvdarbi notiek bez atkāpēm no būvatļaujas nosacījumiem un ievērojot būvniecību reglamentējošos normatīvos aktus; būvlaukumā atrodas būvdarbu veikšanai nepieciešamā dokumentācija, tai skaitā </w:t>
      </w:r>
      <w:r w:rsidRPr="005E02F0">
        <w:rPr>
          <w:szCs w:val="28"/>
          <w:lang w:eastAsia="lv-LV"/>
        </w:rPr>
        <w:t>būvizstrādājumu atbilstību apliecinoša dokumentācija</w:t>
      </w:r>
      <w:r w:rsidRPr="005E02F0">
        <w:rPr>
          <w:szCs w:val="28"/>
        </w:rPr>
        <w:t xml:space="preserve">; būvdarbi būvlaukumā notiek bez atkāpēm no vides prasībām; tiek veikta autoruzraudzība vai būvuzraudzība, gadījumos, kad to nepieciešamību nosaka normatīvie akti; ir spēkā esoša obligātās civiltiesiskās apdrošināšanas polise būvdarbu veikšanai; </w:t>
      </w:r>
      <w:r w:rsidRPr="005E02F0">
        <w:rPr>
          <w:szCs w:val="28"/>
        </w:rPr>
        <w:lastRenderedPageBreak/>
        <w:t>būvlaukumā atrodas atbildīgais būvdarbu vadītājs un veic tam noteiktos pienākumus;</w:t>
      </w:r>
    </w:p>
    <w:p w:rsidR="00593F12" w:rsidRPr="005E02F0" w:rsidRDefault="00593F12" w:rsidP="00EF028C">
      <w:pPr>
        <w:pStyle w:val="ListParagraph"/>
        <w:numPr>
          <w:ilvl w:val="0"/>
          <w:numId w:val="1"/>
        </w:numPr>
        <w:ind w:left="0" w:firstLine="567"/>
        <w:rPr>
          <w:szCs w:val="28"/>
        </w:rPr>
      </w:pPr>
      <w:r w:rsidRPr="005E02F0">
        <w:rPr>
          <w:szCs w:val="28"/>
        </w:rPr>
        <w:t>par katru pārbaudi sagatavot atzinumu;</w:t>
      </w:r>
    </w:p>
    <w:p w:rsidR="00593F12" w:rsidRPr="005E02F0" w:rsidRDefault="00593F12" w:rsidP="00EF028C">
      <w:pPr>
        <w:pStyle w:val="ListParagraph"/>
        <w:numPr>
          <w:ilvl w:val="0"/>
          <w:numId w:val="1"/>
        </w:numPr>
        <w:ind w:left="0" w:firstLine="567"/>
        <w:rPr>
          <w:lang w:eastAsia="lv-LV"/>
        </w:rPr>
      </w:pPr>
      <w:r w:rsidRPr="005E02F0">
        <w:rPr>
          <w:szCs w:val="28"/>
        </w:rPr>
        <w:t>normatīvajos aktos noteiktajos gadījumos apturēt būvdarbus;</w:t>
      </w:r>
    </w:p>
    <w:p w:rsidR="00593F12" w:rsidRPr="005E02F0" w:rsidRDefault="00593F12" w:rsidP="00EF028C">
      <w:pPr>
        <w:pStyle w:val="ListParagraph"/>
        <w:numPr>
          <w:ilvl w:val="0"/>
          <w:numId w:val="1"/>
        </w:numPr>
        <w:ind w:left="0" w:firstLine="567"/>
        <w:rPr>
          <w:lang w:eastAsia="lv-LV"/>
        </w:rPr>
      </w:pPr>
      <w:r w:rsidRPr="005E02F0">
        <w:rPr>
          <w:szCs w:val="28"/>
          <w:lang w:eastAsia="lv-LV"/>
        </w:rPr>
        <w:t>izskatīt iesniegumus un sūdzības par normatīvo aktu pārkāpumiem būvniecības procesā;</w:t>
      </w:r>
    </w:p>
    <w:p w:rsidR="00593F12" w:rsidRPr="005E02F0" w:rsidRDefault="00593F12" w:rsidP="00EF028C">
      <w:pPr>
        <w:pStyle w:val="ListParagraph"/>
        <w:numPr>
          <w:ilvl w:val="0"/>
          <w:numId w:val="1"/>
        </w:numPr>
        <w:ind w:left="0" w:firstLine="567"/>
        <w:rPr>
          <w:szCs w:val="28"/>
          <w:lang w:eastAsia="lv-LV"/>
        </w:rPr>
      </w:pPr>
      <w:r w:rsidRPr="005E02F0">
        <w:rPr>
          <w:szCs w:val="28"/>
        </w:rPr>
        <w:t>veikt trešās grupas</w:t>
      </w:r>
      <w:r w:rsidRPr="005E02F0">
        <w:rPr>
          <w:szCs w:val="28"/>
          <w:lang w:eastAsia="lv-LV"/>
        </w:rPr>
        <w:t xml:space="preserve"> publisku ēku ekspluatācijas uzraudzību.</w:t>
      </w:r>
    </w:p>
    <w:p w:rsidR="00593F12" w:rsidRPr="005E02F0" w:rsidRDefault="00593F12" w:rsidP="00593F12">
      <w:pPr>
        <w:spacing w:before="120" w:after="0" w:line="240" w:lineRule="auto"/>
        <w:ind w:right="57" w:firstLine="567"/>
        <w:rPr>
          <w:rFonts w:eastAsiaTheme="minorHAnsi"/>
          <w:sz w:val="28"/>
          <w:szCs w:val="26"/>
          <w:lang w:val="lv-LV"/>
        </w:rPr>
      </w:pPr>
      <w:r w:rsidRPr="005E02F0">
        <w:rPr>
          <w:rFonts w:eastAsiaTheme="minorHAnsi"/>
          <w:sz w:val="28"/>
          <w:szCs w:val="26"/>
          <w:lang w:val="lv-LV"/>
        </w:rPr>
        <w:t>Ņemot vērā, ka būvinspektors, apsekojot būvlaukumu, var konstatēt pārkāpumus, kas attiecas uz neatbilstošu būvizstrādājumu izmantošanu, darba aizsardzības prasību pārkāpumiem un vides prasību neievērošanu būvlaukumā, būvinspektoram ir pienākums informēt Patērētāju tiesību aizsardzības centru par neatbilstošu būvizstrādājumu izmantošanu, par darba aizsardzības prasību neievērošanu - Valsts darba inspekciju, bet par vides prasību pārkāpumiem – institūciju, kura veic vides valsts kontroli.</w:t>
      </w:r>
    </w:p>
    <w:p w:rsidR="00593F12" w:rsidRPr="005E02F0" w:rsidRDefault="00593F12" w:rsidP="00593F12">
      <w:pPr>
        <w:spacing w:before="0" w:after="0" w:line="240" w:lineRule="auto"/>
        <w:ind w:left="57" w:right="57" w:firstLine="567"/>
        <w:rPr>
          <w:rFonts w:eastAsiaTheme="minorHAnsi"/>
          <w:sz w:val="28"/>
          <w:szCs w:val="26"/>
          <w:lang w:val="lv-LV"/>
        </w:rPr>
      </w:pPr>
      <w:r w:rsidRPr="005E02F0">
        <w:rPr>
          <w:rFonts w:eastAsiaTheme="minorHAnsi"/>
          <w:sz w:val="28"/>
          <w:szCs w:val="26"/>
          <w:lang w:val="lv-LV"/>
        </w:rPr>
        <w:t xml:space="preserve">Sadarbības ietvaros biroja būvinspektoram, izskatot iesniegumus un sūdzības par būtiskiem normatīvo aktu pārkāpumiem būvniecības procesā vai arī gadījumos, kad būve ir radījusi vai var radīt bīstamību vai būtisku kaitējumu personu dzīvībai, veselībai, īpašumam vai videi, ir tiesības apskatīt jebkuru objektu un veikt situācijas fiksēšanu, bet gadījumos, kad apsekojamās būves uzraudzība ir biroja kompetencē, arī sastādīt atzinumu. Ja attiecīgās būves uzraudzība nav biroja kompetencē, informāciju un materiālus par apskati birojs nosūta būvvaldei vai institūcijai, kura pilda būvvaldes funkcijas tālākai rīcībai. </w:t>
      </w:r>
    </w:p>
    <w:p w:rsidR="00593F12" w:rsidRPr="005E02F0" w:rsidRDefault="00593F12" w:rsidP="00593F12">
      <w:pPr>
        <w:pStyle w:val="ListParagraph"/>
        <w:ind w:left="0" w:firstLine="567"/>
        <w:rPr>
          <w:rFonts w:eastAsiaTheme="minorHAnsi"/>
          <w:szCs w:val="26"/>
        </w:rPr>
      </w:pPr>
      <w:r w:rsidRPr="005E02F0">
        <w:rPr>
          <w:rFonts w:eastAsiaTheme="minorHAnsi"/>
          <w:szCs w:val="26"/>
        </w:rPr>
        <w:t xml:space="preserve">Kā atzīts LR tiesu praksē, būvinspektora sastādītais atzinums ir vērtējams gan kā </w:t>
      </w:r>
      <w:proofErr w:type="spellStart"/>
      <w:r w:rsidRPr="005E02F0">
        <w:rPr>
          <w:rFonts w:eastAsiaTheme="minorHAnsi"/>
          <w:szCs w:val="26"/>
        </w:rPr>
        <w:t>pierādījums</w:t>
      </w:r>
      <w:proofErr w:type="spellEnd"/>
      <w:r w:rsidRPr="005E02F0">
        <w:rPr>
          <w:rFonts w:eastAsiaTheme="minorHAnsi"/>
          <w:szCs w:val="26"/>
        </w:rPr>
        <w:t xml:space="preserve"> </w:t>
      </w:r>
      <w:proofErr w:type="spellStart"/>
      <w:r w:rsidRPr="005E02F0">
        <w:rPr>
          <w:rFonts w:eastAsiaTheme="minorHAnsi"/>
          <w:szCs w:val="26"/>
        </w:rPr>
        <w:t>administratīva</w:t>
      </w:r>
      <w:proofErr w:type="spellEnd"/>
      <w:r w:rsidRPr="005E02F0">
        <w:rPr>
          <w:rFonts w:eastAsiaTheme="minorHAnsi"/>
          <w:szCs w:val="26"/>
        </w:rPr>
        <w:t xml:space="preserve">̄ </w:t>
      </w:r>
      <w:proofErr w:type="spellStart"/>
      <w:r w:rsidRPr="005E02F0">
        <w:rPr>
          <w:rFonts w:eastAsiaTheme="minorHAnsi"/>
          <w:szCs w:val="26"/>
        </w:rPr>
        <w:t>pārkāpuma</w:t>
      </w:r>
      <w:proofErr w:type="spellEnd"/>
      <w:r w:rsidRPr="005E02F0">
        <w:rPr>
          <w:rFonts w:eastAsiaTheme="minorHAnsi"/>
          <w:szCs w:val="26"/>
        </w:rPr>
        <w:t xml:space="preserve"> lietā, gan kā </w:t>
      </w:r>
      <w:proofErr w:type="spellStart"/>
      <w:r w:rsidRPr="005E02F0">
        <w:rPr>
          <w:rFonts w:eastAsiaTheme="minorHAnsi"/>
          <w:szCs w:val="26"/>
        </w:rPr>
        <w:t>administratīvais</w:t>
      </w:r>
      <w:proofErr w:type="spellEnd"/>
      <w:r w:rsidRPr="005E02F0">
        <w:rPr>
          <w:rFonts w:eastAsiaTheme="minorHAnsi"/>
          <w:szCs w:val="26"/>
        </w:rPr>
        <w:t xml:space="preserve"> akts, kurā </w:t>
      </w:r>
      <w:proofErr w:type="spellStart"/>
      <w:r w:rsidRPr="005E02F0">
        <w:rPr>
          <w:rFonts w:eastAsiaTheme="minorHAnsi"/>
          <w:szCs w:val="26"/>
        </w:rPr>
        <w:t>būvinspektors</w:t>
      </w:r>
      <w:proofErr w:type="spellEnd"/>
      <w:r w:rsidRPr="005E02F0">
        <w:rPr>
          <w:rFonts w:eastAsiaTheme="minorHAnsi"/>
          <w:szCs w:val="26"/>
        </w:rPr>
        <w:t xml:space="preserve"> dod atzinuma </w:t>
      </w:r>
      <w:proofErr w:type="spellStart"/>
      <w:r w:rsidRPr="005E02F0">
        <w:rPr>
          <w:rFonts w:eastAsiaTheme="minorHAnsi"/>
          <w:szCs w:val="26"/>
        </w:rPr>
        <w:t>adresātam</w:t>
      </w:r>
      <w:proofErr w:type="spellEnd"/>
      <w:r w:rsidRPr="005E02F0">
        <w:rPr>
          <w:rFonts w:eastAsiaTheme="minorHAnsi"/>
          <w:szCs w:val="26"/>
        </w:rPr>
        <w:t xml:space="preserve"> </w:t>
      </w:r>
      <w:proofErr w:type="spellStart"/>
      <w:r w:rsidRPr="005E02F0">
        <w:rPr>
          <w:rFonts w:eastAsiaTheme="minorHAnsi"/>
          <w:szCs w:val="26"/>
        </w:rPr>
        <w:t>saistošus</w:t>
      </w:r>
      <w:proofErr w:type="spellEnd"/>
      <w:r w:rsidRPr="005E02F0">
        <w:rPr>
          <w:rFonts w:eastAsiaTheme="minorHAnsi"/>
          <w:szCs w:val="26"/>
        </w:rPr>
        <w:t xml:space="preserve"> </w:t>
      </w:r>
      <w:proofErr w:type="spellStart"/>
      <w:r w:rsidRPr="005E02F0">
        <w:rPr>
          <w:rFonts w:eastAsiaTheme="minorHAnsi"/>
          <w:szCs w:val="26"/>
        </w:rPr>
        <w:t>norādījumus</w:t>
      </w:r>
      <w:proofErr w:type="spellEnd"/>
      <w:r w:rsidRPr="005E02F0">
        <w:rPr>
          <w:rFonts w:eastAsiaTheme="minorHAnsi"/>
          <w:szCs w:val="26"/>
        </w:rPr>
        <w:t xml:space="preserve">. Tādējādi biroja būvinspektoru sagatavotie atzinumi kalpos kā viens no </w:t>
      </w:r>
      <w:proofErr w:type="spellStart"/>
      <w:r w:rsidRPr="005E02F0">
        <w:rPr>
          <w:rFonts w:eastAsiaTheme="minorHAnsi"/>
          <w:szCs w:val="26"/>
        </w:rPr>
        <w:t>pierādījumiem</w:t>
      </w:r>
      <w:proofErr w:type="spellEnd"/>
      <w:r w:rsidRPr="005E02F0">
        <w:rPr>
          <w:rFonts w:eastAsiaTheme="minorHAnsi"/>
          <w:szCs w:val="26"/>
        </w:rPr>
        <w:t xml:space="preserve"> </w:t>
      </w:r>
      <w:proofErr w:type="spellStart"/>
      <w:r w:rsidRPr="005E02F0">
        <w:rPr>
          <w:rFonts w:eastAsiaTheme="minorHAnsi"/>
          <w:szCs w:val="26"/>
        </w:rPr>
        <w:t>administratīva</w:t>
      </w:r>
      <w:proofErr w:type="spellEnd"/>
      <w:r w:rsidRPr="005E02F0">
        <w:rPr>
          <w:rFonts w:eastAsiaTheme="minorHAnsi"/>
          <w:szCs w:val="26"/>
        </w:rPr>
        <w:t xml:space="preserve">̄ </w:t>
      </w:r>
      <w:proofErr w:type="spellStart"/>
      <w:r w:rsidRPr="005E02F0">
        <w:rPr>
          <w:rFonts w:eastAsiaTheme="minorHAnsi"/>
          <w:szCs w:val="26"/>
        </w:rPr>
        <w:t>pārkāpuma</w:t>
      </w:r>
      <w:proofErr w:type="spellEnd"/>
      <w:r w:rsidRPr="005E02F0">
        <w:rPr>
          <w:rFonts w:eastAsiaTheme="minorHAnsi"/>
          <w:szCs w:val="26"/>
        </w:rPr>
        <w:t xml:space="preserve"> lietā </w:t>
      </w:r>
      <w:proofErr w:type="spellStart"/>
      <w:r w:rsidRPr="005E02F0">
        <w:rPr>
          <w:rFonts w:eastAsiaTheme="minorHAnsi"/>
          <w:szCs w:val="26"/>
        </w:rPr>
        <w:t>daļa</w:t>
      </w:r>
      <w:proofErr w:type="spellEnd"/>
      <w:r w:rsidRPr="005E02F0">
        <w:rPr>
          <w:rFonts w:eastAsiaTheme="minorHAnsi"/>
          <w:szCs w:val="26"/>
        </w:rPr>
        <w:t xml:space="preserve">̄, kas </w:t>
      </w:r>
      <w:proofErr w:type="spellStart"/>
      <w:r w:rsidRPr="005E02F0">
        <w:rPr>
          <w:rFonts w:eastAsiaTheme="minorHAnsi"/>
          <w:szCs w:val="26"/>
        </w:rPr>
        <w:t>attiecināma</w:t>
      </w:r>
      <w:proofErr w:type="spellEnd"/>
      <w:r w:rsidRPr="005E02F0">
        <w:rPr>
          <w:rFonts w:eastAsiaTheme="minorHAnsi"/>
          <w:szCs w:val="26"/>
        </w:rPr>
        <w:t xml:space="preserve"> uz faktu </w:t>
      </w:r>
      <w:proofErr w:type="spellStart"/>
      <w:r w:rsidRPr="005E02F0">
        <w:rPr>
          <w:rFonts w:eastAsiaTheme="minorHAnsi"/>
          <w:szCs w:val="26"/>
        </w:rPr>
        <w:t>fiksāciju</w:t>
      </w:r>
      <w:proofErr w:type="spellEnd"/>
      <w:r w:rsidRPr="005E02F0">
        <w:rPr>
          <w:rFonts w:eastAsiaTheme="minorHAnsi"/>
          <w:szCs w:val="26"/>
        </w:rPr>
        <w:t xml:space="preserve">, un kā </w:t>
      </w:r>
      <w:proofErr w:type="spellStart"/>
      <w:r w:rsidRPr="005E02F0">
        <w:rPr>
          <w:rFonts w:eastAsiaTheme="minorHAnsi"/>
          <w:szCs w:val="26"/>
        </w:rPr>
        <w:t>administratīvais</w:t>
      </w:r>
      <w:proofErr w:type="spellEnd"/>
      <w:r w:rsidRPr="005E02F0">
        <w:rPr>
          <w:rFonts w:eastAsiaTheme="minorHAnsi"/>
          <w:szCs w:val="26"/>
        </w:rPr>
        <w:t xml:space="preserve"> akts daļā par būvdarbu apturēšanu.</w:t>
      </w:r>
    </w:p>
    <w:p w:rsidR="00593F12" w:rsidRPr="007D0A32" w:rsidRDefault="00593F12" w:rsidP="00593F12">
      <w:pPr>
        <w:pStyle w:val="ListParagraph"/>
        <w:ind w:left="0" w:firstLine="709"/>
        <w:rPr>
          <w:rFonts w:eastAsiaTheme="minorHAnsi"/>
          <w:szCs w:val="26"/>
        </w:rPr>
      </w:pPr>
      <w:r w:rsidRPr="005E02F0">
        <w:rPr>
          <w:rFonts w:eastAsiaTheme="minorHAnsi"/>
          <w:szCs w:val="26"/>
        </w:rPr>
        <w:t>Ņemot vērā minēto</w:t>
      </w:r>
      <w:r w:rsidR="00245B61" w:rsidRPr="005E02F0">
        <w:rPr>
          <w:rFonts w:eastAsiaTheme="minorHAnsi"/>
          <w:szCs w:val="26"/>
        </w:rPr>
        <w:t>,</w:t>
      </w:r>
      <w:r w:rsidRPr="005E02F0">
        <w:rPr>
          <w:rFonts w:eastAsiaTheme="minorHAnsi"/>
          <w:szCs w:val="26"/>
        </w:rPr>
        <w:t xml:space="preserve"> biroja kompetencē ietilps arī apstrīdēšanas iesniegumu izskatīšana par biroja būvinspektoru sagatavotajiem atzinumiem daļā, kur atzinums būs traktējams kā administratīvais akts.</w:t>
      </w:r>
      <w:r w:rsidR="005E02F0">
        <w:rPr>
          <w:rFonts w:eastAsiaTheme="minorHAnsi"/>
          <w:szCs w:val="26"/>
        </w:rPr>
        <w:t xml:space="preserve"> </w:t>
      </w:r>
      <w:r w:rsidR="005E02F0" w:rsidRPr="007D0A32">
        <w:rPr>
          <w:rFonts w:eastAsiaTheme="minorHAnsi"/>
          <w:szCs w:val="26"/>
        </w:rPr>
        <w:t>Savukārt kompetenci administratīvo pārkāpuma lietu izskatīšanā birojam izveidošanas brīdi nav plānots piešķirt.</w:t>
      </w:r>
    </w:p>
    <w:p w:rsidR="00593F12" w:rsidRPr="005E02F0" w:rsidRDefault="00593F12" w:rsidP="00593F12">
      <w:pPr>
        <w:pStyle w:val="ListParagraph"/>
        <w:ind w:left="0" w:firstLine="709"/>
        <w:rPr>
          <w:rFonts w:eastAsiaTheme="minorHAnsi"/>
          <w:szCs w:val="26"/>
        </w:rPr>
      </w:pPr>
      <w:r w:rsidRPr="005E02F0">
        <w:rPr>
          <w:rFonts w:eastAsiaTheme="minorHAnsi"/>
          <w:szCs w:val="26"/>
        </w:rPr>
        <w:t xml:space="preserve">Saskaņā ar Ekonomikas ministrijas apkopoto informāciju Latvijā kopumā 2013.gadā izdotas 8148 būvatļaujas, bet 2012.gadā attiecīgi 8642 būvatļaujas. Būvniecības valsts kontroles biroja kompetencē pēc provizoriskiem aprēķiniem ik gadu nonāktu ap 2000 objektiem, kuros nepieciešama būvdarbu kontrole un būves pieņemšana ekspluatācijā. </w:t>
      </w:r>
    </w:p>
    <w:p w:rsidR="00593F12" w:rsidRPr="005E02F0" w:rsidRDefault="00593F12" w:rsidP="00593F12">
      <w:pPr>
        <w:pStyle w:val="ListParagraph"/>
        <w:ind w:left="0" w:firstLine="709"/>
        <w:rPr>
          <w:rFonts w:eastAsiaTheme="minorHAnsi"/>
          <w:szCs w:val="26"/>
        </w:rPr>
      </w:pPr>
      <w:r w:rsidRPr="005E02F0">
        <w:rPr>
          <w:iCs/>
          <w:szCs w:val="28"/>
        </w:rPr>
        <w:t xml:space="preserve">Būvinspektoru pienākums ir apsekot objektus visā Latvijas teritorijā. Nolūkā taupīt finansējumu nav paredzēts nomāt telpas un veidot uzturēšanas izdevumus būvinspektoriem reģionos. Tādēļ būvdarbu kontroles un būvju pieņemšanas ekspluatācijā nodrošināšanai būvinspektoriem ir nepieciešamas autotransports (4 </w:t>
      </w:r>
      <w:proofErr w:type="spellStart"/>
      <w:r w:rsidRPr="005E02F0">
        <w:rPr>
          <w:iCs/>
          <w:szCs w:val="28"/>
        </w:rPr>
        <w:t>gab</w:t>
      </w:r>
      <w:proofErr w:type="spellEnd"/>
      <w:r w:rsidRPr="005E02F0">
        <w:rPr>
          <w:iCs/>
          <w:szCs w:val="28"/>
        </w:rPr>
        <w:t xml:space="preserve">. - katram reģionam viena automašīna un viena automašīna </w:t>
      </w:r>
      <w:r w:rsidRPr="005E02F0">
        <w:rPr>
          <w:iCs/>
          <w:szCs w:val="28"/>
        </w:rPr>
        <w:lastRenderedPageBreak/>
        <w:t>iestādes vajadzībām). Tāpat, a</w:t>
      </w:r>
      <w:r w:rsidRPr="005E02F0">
        <w:rPr>
          <w:szCs w:val="28"/>
          <w:lang w:eastAsia="lv-LV"/>
        </w:rPr>
        <w:t xml:space="preserve">mata pienākumu nodrošināšanai plānots izmatot </w:t>
      </w:r>
      <w:r w:rsidRPr="005E02F0">
        <w:rPr>
          <w:iCs/>
          <w:szCs w:val="28"/>
        </w:rPr>
        <w:t>būvniecības informācijas sistēmas ietvaros izveidotu būvinspektoru elektronisko darba vidi un speciālu mobilo aplikāciju, attiecīgi, darbam objektos, būvinspektoriem ir nepieciešami mobilie telefoni (</w:t>
      </w:r>
      <w:proofErr w:type="spellStart"/>
      <w:r w:rsidRPr="005E02F0">
        <w:rPr>
          <w:iCs/>
          <w:szCs w:val="28"/>
        </w:rPr>
        <w:t>viedtālruņi</w:t>
      </w:r>
      <w:proofErr w:type="spellEnd"/>
      <w:r w:rsidRPr="005E02F0">
        <w:rPr>
          <w:iCs/>
          <w:szCs w:val="28"/>
        </w:rPr>
        <w:t>) ar attiecīgu funkcionalitātes nodrošinājumu.</w:t>
      </w:r>
    </w:p>
    <w:p w:rsidR="00593F12" w:rsidRPr="005E02F0" w:rsidRDefault="00593F12" w:rsidP="00593F12">
      <w:pPr>
        <w:pStyle w:val="NormalWeb"/>
        <w:ind w:firstLine="709"/>
        <w:jc w:val="both"/>
        <w:rPr>
          <w:rFonts w:ascii="Times" w:eastAsiaTheme="minorHAnsi" w:hAnsi="Times"/>
          <w:sz w:val="28"/>
          <w:szCs w:val="28"/>
          <w:lang w:eastAsia="en-US"/>
        </w:rPr>
      </w:pPr>
      <w:r w:rsidRPr="005E02F0">
        <w:rPr>
          <w:iCs/>
          <w:sz w:val="28"/>
          <w:szCs w:val="28"/>
        </w:rPr>
        <w:t xml:space="preserve">Papildus jānorāda, ka Būvniecības likumā un tam pakārtotajos normatīvos aktos turpmāk būs noteikts pienākums būvinspektoram apmeklēt būvlaukumu būvdarbu laikā, ievērojot būvniecības uzraudzības posmā noteiktos galvenos būvdarbu etapus, tas nozīmē vismaz </w:t>
      </w:r>
      <w:r w:rsidR="00245B61" w:rsidRPr="005E02F0">
        <w:rPr>
          <w:iCs/>
          <w:sz w:val="28"/>
          <w:szCs w:val="28"/>
        </w:rPr>
        <w:t xml:space="preserve">2 </w:t>
      </w:r>
      <w:r w:rsidRPr="005E02F0">
        <w:rPr>
          <w:iCs/>
          <w:sz w:val="28"/>
          <w:szCs w:val="28"/>
        </w:rPr>
        <w:t xml:space="preserve">- </w:t>
      </w:r>
      <w:r w:rsidR="00245B61" w:rsidRPr="005E02F0">
        <w:rPr>
          <w:iCs/>
          <w:sz w:val="28"/>
          <w:szCs w:val="28"/>
        </w:rPr>
        <w:t>4</w:t>
      </w:r>
      <w:r w:rsidRPr="005E02F0">
        <w:rPr>
          <w:iCs/>
          <w:sz w:val="28"/>
          <w:szCs w:val="28"/>
        </w:rPr>
        <w:t xml:space="preserve"> reizes būvniecības laikā līdz būves nodošanai ekspluatācijā. Uz trūkumiem līdzšinējā būvdarbu kontroles procesā, ko organizēja pašvaldības, norādījusi arī Valsts kontrole 2010.gada 26.novembra revīzijas ziņojumā par </w:t>
      </w:r>
      <w:proofErr w:type="spellStart"/>
      <w:r w:rsidRPr="005E02F0">
        <w:rPr>
          <w:iCs/>
          <w:sz w:val="28"/>
          <w:szCs w:val="28"/>
        </w:rPr>
        <w:t>b</w:t>
      </w:r>
      <w:r w:rsidRPr="005E02F0">
        <w:rPr>
          <w:rFonts w:eastAsiaTheme="minorHAnsi"/>
          <w:bCs/>
          <w:iCs/>
          <w:sz w:val="28"/>
          <w:szCs w:val="28"/>
          <w:lang w:eastAsia="en-US"/>
        </w:rPr>
        <w:t>ūvniecības</w:t>
      </w:r>
      <w:proofErr w:type="spellEnd"/>
      <w:r w:rsidRPr="005E02F0">
        <w:rPr>
          <w:rFonts w:eastAsiaTheme="minorHAnsi"/>
          <w:bCs/>
          <w:iCs/>
          <w:sz w:val="28"/>
          <w:szCs w:val="28"/>
          <w:lang w:eastAsia="en-US"/>
        </w:rPr>
        <w:t xml:space="preserve"> </w:t>
      </w:r>
      <w:proofErr w:type="spellStart"/>
      <w:r w:rsidRPr="005E02F0">
        <w:rPr>
          <w:rFonts w:eastAsiaTheme="minorHAnsi"/>
          <w:bCs/>
          <w:iCs/>
          <w:sz w:val="28"/>
          <w:szCs w:val="28"/>
          <w:lang w:eastAsia="en-US"/>
        </w:rPr>
        <w:t>uzraudzības</w:t>
      </w:r>
      <w:proofErr w:type="spellEnd"/>
      <w:r w:rsidRPr="005E02F0">
        <w:rPr>
          <w:rFonts w:eastAsiaTheme="minorHAnsi"/>
          <w:bCs/>
          <w:iCs/>
          <w:sz w:val="28"/>
          <w:szCs w:val="28"/>
          <w:lang w:eastAsia="en-US"/>
        </w:rPr>
        <w:t xml:space="preserve"> un kontroles funkciju </w:t>
      </w:r>
      <w:proofErr w:type="spellStart"/>
      <w:r w:rsidRPr="005E02F0">
        <w:rPr>
          <w:rFonts w:eastAsiaTheme="minorHAnsi"/>
          <w:bCs/>
          <w:iCs/>
          <w:sz w:val="28"/>
          <w:szCs w:val="28"/>
          <w:lang w:eastAsia="en-US"/>
        </w:rPr>
        <w:t>īstenošana</w:t>
      </w:r>
      <w:proofErr w:type="spellEnd"/>
      <w:r w:rsidRPr="005E02F0">
        <w:rPr>
          <w:rFonts w:eastAsiaTheme="minorHAnsi"/>
          <w:bCs/>
          <w:iCs/>
          <w:sz w:val="28"/>
          <w:szCs w:val="28"/>
          <w:lang w:eastAsia="en-US"/>
        </w:rPr>
        <w:t xml:space="preserve"> </w:t>
      </w:r>
      <w:proofErr w:type="spellStart"/>
      <w:r w:rsidRPr="005E02F0">
        <w:rPr>
          <w:rFonts w:eastAsiaTheme="minorHAnsi"/>
          <w:bCs/>
          <w:iCs/>
          <w:sz w:val="28"/>
          <w:szCs w:val="28"/>
          <w:lang w:eastAsia="en-US"/>
        </w:rPr>
        <w:t>pēc</w:t>
      </w:r>
      <w:proofErr w:type="spellEnd"/>
      <w:r w:rsidRPr="005E02F0">
        <w:rPr>
          <w:rFonts w:eastAsiaTheme="minorHAnsi"/>
          <w:bCs/>
          <w:iCs/>
          <w:sz w:val="28"/>
          <w:szCs w:val="28"/>
          <w:lang w:eastAsia="en-US"/>
        </w:rPr>
        <w:t xml:space="preserve"> Valsts </w:t>
      </w:r>
      <w:proofErr w:type="spellStart"/>
      <w:r w:rsidRPr="005E02F0">
        <w:rPr>
          <w:rFonts w:eastAsiaTheme="minorHAnsi"/>
          <w:bCs/>
          <w:iCs/>
          <w:sz w:val="28"/>
          <w:szCs w:val="28"/>
          <w:lang w:eastAsia="en-US"/>
        </w:rPr>
        <w:t>būvinspekcijas</w:t>
      </w:r>
      <w:proofErr w:type="spellEnd"/>
      <w:r w:rsidRPr="005E02F0">
        <w:rPr>
          <w:rFonts w:eastAsiaTheme="minorHAnsi"/>
          <w:bCs/>
          <w:iCs/>
          <w:sz w:val="28"/>
          <w:szCs w:val="28"/>
          <w:lang w:eastAsia="en-US"/>
        </w:rPr>
        <w:t xml:space="preserve"> </w:t>
      </w:r>
      <w:proofErr w:type="spellStart"/>
      <w:r w:rsidRPr="005E02F0">
        <w:rPr>
          <w:rFonts w:eastAsiaTheme="minorHAnsi"/>
          <w:bCs/>
          <w:iCs/>
          <w:sz w:val="28"/>
          <w:szCs w:val="28"/>
          <w:lang w:eastAsia="en-US"/>
        </w:rPr>
        <w:t>reorganizācijas</w:t>
      </w:r>
      <w:proofErr w:type="spellEnd"/>
      <w:r w:rsidRPr="005E02F0">
        <w:rPr>
          <w:rFonts w:eastAsiaTheme="minorHAnsi"/>
          <w:bCs/>
          <w:iCs/>
          <w:sz w:val="28"/>
          <w:szCs w:val="28"/>
          <w:lang w:eastAsia="en-US"/>
        </w:rPr>
        <w:t xml:space="preserve"> </w:t>
      </w:r>
      <w:proofErr w:type="spellStart"/>
      <w:r w:rsidRPr="005E02F0">
        <w:rPr>
          <w:rFonts w:eastAsiaTheme="minorHAnsi"/>
          <w:bCs/>
          <w:iCs/>
          <w:sz w:val="28"/>
          <w:szCs w:val="28"/>
          <w:lang w:eastAsia="en-US"/>
        </w:rPr>
        <w:t>t.sk</w:t>
      </w:r>
      <w:proofErr w:type="spellEnd"/>
      <w:r w:rsidRPr="005E02F0">
        <w:rPr>
          <w:rFonts w:eastAsiaTheme="minorHAnsi"/>
          <w:bCs/>
          <w:iCs/>
          <w:sz w:val="28"/>
          <w:szCs w:val="28"/>
          <w:lang w:eastAsia="en-US"/>
        </w:rPr>
        <w:t xml:space="preserve">. konstatējot, ka </w:t>
      </w:r>
      <w:proofErr w:type="spellStart"/>
      <w:r w:rsidRPr="005E02F0">
        <w:rPr>
          <w:rFonts w:eastAsiaTheme="minorHAnsi"/>
          <w:bCs/>
          <w:iCs/>
          <w:sz w:val="28"/>
          <w:szCs w:val="28"/>
          <w:lang w:eastAsia="en-US"/>
        </w:rPr>
        <w:t>s</w:t>
      </w:r>
      <w:r w:rsidRPr="005E02F0">
        <w:rPr>
          <w:rFonts w:eastAsiaTheme="minorHAnsi"/>
          <w:sz w:val="28"/>
          <w:szCs w:val="28"/>
          <w:lang w:eastAsia="en-US"/>
        </w:rPr>
        <w:t>pēka</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esošie</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normatīvie</w:t>
      </w:r>
      <w:proofErr w:type="spellEnd"/>
      <w:r w:rsidRPr="005E02F0">
        <w:rPr>
          <w:rFonts w:eastAsiaTheme="minorHAnsi"/>
          <w:sz w:val="28"/>
          <w:szCs w:val="28"/>
          <w:lang w:eastAsia="en-US"/>
        </w:rPr>
        <w:t xml:space="preserve"> akti nenosaka </w:t>
      </w:r>
      <w:proofErr w:type="spellStart"/>
      <w:r w:rsidRPr="005E02F0">
        <w:rPr>
          <w:rFonts w:eastAsiaTheme="minorHAnsi"/>
          <w:sz w:val="28"/>
          <w:szCs w:val="28"/>
          <w:lang w:eastAsia="en-US"/>
        </w:rPr>
        <w:t>būvinspektoru</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minimālās</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nepieciešamās</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darbības</w:t>
      </w:r>
      <w:proofErr w:type="spellEnd"/>
      <w:r w:rsidRPr="005E02F0">
        <w:rPr>
          <w:rFonts w:eastAsiaTheme="minorHAnsi"/>
          <w:sz w:val="28"/>
          <w:szCs w:val="28"/>
          <w:lang w:eastAsia="en-US"/>
        </w:rPr>
        <w:t xml:space="preserve"> un to </w:t>
      </w:r>
      <w:proofErr w:type="spellStart"/>
      <w:r w:rsidRPr="005E02F0">
        <w:rPr>
          <w:rFonts w:eastAsiaTheme="minorHAnsi"/>
          <w:sz w:val="28"/>
          <w:szCs w:val="28"/>
          <w:lang w:eastAsia="en-US"/>
        </w:rPr>
        <w:t>regularitāti</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kontrolējot</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būvniecības</w:t>
      </w:r>
      <w:proofErr w:type="spellEnd"/>
      <w:r w:rsidRPr="005E02F0">
        <w:rPr>
          <w:rFonts w:eastAsiaTheme="minorHAnsi"/>
          <w:sz w:val="28"/>
          <w:szCs w:val="28"/>
          <w:lang w:eastAsia="en-US"/>
        </w:rPr>
        <w:t xml:space="preserve"> procesa </w:t>
      </w:r>
      <w:proofErr w:type="spellStart"/>
      <w:r w:rsidRPr="005E02F0">
        <w:rPr>
          <w:rFonts w:eastAsiaTheme="minorHAnsi"/>
          <w:sz w:val="28"/>
          <w:szCs w:val="28"/>
          <w:lang w:eastAsia="en-US"/>
        </w:rPr>
        <w:t>atbilstību</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normatīvo</w:t>
      </w:r>
      <w:proofErr w:type="spellEnd"/>
      <w:r w:rsidRPr="005E02F0">
        <w:rPr>
          <w:rFonts w:eastAsiaTheme="minorHAnsi"/>
          <w:sz w:val="28"/>
          <w:szCs w:val="28"/>
          <w:lang w:eastAsia="en-US"/>
        </w:rPr>
        <w:t xml:space="preserve"> aktu </w:t>
      </w:r>
      <w:proofErr w:type="spellStart"/>
      <w:r w:rsidRPr="005E02F0">
        <w:rPr>
          <w:rFonts w:eastAsiaTheme="minorHAnsi"/>
          <w:sz w:val="28"/>
          <w:szCs w:val="28"/>
          <w:lang w:eastAsia="en-US"/>
        </w:rPr>
        <w:t>prasībām</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piemēram</w:t>
      </w:r>
      <w:proofErr w:type="spellEnd"/>
      <w:r w:rsidRPr="005E02F0">
        <w:rPr>
          <w:rFonts w:eastAsiaTheme="minorHAnsi"/>
          <w:sz w:val="28"/>
          <w:szCs w:val="28"/>
          <w:lang w:eastAsia="en-US"/>
        </w:rPr>
        <w:t xml:space="preserve">, nav noteikti </w:t>
      </w:r>
      <w:proofErr w:type="spellStart"/>
      <w:r w:rsidRPr="005E02F0">
        <w:rPr>
          <w:rFonts w:eastAsiaTheme="minorHAnsi"/>
          <w:sz w:val="28"/>
          <w:szCs w:val="28"/>
          <w:lang w:eastAsia="en-US"/>
        </w:rPr>
        <w:t>būvju</w:t>
      </w:r>
      <w:proofErr w:type="spellEnd"/>
      <w:r w:rsidRPr="005E02F0">
        <w:rPr>
          <w:rFonts w:eastAsiaTheme="minorHAnsi"/>
          <w:sz w:val="28"/>
          <w:szCs w:val="28"/>
          <w:lang w:eastAsia="en-US"/>
        </w:rPr>
        <w:t xml:space="preserve"> veidi, </w:t>
      </w:r>
      <w:proofErr w:type="spellStart"/>
      <w:r w:rsidRPr="005E02F0">
        <w:rPr>
          <w:rFonts w:eastAsiaTheme="minorHAnsi"/>
          <w:sz w:val="28"/>
          <w:szCs w:val="28"/>
          <w:lang w:eastAsia="en-US"/>
        </w:rPr>
        <w:t>būvniecības</w:t>
      </w:r>
      <w:proofErr w:type="spellEnd"/>
      <w:r w:rsidRPr="005E02F0">
        <w:rPr>
          <w:rFonts w:eastAsiaTheme="minorHAnsi"/>
          <w:sz w:val="28"/>
          <w:szCs w:val="28"/>
          <w:lang w:eastAsia="en-US"/>
        </w:rPr>
        <w:t xml:space="preserve"> procesa vai </w:t>
      </w:r>
      <w:proofErr w:type="spellStart"/>
      <w:r w:rsidRPr="005E02F0">
        <w:rPr>
          <w:rFonts w:eastAsiaTheme="minorHAnsi"/>
          <w:sz w:val="28"/>
          <w:szCs w:val="28"/>
          <w:lang w:eastAsia="en-US"/>
        </w:rPr>
        <w:t>būves</w:t>
      </w:r>
      <w:proofErr w:type="spellEnd"/>
      <w:r w:rsidRPr="005E02F0">
        <w:rPr>
          <w:rFonts w:eastAsiaTheme="minorHAnsi"/>
          <w:sz w:val="28"/>
          <w:szCs w:val="28"/>
          <w:lang w:eastAsia="en-US"/>
        </w:rPr>
        <w:t xml:space="preserve"> stadijas, </w:t>
      </w:r>
      <w:proofErr w:type="spellStart"/>
      <w:r w:rsidRPr="005E02F0">
        <w:rPr>
          <w:rFonts w:eastAsiaTheme="minorHAnsi"/>
          <w:sz w:val="28"/>
          <w:szCs w:val="28"/>
          <w:lang w:eastAsia="en-US"/>
        </w:rPr>
        <w:t>kurās</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pārbaužu</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veikšana</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būtu</w:t>
      </w:r>
      <w:proofErr w:type="spellEnd"/>
      <w:r w:rsidRPr="005E02F0">
        <w:rPr>
          <w:rFonts w:eastAsiaTheme="minorHAnsi"/>
          <w:sz w:val="28"/>
          <w:szCs w:val="28"/>
          <w:lang w:eastAsia="en-US"/>
        </w:rPr>
        <w:t xml:space="preserve"> </w:t>
      </w:r>
      <w:proofErr w:type="spellStart"/>
      <w:r w:rsidRPr="005E02F0">
        <w:rPr>
          <w:rFonts w:eastAsiaTheme="minorHAnsi"/>
          <w:sz w:val="28"/>
          <w:szCs w:val="28"/>
          <w:lang w:eastAsia="en-US"/>
        </w:rPr>
        <w:t>obligāta</w:t>
      </w:r>
      <w:proofErr w:type="spellEnd"/>
      <w:r w:rsidRPr="005E02F0">
        <w:rPr>
          <w:rFonts w:eastAsiaTheme="minorHAnsi"/>
          <w:sz w:val="28"/>
          <w:szCs w:val="28"/>
          <w:lang w:eastAsia="en-US"/>
        </w:rPr>
        <w:t>.</w:t>
      </w:r>
    </w:p>
    <w:p w:rsidR="00593F12" w:rsidRPr="005E02F0" w:rsidRDefault="00593F12" w:rsidP="00593F12">
      <w:pPr>
        <w:spacing w:before="0" w:after="0" w:line="240" w:lineRule="auto"/>
        <w:ind w:firstLine="709"/>
        <w:rPr>
          <w:iCs/>
          <w:sz w:val="28"/>
          <w:szCs w:val="28"/>
          <w:lang w:val="lv-LV"/>
        </w:rPr>
      </w:pPr>
      <w:r w:rsidRPr="005E02F0">
        <w:rPr>
          <w:iCs/>
          <w:sz w:val="28"/>
          <w:szCs w:val="28"/>
          <w:lang w:val="lv-LV"/>
        </w:rPr>
        <w:t>Biroja kompetencē noteikta pašu sarežģītāko (3.grupas būves) būvju būvdarbu kontrole, kā arī tādu būvju būvdarbu kontrole, kurām pirms būvniecības veikts ietekmes uz vidi novērtējums – attiecīgi birojā nepieciešams piesaistīt būvinspektorus ar augstu kompetenci sarežģītu būvju būvdarbu kontrolei un profesionalitāti pienākumu veikšanā, tādējādi nodrošinot, ka valsts būvdarbu uzraudzība notiek garantējot sabiedrības drošību un intereses. Šādu speciālistu piesaistei nepieciešams attiecīgs atalgojums.</w:t>
      </w:r>
    </w:p>
    <w:p w:rsidR="00593F12" w:rsidRPr="005E02F0" w:rsidRDefault="00DE4B19" w:rsidP="00593F12">
      <w:pPr>
        <w:spacing w:before="0" w:after="0" w:line="240" w:lineRule="auto"/>
        <w:ind w:firstLine="567"/>
        <w:rPr>
          <w:sz w:val="28"/>
          <w:szCs w:val="28"/>
          <w:lang w:val="lv-LV" w:eastAsia="lv-LV"/>
        </w:rPr>
      </w:pPr>
      <w:r w:rsidRPr="005E02F0">
        <w:rPr>
          <w:sz w:val="28"/>
          <w:szCs w:val="28"/>
          <w:lang w:val="lv-LV" w:eastAsia="lv-LV"/>
        </w:rPr>
        <w:t>Bez tam</w:t>
      </w:r>
      <w:r w:rsidR="00593F12" w:rsidRPr="005E02F0">
        <w:rPr>
          <w:sz w:val="28"/>
          <w:szCs w:val="28"/>
          <w:lang w:val="lv-LV" w:eastAsia="lv-LV"/>
        </w:rPr>
        <w:t xml:space="preserve"> likum</w:t>
      </w:r>
      <w:r w:rsidR="00245B61" w:rsidRPr="005E02F0">
        <w:rPr>
          <w:sz w:val="28"/>
          <w:szCs w:val="28"/>
          <w:lang w:val="lv-LV" w:eastAsia="lv-LV"/>
        </w:rPr>
        <w:t>s</w:t>
      </w:r>
      <w:r w:rsidR="00593F12" w:rsidRPr="005E02F0">
        <w:rPr>
          <w:sz w:val="28"/>
          <w:szCs w:val="28"/>
          <w:lang w:val="lv-LV" w:eastAsia="lv-LV"/>
        </w:rPr>
        <w:t xml:space="preserve"> „Grozījumi Būvniecības likumā” (</w:t>
      </w:r>
      <w:r w:rsidRPr="005E02F0">
        <w:rPr>
          <w:sz w:val="28"/>
          <w:szCs w:val="28"/>
          <w:lang w:val="lv-LV"/>
        </w:rPr>
        <w:t>pieņemts Saeimā 03.07.2014.</w:t>
      </w:r>
      <w:r w:rsidR="00593F12" w:rsidRPr="005E02F0">
        <w:rPr>
          <w:sz w:val="28"/>
          <w:szCs w:val="28"/>
          <w:lang w:val="lv-LV"/>
        </w:rPr>
        <w:t xml:space="preserve">) paredz, ka </w:t>
      </w:r>
      <w:r w:rsidR="00593F12" w:rsidRPr="005E02F0">
        <w:rPr>
          <w:sz w:val="28"/>
          <w:szCs w:val="28"/>
          <w:lang w:val="lv-LV" w:eastAsia="lv-LV"/>
        </w:rPr>
        <w:t>ar 2016.gada 1.janvāri Birojam papildus iepriekš minētajam uzdevumiem tiks</w:t>
      </w:r>
      <w:r w:rsidR="00593F12" w:rsidRPr="005E02F0">
        <w:rPr>
          <w:sz w:val="28"/>
          <w:szCs w:val="28"/>
          <w:lang w:val="lv-LV"/>
        </w:rPr>
        <w:t xml:space="preserve"> </w:t>
      </w:r>
      <w:r w:rsidR="00007CA0" w:rsidRPr="005E02F0">
        <w:rPr>
          <w:sz w:val="28"/>
          <w:szCs w:val="28"/>
          <w:lang w:val="lv-LV"/>
        </w:rPr>
        <w:t>uzdots piešķirt</w:t>
      </w:r>
      <w:r w:rsidR="00593F12" w:rsidRPr="005E02F0">
        <w:rPr>
          <w:sz w:val="28"/>
          <w:szCs w:val="28"/>
          <w:lang w:val="lv-LV"/>
        </w:rPr>
        <w:t xml:space="preserve"> patstāvīgās prakses tiesības būvekspertīzes veikšanā, kā arī veikt patstāvīgās prakses uzraudzību.</w:t>
      </w:r>
    </w:p>
    <w:p w:rsidR="00593F12" w:rsidRPr="005E02F0" w:rsidRDefault="00593F12" w:rsidP="00593F12">
      <w:pPr>
        <w:pStyle w:val="NormalWeb"/>
        <w:spacing w:before="0" w:beforeAutospacing="0" w:after="0" w:afterAutospacing="0"/>
        <w:ind w:firstLine="567"/>
        <w:jc w:val="both"/>
        <w:rPr>
          <w:sz w:val="28"/>
          <w:szCs w:val="28"/>
        </w:rPr>
      </w:pPr>
      <w:r w:rsidRPr="005E02F0">
        <w:rPr>
          <w:sz w:val="28"/>
          <w:szCs w:val="28"/>
        </w:rPr>
        <w:t>Ministru kabineta noteikumu projektā „</w:t>
      </w:r>
      <w:proofErr w:type="spellStart"/>
      <w:r w:rsidRPr="005E02F0">
        <w:rPr>
          <w:sz w:val="28"/>
          <w:szCs w:val="28"/>
        </w:rPr>
        <w:t>Būvspeciālistu</w:t>
      </w:r>
      <w:proofErr w:type="spellEnd"/>
      <w:r w:rsidRPr="005E02F0">
        <w:rPr>
          <w:sz w:val="28"/>
          <w:szCs w:val="28"/>
        </w:rPr>
        <w:t xml:space="preserve"> kompetences novērtēšanas un patstāvīgās prakses uzraudzības noteikumi”, kas šobrīd ir saskaņošanas procesā ar ministrijām un nozares nevalstiskajām organizācijām, ir noteikta prasība, kas paredz, ka </w:t>
      </w:r>
      <w:proofErr w:type="spellStart"/>
      <w:r w:rsidRPr="005E02F0">
        <w:rPr>
          <w:sz w:val="28"/>
          <w:szCs w:val="28"/>
        </w:rPr>
        <w:t>būvspeciālistu</w:t>
      </w:r>
      <w:proofErr w:type="spellEnd"/>
      <w:r w:rsidRPr="005E02F0">
        <w:rPr>
          <w:sz w:val="28"/>
          <w:szCs w:val="28"/>
        </w:rPr>
        <w:t xml:space="preserve"> kompetences novērtēšanas un patstāvīgās prakses uzraudzības veicējam ir jābūt akreditētam nacionālajā akreditācijas institūcijā saskaņā ar normatīvajiem aktiem atbilstības novērtēšanas jomā, un atbilstoši standartam LVS EN ISO/IEC 17024:2013 „Atbilstības novērtēšana. Vispārīgās prasības personu sertificēšanas institūcijām (ISO/IEC 17024:2012)” (turpmāk – standarts). </w:t>
      </w:r>
    </w:p>
    <w:p w:rsidR="00593F12" w:rsidRPr="005E02F0" w:rsidRDefault="00593F12" w:rsidP="00593F12">
      <w:pPr>
        <w:pStyle w:val="NormalWeb"/>
        <w:spacing w:before="0" w:beforeAutospacing="0" w:after="0" w:afterAutospacing="0"/>
        <w:ind w:firstLine="720"/>
        <w:jc w:val="both"/>
        <w:rPr>
          <w:sz w:val="28"/>
          <w:szCs w:val="28"/>
        </w:rPr>
      </w:pPr>
      <w:r w:rsidRPr="005E02F0">
        <w:rPr>
          <w:sz w:val="28"/>
          <w:szCs w:val="28"/>
        </w:rPr>
        <w:t xml:space="preserve">Saskaņā ar standartā noteiktajām strukturālajām prasībām, sertifikācijas institūcijai jābūt juridiskai personai vai juridiskas personas definētai daļai tā, lai tā būtu juridiski atbildīga par tās sertifikācijas darbībām, tai jābūt strukturizētai un pārvaldītai tā, lai nodrošinātu </w:t>
      </w:r>
      <w:proofErr w:type="spellStart"/>
      <w:r w:rsidRPr="005E02F0">
        <w:rPr>
          <w:sz w:val="28"/>
          <w:szCs w:val="28"/>
        </w:rPr>
        <w:t>neietekmējamību</w:t>
      </w:r>
      <w:proofErr w:type="spellEnd"/>
      <w:r w:rsidRPr="005E02F0">
        <w:rPr>
          <w:sz w:val="28"/>
          <w:szCs w:val="28"/>
        </w:rPr>
        <w:t xml:space="preserve">. Attiecīgi, lai izpildītu standarta prasības, birojam, patstāvīgās prakses tiesību būvekspertīzes veikšanai </w:t>
      </w:r>
      <w:r w:rsidRPr="005E02F0">
        <w:rPr>
          <w:sz w:val="28"/>
          <w:szCs w:val="28"/>
        </w:rPr>
        <w:lastRenderedPageBreak/>
        <w:t xml:space="preserve">piešķiršanas un patstāvīgās prakses uzraudzības nodrošināšanai, jāizveido atsevišķa struktūrvienība - </w:t>
      </w:r>
      <w:proofErr w:type="spellStart"/>
      <w:r w:rsidRPr="005E02F0">
        <w:rPr>
          <w:sz w:val="28"/>
          <w:szCs w:val="28"/>
        </w:rPr>
        <w:t>Būvekspertu</w:t>
      </w:r>
      <w:proofErr w:type="spellEnd"/>
      <w:r w:rsidRPr="005E02F0">
        <w:rPr>
          <w:sz w:val="28"/>
          <w:szCs w:val="28"/>
        </w:rPr>
        <w:t xml:space="preserve"> sertifikācijas departaments, kuras ietvaros, saskaņā ar standarta 5.punktu, jābūt identific</w:t>
      </w:r>
      <w:r w:rsidR="001D4AD1" w:rsidRPr="005E02F0">
        <w:rPr>
          <w:sz w:val="28"/>
          <w:szCs w:val="28"/>
        </w:rPr>
        <w:t>ētām personām vai personu grupai</w:t>
      </w:r>
      <w:r w:rsidRPr="005E02F0">
        <w:rPr>
          <w:sz w:val="28"/>
          <w:szCs w:val="28"/>
        </w:rPr>
        <w:t>, kas ir atbildīga par:</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politiku un procedūrām attiecībā uz sertifikācijas institūcijas darbību;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politiku un procedūru ieviešanu;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sertifikācijas institūcijas finansēm;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sertifikācijas darbību resursiem;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sertifikācijas shēmu izstrādāšanu un uzturēšanu;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novērtēšanas darbībām, </w:t>
      </w:r>
    </w:p>
    <w:p w:rsidR="00593F12" w:rsidRPr="005E02F0" w:rsidRDefault="00593F12" w:rsidP="00593F12">
      <w:pPr>
        <w:pStyle w:val="NormalWeb"/>
        <w:numPr>
          <w:ilvl w:val="0"/>
          <w:numId w:val="2"/>
        </w:numPr>
        <w:spacing w:before="0" w:beforeAutospacing="0" w:after="0" w:afterAutospacing="0"/>
        <w:ind w:left="1134" w:hanging="425"/>
        <w:jc w:val="both"/>
        <w:rPr>
          <w:sz w:val="28"/>
          <w:szCs w:val="28"/>
        </w:rPr>
      </w:pPr>
      <w:r w:rsidRPr="005E02F0">
        <w:rPr>
          <w:sz w:val="28"/>
          <w:szCs w:val="28"/>
        </w:rPr>
        <w:t xml:space="preserve">sertifikācijas lēmumiem, ieskaitot sertifikācijas piešķiršanu, uzturēšanu, atkārtotu sertifikāciju, sertifikācijas jomas paplašināšanu, atlikšanu vai anulēšanu. </w:t>
      </w:r>
    </w:p>
    <w:p w:rsidR="001D4AD1" w:rsidRPr="005E02F0" w:rsidRDefault="001D4AD1" w:rsidP="00593F12">
      <w:pPr>
        <w:pStyle w:val="NormalWeb"/>
        <w:spacing w:before="0" w:beforeAutospacing="0" w:after="0" w:afterAutospacing="0"/>
        <w:ind w:firstLine="720"/>
        <w:jc w:val="both"/>
        <w:rPr>
          <w:b/>
          <w:sz w:val="28"/>
          <w:szCs w:val="28"/>
        </w:rPr>
      </w:pPr>
      <w:r w:rsidRPr="005E02F0">
        <w:rPr>
          <w:b/>
          <w:sz w:val="28"/>
          <w:szCs w:val="28"/>
        </w:rPr>
        <w:t xml:space="preserve">Politika un procedūras attiecībā uz sertifikācijas institūcijas darbību saprotamas kā standarta prasības attiecībā uz iestādes (struktūrvienības) darbības politiku sertificēšanas jomā un nav vērtējamas kā iestādes funkcija Valsts pārvaldes likuma izpratnē. Tādējādi biroja kompetencē nav </w:t>
      </w:r>
      <w:r w:rsidR="00E6597E" w:rsidRPr="005E02F0">
        <w:rPr>
          <w:b/>
          <w:sz w:val="28"/>
          <w:szCs w:val="28"/>
        </w:rPr>
        <w:t>nodota</w:t>
      </w:r>
      <w:r w:rsidRPr="005E02F0">
        <w:rPr>
          <w:b/>
          <w:sz w:val="28"/>
          <w:szCs w:val="28"/>
        </w:rPr>
        <w:t xml:space="preserve"> nozares politikas veidošana</w:t>
      </w:r>
      <w:r w:rsidR="00E6597E" w:rsidRPr="005E02F0">
        <w:rPr>
          <w:b/>
          <w:sz w:val="28"/>
          <w:szCs w:val="28"/>
        </w:rPr>
        <w:t>,</w:t>
      </w:r>
      <w:r w:rsidRPr="005E02F0">
        <w:rPr>
          <w:b/>
          <w:sz w:val="28"/>
          <w:szCs w:val="28"/>
        </w:rPr>
        <w:t xml:space="preserve"> kas saskaņā ar Valsts pārvaldes iekārtas likuma 18.pantu ir ministrijas kompetencē. </w:t>
      </w:r>
    </w:p>
    <w:p w:rsidR="00593F12" w:rsidRPr="005E02F0" w:rsidRDefault="00593F12" w:rsidP="00593F12">
      <w:pPr>
        <w:pStyle w:val="NormalWeb"/>
        <w:spacing w:before="0" w:beforeAutospacing="0" w:after="0" w:afterAutospacing="0"/>
        <w:ind w:firstLine="720"/>
        <w:jc w:val="both"/>
        <w:rPr>
          <w:sz w:val="28"/>
          <w:szCs w:val="28"/>
        </w:rPr>
      </w:pPr>
      <w:r w:rsidRPr="005E02F0">
        <w:rPr>
          <w:sz w:val="28"/>
          <w:szCs w:val="28"/>
        </w:rPr>
        <w:t>Visi ar patstāvīgās prakses tiesību būvekspertīzes veikšanā piešķiršanu, kā arī patstāvīgās prakses uzraudzību saistītie lēmumi ir administratīvie akti, kas jāpieņem saskaņā ar Ministru kabineta noteikumu projektu „</w:t>
      </w:r>
      <w:proofErr w:type="spellStart"/>
      <w:r w:rsidRPr="005E02F0">
        <w:rPr>
          <w:sz w:val="28"/>
          <w:szCs w:val="28"/>
        </w:rPr>
        <w:t>Būvspeciālistu</w:t>
      </w:r>
      <w:proofErr w:type="spellEnd"/>
      <w:r w:rsidRPr="005E02F0">
        <w:rPr>
          <w:sz w:val="28"/>
          <w:szCs w:val="28"/>
        </w:rPr>
        <w:t xml:space="preserve"> kompetences novērtēšanas un patstāvīgās prakses uzraudzības noteikumi” un standartā noteiktajām prasībām, attiecīgi sertificēšanas un profesionālās darbības uzraudzības procesā iesaistītajam personālam jābūt pietiekamā apjomā un ar nepieciešamo kompetenci, lai izpildītu sertifikācijas funkcijas attiecībā uz izpildāmā darba tipu, diapazonu un apjomu. </w:t>
      </w:r>
    </w:p>
    <w:p w:rsidR="00593F12" w:rsidRPr="005E02F0" w:rsidRDefault="00593F12" w:rsidP="00593F12">
      <w:pPr>
        <w:pStyle w:val="NormalWeb"/>
        <w:spacing w:before="0" w:beforeAutospacing="0" w:after="0" w:afterAutospacing="0"/>
        <w:ind w:firstLine="720"/>
        <w:jc w:val="both"/>
        <w:rPr>
          <w:sz w:val="28"/>
          <w:szCs w:val="28"/>
        </w:rPr>
      </w:pPr>
      <w:r w:rsidRPr="005E02F0">
        <w:rPr>
          <w:sz w:val="28"/>
          <w:szCs w:val="28"/>
        </w:rPr>
        <w:t xml:space="preserve">Saskaņā ar SIA „Standartizācijas, akreditācijas un metroloģijas centrs” struktūrvienības Latvijas Nacionālais akreditācijas birojs (turpmāk – LATAK) sniegto informāciju, lai sagatavotu visus nepieciešamos dokumentus un izstrādātu procedūras, noteikumu projektā paredzētajai akreditācijai, tai skaitā izstrādātu sertifikācijas shēmu, kurā saskaņā ar standarta 8.punktu jānorāda sertifikācijas sfēra, darba uzdevumu apraksts, nepieciešamā kompetence, spējas, priekšnoteikumi, uzvedības kodekss, sertifikācijas procesa prasības, norādot sākotnējās vai atkārtotās sertifikācijas novērtēšanas metodes, uzraudzības metodes un kritērijus, sertifikācijas atlikšanas vai anulēšanas kritērijus, sertifikācijas sfēras izmaiņu kritērijus, pierādītu atbilstošu ekspertu iesaistīšanu, piemērotas struktūras izmantošanu (kas taisnīgi pārstāv visu būtiski ieinteresēto pušu intereses, bez jebkādu interešu pārsvara), kā arī nodrošinātu vēl virkni ar institūcijas pārvaldību, informācijas konfidencialitāti, drošību un citu standartā noteikto prasību izpildi, nepieciešami vidēji 3 – 4 mēneši, kā arī LATAK akreditācijas procedūras nodrošināšanai nepieciešami vēl vidēji 3 – 4 mēneši. Būvniecības likums paredz, ka sertificēšanas procedūra jāuzsāk no 2016.gada </w:t>
      </w:r>
      <w:r w:rsidRPr="005E02F0">
        <w:rPr>
          <w:sz w:val="28"/>
          <w:szCs w:val="28"/>
        </w:rPr>
        <w:lastRenderedPageBreak/>
        <w:t>1.janvāra, attiecīgi, sagatavošanās darbi minētās funkcijas nodrošināšanai jāuzsāk vismaz 6 – 8 mēnešus pirms Būvniecības likumā noteiktā termiņa, tādējādi, lai birojs no 2016.gada 1.janvāra nodrošinātu patstāvīgās prakses tiesību būvekspertīzes veikšanā piešķiršanu un patstāvīgās prakses uzraudzību, struktūrvienībai darbs jāuzsāk jau 2015.gadā.</w:t>
      </w:r>
    </w:p>
    <w:p w:rsidR="00245B61" w:rsidRPr="005E02F0" w:rsidRDefault="00593F12" w:rsidP="00245B61">
      <w:pPr>
        <w:pStyle w:val="tv213"/>
        <w:spacing w:before="0" w:beforeAutospacing="0" w:after="0" w:afterAutospacing="0"/>
        <w:ind w:firstLine="709"/>
        <w:jc w:val="both"/>
        <w:rPr>
          <w:sz w:val="28"/>
          <w:szCs w:val="28"/>
        </w:rPr>
      </w:pPr>
      <w:r w:rsidRPr="005E02F0">
        <w:rPr>
          <w:sz w:val="28"/>
          <w:szCs w:val="28"/>
        </w:rPr>
        <w:t>Saskaņā ar Ministru kabineta noteikumu projektā „</w:t>
      </w:r>
      <w:proofErr w:type="spellStart"/>
      <w:r w:rsidRPr="005E02F0">
        <w:rPr>
          <w:sz w:val="28"/>
          <w:szCs w:val="28"/>
        </w:rPr>
        <w:t>Būvspeciālistu</w:t>
      </w:r>
      <w:proofErr w:type="spellEnd"/>
      <w:r w:rsidRPr="005E02F0">
        <w:rPr>
          <w:sz w:val="28"/>
          <w:szCs w:val="28"/>
        </w:rPr>
        <w:t xml:space="preserve"> kompetences novērtēšanas un patstāvīgās prakses uzraudzības noteikumi”  noteikto, biroja pienākumos, attiecībā uz būvekspertīzes sertifikātu piešķiršanu un </w:t>
      </w:r>
      <w:proofErr w:type="spellStart"/>
      <w:r w:rsidRPr="005E02F0">
        <w:rPr>
          <w:sz w:val="28"/>
          <w:szCs w:val="28"/>
        </w:rPr>
        <w:t>būvekspertu</w:t>
      </w:r>
      <w:proofErr w:type="spellEnd"/>
      <w:r w:rsidRPr="005E02F0">
        <w:rPr>
          <w:sz w:val="28"/>
          <w:szCs w:val="28"/>
        </w:rPr>
        <w:t xml:space="preserve"> patstāvīgās prakses uzraudzību, ietilpst  tai uzdoto pienākumu savlaicīga un kvalitatīva izpilde, informācijas sniegšana pēc Ekonomikas ministrijas vai citu valsts pārvaldes institūciju pieprasījuma jautājumos, kas attiecas uz </w:t>
      </w:r>
      <w:proofErr w:type="spellStart"/>
      <w:r w:rsidRPr="005E02F0">
        <w:rPr>
          <w:sz w:val="28"/>
          <w:szCs w:val="28"/>
        </w:rPr>
        <w:t>būvspeciālista</w:t>
      </w:r>
      <w:proofErr w:type="spellEnd"/>
      <w:r w:rsidRPr="005E02F0">
        <w:rPr>
          <w:sz w:val="28"/>
          <w:szCs w:val="28"/>
        </w:rPr>
        <w:t xml:space="preserve"> kompetences novērtēšanu un patstāvīgās prakses uzraudzību, </w:t>
      </w:r>
      <w:proofErr w:type="spellStart"/>
      <w:r w:rsidRPr="005E02F0">
        <w:rPr>
          <w:sz w:val="28"/>
          <w:szCs w:val="28"/>
        </w:rPr>
        <w:t>būvspeciālistu</w:t>
      </w:r>
      <w:proofErr w:type="spellEnd"/>
      <w:r w:rsidRPr="005E02F0">
        <w:rPr>
          <w:sz w:val="28"/>
          <w:szCs w:val="28"/>
        </w:rPr>
        <w:t xml:space="preserve"> kompetences novērtēšanas un patstāvīgās prakses uzraudzības organizēšana un saistītās informācijas uzturēšana un aktualizēšana Būvniecības informācijas sistēmā, kompetences pārbaudes iestādei iesniedzamo papildu dokumentu saraksta,  kompetences novērtēšanas kārtības, eksāmena vai testa tēmu publicēšana tās tīmekļa vietnē, kompetences novērtēšanas  kārtības, eksāmena vai testa jautājumu aktualizācija ne retāk kā vienu reizi kalendārajā gadā, kā arī patstāvīgās prakses uzraudzības ietvaros ne retāk kā reizi piecos gados jānodrošina pārbaudi par </w:t>
      </w:r>
      <w:proofErr w:type="spellStart"/>
      <w:r w:rsidRPr="005E02F0">
        <w:rPr>
          <w:sz w:val="28"/>
          <w:szCs w:val="28"/>
        </w:rPr>
        <w:t>būvspeciālista</w:t>
      </w:r>
      <w:proofErr w:type="spellEnd"/>
      <w:r w:rsidRPr="005E02F0">
        <w:rPr>
          <w:sz w:val="28"/>
          <w:szCs w:val="28"/>
        </w:rPr>
        <w:t xml:space="preserve"> patstāvīgo praksi, </w:t>
      </w:r>
      <w:proofErr w:type="spellStart"/>
      <w:r w:rsidRPr="005E02F0">
        <w:rPr>
          <w:sz w:val="28"/>
          <w:szCs w:val="28"/>
        </w:rPr>
        <w:t>būvspeciālista</w:t>
      </w:r>
      <w:proofErr w:type="spellEnd"/>
      <w:r w:rsidRPr="005E02F0">
        <w:rPr>
          <w:sz w:val="28"/>
          <w:szCs w:val="28"/>
        </w:rPr>
        <w:t xml:space="preserve"> iesniegto informāciju par izglītību un apgūtajām profesionālās pilnveides programmām, vai citiem kompetenci paaugstinošiem pasākumiem sertifikātā norādītajā jomā, sūdzībās un iesniegumos norādītajiem kā arī citos veidos iestādes rīcībā nonākušiem faktiem par iespējamiem </w:t>
      </w:r>
      <w:proofErr w:type="spellStart"/>
      <w:r w:rsidRPr="005E02F0">
        <w:rPr>
          <w:sz w:val="28"/>
          <w:szCs w:val="28"/>
        </w:rPr>
        <w:t>būvspeciālista</w:t>
      </w:r>
      <w:proofErr w:type="spellEnd"/>
      <w:r w:rsidRPr="005E02F0">
        <w:rPr>
          <w:sz w:val="28"/>
          <w:szCs w:val="28"/>
        </w:rPr>
        <w:t xml:space="preserve"> pārkāpumiem. </w:t>
      </w:r>
    </w:p>
    <w:p w:rsidR="00593F12" w:rsidRPr="007D0A32" w:rsidRDefault="00593F12" w:rsidP="00245B61">
      <w:pPr>
        <w:pStyle w:val="tv213"/>
        <w:spacing w:before="0" w:beforeAutospacing="0" w:after="0" w:afterAutospacing="0"/>
        <w:ind w:firstLine="709"/>
        <w:jc w:val="both"/>
        <w:rPr>
          <w:sz w:val="28"/>
          <w:szCs w:val="28"/>
        </w:rPr>
      </w:pPr>
      <w:r w:rsidRPr="005E02F0">
        <w:rPr>
          <w:sz w:val="28"/>
          <w:szCs w:val="28"/>
        </w:rPr>
        <w:t>Papildus jāņem vērā, ka Ministru kabineta noteikumu projektā „</w:t>
      </w:r>
      <w:proofErr w:type="spellStart"/>
      <w:r w:rsidRPr="005E02F0">
        <w:rPr>
          <w:sz w:val="28"/>
          <w:szCs w:val="28"/>
        </w:rPr>
        <w:t>Būvspeciālistu</w:t>
      </w:r>
      <w:proofErr w:type="spellEnd"/>
      <w:r w:rsidRPr="005E02F0">
        <w:rPr>
          <w:sz w:val="28"/>
          <w:szCs w:val="28"/>
        </w:rPr>
        <w:t xml:space="preserve"> kompetences novērtēšanas un patstāvīgās prakses uzraudzības noteikumi” paredzēta gan iespēja apturēt, gan anulēt patstāvīgās prakses sertifikātus par konkrētiem pārkāpumiem, tādējādi būtiski paplašinot kompetences pārbaudes iestādes iespējas rīkoties izvērtējot </w:t>
      </w:r>
      <w:proofErr w:type="spellStart"/>
      <w:r w:rsidRPr="005E02F0">
        <w:rPr>
          <w:sz w:val="28"/>
          <w:szCs w:val="28"/>
        </w:rPr>
        <w:t>būvspeciālistu</w:t>
      </w:r>
      <w:proofErr w:type="spellEnd"/>
      <w:r w:rsidRPr="005E02F0">
        <w:rPr>
          <w:sz w:val="28"/>
          <w:szCs w:val="28"/>
        </w:rPr>
        <w:t xml:space="preserve"> pārkāpuma smagumu. Vienlaikus tas nozīmē, ka būtiski pieaugs arī nepieciešamība pēc juridiskiem pakalpojumiem attiecīgo lēmumu atbil</w:t>
      </w:r>
      <w:r w:rsidR="002A448F" w:rsidRPr="005E02F0">
        <w:rPr>
          <w:sz w:val="28"/>
          <w:szCs w:val="28"/>
        </w:rPr>
        <w:t xml:space="preserve">stošā pamatošanā un noformēšanā, </w:t>
      </w:r>
      <w:r w:rsidR="002A448F" w:rsidRPr="007D0A32">
        <w:rPr>
          <w:sz w:val="28"/>
          <w:szCs w:val="28"/>
        </w:rPr>
        <w:t>ko veiks biroja Juridiskā departamenta darbinieki. Attiecīgi minētajiem darbiniekiem tiks izvirzītas augstas kvalifikācijas prasības, un to piesaistei nepieciešams attiecīgs (konkurētspējīgs) atalgojums.</w:t>
      </w:r>
      <w:bookmarkStart w:id="2" w:name="_GoBack"/>
      <w:bookmarkEnd w:id="2"/>
    </w:p>
    <w:p w:rsidR="00593F12" w:rsidRPr="005E02F0" w:rsidRDefault="00593F12" w:rsidP="00593F12">
      <w:pPr>
        <w:pStyle w:val="NormalWeb"/>
        <w:spacing w:before="0" w:beforeAutospacing="0" w:after="0" w:afterAutospacing="0"/>
        <w:ind w:firstLine="720"/>
        <w:jc w:val="both"/>
        <w:rPr>
          <w:sz w:val="28"/>
          <w:szCs w:val="28"/>
        </w:rPr>
      </w:pPr>
      <w:r w:rsidRPr="005E02F0">
        <w:rPr>
          <w:sz w:val="28"/>
          <w:szCs w:val="28"/>
        </w:rPr>
        <w:t xml:space="preserve">Kā būtisku darba apjomu raksturojošu rādītāju jāmin pašlaik Ekonomikas ministrijā saņemto sūdzību un iesniegumu skaitu par būvniecības jautājumiem – 2013.gadā ministrijā saņemtas vairāk kā 300 sūdzības, kā arī vairāk kā 1500 informācijas pieprasījumi par skaidrojumu sniegšanu no privātpersonām, būvvaldēm un citām institūcijām būvniecības jautājumos. Vienlaikus norādāms, ka pieprasījumu apjoms pēc skaidrojumu sniegšanas un metodiskās palīdzības ir ievērojami lielāks, bet departamenta sastāvā esošā Būvniecības politikas nodaļa var sniegt atbalstu tikai </w:t>
      </w:r>
      <w:r w:rsidR="00245B61" w:rsidRPr="005E02F0">
        <w:rPr>
          <w:sz w:val="28"/>
          <w:szCs w:val="28"/>
        </w:rPr>
        <w:t>savas</w:t>
      </w:r>
      <w:r w:rsidRPr="005E02F0">
        <w:rPr>
          <w:sz w:val="28"/>
          <w:szCs w:val="28"/>
        </w:rPr>
        <w:t xml:space="preserve"> kapacitātes ietvaros. Biroja noslodze turpmākajā laika periodā plānojama analoģiskā apjomā.</w:t>
      </w:r>
    </w:p>
    <w:p w:rsidR="00593F12" w:rsidRPr="005E02F0" w:rsidRDefault="00593F12" w:rsidP="00593F12">
      <w:pPr>
        <w:pStyle w:val="NormalWeb"/>
        <w:spacing w:before="0" w:beforeAutospacing="0" w:after="0" w:afterAutospacing="0"/>
        <w:ind w:firstLine="720"/>
        <w:jc w:val="both"/>
        <w:rPr>
          <w:sz w:val="28"/>
          <w:szCs w:val="28"/>
        </w:rPr>
      </w:pPr>
      <w:r w:rsidRPr="005E02F0">
        <w:rPr>
          <w:sz w:val="28"/>
          <w:szCs w:val="28"/>
        </w:rPr>
        <w:lastRenderedPageBreak/>
        <w:t>Bez tam pēc Zolitūdes traģēdijas ministrijā saņemtas arī sūdzības un informācija par nedrošuma pazīmēm būvēs, kuras jau pieņemtas ekspluatācijā. Ņemot vērā ka jaunais regulējums Būvniecības likumā paredz jaunu, līdz šim detalizēti neregulētu uzraudzības veidu – ekspluatācijā nodotu būvju uzraudzība, prognozējams, ka darba apjoms šajā segmentā veidos būtisku daļu no biroja būvinspektoru darba apjoma.</w:t>
      </w:r>
    </w:p>
    <w:p w:rsidR="00593F12" w:rsidRPr="005E02F0" w:rsidRDefault="00593F12" w:rsidP="00593F12">
      <w:pPr>
        <w:pStyle w:val="excerpt"/>
        <w:spacing w:before="0" w:beforeAutospacing="0" w:after="0" w:afterAutospacing="0"/>
        <w:ind w:firstLine="567"/>
        <w:jc w:val="both"/>
        <w:rPr>
          <w:sz w:val="28"/>
          <w:szCs w:val="28"/>
        </w:rPr>
      </w:pPr>
      <w:r w:rsidRPr="005E02F0">
        <w:rPr>
          <w:sz w:val="28"/>
          <w:szCs w:val="28"/>
        </w:rPr>
        <w:t xml:space="preserve">Jāņem vērā, ka biroja darbības nodrošināšanai nepieciešams izdot Ministru kabineta noteikumus (Biroja nolikumu), kā arī rast finansējumu un pieņemt darbā nepieciešamos speciālistus, kuru kompetences un atbildības apjoms galvenokārt saistīts ar sabiedrības drošības un interešu ievērošanu tādā reglamentētā jomā kā būvniecība. Tādēļ svarīgi, lai plānojot kvalificētu darba spēka piesaisti tiktu ņemti vērā </w:t>
      </w:r>
      <w:bookmarkStart w:id="3" w:name="_Toc336347876"/>
      <w:r w:rsidRPr="005E02F0">
        <w:rPr>
          <w:sz w:val="28"/>
          <w:szCs w:val="28"/>
        </w:rPr>
        <w:t>Valsts pārvaldes cilvēkresursu attīstības koncepcija</w:t>
      </w:r>
      <w:bookmarkEnd w:id="3"/>
      <w:r w:rsidRPr="005E02F0">
        <w:rPr>
          <w:sz w:val="28"/>
          <w:szCs w:val="28"/>
        </w:rPr>
        <w:t xml:space="preserve">s (MK 06.02.2013. rīkojums Nr.48) noteiktie mērķi un paredzēts pasākumu kopums, kas nodrošina to sasniegšanu </w:t>
      </w:r>
      <w:proofErr w:type="spellStart"/>
      <w:r w:rsidRPr="005E02F0">
        <w:rPr>
          <w:sz w:val="28"/>
          <w:szCs w:val="28"/>
        </w:rPr>
        <w:t>t.sk</w:t>
      </w:r>
      <w:proofErr w:type="spellEnd"/>
      <w:r w:rsidRPr="005E02F0">
        <w:rPr>
          <w:sz w:val="28"/>
          <w:szCs w:val="28"/>
        </w:rPr>
        <w:t>. n</w:t>
      </w:r>
      <w:r w:rsidRPr="005E02F0">
        <w:rPr>
          <w:spacing w:val="-2"/>
          <w:sz w:val="28"/>
          <w:szCs w:val="28"/>
        </w:rPr>
        <w:t>odrošinot konkurētspējīgu atlīdzību ar privātajā sektorā līdzvērtīgiem amatiem</w:t>
      </w:r>
      <w:r w:rsidRPr="005E02F0">
        <w:rPr>
          <w:sz w:val="28"/>
          <w:szCs w:val="28"/>
        </w:rPr>
        <w:t xml:space="preserve">. </w:t>
      </w:r>
    </w:p>
    <w:p w:rsidR="00EF028C" w:rsidRPr="005E02F0" w:rsidRDefault="00EF028C" w:rsidP="00593F12">
      <w:pPr>
        <w:pStyle w:val="excerpt"/>
        <w:spacing w:before="0" w:beforeAutospacing="0" w:after="0" w:afterAutospacing="0"/>
        <w:ind w:firstLine="567"/>
        <w:jc w:val="both"/>
        <w:rPr>
          <w:sz w:val="28"/>
          <w:szCs w:val="28"/>
        </w:rPr>
      </w:pPr>
    </w:p>
    <w:p w:rsidR="00593F12" w:rsidRPr="005E02F0" w:rsidRDefault="00593F12" w:rsidP="00593F12">
      <w:pPr>
        <w:pStyle w:val="excerpt"/>
        <w:spacing w:before="0" w:beforeAutospacing="0" w:after="0" w:afterAutospacing="0"/>
        <w:ind w:firstLine="567"/>
        <w:jc w:val="both"/>
        <w:rPr>
          <w:sz w:val="28"/>
          <w:szCs w:val="28"/>
        </w:rPr>
      </w:pPr>
      <w:r w:rsidRPr="005E02F0">
        <w:rPr>
          <w:sz w:val="28"/>
          <w:szCs w:val="28"/>
        </w:rPr>
        <w:t>Lai birojs varētu uzsākt darbu 2014.gada 1.oktobrī, visu ar tā tehnisko nodrošinājumu (</w:t>
      </w:r>
      <w:proofErr w:type="spellStart"/>
      <w:r w:rsidRPr="005E02F0">
        <w:rPr>
          <w:sz w:val="28"/>
          <w:szCs w:val="28"/>
        </w:rPr>
        <w:t>t.sk</w:t>
      </w:r>
      <w:proofErr w:type="spellEnd"/>
      <w:r w:rsidRPr="005E02F0">
        <w:rPr>
          <w:sz w:val="28"/>
          <w:szCs w:val="28"/>
        </w:rPr>
        <w:t>. iepirkumu organizēšanu), atrašanās vietu un personāla atlasi saistīto jautājumu risināšana uzsākama ne vēlāk kā 2014.gada augusta mēnesī.</w:t>
      </w:r>
    </w:p>
    <w:p w:rsidR="00593F12" w:rsidRPr="005E02F0" w:rsidRDefault="00593F12" w:rsidP="00593F12">
      <w:pPr>
        <w:spacing w:after="0" w:line="240" w:lineRule="auto"/>
        <w:ind w:firstLine="0"/>
        <w:rPr>
          <w:bCs/>
          <w:szCs w:val="28"/>
          <w:lang w:val="lv-LV"/>
        </w:rPr>
      </w:pPr>
    </w:p>
    <w:p w:rsidR="00593F12" w:rsidRPr="005E02F0" w:rsidRDefault="00593F12" w:rsidP="00593F12">
      <w:pPr>
        <w:spacing w:before="0" w:after="0" w:line="240" w:lineRule="auto"/>
        <w:jc w:val="center"/>
        <w:rPr>
          <w:b/>
          <w:bCs/>
          <w:sz w:val="28"/>
          <w:szCs w:val="28"/>
          <w:lang w:val="lv-LV"/>
        </w:rPr>
      </w:pPr>
      <w:r w:rsidRPr="005E02F0">
        <w:rPr>
          <w:b/>
          <w:bCs/>
          <w:sz w:val="28"/>
          <w:szCs w:val="28"/>
          <w:lang w:val="lv-LV"/>
        </w:rPr>
        <w:t>Priekšlikumi turpmākai rīcībai</w:t>
      </w:r>
    </w:p>
    <w:p w:rsidR="00593F12" w:rsidRPr="005E02F0" w:rsidRDefault="00593F12" w:rsidP="00593F12">
      <w:pPr>
        <w:pStyle w:val="ListParagraph"/>
        <w:ind w:left="0"/>
      </w:pPr>
      <w:r w:rsidRPr="005E02F0">
        <w:rPr>
          <w:rStyle w:val="spelle"/>
        </w:rPr>
        <w:t xml:space="preserve">Ievērojot iepriekš minēto nepieciešams paredzēt finansējumu Valsts būvniecības kontroles biroja izveidei 2014.gadā. To ir iespējams pārdalīt no Ekonomikas ministrijas </w:t>
      </w:r>
      <w:r w:rsidRPr="005E02F0">
        <w:t>budžeta programmas 29.01.00 „Naftas produktu rezervju uzturēšana”, jo naftas produktu rezervju uzturēšana 90 dienām no 2014.gada 1.jūlija līdz 2015.gada 30.jūnijam atbilstoši noslēgtajiem līgumiem būs nodrošināta ar mazākām izmaksām.</w:t>
      </w:r>
    </w:p>
    <w:p w:rsidR="00593F12" w:rsidRPr="005E02F0" w:rsidRDefault="00593F12" w:rsidP="00593F12">
      <w:pPr>
        <w:pStyle w:val="ListParagraph"/>
        <w:ind w:left="0"/>
      </w:pPr>
      <w:r w:rsidRPr="005E02F0">
        <w:rPr>
          <w:rStyle w:val="spelle"/>
        </w:rPr>
        <w:t>Ekonomikas ministrija</w:t>
      </w:r>
      <w:r w:rsidRPr="005E02F0">
        <w:t xml:space="preserve"> normatīvajos aktos noteiktajā kārtībā sagatavos un iesniegs Finanšu ministrijā pieprasījumu valsts budžeta apropriācijas pārdalei 999 483 </w:t>
      </w:r>
      <w:proofErr w:type="spellStart"/>
      <w:r w:rsidRPr="005E02F0">
        <w:rPr>
          <w:i/>
        </w:rPr>
        <w:t>euro</w:t>
      </w:r>
      <w:proofErr w:type="spellEnd"/>
      <w:r w:rsidRPr="005E02F0">
        <w:t xml:space="preserve"> apmērā 2014.gadā no budžeta programmas 29.01.00 „Naftas produktu rezervju uzturēšana” uz programmu 20.00.00 „Būvniecība”.</w:t>
      </w:r>
    </w:p>
    <w:p w:rsidR="00593F12" w:rsidRPr="005E02F0" w:rsidRDefault="00593F12" w:rsidP="00593F12">
      <w:pPr>
        <w:pStyle w:val="ListParagraph"/>
        <w:ind w:left="0"/>
      </w:pPr>
      <w:r w:rsidRPr="005E02F0">
        <w:t>Valsts būvniecības kontroles biroja darbības nodrošināšanai nepieciešams 2015.gadā 1 6</w:t>
      </w:r>
      <w:r w:rsidR="00571AC3" w:rsidRPr="005E02F0">
        <w:t>29</w:t>
      </w:r>
      <w:r w:rsidRPr="005E02F0">
        <w:t> </w:t>
      </w:r>
      <w:r w:rsidR="00571AC3" w:rsidRPr="005E02F0">
        <w:t>684</w:t>
      </w:r>
      <w:r w:rsidRPr="005E02F0">
        <w:t> </w:t>
      </w:r>
      <w:proofErr w:type="spellStart"/>
      <w:r w:rsidRPr="005E02F0">
        <w:rPr>
          <w:i/>
        </w:rPr>
        <w:t>euro</w:t>
      </w:r>
      <w:proofErr w:type="spellEnd"/>
      <w:r w:rsidRPr="005E02F0">
        <w:t>, 2016.gadā un turpmāk 1 9</w:t>
      </w:r>
      <w:r w:rsidR="00571AC3" w:rsidRPr="005E02F0">
        <w:t>02</w:t>
      </w:r>
      <w:r w:rsidRPr="005E02F0">
        <w:t> </w:t>
      </w:r>
      <w:r w:rsidR="00571AC3" w:rsidRPr="005E02F0">
        <w:t>123</w:t>
      </w:r>
      <w:r w:rsidRPr="005E02F0">
        <w:t> </w:t>
      </w:r>
      <w:proofErr w:type="spellStart"/>
      <w:r w:rsidRPr="005E02F0">
        <w:rPr>
          <w:i/>
        </w:rPr>
        <w:t>euro</w:t>
      </w:r>
      <w:proofErr w:type="spellEnd"/>
      <w:r w:rsidRPr="005E02F0">
        <w:rPr>
          <w:i/>
        </w:rPr>
        <w:t xml:space="preserve"> </w:t>
      </w:r>
      <w:r w:rsidRPr="005E02F0">
        <w:t>gadā.</w:t>
      </w:r>
    </w:p>
    <w:p w:rsidR="00593F12" w:rsidRPr="005E02F0" w:rsidRDefault="00593F12" w:rsidP="00593F12">
      <w:pPr>
        <w:pStyle w:val="ListParagraph"/>
        <w:ind w:left="0"/>
      </w:pPr>
      <w:r w:rsidRPr="005E02F0">
        <w:t xml:space="preserve">Finanšu ministrijai nepieciešams precizēt </w:t>
      </w:r>
      <w:r w:rsidRPr="005E02F0">
        <w:rPr>
          <w:rStyle w:val="spelle"/>
        </w:rPr>
        <w:t xml:space="preserve">Ekonomikas ministrijas </w:t>
      </w:r>
      <w:r w:rsidRPr="005E02F0">
        <w:t>bāzes izdevumus 2015.gadā un turpmākajos gados.</w:t>
      </w:r>
    </w:p>
    <w:p w:rsidR="00593F12" w:rsidRPr="005E02F0" w:rsidRDefault="00593F12" w:rsidP="00593F12">
      <w:pPr>
        <w:spacing w:before="0" w:after="0" w:line="240" w:lineRule="auto"/>
        <w:ind w:firstLine="0"/>
        <w:rPr>
          <w:bCs/>
          <w:sz w:val="24"/>
          <w:szCs w:val="24"/>
          <w:lang w:val="lv-LV"/>
        </w:rPr>
      </w:pPr>
    </w:p>
    <w:p w:rsidR="00593F12" w:rsidRPr="005E02F0" w:rsidRDefault="00593F12" w:rsidP="00593F12">
      <w:pPr>
        <w:tabs>
          <w:tab w:val="right" w:pos="9072"/>
        </w:tabs>
        <w:spacing w:before="0" w:after="0" w:line="240" w:lineRule="auto"/>
        <w:ind w:firstLine="0"/>
        <w:rPr>
          <w:bCs/>
          <w:sz w:val="24"/>
          <w:szCs w:val="24"/>
          <w:lang w:val="lv-LV"/>
        </w:rPr>
      </w:pPr>
    </w:p>
    <w:p w:rsidR="00593F12" w:rsidRPr="005E02F0" w:rsidRDefault="00593F12" w:rsidP="006A40AD">
      <w:pPr>
        <w:tabs>
          <w:tab w:val="right" w:pos="9072"/>
        </w:tabs>
        <w:spacing w:before="0" w:after="0" w:line="240" w:lineRule="auto"/>
        <w:ind w:firstLine="0"/>
        <w:rPr>
          <w:bCs/>
          <w:szCs w:val="28"/>
          <w:lang w:val="lv-LV"/>
        </w:rPr>
      </w:pPr>
      <w:r w:rsidRPr="005E02F0">
        <w:rPr>
          <w:bCs/>
          <w:szCs w:val="28"/>
          <w:lang w:val="lv-LV"/>
        </w:rPr>
        <w:t>Ekonomikas ministrs</w:t>
      </w:r>
      <w:r w:rsidRPr="005E02F0">
        <w:rPr>
          <w:bCs/>
          <w:szCs w:val="28"/>
          <w:lang w:val="lv-LV"/>
        </w:rPr>
        <w:tab/>
        <w:t>V.Dombrovskis</w:t>
      </w: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bCs/>
          <w:sz w:val="24"/>
          <w:szCs w:val="24"/>
          <w:lang w:val="lv-LV"/>
        </w:rPr>
      </w:pP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bCs/>
          <w:szCs w:val="28"/>
          <w:lang w:val="lv-LV"/>
        </w:rPr>
      </w:pPr>
      <w:r w:rsidRPr="005E02F0">
        <w:rPr>
          <w:bCs/>
          <w:szCs w:val="28"/>
          <w:lang w:val="lv-LV"/>
        </w:rPr>
        <w:t xml:space="preserve">Vīza: </w:t>
      </w: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bCs/>
          <w:szCs w:val="28"/>
          <w:lang w:val="lv-LV"/>
        </w:rPr>
      </w:pPr>
      <w:r w:rsidRPr="005E02F0">
        <w:rPr>
          <w:bCs/>
          <w:szCs w:val="28"/>
          <w:lang w:val="lv-LV"/>
        </w:rPr>
        <w:t>Valsts sekretārs</w:t>
      </w:r>
      <w:r w:rsidRPr="005E02F0">
        <w:rPr>
          <w:bCs/>
          <w:szCs w:val="28"/>
          <w:lang w:val="lv-LV"/>
        </w:rPr>
        <w:tab/>
        <w:t>M.Lazdovskis</w:t>
      </w: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sz w:val="20"/>
          <w:lang w:val="lv-LV"/>
        </w:rPr>
      </w:pP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5E02F0">
        <w:rPr>
          <w:bCs/>
          <w:sz w:val="20"/>
          <w:lang w:val="lv-LV"/>
        </w:rPr>
        <w:fldChar w:fldCharType="begin"/>
      </w:r>
      <w:r w:rsidRPr="005E02F0">
        <w:rPr>
          <w:bCs/>
          <w:sz w:val="20"/>
          <w:lang w:val="lv-LV"/>
        </w:rPr>
        <w:instrText xml:space="preserve"> DATE   \* MERGEFORMAT </w:instrText>
      </w:r>
      <w:r w:rsidRPr="005E02F0">
        <w:rPr>
          <w:bCs/>
          <w:sz w:val="20"/>
          <w:lang w:val="lv-LV"/>
        </w:rPr>
        <w:fldChar w:fldCharType="separate"/>
      </w:r>
      <w:r w:rsidR="007D0A32">
        <w:rPr>
          <w:bCs/>
          <w:noProof/>
          <w:sz w:val="20"/>
          <w:lang w:val="lv-LV"/>
        </w:rPr>
        <w:t>29.07.2014</w:t>
      </w:r>
      <w:r w:rsidRPr="005E02F0">
        <w:rPr>
          <w:bCs/>
          <w:sz w:val="20"/>
          <w:lang w:val="lv-LV"/>
        </w:rPr>
        <w:fldChar w:fldCharType="end"/>
      </w:r>
    </w:p>
    <w:p w:rsidR="00593F12" w:rsidRPr="005E02F0" w:rsidRDefault="00593F12" w:rsidP="006A40AD">
      <w:pPr>
        <w:tabs>
          <w:tab w:val="right" w:pos="9072"/>
          <w:tab w:val="left" w:pos="10992"/>
          <w:tab w:val="left" w:pos="11908"/>
          <w:tab w:val="left" w:pos="12824"/>
          <w:tab w:val="left" w:pos="13740"/>
          <w:tab w:val="left" w:pos="14656"/>
        </w:tabs>
        <w:spacing w:before="0" w:after="0" w:line="240" w:lineRule="auto"/>
        <w:ind w:firstLine="0"/>
        <w:rPr>
          <w:bCs/>
          <w:sz w:val="20"/>
          <w:lang w:val="lv-LV"/>
        </w:rPr>
      </w:pPr>
      <w:r w:rsidRPr="005E02F0">
        <w:rPr>
          <w:bCs/>
          <w:sz w:val="20"/>
          <w:lang w:val="lv-LV"/>
        </w:rPr>
        <w:fldChar w:fldCharType="begin"/>
      </w:r>
      <w:r w:rsidRPr="005E02F0">
        <w:rPr>
          <w:bCs/>
          <w:sz w:val="20"/>
          <w:lang w:val="lv-LV"/>
        </w:rPr>
        <w:instrText xml:space="preserve"> NUMWORDS   \* MERGEFORMAT </w:instrText>
      </w:r>
      <w:r w:rsidRPr="005E02F0">
        <w:rPr>
          <w:bCs/>
          <w:sz w:val="20"/>
          <w:lang w:val="lv-LV"/>
        </w:rPr>
        <w:fldChar w:fldCharType="separate"/>
      </w:r>
      <w:r w:rsidR="001F312A">
        <w:rPr>
          <w:bCs/>
          <w:noProof/>
          <w:sz w:val="20"/>
          <w:lang w:val="lv-LV"/>
        </w:rPr>
        <w:t>2612</w:t>
      </w:r>
      <w:r w:rsidRPr="005E02F0">
        <w:rPr>
          <w:bCs/>
          <w:sz w:val="20"/>
          <w:lang w:val="lv-LV"/>
        </w:rPr>
        <w:fldChar w:fldCharType="end"/>
      </w:r>
    </w:p>
    <w:p w:rsidR="00593F12" w:rsidRPr="005E02F0" w:rsidRDefault="00593F12" w:rsidP="006A40AD">
      <w:pPr>
        <w:spacing w:before="0" w:after="0" w:line="240" w:lineRule="auto"/>
        <w:ind w:firstLine="0"/>
        <w:rPr>
          <w:sz w:val="20"/>
          <w:lang w:val="lv-LV"/>
        </w:rPr>
      </w:pPr>
      <w:r w:rsidRPr="005E02F0">
        <w:rPr>
          <w:sz w:val="20"/>
          <w:lang w:val="lv-LV"/>
        </w:rPr>
        <w:lastRenderedPageBreak/>
        <w:t>Oša,</w:t>
      </w:r>
    </w:p>
    <w:p w:rsidR="00593F12" w:rsidRPr="005E02F0" w:rsidRDefault="00593F12" w:rsidP="006A40AD">
      <w:pPr>
        <w:spacing w:before="0" w:after="0" w:line="240" w:lineRule="auto"/>
        <w:ind w:firstLine="0"/>
        <w:rPr>
          <w:rStyle w:val="Hyperlink"/>
          <w:sz w:val="20"/>
          <w:lang w:val="lv-LV"/>
        </w:rPr>
      </w:pPr>
      <w:r w:rsidRPr="005E02F0">
        <w:rPr>
          <w:sz w:val="20"/>
          <w:lang w:val="lv-LV"/>
        </w:rPr>
        <w:t xml:space="preserve">67013031, </w:t>
      </w:r>
      <w:hyperlink r:id="rId8" w:history="1">
        <w:r w:rsidRPr="005E02F0">
          <w:rPr>
            <w:rStyle w:val="Hyperlink"/>
            <w:sz w:val="20"/>
            <w:lang w:val="lv-LV"/>
          </w:rPr>
          <w:t>ilze.osa@em.gov.lv</w:t>
        </w:r>
      </w:hyperlink>
    </w:p>
    <w:p w:rsidR="00593F12" w:rsidRPr="005E02F0" w:rsidRDefault="00593F12" w:rsidP="006A40AD">
      <w:pPr>
        <w:spacing w:before="0" w:after="0" w:line="240" w:lineRule="auto"/>
        <w:ind w:firstLine="0"/>
        <w:rPr>
          <w:sz w:val="20"/>
          <w:lang w:val="lv-LV"/>
        </w:rPr>
      </w:pPr>
      <w:r w:rsidRPr="005E02F0">
        <w:rPr>
          <w:sz w:val="20"/>
          <w:lang w:val="lv-LV"/>
        </w:rPr>
        <w:t xml:space="preserve">Bērziņa, </w:t>
      </w:r>
    </w:p>
    <w:p w:rsidR="00593F12" w:rsidRPr="005E02F0" w:rsidRDefault="00593F12" w:rsidP="006A40AD">
      <w:pPr>
        <w:spacing w:before="0" w:after="0" w:line="240" w:lineRule="auto"/>
        <w:ind w:firstLine="0"/>
        <w:rPr>
          <w:sz w:val="20"/>
          <w:lang w:val="lv-LV"/>
        </w:rPr>
      </w:pPr>
      <w:r w:rsidRPr="005E02F0">
        <w:rPr>
          <w:sz w:val="20"/>
          <w:lang w:val="lv-LV"/>
        </w:rPr>
        <w:t xml:space="preserve">67013216, </w:t>
      </w:r>
      <w:hyperlink r:id="rId9" w:history="1">
        <w:r w:rsidRPr="005E02F0">
          <w:rPr>
            <w:rStyle w:val="Hyperlink"/>
            <w:sz w:val="20"/>
            <w:lang w:val="lv-LV"/>
          </w:rPr>
          <w:t>irena.berzina@em.gov.lv</w:t>
        </w:r>
      </w:hyperlink>
      <w:r w:rsidRPr="005E02F0">
        <w:rPr>
          <w:sz w:val="20"/>
          <w:lang w:val="lv-LV"/>
        </w:rPr>
        <w:t xml:space="preserve"> </w:t>
      </w:r>
    </w:p>
    <w:p w:rsidR="00E6635B" w:rsidRPr="005E02F0" w:rsidRDefault="00E6635B">
      <w:pPr>
        <w:rPr>
          <w:lang w:val="lv-LV"/>
        </w:rPr>
      </w:pPr>
    </w:p>
    <w:sectPr w:rsidR="00E6635B" w:rsidRPr="005E02F0" w:rsidSect="00EF028C">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07" w:rsidRDefault="00A73D07" w:rsidP="006A40AD">
      <w:pPr>
        <w:spacing w:before="0" w:after="0" w:line="240" w:lineRule="auto"/>
      </w:pPr>
      <w:r>
        <w:separator/>
      </w:r>
    </w:p>
  </w:endnote>
  <w:endnote w:type="continuationSeparator" w:id="0">
    <w:p w:rsidR="00A73D07" w:rsidRDefault="00A73D07" w:rsidP="006A40A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4" w:rsidRPr="00DE435E" w:rsidRDefault="00A73D07" w:rsidP="00D278E4">
    <w:pPr>
      <w:pStyle w:val="ListParagraph"/>
      <w:spacing w:before="60"/>
      <w:ind w:left="0" w:firstLine="0"/>
      <w:rPr>
        <w:sz w:val="20"/>
      </w:rPr>
    </w:pPr>
    <w:r>
      <w:rPr>
        <w:sz w:val="20"/>
      </w:rPr>
      <w:fldChar w:fldCharType="begin"/>
    </w:r>
    <w:r>
      <w:rPr>
        <w:sz w:val="20"/>
      </w:rPr>
      <w:instrText xml:space="preserve"> FILENAME   \* MERGEFORMAT </w:instrText>
    </w:r>
    <w:r>
      <w:rPr>
        <w:sz w:val="20"/>
      </w:rPr>
      <w:fldChar w:fldCharType="separate"/>
    </w:r>
    <w:r w:rsidR="007D0A32">
      <w:rPr>
        <w:noProof/>
        <w:sz w:val="20"/>
      </w:rPr>
      <w:t>EMzino_280714_BVKB</w:t>
    </w:r>
    <w:r>
      <w:rPr>
        <w:sz w:val="20"/>
      </w:rPr>
      <w:fldChar w:fldCharType="end"/>
    </w:r>
    <w:r>
      <w:rPr>
        <w:sz w:val="20"/>
      </w:rPr>
      <w:t>;</w:t>
    </w:r>
    <w:r w:rsidRPr="00DE435E">
      <w:rPr>
        <w:sz w:val="20"/>
      </w:rPr>
      <w:t xml:space="preserve"> Informatīvais ziņojums „Par Būvniecības valsts kontroles biroja izveidei un uzdevumu izpildei nepieciešamajiem pasākumiem un finansējumu”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9C1" w:rsidRPr="00DE435E" w:rsidRDefault="00A73D07" w:rsidP="007D2EE3">
    <w:pPr>
      <w:pStyle w:val="ListParagraph"/>
      <w:spacing w:before="60"/>
      <w:ind w:left="0" w:firstLine="0"/>
      <w:rPr>
        <w:sz w:val="20"/>
      </w:rPr>
    </w:pPr>
    <w:r>
      <w:rPr>
        <w:sz w:val="20"/>
      </w:rPr>
      <w:fldChar w:fldCharType="begin"/>
    </w:r>
    <w:r>
      <w:rPr>
        <w:sz w:val="20"/>
      </w:rPr>
      <w:instrText xml:space="preserve"> FILENAME   \* MERGEFORMAT </w:instrText>
    </w:r>
    <w:r>
      <w:rPr>
        <w:sz w:val="20"/>
      </w:rPr>
      <w:fldChar w:fldCharType="separate"/>
    </w:r>
    <w:r w:rsidR="007D0A32">
      <w:rPr>
        <w:noProof/>
        <w:sz w:val="20"/>
      </w:rPr>
      <w:t>EMzino_280714_BVKB</w:t>
    </w:r>
    <w:r>
      <w:rPr>
        <w:sz w:val="20"/>
      </w:rPr>
      <w:fldChar w:fldCharType="end"/>
    </w:r>
    <w:r>
      <w:rPr>
        <w:sz w:val="20"/>
      </w:rPr>
      <w:t>;</w:t>
    </w:r>
    <w:r w:rsidRPr="00DE435E">
      <w:rPr>
        <w:sz w:val="20"/>
      </w:rPr>
      <w:t xml:space="preserve"> Informatīvais ziņojums „Par Būvniecības valsts kontroles biroja izveidei un uzdevumu izpildei nepieciešamajiem pasākumiem un finansējumu”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07" w:rsidRDefault="00A73D07" w:rsidP="006A40AD">
      <w:pPr>
        <w:spacing w:before="0" w:after="0" w:line="240" w:lineRule="auto"/>
      </w:pPr>
      <w:r>
        <w:separator/>
      </w:r>
    </w:p>
  </w:footnote>
  <w:footnote w:type="continuationSeparator" w:id="0">
    <w:p w:rsidR="00A73D07" w:rsidRDefault="00A73D07" w:rsidP="006A40A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6"/>
      </w:rPr>
      <w:id w:val="1692807478"/>
      <w:docPartObj>
        <w:docPartGallery w:val="Page Numbers (Top of Page)"/>
        <w:docPartUnique/>
      </w:docPartObj>
    </w:sdtPr>
    <w:sdtEndPr>
      <w:rPr>
        <w:noProof/>
      </w:rPr>
    </w:sdtEndPr>
    <w:sdtContent>
      <w:p w:rsidR="000C19C1" w:rsidRPr="007D2EE3" w:rsidRDefault="00A73D07" w:rsidP="007D2EE3">
        <w:pPr>
          <w:pStyle w:val="Header"/>
          <w:spacing w:before="60" w:after="60"/>
          <w:ind w:firstLine="0"/>
          <w:jc w:val="center"/>
          <w:rPr>
            <w:szCs w:val="26"/>
          </w:rPr>
        </w:pPr>
        <w:r w:rsidRPr="007D2EE3">
          <w:rPr>
            <w:szCs w:val="26"/>
          </w:rPr>
          <w:fldChar w:fldCharType="begin"/>
        </w:r>
        <w:r w:rsidRPr="007D2EE3">
          <w:rPr>
            <w:szCs w:val="26"/>
          </w:rPr>
          <w:instrText xml:space="preserve"> PAGE   \* MERGEFORMAT </w:instrText>
        </w:r>
        <w:r w:rsidRPr="007D2EE3">
          <w:rPr>
            <w:szCs w:val="26"/>
          </w:rPr>
          <w:fldChar w:fldCharType="separate"/>
        </w:r>
        <w:r w:rsidR="007D0A32">
          <w:rPr>
            <w:noProof/>
            <w:szCs w:val="26"/>
          </w:rPr>
          <w:t>8</w:t>
        </w:r>
        <w:r w:rsidRPr="007D2EE3">
          <w:rPr>
            <w:noProof/>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1895"/>
    <w:multiLevelType w:val="hybridMultilevel"/>
    <w:tmpl w:val="895288BE"/>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07EE628B"/>
    <w:multiLevelType w:val="hybridMultilevel"/>
    <w:tmpl w:val="932681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35177A59"/>
    <w:multiLevelType w:val="hybridMultilevel"/>
    <w:tmpl w:val="8B2A4D94"/>
    <w:lvl w:ilvl="0" w:tplc="9954D33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nsid w:val="5E691E00"/>
    <w:multiLevelType w:val="hybridMultilevel"/>
    <w:tmpl w:val="4CC4598C"/>
    <w:lvl w:ilvl="0" w:tplc="04260017">
      <w:start w:val="1"/>
      <w:numFmt w:val="lowerLetter"/>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
    <w:nsid w:val="74A47E2B"/>
    <w:multiLevelType w:val="hybridMultilevel"/>
    <w:tmpl w:val="F8A6C1B2"/>
    <w:lvl w:ilvl="0" w:tplc="04260001">
      <w:start w:val="1"/>
      <w:numFmt w:val="bullet"/>
      <w:lvlText w:val=""/>
      <w:lvlJc w:val="left"/>
      <w:pPr>
        <w:ind w:left="1494" w:hanging="360"/>
      </w:pPr>
      <w:rPr>
        <w:rFonts w:ascii="Symbol" w:hAnsi="Symbol"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12"/>
    <w:rsid w:val="00007CA0"/>
    <w:rsid w:val="00043C69"/>
    <w:rsid w:val="000D246E"/>
    <w:rsid w:val="001D4AD1"/>
    <w:rsid w:val="001F312A"/>
    <w:rsid w:val="00245B61"/>
    <w:rsid w:val="002A448F"/>
    <w:rsid w:val="00302C34"/>
    <w:rsid w:val="00571AC3"/>
    <w:rsid w:val="00593F12"/>
    <w:rsid w:val="005E02F0"/>
    <w:rsid w:val="006A40AD"/>
    <w:rsid w:val="007D0A32"/>
    <w:rsid w:val="00A73D07"/>
    <w:rsid w:val="00B11000"/>
    <w:rsid w:val="00BA2AA0"/>
    <w:rsid w:val="00D11ACC"/>
    <w:rsid w:val="00D95105"/>
    <w:rsid w:val="00DE4B19"/>
    <w:rsid w:val="00DF6A0F"/>
    <w:rsid w:val="00E6597E"/>
    <w:rsid w:val="00E6635B"/>
    <w:rsid w:val="00EF02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12"/>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12"/>
    <w:pPr>
      <w:widowControl/>
      <w:spacing w:before="0" w:after="0" w:line="240" w:lineRule="auto"/>
      <w:ind w:left="720"/>
      <w:contextualSpacing/>
    </w:pPr>
    <w:rPr>
      <w:sz w:val="28"/>
      <w:lang w:val="lv-LV"/>
    </w:rPr>
  </w:style>
  <w:style w:type="paragraph" w:customStyle="1" w:styleId="Style">
    <w:name w:val="Style"/>
    <w:basedOn w:val="Normal"/>
    <w:rsid w:val="00593F12"/>
    <w:pPr>
      <w:widowControl/>
      <w:autoSpaceDE w:val="0"/>
      <w:autoSpaceDN w:val="0"/>
      <w:spacing w:before="0" w:after="0" w:line="240" w:lineRule="auto"/>
      <w:ind w:firstLine="0"/>
      <w:jc w:val="left"/>
    </w:pPr>
    <w:rPr>
      <w:rFonts w:eastAsiaTheme="minorHAnsi"/>
      <w:sz w:val="24"/>
      <w:szCs w:val="24"/>
      <w:lang w:val="lv-LV"/>
    </w:rPr>
  </w:style>
  <w:style w:type="paragraph" w:customStyle="1" w:styleId="tv213">
    <w:name w:val="tv213"/>
    <w:basedOn w:val="Normal"/>
    <w:rsid w:val="00593F12"/>
    <w:pPr>
      <w:widowControl/>
      <w:spacing w:before="100" w:beforeAutospacing="1" w:after="100" w:afterAutospacing="1" w:line="240" w:lineRule="auto"/>
      <w:ind w:firstLine="0"/>
      <w:jc w:val="left"/>
    </w:pPr>
    <w:rPr>
      <w:sz w:val="24"/>
      <w:szCs w:val="24"/>
      <w:lang w:val="lv-LV" w:eastAsia="lv-LV"/>
    </w:rPr>
  </w:style>
  <w:style w:type="character" w:customStyle="1" w:styleId="spelle">
    <w:name w:val="spelle"/>
    <w:basedOn w:val="DefaultParagraphFont"/>
    <w:uiPriority w:val="99"/>
    <w:rsid w:val="00593F12"/>
  </w:style>
  <w:style w:type="paragraph" w:customStyle="1" w:styleId="excerpt">
    <w:name w:val="excerpt"/>
    <w:basedOn w:val="Normal"/>
    <w:rsid w:val="00593F12"/>
    <w:pPr>
      <w:widowControl/>
      <w:spacing w:before="100" w:beforeAutospacing="1" w:after="100" w:afterAutospacing="1" w:line="240" w:lineRule="auto"/>
      <w:ind w:firstLine="0"/>
      <w:jc w:val="left"/>
    </w:pPr>
    <w:rPr>
      <w:sz w:val="24"/>
      <w:szCs w:val="24"/>
      <w:lang w:val="lv-LV" w:eastAsia="lv-LV"/>
    </w:rPr>
  </w:style>
  <w:style w:type="paragraph" w:styleId="NormalWeb">
    <w:name w:val="Normal (Web)"/>
    <w:basedOn w:val="Normal"/>
    <w:link w:val="NormalWebChar"/>
    <w:uiPriority w:val="99"/>
    <w:unhideWhenUsed/>
    <w:rsid w:val="00593F12"/>
    <w:pPr>
      <w:widowControl/>
      <w:spacing w:before="100" w:beforeAutospacing="1" w:after="100" w:afterAutospacing="1" w:line="240" w:lineRule="auto"/>
      <w:ind w:firstLine="0"/>
      <w:jc w:val="left"/>
    </w:pPr>
    <w:rPr>
      <w:sz w:val="24"/>
      <w:szCs w:val="24"/>
      <w:lang w:val="lv-LV" w:eastAsia="lv-LV"/>
    </w:rPr>
  </w:style>
  <w:style w:type="character" w:styleId="Hyperlink">
    <w:name w:val="Hyperlink"/>
    <w:basedOn w:val="DefaultParagraphFont"/>
    <w:unhideWhenUsed/>
    <w:rsid w:val="00593F12"/>
    <w:rPr>
      <w:color w:val="0000FF"/>
      <w:u w:val="single"/>
    </w:rPr>
  </w:style>
  <w:style w:type="character" w:customStyle="1" w:styleId="NormalWebChar">
    <w:name w:val="Normal (Web) Char"/>
    <w:link w:val="NormalWeb"/>
    <w:uiPriority w:val="99"/>
    <w:locked/>
    <w:rsid w:val="00593F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93F12"/>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93F12"/>
    <w:rPr>
      <w:rFonts w:ascii="Times New Roman" w:eastAsia="Times New Roman" w:hAnsi="Times New Roman" w:cs="Times New Roman"/>
      <w:sz w:val="26"/>
      <w:szCs w:val="20"/>
      <w:lang w:val="en-AU"/>
    </w:rPr>
  </w:style>
  <w:style w:type="paragraph" w:styleId="BalloonText">
    <w:name w:val="Balloon Text"/>
    <w:basedOn w:val="Normal"/>
    <w:link w:val="BalloonTextChar"/>
    <w:uiPriority w:val="99"/>
    <w:semiHidden/>
    <w:unhideWhenUsed/>
    <w:rsid w:val="00593F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12"/>
    <w:rPr>
      <w:rFonts w:ascii="Tahoma" w:eastAsia="Times New Roman" w:hAnsi="Tahoma" w:cs="Tahoma"/>
      <w:sz w:val="16"/>
      <w:szCs w:val="16"/>
      <w:lang w:val="en-AU"/>
    </w:rPr>
  </w:style>
  <w:style w:type="paragraph" w:styleId="Footer">
    <w:name w:val="footer"/>
    <w:basedOn w:val="Normal"/>
    <w:link w:val="FooterChar"/>
    <w:uiPriority w:val="99"/>
    <w:unhideWhenUsed/>
    <w:rsid w:val="006A40A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6A40AD"/>
    <w:rPr>
      <w:rFonts w:ascii="Times New Roman" w:eastAsia="Times New Roman" w:hAnsi="Times New Roman" w:cs="Times New Roman"/>
      <w:sz w:val="26"/>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F12"/>
    <w:pPr>
      <w:widowControl w:val="0"/>
      <w:spacing w:before="60" w:after="60" w:line="360" w:lineRule="auto"/>
      <w:ind w:firstLine="720"/>
      <w:jc w:val="both"/>
    </w:pPr>
    <w:rPr>
      <w:rFonts w:ascii="Times New Roman" w:eastAsia="Times New Roman" w:hAnsi="Times New Roman" w:cs="Times New Roman"/>
      <w:sz w:val="26"/>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F12"/>
    <w:pPr>
      <w:widowControl/>
      <w:spacing w:before="0" w:after="0" w:line="240" w:lineRule="auto"/>
      <w:ind w:left="720"/>
      <w:contextualSpacing/>
    </w:pPr>
    <w:rPr>
      <w:sz w:val="28"/>
      <w:lang w:val="lv-LV"/>
    </w:rPr>
  </w:style>
  <w:style w:type="paragraph" w:customStyle="1" w:styleId="Style">
    <w:name w:val="Style"/>
    <w:basedOn w:val="Normal"/>
    <w:rsid w:val="00593F12"/>
    <w:pPr>
      <w:widowControl/>
      <w:autoSpaceDE w:val="0"/>
      <w:autoSpaceDN w:val="0"/>
      <w:spacing w:before="0" w:after="0" w:line="240" w:lineRule="auto"/>
      <w:ind w:firstLine="0"/>
      <w:jc w:val="left"/>
    </w:pPr>
    <w:rPr>
      <w:rFonts w:eastAsiaTheme="minorHAnsi"/>
      <w:sz w:val="24"/>
      <w:szCs w:val="24"/>
      <w:lang w:val="lv-LV"/>
    </w:rPr>
  </w:style>
  <w:style w:type="paragraph" w:customStyle="1" w:styleId="tv213">
    <w:name w:val="tv213"/>
    <w:basedOn w:val="Normal"/>
    <w:rsid w:val="00593F12"/>
    <w:pPr>
      <w:widowControl/>
      <w:spacing w:before="100" w:beforeAutospacing="1" w:after="100" w:afterAutospacing="1" w:line="240" w:lineRule="auto"/>
      <w:ind w:firstLine="0"/>
      <w:jc w:val="left"/>
    </w:pPr>
    <w:rPr>
      <w:sz w:val="24"/>
      <w:szCs w:val="24"/>
      <w:lang w:val="lv-LV" w:eastAsia="lv-LV"/>
    </w:rPr>
  </w:style>
  <w:style w:type="character" w:customStyle="1" w:styleId="spelle">
    <w:name w:val="spelle"/>
    <w:basedOn w:val="DefaultParagraphFont"/>
    <w:uiPriority w:val="99"/>
    <w:rsid w:val="00593F12"/>
  </w:style>
  <w:style w:type="paragraph" w:customStyle="1" w:styleId="excerpt">
    <w:name w:val="excerpt"/>
    <w:basedOn w:val="Normal"/>
    <w:rsid w:val="00593F12"/>
    <w:pPr>
      <w:widowControl/>
      <w:spacing w:before="100" w:beforeAutospacing="1" w:after="100" w:afterAutospacing="1" w:line="240" w:lineRule="auto"/>
      <w:ind w:firstLine="0"/>
      <w:jc w:val="left"/>
    </w:pPr>
    <w:rPr>
      <w:sz w:val="24"/>
      <w:szCs w:val="24"/>
      <w:lang w:val="lv-LV" w:eastAsia="lv-LV"/>
    </w:rPr>
  </w:style>
  <w:style w:type="paragraph" w:styleId="NormalWeb">
    <w:name w:val="Normal (Web)"/>
    <w:basedOn w:val="Normal"/>
    <w:link w:val="NormalWebChar"/>
    <w:uiPriority w:val="99"/>
    <w:unhideWhenUsed/>
    <w:rsid w:val="00593F12"/>
    <w:pPr>
      <w:widowControl/>
      <w:spacing w:before="100" w:beforeAutospacing="1" w:after="100" w:afterAutospacing="1" w:line="240" w:lineRule="auto"/>
      <w:ind w:firstLine="0"/>
      <w:jc w:val="left"/>
    </w:pPr>
    <w:rPr>
      <w:sz w:val="24"/>
      <w:szCs w:val="24"/>
      <w:lang w:val="lv-LV" w:eastAsia="lv-LV"/>
    </w:rPr>
  </w:style>
  <w:style w:type="character" w:styleId="Hyperlink">
    <w:name w:val="Hyperlink"/>
    <w:basedOn w:val="DefaultParagraphFont"/>
    <w:unhideWhenUsed/>
    <w:rsid w:val="00593F12"/>
    <w:rPr>
      <w:color w:val="0000FF"/>
      <w:u w:val="single"/>
    </w:rPr>
  </w:style>
  <w:style w:type="character" w:customStyle="1" w:styleId="NormalWebChar">
    <w:name w:val="Normal (Web) Char"/>
    <w:link w:val="NormalWeb"/>
    <w:uiPriority w:val="99"/>
    <w:locked/>
    <w:rsid w:val="00593F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93F12"/>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593F12"/>
    <w:rPr>
      <w:rFonts w:ascii="Times New Roman" w:eastAsia="Times New Roman" w:hAnsi="Times New Roman" w:cs="Times New Roman"/>
      <w:sz w:val="26"/>
      <w:szCs w:val="20"/>
      <w:lang w:val="en-AU"/>
    </w:rPr>
  </w:style>
  <w:style w:type="paragraph" w:styleId="BalloonText">
    <w:name w:val="Balloon Text"/>
    <w:basedOn w:val="Normal"/>
    <w:link w:val="BalloonTextChar"/>
    <w:uiPriority w:val="99"/>
    <w:semiHidden/>
    <w:unhideWhenUsed/>
    <w:rsid w:val="00593F1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12"/>
    <w:rPr>
      <w:rFonts w:ascii="Tahoma" w:eastAsia="Times New Roman" w:hAnsi="Tahoma" w:cs="Tahoma"/>
      <w:sz w:val="16"/>
      <w:szCs w:val="16"/>
      <w:lang w:val="en-AU"/>
    </w:rPr>
  </w:style>
  <w:style w:type="paragraph" w:styleId="Footer">
    <w:name w:val="footer"/>
    <w:basedOn w:val="Normal"/>
    <w:link w:val="FooterChar"/>
    <w:uiPriority w:val="99"/>
    <w:unhideWhenUsed/>
    <w:rsid w:val="006A40AD"/>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6A40AD"/>
    <w:rPr>
      <w:rFonts w:ascii="Times New Roman" w:eastAsia="Times New Roman" w:hAnsi="Times New Roman" w:cs="Times New Roman"/>
      <w:sz w:val="26"/>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os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ena.berzin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937</TotalTime>
  <Pages>9</Pages>
  <Words>2862</Words>
  <Characters>19809</Characters>
  <Application>Microsoft Office Word</Application>
  <DocSecurity>0</DocSecurity>
  <Lines>639</Lines>
  <Paragraphs>294</Paragraphs>
  <ScaleCrop>false</ScaleCrop>
  <HeadingPairs>
    <vt:vector size="2" baseType="variant">
      <vt:variant>
        <vt:lpstr>Title</vt:lpstr>
      </vt:variant>
      <vt:variant>
        <vt:i4>1</vt:i4>
      </vt:variant>
    </vt:vector>
  </HeadingPairs>
  <TitlesOfParts>
    <vt:vector size="1" baseType="lpstr">
      <vt:lpstr>Informatīvais ziņojums „Par Būvniecības valsts kontroles biroja izveidei un uzdevumu izpildei nepieciešamajiem pasākumiem un finansējumu”</vt:lpstr>
    </vt:vector>
  </TitlesOfParts>
  <Company/>
  <LinksUpToDate>false</LinksUpToDate>
  <CharactersWithSpaces>22377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Būvniecības valsts kontroles biroja izveidei un uzdevumu izpildei nepieciešamajiem pasākumiem un finansējumu”</dc:title>
  <dc:subject>Informatīvais ziņojums</dc:subject>
  <dc:creator>Ilze Oša</dc:creator>
  <dc:description>Oša,
67013031, ilze.osa@em.gov.lv
Bērziņa, 
67013216, irena.berzina@em.gov.lv </dc:description>
  <cp:lastModifiedBy>Ilze Oša</cp:lastModifiedBy>
  <cp:revision>8</cp:revision>
  <cp:lastPrinted>2014-07-29T06:02:00Z</cp:lastPrinted>
  <dcterms:created xsi:type="dcterms:W3CDTF">2014-07-28T12:59:00Z</dcterms:created>
  <dcterms:modified xsi:type="dcterms:W3CDTF">2014-07-29T06:31:00Z</dcterms:modified>
</cp:coreProperties>
</file>