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1F" w:rsidRPr="0065551F" w:rsidRDefault="0065551F" w:rsidP="0065551F">
      <w:pPr>
        <w:spacing w:after="0" w:line="240" w:lineRule="auto"/>
        <w:jc w:val="center"/>
        <w:rPr>
          <w:rFonts w:ascii="Times New Roman" w:hAnsi="Times New Roman"/>
          <w:b/>
          <w:sz w:val="28"/>
          <w:szCs w:val="28"/>
        </w:rPr>
      </w:pPr>
      <w:bookmarkStart w:id="0" w:name="_GoBack"/>
      <w:bookmarkEnd w:id="0"/>
      <w:r w:rsidRPr="0065551F">
        <w:rPr>
          <w:rFonts w:ascii="Times New Roman" w:hAnsi="Times New Roman"/>
          <w:b/>
          <w:sz w:val="28"/>
          <w:szCs w:val="28"/>
        </w:rPr>
        <w:t xml:space="preserve">Likumprojekta </w:t>
      </w:r>
      <w:r w:rsidRPr="0065551F">
        <w:rPr>
          <w:rFonts w:ascii="Times New Roman" w:hAnsi="Times New Roman"/>
          <w:b/>
          <w:bCs/>
          <w:sz w:val="28"/>
          <w:szCs w:val="28"/>
        </w:rPr>
        <w:t>"Grozījumi Noziedzīgi iegūtu līdzekļu legalizācijas un terorisma finansēšanas novēršanas likumā'' sākotnējās ietekmes novērtējuma ziņojums (anotācija)</w:t>
      </w:r>
    </w:p>
    <w:p w:rsidR="0065551F" w:rsidRPr="009361D5" w:rsidRDefault="0065551F" w:rsidP="0065551F">
      <w:pPr>
        <w:spacing w:after="0" w:line="240" w:lineRule="auto"/>
        <w:ind w:firstLine="300"/>
        <w:jc w:val="center"/>
        <w:rPr>
          <w:rFonts w:ascii="Times New Roman" w:eastAsia="Times New Roman" w:hAnsi="Times New Roman"/>
          <w:b/>
          <w:bCs/>
          <w:sz w:val="24"/>
          <w:szCs w:val="24"/>
          <w:lang w:eastAsia="lv-LV"/>
        </w:rPr>
      </w:pPr>
    </w:p>
    <w:tbl>
      <w:tblPr>
        <w:tblW w:w="5030"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409"/>
        <w:gridCol w:w="7"/>
        <w:gridCol w:w="2580"/>
        <w:gridCol w:w="5328"/>
        <w:gridCol w:w="8"/>
      </w:tblGrid>
      <w:tr w:rsidR="0065551F" w:rsidRPr="009361D5" w:rsidTr="00A65B92">
        <w:trPr>
          <w:gridBefore w:val="1"/>
          <w:gridAfter w:val="1"/>
          <w:wBefore w:w="5" w:type="pct"/>
          <w:wAfter w:w="5" w:type="pct"/>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5551F" w:rsidRPr="009361D5" w:rsidRDefault="0065551F" w:rsidP="00B50B85">
            <w:pPr>
              <w:spacing w:after="0" w:line="240" w:lineRule="auto"/>
              <w:ind w:firstLine="300"/>
              <w:jc w:val="center"/>
              <w:rPr>
                <w:rFonts w:ascii="Times New Roman" w:eastAsia="Times New Roman" w:hAnsi="Times New Roman"/>
                <w:b/>
                <w:bCs/>
                <w:sz w:val="24"/>
                <w:szCs w:val="24"/>
                <w:lang w:eastAsia="lv-LV"/>
              </w:rPr>
            </w:pPr>
            <w:r w:rsidRPr="009361D5">
              <w:rPr>
                <w:rFonts w:ascii="Times New Roman" w:eastAsia="Times New Roman" w:hAnsi="Times New Roman"/>
                <w:b/>
                <w:bCs/>
                <w:sz w:val="24"/>
                <w:szCs w:val="24"/>
                <w:lang w:eastAsia="lv-LV"/>
              </w:rPr>
              <w:t>I. Tiesību akta projekta izstrādes nepieciešamība</w:t>
            </w:r>
          </w:p>
        </w:tc>
      </w:tr>
      <w:tr w:rsidR="0065551F" w:rsidRPr="00934889" w:rsidTr="00A65B92">
        <w:trPr>
          <w:gridBefore w:val="1"/>
          <w:gridAfter w:val="1"/>
          <w:wBefore w:w="5" w:type="pct"/>
          <w:wAfter w:w="5" w:type="pct"/>
          <w:trHeight w:val="405"/>
        </w:trPr>
        <w:tc>
          <w:tcPr>
            <w:tcW w:w="249"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Pamatojums</w:t>
            </w:r>
          </w:p>
        </w:tc>
        <w:tc>
          <w:tcPr>
            <w:tcW w:w="3194"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pStyle w:val="naiskr"/>
              <w:spacing w:before="0" w:after="0"/>
              <w:ind w:right="81"/>
              <w:jc w:val="both"/>
            </w:pPr>
            <w:r w:rsidRPr="00934889">
              <w:t xml:space="preserve">Ministru prezidents ar 2013.gada 10.maija rīkojumu Nr.173 izveidoja darba grupu, kuras uzdevums bija sagatavot un finanšu ministram līdz 2014.gada 1.jūnijam iesniegt noteiktā kārtībā Ministru kabinetā likumprojektu </w:t>
            </w:r>
            <w:r w:rsidR="00961975" w:rsidRPr="00934889">
              <w:t>"</w:t>
            </w:r>
            <w:r w:rsidRPr="00934889">
              <w:t xml:space="preserve">Grozījumi </w:t>
            </w:r>
            <w:hyperlink r:id="rId6" w:tgtFrame="_blank" w:history="1">
              <w:r w:rsidRPr="00934889">
                <w:t>Noziedzīgi iegūtu līdzekļu legalizācijas un terorisma finansēšanas novēršanas likumā</w:t>
              </w:r>
            </w:hyperlink>
            <w:r w:rsidRPr="00934889">
              <w:t xml:space="preserve">" (turpmāk - Likumprojekts). Taču Finanšu sektora attīstības padomes 2014.gada 20.februāra sēdē tika nolemts </w:t>
            </w:r>
            <w:r w:rsidRPr="00934889">
              <w:rPr>
                <w:color w:val="000000"/>
              </w:rPr>
              <w:t xml:space="preserve">Finanšu ministrijai iesniegt </w:t>
            </w:r>
            <w:r w:rsidRPr="00934889">
              <w:t>Likumprojektu tālākai virzībai Saeimā līdz</w:t>
            </w:r>
            <w:r w:rsidRPr="00934889">
              <w:rPr>
                <w:b/>
              </w:rPr>
              <w:t xml:space="preserve"> 2014.gada 1.maijam.</w:t>
            </w:r>
          </w:p>
          <w:p w:rsidR="0065551F" w:rsidRPr="00934889" w:rsidRDefault="00B0360C" w:rsidP="00934889">
            <w:pPr>
              <w:pStyle w:val="naiskr"/>
              <w:spacing w:before="0" w:after="0"/>
              <w:ind w:right="81" w:hanging="5"/>
              <w:jc w:val="both"/>
            </w:pPr>
            <w:r w:rsidRPr="00934889">
              <w:t>Likumprojekts izstrādāts</w:t>
            </w:r>
            <w:r w:rsidR="0065551F" w:rsidRPr="00934889">
              <w:t>, lai:</w:t>
            </w:r>
          </w:p>
          <w:p w:rsidR="0065551F" w:rsidRPr="00934889" w:rsidRDefault="0065551F" w:rsidP="00934889">
            <w:pPr>
              <w:pStyle w:val="naiskr"/>
              <w:spacing w:before="0" w:after="0"/>
              <w:ind w:right="81"/>
              <w:jc w:val="both"/>
            </w:pPr>
            <w:r w:rsidRPr="00934889">
              <w:t>1) īstenotu Eiropas Padomes Noziedzīgi iegūtu līdzekļu legalizācijas un terorisma finansēšanas novēršanas pasākumu novērtēšanas ekspertu komitejas (</w:t>
            </w:r>
            <w:proofErr w:type="spellStart"/>
            <w:r w:rsidRPr="00934889">
              <w:rPr>
                <w:i/>
              </w:rPr>
              <w:t>Moneyval</w:t>
            </w:r>
            <w:proofErr w:type="spellEnd"/>
            <w:r w:rsidRPr="00934889">
              <w:t xml:space="preserve">) ieteikumus, kas tika sagatavoti, balstoties uz Latvijas noziedzīgi iegūtu līdzekļu legalizācijas un terorisma finansēšanas novēršanas sistēmas </w:t>
            </w:r>
            <w:proofErr w:type="spellStart"/>
            <w:r w:rsidR="00DC5CB9" w:rsidRPr="00934889">
              <w:t>izvērtējumu</w:t>
            </w:r>
            <w:proofErr w:type="spellEnd"/>
            <w:r w:rsidRPr="00934889">
              <w:t xml:space="preserve">, un ierosina pilnveidot </w:t>
            </w:r>
            <w:r w:rsidR="00404787" w:rsidRPr="00934889">
              <w:t>Noziedzīgi iegūtu līdzekļu legalizācijas un terorisma finansēšanas novēršanas</w:t>
            </w:r>
            <w:r w:rsidRPr="00934889">
              <w:t xml:space="preserve"> likumu</w:t>
            </w:r>
            <w:r w:rsidR="00404787" w:rsidRPr="00934889">
              <w:t xml:space="preserve"> (turpmāk - NILLTFN likums)</w:t>
            </w:r>
            <w:r w:rsidRPr="00934889">
              <w:t xml:space="preserve"> atbilstoši starptautisko standartu prasībām</w:t>
            </w:r>
            <w:r w:rsidR="00404787" w:rsidRPr="00934889">
              <w:t>. Vienlaikus ar Likumproj</w:t>
            </w:r>
            <w:r w:rsidR="00DC5CB9" w:rsidRPr="00934889">
              <w:t>ek</w:t>
            </w:r>
            <w:r w:rsidR="00404787" w:rsidRPr="00934889">
              <w:t>tu</w:t>
            </w:r>
            <w:r w:rsidRPr="00934889">
              <w:t xml:space="preserve"> tiks īstenoti Finanšu sektora attīstības padome</w:t>
            </w:r>
            <w:r w:rsidR="00404787" w:rsidRPr="00934889">
              <w:t xml:space="preserve">s </w:t>
            </w:r>
            <w:r w:rsidRPr="00934889">
              <w:t>2012.</w:t>
            </w:r>
            <w:r w:rsidR="00404787" w:rsidRPr="00934889">
              <w:t>gada 21.decembrī</w:t>
            </w:r>
            <w:r w:rsidRPr="00934889">
              <w:t xml:space="preserve"> apstiprinātie darba plāna Noziedzīgi iegūtu līdzekļu legalizācijas un terorisma finansēšanas novēršanas sistēmas uzlabošanas pasākumi, kas attiecas uz NILLTFN likuma pilnveidošanu.</w:t>
            </w:r>
          </w:p>
          <w:p w:rsidR="0065551F" w:rsidRPr="00934889" w:rsidRDefault="0065551F" w:rsidP="00934889">
            <w:pPr>
              <w:spacing w:after="0" w:line="240" w:lineRule="auto"/>
              <w:jc w:val="both"/>
              <w:rPr>
                <w:rFonts w:ascii="Times New Roman" w:eastAsia="Times New Roman" w:hAnsi="Times New Roman"/>
                <w:sz w:val="24"/>
                <w:szCs w:val="24"/>
                <w:lang w:eastAsia="lv-LV"/>
              </w:rPr>
            </w:pPr>
            <w:r w:rsidRPr="00934889">
              <w:rPr>
                <w:rFonts w:ascii="Times New Roman" w:hAnsi="Times New Roman"/>
                <w:noProof/>
                <w:sz w:val="24"/>
                <w:szCs w:val="24"/>
              </w:rPr>
              <w:t xml:space="preserve">2) pilnveidotu </w:t>
            </w:r>
            <w:r w:rsidR="00404787" w:rsidRPr="00934889">
              <w:rPr>
                <w:rFonts w:ascii="Times New Roman" w:hAnsi="Times New Roman"/>
                <w:sz w:val="24"/>
                <w:szCs w:val="24"/>
              </w:rPr>
              <w:t xml:space="preserve">NILLTFN </w:t>
            </w:r>
            <w:r w:rsidRPr="00934889">
              <w:rPr>
                <w:rFonts w:ascii="Times New Roman" w:hAnsi="Times New Roman"/>
                <w:sz w:val="24"/>
                <w:szCs w:val="24"/>
              </w:rPr>
              <w:t xml:space="preserve">likumu </w:t>
            </w:r>
            <w:r w:rsidRPr="00934889">
              <w:rPr>
                <w:rFonts w:ascii="Times New Roman" w:hAnsi="Times New Roman"/>
                <w:noProof/>
                <w:sz w:val="24"/>
                <w:szCs w:val="24"/>
              </w:rPr>
              <w:t>atbilstoši praksē konstatētajām nepilnībām.</w:t>
            </w:r>
          </w:p>
        </w:tc>
      </w:tr>
      <w:tr w:rsidR="0065551F" w:rsidRPr="00934889" w:rsidTr="00A65B92">
        <w:trPr>
          <w:gridBefore w:val="1"/>
          <w:gridAfter w:val="1"/>
          <w:wBefore w:w="5" w:type="pct"/>
          <w:wAfter w:w="5" w:type="pct"/>
          <w:trHeight w:val="465"/>
        </w:trPr>
        <w:tc>
          <w:tcPr>
            <w:tcW w:w="249"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194" w:type="pct"/>
            <w:tcBorders>
              <w:top w:val="outset" w:sz="6" w:space="0" w:color="414142"/>
              <w:left w:val="outset" w:sz="6" w:space="0" w:color="414142"/>
              <w:bottom w:val="outset" w:sz="6" w:space="0" w:color="414142"/>
              <w:right w:val="outset" w:sz="6" w:space="0" w:color="414142"/>
            </w:tcBorders>
            <w:hideMark/>
          </w:tcPr>
          <w:p w:rsidR="00C5485F" w:rsidRPr="00C5485F" w:rsidRDefault="00C5485F" w:rsidP="00C5485F">
            <w:pPr>
              <w:spacing w:after="0" w:line="240" w:lineRule="auto"/>
              <w:jc w:val="both"/>
              <w:rPr>
                <w:rFonts w:ascii="Times New Roman" w:hAnsi="Times New Roman"/>
                <w:noProof/>
                <w:sz w:val="24"/>
                <w:szCs w:val="24"/>
              </w:rPr>
            </w:pPr>
            <w:r w:rsidRPr="00C5485F">
              <w:rPr>
                <w:rFonts w:ascii="Times New Roman" w:hAnsi="Times New Roman"/>
                <w:sz w:val="24"/>
                <w:szCs w:val="24"/>
              </w:rPr>
              <w:t xml:space="preserve">Ņemot vērā </w:t>
            </w:r>
            <w:r w:rsidRPr="00C5485F">
              <w:rPr>
                <w:rFonts w:ascii="Times New Roman" w:hAnsi="Times New Roman"/>
                <w:i/>
                <w:sz w:val="24"/>
                <w:szCs w:val="24"/>
              </w:rPr>
              <w:t>(</w:t>
            </w:r>
            <w:proofErr w:type="spellStart"/>
            <w:r w:rsidRPr="00C5485F">
              <w:rPr>
                <w:rFonts w:ascii="Times New Roman" w:hAnsi="Times New Roman"/>
                <w:i/>
                <w:sz w:val="24"/>
                <w:szCs w:val="24"/>
              </w:rPr>
              <w:t>Moneyval</w:t>
            </w:r>
            <w:proofErr w:type="spellEnd"/>
            <w:r w:rsidRPr="00C5485F">
              <w:rPr>
                <w:rFonts w:ascii="Times New Roman" w:hAnsi="Times New Roman"/>
                <w:sz w:val="24"/>
                <w:szCs w:val="24"/>
              </w:rPr>
              <w:t xml:space="preserve">) ieteikumus, kas tika sagatavoti, balstoties uz Latvijas noziedzīgi iegūtu līdzekļu legalizācijas un terorisma finansēšanas novēršanas sistēmas </w:t>
            </w:r>
            <w:proofErr w:type="spellStart"/>
            <w:r w:rsidRPr="00C5485F">
              <w:rPr>
                <w:rFonts w:ascii="Times New Roman" w:hAnsi="Times New Roman"/>
                <w:sz w:val="24"/>
                <w:szCs w:val="24"/>
              </w:rPr>
              <w:t>izvērtējumu</w:t>
            </w:r>
            <w:proofErr w:type="spellEnd"/>
            <w:r w:rsidRPr="00C5485F">
              <w:rPr>
                <w:rFonts w:ascii="Times New Roman" w:hAnsi="Times New Roman"/>
                <w:sz w:val="24"/>
                <w:szCs w:val="24"/>
              </w:rPr>
              <w:t xml:space="preserve"> tika secināts, ka:</w:t>
            </w:r>
          </w:p>
          <w:p w:rsidR="00C5485F" w:rsidRPr="00934889" w:rsidRDefault="00C5485F" w:rsidP="00C5485F">
            <w:pPr>
              <w:spacing w:after="0" w:line="240" w:lineRule="auto"/>
              <w:jc w:val="both"/>
              <w:rPr>
                <w:rFonts w:ascii="Times New Roman" w:hAnsi="Times New Roman"/>
                <w:noProof/>
                <w:sz w:val="24"/>
                <w:szCs w:val="24"/>
              </w:rPr>
            </w:pPr>
            <w:r w:rsidRPr="00934889">
              <w:rPr>
                <w:rFonts w:ascii="Times New Roman" w:hAnsi="Times New Roman"/>
                <w:noProof/>
                <w:sz w:val="24"/>
                <w:szCs w:val="24"/>
              </w:rPr>
              <w:t xml:space="preserve">NILLTFN likumā noteiktā politiski nozīmīgas personas definīcija ir šaurāka salīdzinājumā ar starptautisko standartu prasībām, un līdz ar to tā jāpaplašina atbilstoši </w:t>
            </w:r>
            <w:r w:rsidRPr="00934889">
              <w:rPr>
                <w:rFonts w:ascii="Times New Roman" w:hAnsi="Times New Roman"/>
                <w:i/>
                <w:noProof/>
                <w:sz w:val="24"/>
                <w:szCs w:val="24"/>
              </w:rPr>
              <w:t>Moneyval</w:t>
            </w:r>
            <w:r w:rsidRPr="00934889">
              <w:rPr>
                <w:rFonts w:ascii="Times New Roman" w:hAnsi="Times New Roman"/>
                <w:noProof/>
                <w:sz w:val="24"/>
                <w:szCs w:val="24"/>
              </w:rPr>
              <w:t xml:space="preserve"> ieteikumiem, tostarp iekļaujot tajā citus augsta līmeņa tiesu institūciju locekļus, kuru lēmumus tālāk nepārsūdz, un nozīmīgas amatpersonas politiskā partijā, tādējādi nodrošinot likuma atbilstību starptautisko standartu prasībām.</w:t>
            </w:r>
          </w:p>
          <w:p w:rsidR="00AC059E" w:rsidRPr="00934889" w:rsidRDefault="00AC059E"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lastRenderedPageBreak/>
              <w:t>NILLTFN likums neparedz pienākumu krājaizdevu sabiedrībām un pārapdrošinātājiem ievērot NILLTFN likuma prasības, taču, ņemot vērā starptautisko standartu prasības un to, ka arī krājaizdevu sabiedrības un pārapdrošinātāji ir pakļauti noziedzīgi iegūtu līdzekļu legalizācijas un terorisma finansēšanas riskam, uz tiem jāattiecina NILLTFN likuma prasības.</w:t>
            </w:r>
          </w:p>
          <w:p w:rsidR="00AC059E" w:rsidRPr="00934889" w:rsidRDefault="00AC059E"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NILLTFN likumā noteiktā aizdomīga darījuma definīcija paredz, ka likuma subjekti sniedz ziņojumus Noziedzīgi iegūtu līdzekļu legalizācijas no</w:t>
            </w:r>
            <w:r w:rsidR="00543DA3" w:rsidRPr="00934889">
              <w:rPr>
                <w:rFonts w:ascii="Times New Roman" w:hAnsi="Times New Roman"/>
                <w:noProof/>
                <w:sz w:val="24"/>
                <w:szCs w:val="24"/>
              </w:rPr>
              <w:t>vēršanas dienestam (turpmāk</w:t>
            </w:r>
            <w:r w:rsidRPr="00934889">
              <w:rPr>
                <w:rFonts w:ascii="Times New Roman" w:hAnsi="Times New Roman"/>
                <w:noProof/>
                <w:sz w:val="24"/>
                <w:szCs w:val="24"/>
              </w:rPr>
              <w:t xml:space="preserve"> – Kontroles dienests) tikai par darbībām, kas attiecas uz noziedzīgi iegūtu līdzekļu legalizāciju, bet, ņemot vērā starptautisko standartu prasības, šis ziņošanas pienākums jāpaplašina, paredzot, ka likuma subjekts sniedz ziņojumus arī par noziedzīgi iegūtajiem līdzekļiem.</w:t>
            </w:r>
          </w:p>
          <w:p w:rsidR="00AC059E" w:rsidRPr="00934889" w:rsidRDefault="00AC059E"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NILLTFN likums neparedz tiesības citām uzraugošajām iestādēm, izņemot Finanšu un kapitāla tirgus komisiju (tālāk tekstā – FKTK), izdot noziedzīgi iegūtu līdzekļu legalizācijas un terorisma finansēšanas riska noskaidrošanas un novērtēšanas metodiku, bet šādas tiesības jānosaka arī citām uzraudzības iestādēm, lai tās būtu tiesīgas izdot metodiku atbilstoši to uzraugāmo likuma subjektu darbības veidam, jo visiem likuma subjektiem ir pienākums veikt pasākumus noziedzīgi iegūtu līdzekļu legalizācijas un terorisma finansēšanas novēršanai, pamatojoties uz riska izvērtējumu balstītu pieeju.</w:t>
            </w:r>
          </w:p>
          <w:p w:rsidR="00AC059E" w:rsidRPr="00934889" w:rsidRDefault="00AC059E"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NILLTFN likums nosaka fizisko personas identifikācijas kārtību un iegūstāmās informācijas apjomu, taču likums tiešā veidā (</w:t>
            </w:r>
            <w:r w:rsidRPr="00934889">
              <w:rPr>
                <w:rFonts w:ascii="Times New Roman" w:hAnsi="Times New Roman"/>
                <w:i/>
                <w:noProof/>
                <w:sz w:val="24"/>
                <w:szCs w:val="24"/>
              </w:rPr>
              <w:t>expressis verbis</w:t>
            </w:r>
            <w:r w:rsidRPr="00934889">
              <w:rPr>
                <w:rFonts w:ascii="Times New Roman" w:hAnsi="Times New Roman"/>
                <w:noProof/>
                <w:sz w:val="24"/>
                <w:szCs w:val="24"/>
              </w:rPr>
              <w:t xml:space="preserve">) neparedz, ka personas identifikācija veicama pēc personu apliecinoša dokumenta, kas satur personas foto attēlu, kā to paredz starptautiskie standarti un </w:t>
            </w:r>
            <w:r w:rsidRPr="00934889">
              <w:rPr>
                <w:rFonts w:ascii="Times New Roman" w:hAnsi="Times New Roman"/>
                <w:i/>
                <w:noProof/>
                <w:sz w:val="24"/>
                <w:szCs w:val="24"/>
              </w:rPr>
              <w:t>Moneyval</w:t>
            </w:r>
            <w:r w:rsidRPr="00934889">
              <w:rPr>
                <w:rFonts w:ascii="Times New Roman" w:hAnsi="Times New Roman"/>
                <w:noProof/>
                <w:sz w:val="24"/>
                <w:szCs w:val="24"/>
              </w:rPr>
              <w:t xml:space="preserve"> ieteikumi. Tādējādi nodrošinot NILLTFN likuma atbilstību starptautisko standartu prasībām.</w:t>
            </w:r>
          </w:p>
          <w:p w:rsidR="00AC059E" w:rsidRPr="00934889" w:rsidRDefault="00AC059E"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 xml:space="preserve">NILLTFN likums attiecībā uz patiesā labuma guvēja noskaidrošanu skaidri nenodala informācijas iegūšanas pienākumu no informācijas pārbaudes (angļu valodā – </w:t>
            </w:r>
            <w:r w:rsidRPr="00934889">
              <w:rPr>
                <w:rFonts w:ascii="Times New Roman" w:hAnsi="Times New Roman"/>
                <w:i/>
                <w:noProof/>
                <w:sz w:val="24"/>
                <w:szCs w:val="24"/>
              </w:rPr>
              <w:t>verification</w:t>
            </w:r>
            <w:r w:rsidRPr="00934889">
              <w:rPr>
                <w:rFonts w:ascii="Times New Roman" w:hAnsi="Times New Roman"/>
                <w:noProof/>
                <w:sz w:val="24"/>
                <w:szCs w:val="24"/>
              </w:rPr>
              <w:t>) pienākuma, līdz ar to praksē rodas dažādas izpratnes par šā</w:t>
            </w:r>
            <w:r w:rsidR="00B0360C" w:rsidRPr="00934889">
              <w:rPr>
                <w:rFonts w:ascii="Times New Roman" w:hAnsi="Times New Roman"/>
                <w:noProof/>
                <w:sz w:val="24"/>
                <w:szCs w:val="24"/>
              </w:rPr>
              <w:t xml:space="preserve"> pienākuma izpildi.</w:t>
            </w:r>
          </w:p>
          <w:p w:rsidR="00AC059E" w:rsidRPr="00934889" w:rsidRDefault="00AC059E"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 xml:space="preserve">NILLTFN likums paredz, ka, uzsākot darījuma attiecības ar klientu, kuru nav identificējis likuma subjekts, tā darbinieks vai pilnvarota persona, veic kādu no NILLTFN likuma 23. pantā noteiktajiem pasākumiem. Līdz ar to likuma subjektam noteiktais pienākums nav balstīts uz risku izvērtējumu un jānosaka, ka likuma subjektam veicamais pasākumu apjoms ir atkarīgs no noziedzīgi iegūtu līdzekļu legalizācijas un terorisma finansēšanas riska līmeņa. </w:t>
            </w:r>
            <w:r w:rsidRPr="00934889">
              <w:rPr>
                <w:rFonts w:ascii="Times New Roman" w:hAnsi="Times New Roman"/>
                <w:noProof/>
                <w:sz w:val="24"/>
                <w:szCs w:val="24"/>
              </w:rPr>
              <w:lastRenderedPageBreak/>
              <w:t xml:space="preserve">Savukārt, saglabājot pašreizējo normas redakciju, pastāv iespēja, ka likuma subjekts veic pasākumus neatbilstoši klienta riska līmenim. </w:t>
            </w:r>
          </w:p>
          <w:p w:rsidR="00AC059E" w:rsidRPr="00934889" w:rsidRDefault="00AC059E"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 xml:space="preserve">NILLTFN likumā noteiktais regulējums nenodrošina Kontroles dienestam brīvu piekļuvi finanšu informācijai, kas nepieciešama Kontroles dienesta funkciju izpildei, tādējādi neizpildot starptautisko standartu prasības. Uz minētajām nepilnībām ir norādījis arī </w:t>
            </w:r>
            <w:r w:rsidRPr="00934889">
              <w:rPr>
                <w:rFonts w:ascii="Times New Roman" w:hAnsi="Times New Roman"/>
                <w:i/>
                <w:noProof/>
                <w:sz w:val="24"/>
                <w:szCs w:val="24"/>
              </w:rPr>
              <w:t>Moneyval</w:t>
            </w:r>
            <w:r w:rsidRPr="00934889">
              <w:rPr>
                <w:rFonts w:ascii="Times New Roman" w:hAnsi="Times New Roman"/>
                <w:noProof/>
                <w:sz w:val="24"/>
                <w:szCs w:val="24"/>
              </w:rPr>
              <w:t xml:space="preserve"> savā ziņojumā un ieteikumos.</w:t>
            </w:r>
          </w:p>
          <w:p w:rsidR="00AC059E" w:rsidRPr="00934889" w:rsidRDefault="00AC059E"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NILLTFN likumā noteiktais regulējums attiecībā uz atturēšanos no darījuma veikšanas atsevišķi neatdala kārtību, kas attiecas uz likuma subjekta pienākumu veikt atturēšanos no darījuma un Kontroles dienesta pienākumu veikt līdzekļu iesaldēšanu, tādējādi radot neskaidrības tā piemērošanā pra</w:t>
            </w:r>
            <w:r w:rsidR="00B0360C" w:rsidRPr="00934889">
              <w:rPr>
                <w:rFonts w:ascii="Times New Roman" w:hAnsi="Times New Roman"/>
                <w:noProof/>
                <w:sz w:val="24"/>
                <w:szCs w:val="24"/>
              </w:rPr>
              <w:t>ksē.</w:t>
            </w:r>
          </w:p>
          <w:p w:rsidR="00AC059E" w:rsidRPr="00934889" w:rsidRDefault="00AC059E"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 xml:space="preserve">Latvijas Bankas pienākums ir veikt kapitālsabiedrību, kas saņēmušas Latvijas Bankas licenci ārvalstu valūtas skaidrās naudas pirkšanai un pārdošanai, uzraudzību un kontroli. Ņemot vērā, ka NILLTFN likums nosaka vienīgi vispārīgās minimālās prasības noziedzīgi iegūtu līdzekļu legalizācijas un terorisma finansēšanas novēršanai, tad Latvijas Bankai jānosaka detalizētākas prasības kapitālsabiedrībām, kas veic ārvalstu valūtas maiņu, atbilstoši to darbības veidam. Pašlaik šādas tiesības izdot normatīvos aktus jau ir noteiktas FKTK (NILLTFN likuma 47. panta otrā daļa). Uz nepieciešamību noteikt Latvijas Bankai šādas tiesības ir norādījis arī </w:t>
            </w:r>
            <w:r w:rsidRPr="00934889">
              <w:rPr>
                <w:rFonts w:ascii="Times New Roman" w:hAnsi="Times New Roman"/>
                <w:i/>
                <w:noProof/>
                <w:sz w:val="24"/>
                <w:szCs w:val="24"/>
              </w:rPr>
              <w:t>Moneyval</w:t>
            </w:r>
            <w:r w:rsidRPr="00934889">
              <w:rPr>
                <w:rFonts w:ascii="Times New Roman" w:hAnsi="Times New Roman"/>
                <w:noProof/>
                <w:sz w:val="24"/>
                <w:szCs w:val="24"/>
              </w:rPr>
              <w:t xml:space="preserve"> savā ziņojumā un ieteikumos.</w:t>
            </w:r>
          </w:p>
          <w:p w:rsidR="00AC059E" w:rsidRPr="00934889" w:rsidRDefault="00AC059E"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NILLTFN likuma 45. panta trešā daļa attiecībā uz Valsts ieņēmumu dienesta (tālāk tekstā arī – VID) uzraugāmiem likuma subjektiem nenosaka jēdziena "darbības uzsākšanas brīdis" skaidrojumu, līdz ar to praksē tas rada problēmas konstatēt, kad iestājas personas pienākums rakstveidā par savas darbības veidu informēt VID.</w:t>
            </w:r>
          </w:p>
          <w:p w:rsidR="00543DA3" w:rsidRPr="00934889" w:rsidRDefault="00AC059E" w:rsidP="00435EC9">
            <w:pPr>
              <w:spacing w:after="0" w:line="240" w:lineRule="auto"/>
              <w:jc w:val="both"/>
              <w:rPr>
                <w:rFonts w:ascii="Times New Roman" w:hAnsi="Times New Roman"/>
                <w:sz w:val="24"/>
                <w:szCs w:val="24"/>
              </w:rPr>
            </w:pPr>
            <w:r w:rsidRPr="00934889">
              <w:rPr>
                <w:rFonts w:ascii="Times New Roman" w:hAnsi="Times New Roman"/>
                <w:sz w:val="24"/>
                <w:szCs w:val="24"/>
              </w:rPr>
              <w:t xml:space="preserve">ANO Drošības Padomes rezolūcija 2045 (2012) paredz sadarbošanos ar ANO Drošības padomes Sankciju komiteju un tās Ekspertu grupu, tostarp informācijas nodošanu. Savukārt ANO Statūti paredz, ka ANO dalībvalstis apņemas Drošības padomes rezolūcijas ievērot un pildīt. Lai izpildītu ANO Drošības padomes rezolūciju 2045 (2012), ir jāsniedz ANO Drošības padomei un tās izveidotām </w:t>
            </w:r>
            <w:proofErr w:type="spellStart"/>
            <w:r w:rsidRPr="00934889">
              <w:rPr>
                <w:rFonts w:ascii="Times New Roman" w:hAnsi="Times New Roman"/>
                <w:sz w:val="24"/>
                <w:szCs w:val="24"/>
              </w:rPr>
              <w:t>palīginstitūcijām</w:t>
            </w:r>
            <w:proofErr w:type="spellEnd"/>
            <w:r w:rsidRPr="00934889">
              <w:rPr>
                <w:rFonts w:ascii="Times New Roman" w:hAnsi="Times New Roman"/>
                <w:sz w:val="24"/>
                <w:szCs w:val="24"/>
              </w:rPr>
              <w:t xml:space="preserve"> informācija, kurai Latvijas tiesību aktos ir noteikts ierobežotas pieejamības statuss. Patlaban nav juridiska pamata sniegt šādu informāciju ANO Drošības padomei, līdz ar to Latvija nevar pilnībā izpildīt savas saistības pret ANO.</w:t>
            </w:r>
          </w:p>
          <w:p w:rsidR="00571763" w:rsidRPr="00934889"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 xml:space="preserve">Likumprojekts (NILLTFN likuma 1. panta 7. punkts) paredz paplašināt finanšu iestādes definīciju, lai </w:t>
            </w:r>
            <w:r w:rsidRPr="00934889">
              <w:rPr>
                <w:rFonts w:ascii="Times New Roman" w:hAnsi="Times New Roman"/>
                <w:noProof/>
                <w:sz w:val="24"/>
                <w:szCs w:val="24"/>
              </w:rPr>
              <w:lastRenderedPageBreak/>
              <w:t>noteiktu pienākumu krājaizdevu sabiedrībām un pārapdrošinātājiem ievērot NILLTFN likuma prasības, ņemot vērā, ka tās ir pakļautas noziedzīgi iegūtu līdzekļu legalizācijas un terorisma finansēšanas riskam un šādu prasību paredz starptautiskie standarti.</w:t>
            </w:r>
          </w:p>
          <w:p w:rsidR="00571763" w:rsidRPr="00934889"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Likumprojektā (NILLTFN likuma 1. panta 17. punkts) tiek paplašināta aizdomīga darījuma definīcija, lai nodrošinātu, ka likuma subjekti sniedz ziņojumus Kontroles dienestam ne tikai par darbībām, kas attiecas uz noziedzīgi iegūtu līdzekļu legalizāciju, bet arī par noziedzīgi iegūtajiem līdzekļiem, tādējādi nodrošinot starptautisko standartu izpildi.</w:t>
            </w:r>
          </w:p>
          <w:p w:rsidR="00571763" w:rsidRPr="00934889"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Likumprojekts (NILLTFN likuma 1. panta 19. punkts)  tiek papildināts ar līdzekļu iesaldēšanas defenīciju</w:t>
            </w:r>
            <w:r w:rsidR="002F7573" w:rsidRPr="00934889">
              <w:rPr>
                <w:rFonts w:ascii="Times New Roman" w:hAnsi="Times New Roman"/>
                <w:noProof/>
                <w:sz w:val="24"/>
                <w:szCs w:val="24"/>
              </w:rPr>
              <w:t xml:space="preserve"> Likumprojekts paredz turpmāk lietot terminu </w:t>
            </w:r>
            <w:r w:rsidR="002F7573" w:rsidRPr="00934889">
              <w:rPr>
                <w:rFonts w:ascii="Times New Roman" w:hAnsi="Times New Roman"/>
                <w:sz w:val="24"/>
                <w:szCs w:val="24"/>
              </w:rPr>
              <w:t>"</w:t>
            </w:r>
            <w:r w:rsidR="002F7573" w:rsidRPr="00934889">
              <w:rPr>
                <w:rFonts w:ascii="Times New Roman" w:hAnsi="Times New Roman"/>
                <w:noProof/>
                <w:sz w:val="24"/>
                <w:szCs w:val="24"/>
              </w:rPr>
              <w:t>līdzekļu iesaldēšana</w:t>
            </w:r>
            <w:r w:rsidR="002F7573" w:rsidRPr="00934889">
              <w:rPr>
                <w:rFonts w:ascii="Times New Roman" w:hAnsi="Times New Roman"/>
                <w:sz w:val="24"/>
                <w:szCs w:val="24"/>
              </w:rPr>
              <w:t>"</w:t>
            </w:r>
            <w:r w:rsidR="002F7573" w:rsidRPr="00934889">
              <w:rPr>
                <w:rFonts w:ascii="Times New Roman" w:hAnsi="Times New Roman"/>
                <w:noProof/>
                <w:sz w:val="24"/>
                <w:szCs w:val="24"/>
              </w:rPr>
              <w:t xml:space="preserve"> </w:t>
            </w:r>
            <w:r w:rsidR="00855F5B">
              <w:rPr>
                <w:rFonts w:ascii="Times New Roman" w:hAnsi="Times New Roman"/>
                <w:noProof/>
                <w:sz w:val="24"/>
                <w:szCs w:val="24"/>
              </w:rPr>
              <w:t>un terminu</w:t>
            </w:r>
            <w:r w:rsidR="002F7573" w:rsidRPr="00934889">
              <w:rPr>
                <w:rFonts w:ascii="Times New Roman" w:hAnsi="Times New Roman"/>
                <w:noProof/>
                <w:sz w:val="24"/>
                <w:szCs w:val="24"/>
              </w:rPr>
              <w:t xml:space="preserve"> </w:t>
            </w:r>
            <w:r w:rsidR="002F7573" w:rsidRPr="00934889">
              <w:rPr>
                <w:rFonts w:ascii="Times New Roman" w:hAnsi="Times New Roman"/>
                <w:sz w:val="24"/>
                <w:szCs w:val="24"/>
              </w:rPr>
              <w:t>"darījuma apturēšana".   T</w:t>
            </w:r>
            <w:r w:rsidR="002F7573" w:rsidRPr="00934889">
              <w:rPr>
                <w:rFonts w:ascii="Times New Roman" w:hAnsi="Times New Roman"/>
                <w:noProof/>
                <w:sz w:val="24"/>
                <w:szCs w:val="24"/>
              </w:rPr>
              <w:t xml:space="preserve">ādējādi tiek precizēta terminoloģija </w:t>
            </w:r>
            <w:r w:rsidR="002E2010" w:rsidRPr="00934889">
              <w:rPr>
                <w:rFonts w:ascii="Times New Roman" w:hAnsi="Times New Roman"/>
                <w:noProof/>
                <w:sz w:val="24"/>
                <w:szCs w:val="24"/>
              </w:rPr>
              <w:t>a</w:t>
            </w:r>
            <w:r w:rsidR="002F7573" w:rsidRPr="00934889">
              <w:rPr>
                <w:rFonts w:ascii="Times New Roman" w:hAnsi="Times New Roman"/>
                <w:noProof/>
                <w:sz w:val="24"/>
                <w:szCs w:val="24"/>
              </w:rPr>
              <w:t>tbilstoši starptautiskajiem tiesību aktiem.</w:t>
            </w:r>
            <w:r w:rsidR="00855F5B">
              <w:rPr>
                <w:rFonts w:ascii="Times New Roman" w:hAnsi="Times New Roman"/>
                <w:noProof/>
                <w:sz w:val="24"/>
                <w:szCs w:val="24"/>
              </w:rPr>
              <w:t xml:space="preserve"> Līdz šim terminā </w:t>
            </w:r>
            <w:r w:rsidR="00855F5B" w:rsidRPr="00934889">
              <w:rPr>
                <w:rFonts w:ascii="Times New Roman" w:hAnsi="Times New Roman"/>
                <w:sz w:val="24"/>
                <w:szCs w:val="24"/>
              </w:rPr>
              <w:t>"darījuma apturēšana"</w:t>
            </w:r>
            <w:r w:rsidR="00855F5B">
              <w:rPr>
                <w:rFonts w:ascii="Times New Roman" w:hAnsi="Times New Roman"/>
                <w:sz w:val="24"/>
                <w:szCs w:val="24"/>
              </w:rPr>
              <w:t xml:space="preserve"> tika ietverts termins </w:t>
            </w:r>
            <w:r w:rsidR="00855F5B" w:rsidRPr="00934889">
              <w:rPr>
                <w:rFonts w:ascii="Times New Roman" w:hAnsi="Times New Roman"/>
                <w:sz w:val="24"/>
                <w:szCs w:val="24"/>
              </w:rPr>
              <w:t>"</w:t>
            </w:r>
            <w:r w:rsidR="00855F5B" w:rsidRPr="00934889">
              <w:rPr>
                <w:rFonts w:ascii="Times New Roman" w:hAnsi="Times New Roman"/>
                <w:noProof/>
                <w:sz w:val="24"/>
                <w:szCs w:val="24"/>
              </w:rPr>
              <w:t>līdzekļu iesaldēšana</w:t>
            </w:r>
            <w:r w:rsidR="00855F5B" w:rsidRPr="00934889">
              <w:rPr>
                <w:rFonts w:ascii="Times New Roman" w:hAnsi="Times New Roman"/>
                <w:sz w:val="24"/>
                <w:szCs w:val="24"/>
              </w:rPr>
              <w:t>"</w:t>
            </w:r>
            <w:r w:rsidR="00855F5B">
              <w:rPr>
                <w:rFonts w:ascii="Times New Roman" w:hAnsi="Times New Roman"/>
                <w:sz w:val="24"/>
                <w:szCs w:val="24"/>
              </w:rPr>
              <w:t>.</w:t>
            </w:r>
          </w:p>
          <w:p w:rsidR="00571763"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 xml:space="preserve">Likumprojektā tiek paplašināta politiski nozīmīgas personas definīcija atbilstoši </w:t>
            </w:r>
            <w:r w:rsidRPr="00934889">
              <w:rPr>
                <w:rFonts w:ascii="Times New Roman" w:hAnsi="Times New Roman"/>
                <w:i/>
                <w:noProof/>
                <w:sz w:val="24"/>
                <w:szCs w:val="24"/>
              </w:rPr>
              <w:t>Moneyval</w:t>
            </w:r>
            <w:r w:rsidRPr="00934889">
              <w:rPr>
                <w:rFonts w:ascii="Times New Roman" w:hAnsi="Times New Roman"/>
                <w:noProof/>
                <w:sz w:val="24"/>
                <w:szCs w:val="24"/>
              </w:rPr>
              <w:t xml:space="preserve"> ieteikumam un starptautiskajiem standartiem, tostarp iekļaujot tajā arī citus augsta līmeņa tiesu institūciju locekļus, kuru lēmumus tālāk nepārsūdz, un nozīmīgas amatpersonas politiskā partijā.</w:t>
            </w:r>
          </w:p>
          <w:p w:rsidR="004D0925" w:rsidRPr="004D0925" w:rsidRDefault="004D0925" w:rsidP="00934889">
            <w:pPr>
              <w:spacing w:after="0" w:line="240" w:lineRule="auto"/>
              <w:jc w:val="both"/>
              <w:rPr>
                <w:rFonts w:ascii="Times New Roman" w:hAnsi="Times New Roman"/>
                <w:sz w:val="24"/>
                <w:szCs w:val="24"/>
              </w:rPr>
            </w:pPr>
            <w:r w:rsidRPr="004D0925">
              <w:rPr>
                <w:rFonts w:ascii="Times New Roman" w:hAnsi="Times New Roman"/>
                <w:noProof/>
                <w:sz w:val="24"/>
                <w:szCs w:val="24"/>
              </w:rPr>
              <w:t xml:space="preserve">Likumprojekts (NILLTFN likuma 4. panta ceturtā daļa) nosaka, ka </w:t>
            </w:r>
            <w:r w:rsidRPr="004D0925">
              <w:rPr>
                <w:rFonts w:ascii="Times New Roman" w:hAnsi="Times New Roman"/>
                <w:sz w:val="24"/>
                <w:szCs w:val="24"/>
              </w:rPr>
              <w:t xml:space="preserve">Kontroles dienests uztur savā tīmekļa vietnē informāciju par personām, kas tiek turētas aizdomās par iesaistīšanos teroristiskās darbībās. Informācija būs pieejama </w:t>
            </w:r>
            <w:r>
              <w:rPr>
                <w:rFonts w:ascii="Times New Roman" w:hAnsi="Times New Roman"/>
                <w:sz w:val="24"/>
                <w:szCs w:val="24"/>
              </w:rPr>
              <w:t xml:space="preserve">publiski </w:t>
            </w:r>
            <w:r w:rsidRPr="004D0925">
              <w:rPr>
                <w:rFonts w:ascii="Times New Roman" w:hAnsi="Times New Roman"/>
                <w:sz w:val="24"/>
                <w:szCs w:val="24"/>
              </w:rPr>
              <w:t>ģenerālprokuratūras mājas lapā sadaļā “Kontroles dienests”.</w:t>
            </w:r>
            <w:r>
              <w:rPr>
                <w:rFonts w:ascii="Times New Roman" w:hAnsi="Times New Roman"/>
                <w:sz w:val="24"/>
                <w:szCs w:val="24"/>
              </w:rPr>
              <w:t xml:space="preserve"> Līdz šim informācija tika nosūtīta likuma subjektiem un uzraudzības iestādēm.</w:t>
            </w:r>
          </w:p>
          <w:p w:rsidR="00571763" w:rsidRPr="00934889"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Likumprojektā (NILLTFN likuma 7. panta otrā daļa) tiek paredzēts, ka ne tikai Finanšu un kapitāla tirgus komisijai ir tiesības izdot noziedzīgi iegūtu līdzekļu legalizācijas un terorisma finansēšanas riska noskaidrošanas un novērtēšanas metodiku, bet arī citām uzraudzības iestādēm ir tiesības izdot šādu metodiku, tādējādi nodrošinot, ka arī citiem likuma subjektiem būs iespēja saņemt noziedzīgi iegūtu līdzekļu legalizācijas un terorisma finansēšanas riska noskaidrošanas un novērtēšanas metodiku atbilstoši to darbības raksturam.</w:t>
            </w:r>
          </w:p>
          <w:p w:rsidR="00571763" w:rsidRPr="00934889"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 xml:space="preserve">Likumprojektā (NILLTFN likuma 12. panta pirmās daļas 2. punkts un 15. pants) atbilstoši starptautisko standartu prasībām un </w:t>
            </w:r>
            <w:r w:rsidRPr="00934889">
              <w:rPr>
                <w:rFonts w:ascii="Times New Roman" w:hAnsi="Times New Roman"/>
                <w:i/>
                <w:noProof/>
                <w:sz w:val="24"/>
                <w:szCs w:val="24"/>
              </w:rPr>
              <w:t>Moneyval</w:t>
            </w:r>
            <w:r w:rsidRPr="00934889">
              <w:rPr>
                <w:rFonts w:ascii="Times New Roman" w:hAnsi="Times New Roman"/>
                <w:noProof/>
                <w:sz w:val="24"/>
                <w:szCs w:val="24"/>
              </w:rPr>
              <w:t xml:space="preserve"> ieteikumam tiek noteikts, ka fiziskās personas identifikācija veicama pēc personu apliecinoša dokumenta, kas satur personas fotoattēlu, kā arī tiešā veidā tiek noteikts aizliegums </w:t>
            </w:r>
            <w:r w:rsidRPr="00934889">
              <w:rPr>
                <w:rFonts w:ascii="Times New Roman" w:hAnsi="Times New Roman"/>
                <w:noProof/>
                <w:sz w:val="24"/>
                <w:szCs w:val="24"/>
              </w:rPr>
              <w:lastRenderedPageBreak/>
              <w:t>atvērt un uzturēt kontus ar fiktīviem (personu apliecinošiem dokumentiem neatbilstošiem) vārdiem.</w:t>
            </w:r>
          </w:p>
          <w:p w:rsidR="00571763" w:rsidRPr="00934889"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Likumprojekts (NILLTFN likuma 18. pants) paredz, ka likuma subjektam visos gadījumos jāiegūst informācija par juridiskās personas patieso labuma guvēju, kā arī precizē kārtību, kādā likuma subjekts iegūst informāciju par patieso labuma guvēju un pārliecinās par iegūtās informācijas ticamību, tādējādi novēršot līdzšinējās neskaidrības normas piemērošanā praksē.</w:t>
            </w:r>
          </w:p>
          <w:p w:rsidR="00571763" w:rsidRPr="00934889"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Likumprojekts (NILLTFN likuma 23. pants) paredz, ka likuma subjekts veic uz riska izvērtējumu balstītus pasākumus, uzsākot darījuma attiecības ar klientu, kuru nav identificējis likuma subjekts, tā darbinieks vai pilnvarota persona, jo veicamo pasākumu apjoms ir atkarīgs no klienta un izmantoto pakalpojumu riska līmeņa. Tādējādi likuma subjektam ir jāveic papildu pasākumi pie paaugstināta riska līmeņa, savukārt pie pazemināta riska līmeņa likuma subjekts ir tiesīgs veikt pasākumus samazinātā apmērā.</w:t>
            </w:r>
          </w:p>
          <w:p w:rsidR="00571763" w:rsidRPr="00934889"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 xml:space="preserve">Likumprojektā (NILLTFN likuma 30. pants), ņemot vērā </w:t>
            </w:r>
            <w:r w:rsidRPr="00934889">
              <w:rPr>
                <w:rFonts w:ascii="Times New Roman" w:hAnsi="Times New Roman"/>
                <w:i/>
                <w:noProof/>
                <w:sz w:val="24"/>
                <w:szCs w:val="24"/>
              </w:rPr>
              <w:t>Moneyval</w:t>
            </w:r>
            <w:r w:rsidRPr="00934889">
              <w:rPr>
                <w:rFonts w:ascii="Times New Roman" w:hAnsi="Times New Roman"/>
                <w:noProof/>
                <w:sz w:val="24"/>
                <w:szCs w:val="24"/>
              </w:rPr>
              <w:t xml:space="preserve"> ieteikumu un starptautisko standartu prasības, tiek precizēta norma par ziņošanas pienākumu, lai izslēgtu jebkādas šaubas par Kontroles dienesta brīvu piekļuvi finanšu informācijai.</w:t>
            </w:r>
          </w:p>
          <w:p w:rsidR="00571763"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Likumprojekts (NILLTFN likuma 32. pants) paredz likuma subjektiem noteikt atsevišķu kārtību attiecībā uz atturēšanos no darījuma veikšanas un atsevišķu kārtību Kontroles dienestam attiecībā uz līdzekļu iesaldēšanu, tādējādi novēršot praksē pastāvošās neskaidrības.</w:t>
            </w:r>
          </w:p>
          <w:p w:rsidR="002D5DC3" w:rsidRPr="00934889" w:rsidRDefault="002D5DC3" w:rsidP="00934889">
            <w:pPr>
              <w:spacing w:after="0" w:line="240" w:lineRule="auto"/>
              <w:jc w:val="both"/>
              <w:rPr>
                <w:rFonts w:ascii="Times New Roman" w:hAnsi="Times New Roman"/>
                <w:sz w:val="24"/>
                <w:szCs w:val="24"/>
              </w:rPr>
            </w:pPr>
            <w:r w:rsidRPr="00906AE6">
              <w:rPr>
                <w:rFonts w:ascii="Times New Roman" w:hAnsi="Times New Roman"/>
                <w:noProof/>
                <w:sz w:val="24"/>
                <w:szCs w:val="24"/>
              </w:rPr>
              <w:t xml:space="preserve">Likumprojektā (NILLTFN likuma 41. pants) paredzēts, ka </w:t>
            </w:r>
            <w:r w:rsidRPr="00906AE6">
              <w:rPr>
                <w:rFonts w:ascii="Times New Roman" w:hAnsi="Times New Roman"/>
                <w:sz w:val="24"/>
                <w:szCs w:val="24"/>
              </w:rPr>
              <w:t>Kredītiestādēm un apdrošināšanas komersantiem, kuri veic dzīvības apdrošināšanu</w:t>
            </w:r>
            <w:r w:rsidRPr="00906AE6">
              <w:rPr>
                <w:rFonts w:ascii="Times New Roman" w:hAnsi="Times New Roman"/>
                <w:noProof/>
                <w:sz w:val="24"/>
                <w:szCs w:val="24"/>
              </w:rPr>
              <w:t xml:space="preserve"> tiks nodrošināta informācija no </w:t>
            </w:r>
            <w:r w:rsidRPr="00906AE6">
              <w:rPr>
                <w:rFonts w:ascii="Times New Roman" w:hAnsi="Times New Roman"/>
                <w:sz w:val="24"/>
                <w:szCs w:val="24"/>
              </w:rPr>
              <w:t>Valsts ieņēmuma dienesta reģistriem  par klientu, tā patieso labuma guvēju un pārstāvju pēdējo 5 gadu ienākumiem un ienākumu izmaksātājiem. Ņemot vērā to ka</w:t>
            </w:r>
            <w:r w:rsidR="00906AE6" w:rsidRPr="00906AE6">
              <w:rPr>
                <w:rFonts w:ascii="Times New Roman" w:hAnsi="Times New Roman"/>
                <w:sz w:val="24"/>
                <w:szCs w:val="24"/>
              </w:rPr>
              <w:t>,</w:t>
            </w:r>
            <w:r w:rsidRPr="00906AE6">
              <w:rPr>
                <w:rFonts w:ascii="Times New Roman" w:hAnsi="Times New Roman"/>
                <w:sz w:val="24"/>
                <w:szCs w:val="24"/>
              </w:rPr>
              <w:t xml:space="preserve"> Valst</w:t>
            </w:r>
            <w:r w:rsidR="00906AE6" w:rsidRPr="00906AE6">
              <w:rPr>
                <w:rFonts w:ascii="Times New Roman" w:hAnsi="Times New Roman"/>
                <w:sz w:val="24"/>
                <w:szCs w:val="24"/>
              </w:rPr>
              <w:t>s ieņēmuma dienesta reģistrs augstāk minēto informāciju sniegs no 2015.gada 1.marta.</w:t>
            </w:r>
          </w:p>
          <w:p w:rsidR="00571763" w:rsidRPr="00934889"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 xml:space="preserve">Ievērojot </w:t>
            </w:r>
            <w:r w:rsidRPr="00934889">
              <w:rPr>
                <w:rFonts w:ascii="Times New Roman" w:hAnsi="Times New Roman"/>
                <w:i/>
                <w:noProof/>
                <w:sz w:val="24"/>
                <w:szCs w:val="24"/>
              </w:rPr>
              <w:t>Moneyval</w:t>
            </w:r>
            <w:r w:rsidRPr="00934889">
              <w:rPr>
                <w:rFonts w:ascii="Times New Roman" w:hAnsi="Times New Roman"/>
                <w:noProof/>
                <w:sz w:val="24"/>
                <w:szCs w:val="24"/>
              </w:rPr>
              <w:t xml:space="preserve"> ieteikumus un Latvijas Bankas funkcijas kapitālsabiedrību, kas veic ārvalstu valūtas skaidras naudas pirkšanu un pārdošanu, uzraudzībā, likumprojektā (NILLTFN likuma 47. pants) ir paredzēts, ka Latvijas Bankai ir tiesības izdot noziedzīgi iegūtu līdzekļu legalizācijas un terorisma finansēšanas novēršanas uzraudzības un kontroles normatīvos noteikumus attiecībā uz kapitālsabiedrībām, kas nodarbojas ar ārvalstu valūtas skaidras naudas pirkšanu un pārdošanu. Tādējādi Latvijas Bankai būs tiesības izdot normatīvos aktus </w:t>
            </w:r>
            <w:r w:rsidRPr="00934889">
              <w:rPr>
                <w:rFonts w:ascii="Times New Roman" w:hAnsi="Times New Roman"/>
                <w:noProof/>
                <w:sz w:val="24"/>
                <w:szCs w:val="24"/>
              </w:rPr>
              <w:lastRenderedPageBreak/>
              <w:t>atbilstoši to uzraugāmo likuma subjekta darbības raksturam.</w:t>
            </w:r>
          </w:p>
          <w:p w:rsidR="00571763" w:rsidRPr="00934889"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Likumprojekts paredz precizēt NILLTFN likuma 45. panta trešo daļu, sniedzot jēdziena "darbības uzsākšanas brīdis" skaidrojumu, līdz ar to nodrošinot iespēju konstatēt brīdi, kad iestājas personas pienākums rakstveidā par savas darbības veidu informēt VID.</w:t>
            </w:r>
          </w:p>
          <w:p w:rsidR="00543DA3" w:rsidRDefault="00571763" w:rsidP="00934889">
            <w:pPr>
              <w:spacing w:after="0" w:line="240" w:lineRule="auto"/>
              <w:jc w:val="both"/>
              <w:rPr>
                <w:rFonts w:ascii="Times New Roman" w:hAnsi="Times New Roman"/>
                <w:noProof/>
                <w:sz w:val="24"/>
                <w:szCs w:val="24"/>
              </w:rPr>
            </w:pPr>
            <w:r w:rsidRPr="00934889">
              <w:rPr>
                <w:rFonts w:ascii="Times New Roman" w:hAnsi="Times New Roman"/>
                <w:noProof/>
                <w:sz w:val="24"/>
                <w:szCs w:val="24"/>
              </w:rPr>
              <w:t>Likumprojekts paredz Kontroles dienestam tiesības nodot ANO Drošības padomei un tās izveidotajām palīginstitūcijām ANO Drošības padomes rezolūcijās noteiktā sankciju režīma īstenošanai nepieciešamo informāciju. Likumprojekta normas mērķis ir radīt juridisku mehānismu, kas ļautu izpildīt Latvijas saistības pret ANO, nodrošinot no kredītiestādes iegūtās ierobežotas pieejamības informācijas nodošanu ANO Drošības padomei un tās izveidotajām palīginstitūcijām, ANO Drošības padomes rezolūcijās noteikto sankciju īstenošanai.</w:t>
            </w:r>
          </w:p>
          <w:p w:rsidR="00325EDA" w:rsidRPr="00325EDA" w:rsidRDefault="00325EDA" w:rsidP="00325EDA">
            <w:pPr>
              <w:spacing w:after="0" w:line="240" w:lineRule="auto"/>
              <w:jc w:val="both"/>
              <w:rPr>
                <w:rFonts w:ascii="Times New Roman" w:hAnsi="Times New Roman"/>
                <w:noProof/>
                <w:sz w:val="24"/>
                <w:szCs w:val="24"/>
              </w:rPr>
            </w:pPr>
            <w:r w:rsidRPr="00325EDA">
              <w:rPr>
                <w:rFonts w:ascii="Times New Roman" w:hAnsi="Times New Roman"/>
                <w:noProof/>
                <w:sz w:val="24"/>
                <w:szCs w:val="24"/>
              </w:rPr>
              <w:t xml:space="preserve">Likumprojekts paredz papildināt NILLTFN likumu </w:t>
            </w:r>
            <w:r w:rsidRPr="00325EDA">
              <w:rPr>
                <w:rFonts w:ascii="Times New Roman" w:hAnsi="Times New Roman"/>
                <w:sz w:val="24"/>
                <w:szCs w:val="24"/>
              </w:rPr>
              <w:t xml:space="preserve"> ar 5.panta trešo daļu kurā ir definēts termins “</w:t>
            </w:r>
            <w:r w:rsidRPr="00325EDA">
              <w:rPr>
                <w:rFonts w:ascii="Times New Roman" w:eastAsia="Times New Roman" w:hAnsi="Times New Roman"/>
                <w:sz w:val="24"/>
                <w:szCs w:val="24"/>
              </w:rPr>
              <w:t>Terorisma finansēšana”.</w:t>
            </w:r>
            <w:r w:rsidRPr="00325EDA">
              <w:rPr>
                <w:rFonts w:ascii="Times New Roman" w:hAnsi="Times New Roman"/>
                <w:noProof/>
                <w:sz w:val="24"/>
                <w:szCs w:val="24"/>
              </w:rPr>
              <w:t xml:space="preserve"> </w:t>
            </w:r>
            <w:r w:rsidRPr="00325EDA">
              <w:rPr>
                <w:rFonts w:ascii="Times New Roman" w:hAnsi="Times New Roman"/>
                <w:sz w:val="24"/>
                <w:szCs w:val="24"/>
                <w:lang w:eastAsia="lv-LV"/>
              </w:rPr>
              <w:t>2012.gada 5.jūlijā Eiropas Padomē MONEYVAL komitejā tika pieņemts Latvijas 4.novērtējuma ziņojums par cīņu ar nelegāli iegūtu līdzekļu izmantošanu un terorisma finansēšanu. Ziņojumā tika norādīts, ka KL 88.</w:t>
            </w:r>
            <w:r w:rsidRPr="00325EDA">
              <w:rPr>
                <w:rFonts w:ascii="Times New Roman" w:hAnsi="Times New Roman"/>
                <w:sz w:val="24"/>
                <w:szCs w:val="24"/>
                <w:vertAlign w:val="superscript"/>
                <w:lang w:eastAsia="lv-LV"/>
              </w:rPr>
              <w:t>1</w:t>
            </w:r>
            <w:r w:rsidRPr="00325EDA">
              <w:rPr>
                <w:rFonts w:ascii="Times New Roman" w:hAnsi="Times New Roman"/>
                <w:sz w:val="24"/>
                <w:szCs w:val="24"/>
                <w:lang w:eastAsia="lv-LV"/>
              </w:rPr>
              <w:t>pantā paredzētā terorisma finansēšanas definīcija neatbilst Starptautiskās Konvencijas par cīņu pret terorisma finansēšanu 2.pantā ietvertajai definīcijai. Proti, KL 88.pantā ir uzskaitītas darbības, kuras kopā ar nolūku iebiedēt iedzīvotājus, piespiest valsti, tās institūcijas vai starptautiskas organizācijas izdarīt kādu darbību vai atturēties no tās, vai kaitēt valsts, tās iedzīvotāju vai starptautiskas organizācijas interesēm, veido terorisma jēdzienu.</w:t>
            </w:r>
            <w:r>
              <w:rPr>
                <w:rFonts w:ascii="Times New Roman" w:hAnsi="Times New Roman"/>
                <w:noProof/>
                <w:sz w:val="24"/>
                <w:szCs w:val="24"/>
              </w:rPr>
              <w:t xml:space="preserve"> </w:t>
            </w:r>
            <w:r w:rsidRPr="00325EDA">
              <w:rPr>
                <w:rFonts w:ascii="Times New Roman" w:hAnsi="Times New Roman"/>
                <w:sz w:val="24"/>
                <w:szCs w:val="24"/>
                <w:lang w:eastAsia="lv-LV"/>
              </w:rPr>
              <w:t>Savukārt no Starptautiskās Konvencijas par cīņu pret terorisma finansēšanu (turpmāk – Konvencija) 2.panta izriet, ka terorisma finansēšana ir:</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t xml:space="preserve">1) darbības, kurā ir noziedzīga nodarījuma sastāvs, kas noteikts un definēts vienā no Konvencijas pielikumā minētajiem līgumiem – </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t>1) Konvencija par cīņu pret nelikumīgu gaisa kuģu sagrābšanu;</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t>2) Konvencija par prettiesisku darbību pret kuģošanas drošību;</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t>3) Starptautiskā konvencija pret ķīlnieku sagrābšanu;</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t>4) Starptautiskā konvencija par cīņu pret teroristu rīkotajiem sprādzieniem;</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t>5) Kodolmateriālu fiziskās aizsardzības konvencija;</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t>6) Konvencija par cīņu pret nelikumīgām darbībām, kas apdraud civilās aviācijas drošību;</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lastRenderedPageBreak/>
              <w:t>7) Protokols par cīņu pret nelikumīgu vardarbību lidostās, kas apkalpo starptautisko civilo aviāciju, kas papildina konvenciju par cīņu pret nelikumīgām darbībām, kas apdraud civilās aviācijas drošību;</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t>8) Konvencija par tādu noziedzīgu nodarījumu novēršanu, kas vērsti pret starptautiski aizsargātām personām, un par šādu noziedzīgu nodarījumu sodīšanu;</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t>9) Protokols par prettiesisku darbību pret nostiprinātu platformu drošību kontinentālajā šelfā apkarošanu.</w:t>
            </w:r>
          </w:p>
          <w:p w:rsidR="00325EDA" w:rsidRPr="00325EDA" w:rsidRDefault="00325EDA" w:rsidP="00325EDA">
            <w:pPr>
              <w:spacing w:after="0" w:line="240" w:lineRule="auto"/>
              <w:jc w:val="both"/>
              <w:rPr>
                <w:rFonts w:ascii="Times New Roman" w:hAnsi="Times New Roman"/>
                <w:sz w:val="24"/>
                <w:szCs w:val="24"/>
                <w:lang w:eastAsia="lv-LV"/>
              </w:rPr>
            </w:pPr>
            <w:r w:rsidRPr="00325EDA">
              <w:rPr>
                <w:rFonts w:ascii="Times New Roman" w:hAnsi="Times New Roman"/>
                <w:sz w:val="24"/>
                <w:szCs w:val="24"/>
                <w:lang w:eastAsia="lv-LV"/>
              </w:rPr>
              <w:t>2) jebkāda cita darbība ar nodomu izraisīt nāvi vai nodarīt smagus miesas bojājumus kādai civilpersonai un šādas rīcības mērķis pēc būtības vai kontekstā ir iedzīvotāju iebiedēšana vai valdības vai starptautiskās organizācijas piespiešana veikt kādu darbību vai atturēties no tās.</w:t>
            </w:r>
          </w:p>
          <w:p w:rsidR="00325EDA" w:rsidRPr="00325EDA" w:rsidRDefault="00325EDA" w:rsidP="00325EDA">
            <w:pPr>
              <w:spacing w:after="0" w:line="240" w:lineRule="auto"/>
              <w:jc w:val="both"/>
              <w:rPr>
                <w:rFonts w:ascii="Times New Roman" w:hAnsi="Times New Roman"/>
                <w:sz w:val="24"/>
                <w:szCs w:val="24"/>
                <w:lang w:eastAsia="lv-LV"/>
              </w:rPr>
            </w:pPr>
            <w:r w:rsidRPr="00C5485F">
              <w:rPr>
                <w:rFonts w:ascii="Times New Roman" w:hAnsi="Times New Roman"/>
                <w:sz w:val="24"/>
                <w:szCs w:val="24"/>
                <w:lang w:eastAsia="lv-LV"/>
              </w:rPr>
              <w:t>KL 88.</w:t>
            </w:r>
            <w:r w:rsidRPr="00C5485F">
              <w:rPr>
                <w:rFonts w:ascii="Times New Roman" w:hAnsi="Times New Roman"/>
                <w:sz w:val="24"/>
                <w:szCs w:val="24"/>
                <w:vertAlign w:val="superscript"/>
                <w:lang w:eastAsia="lv-LV"/>
              </w:rPr>
              <w:t>1</w:t>
            </w:r>
            <w:r w:rsidRPr="00C5485F">
              <w:rPr>
                <w:rFonts w:ascii="Times New Roman" w:hAnsi="Times New Roman"/>
                <w:sz w:val="24"/>
                <w:szCs w:val="24"/>
                <w:lang w:eastAsia="lv-LV"/>
              </w:rPr>
              <w:t xml:space="preserve"> pantā minēto terorisma finansēšanas definīciju veido KL 88.pants, kas sastāv no darbībām ar konkrēto nolūku, tātad terorisma finansēšana ir 88.pantā minēto darbību kopā ar konkrēto nolūku finansēšana. Savukārt Konvencijas 2.pants paredz, ka terorisma finansēšana ir Konvencijas pielikumā uzskaitītajos līgumos minēto darbību finansēšana vai citu darbību kopā ar konkrēto nolūku finansēšana</w:t>
            </w:r>
            <w:r w:rsidRPr="00325EDA">
              <w:rPr>
                <w:rFonts w:ascii="Times New Roman" w:hAnsi="Times New Roman"/>
                <w:sz w:val="24"/>
                <w:szCs w:val="24"/>
                <w:lang w:eastAsia="lv-LV"/>
              </w:rPr>
              <w:t>.</w:t>
            </w:r>
          </w:p>
          <w:p w:rsidR="00325EDA" w:rsidRPr="00325EDA" w:rsidRDefault="00325EDA" w:rsidP="00325EDA">
            <w:pPr>
              <w:spacing w:after="0" w:line="240" w:lineRule="auto"/>
              <w:jc w:val="both"/>
              <w:rPr>
                <w:rFonts w:ascii="Times New Roman" w:hAnsi="Times New Roman"/>
                <w:sz w:val="24"/>
                <w:szCs w:val="24"/>
                <w:lang w:eastAsia="lv-LV"/>
              </w:rPr>
            </w:pPr>
            <w:proofErr w:type="spellStart"/>
            <w:r w:rsidRPr="00325EDA">
              <w:rPr>
                <w:rFonts w:ascii="Times New Roman" w:hAnsi="Times New Roman"/>
                <w:sz w:val="24"/>
                <w:szCs w:val="24"/>
                <w:lang w:eastAsia="lv-LV"/>
              </w:rPr>
              <w:t>Moneyval</w:t>
            </w:r>
            <w:proofErr w:type="spellEnd"/>
            <w:r w:rsidRPr="00325EDA">
              <w:rPr>
                <w:rFonts w:ascii="Times New Roman" w:hAnsi="Times New Roman"/>
                <w:sz w:val="24"/>
                <w:szCs w:val="24"/>
                <w:lang w:eastAsia="lv-LV"/>
              </w:rPr>
              <w:t xml:space="preserve"> rekomendācijā ir norādīts, ka KL 88.</w:t>
            </w:r>
            <w:r w:rsidRPr="00325EDA">
              <w:rPr>
                <w:rFonts w:ascii="Times New Roman" w:hAnsi="Times New Roman"/>
                <w:sz w:val="24"/>
                <w:szCs w:val="24"/>
                <w:vertAlign w:val="superscript"/>
                <w:lang w:eastAsia="lv-LV"/>
              </w:rPr>
              <w:t>1</w:t>
            </w:r>
            <w:r w:rsidRPr="00325EDA">
              <w:rPr>
                <w:rFonts w:ascii="Times New Roman" w:hAnsi="Times New Roman"/>
                <w:sz w:val="24"/>
                <w:szCs w:val="24"/>
                <w:lang w:eastAsia="lv-LV"/>
              </w:rPr>
              <w:t xml:space="preserve"> pantā minēto terorisma finansēšanas definīciju papildina subjektīvs (psihisks) elements (</w:t>
            </w:r>
            <w:proofErr w:type="spellStart"/>
            <w:r w:rsidRPr="00325EDA">
              <w:rPr>
                <w:rFonts w:ascii="Times New Roman" w:hAnsi="Times New Roman"/>
                <w:i/>
                <w:sz w:val="24"/>
                <w:szCs w:val="24"/>
                <w:lang w:eastAsia="lv-LV"/>
              </w:rPr>
              <w:t>mental</w:t>
            </w:r>
            <w:proofErr w:type="spellEnd"/>
            <w:r w:rsidRPr="00325EDA">
              <w:rPr>
                <w:rFonts w:ascii="Times New Roman" w:hAnsi="Times New Roman"/>
                <w:i/>
                <w:sz w:val="24"/>
                <w:szCs w:val="24"/>
                <w:lang w:eastAsia="lv-LV"/>
              </w:rPr>
              <w:t xml:space="preserve"> element</w:t>
            </w:r>
            <w:r w:rsidRPr="00325EDA">
              <w:rPr>
                <w:rFonts w:ascii="Times New Roman" w:hAnsi="Times New Roman"/>
                <w:sz w:val="24"/>
                <w:szCs w:val="24"/>
                <w:lang w:eastAsia="lv-LV"/>
              </w:rPr>
              <w:t>), kurš netiek prasīts Konvencijas 2.panta (a) apakšpunktā.</w:t>
            </w:r>
          </w:p>
          <w:p w:rsidR="00325EDA" w:rsidRPr="00934889" w:rsidRDefault="00325EDA" w:rsidP="00934889">
            <w:pPr>
              <w:spacing w:after="0" w:line="240" w:lineRule="auto"/>
              <w:jc w:val="both"/>
              <w:rPr>
                <w:rFonts w:ascii="Times New Roman" w:hAnsi="Times New Roman"/>
                <w:sz w:val="24"/>
                <w:szCs w:val="24"/>
              </w:rPr>
            </w:pPr>
            <w:r w:rsidRPr="00325EDA">
              <w:rPr>
                <w:rFonts w:ascii="Times New Roman" w:hAnsi="Times New Roman"/>
                <w:sz w:val="24"/>
                <w:szCs w:val="24"/>
              </w:rPr>
              <w:t>Jau šobrīd Noziedzīgi iegūtu līdzekļu legalizācijas un terorisma novēršanas likuma 5.panta trešā daļa ietver norādi uz to, kas ir terorisma finansēšana. Tāpēc, lai nodrošinātu vienotu pieeju visām darbībām, kas minētas Noziedzīgi iegūtu līdzekļu legalizācijas un terorisma novēršanas likumā Krimināllikuma pastāvīgā darba grupa atbalstīja risinājuma variantu - terorisma finansēšanas definīciju ietvert Noziedzīgi iegūtu līdzekļu legalizācijas un terorisma finansēšanas novēršanas likuma 5.panta trešajā daļā, bet KL 88.</w:t>
            </w:r>
            <w:r w:rsidRPr="00325EDA">
              <w:rPr>
                <w:rFonts w:ascii="Times New Roman" w:hAnsi="Times New Roman"/>
                <w:sz w:val="24"/>
                <w:szCs w:val="24"/>
                <w:vertAlign w:val="superscript"/>
              </w:rPr>
              <w:t>1</w:t>
            </w:r>
            <w:r w:rsidRPr="00325EDA">
              <w:rPr>
                <w:rFonts w:ascii="Times New Roman" w:hAnsi="Times New Roman"/>
                <w:sz w:val="24"/>
                <w:szCs w:val="24"/>
              </w:rPr>
              <w:t xml:space="preserve">pantā ietvert tikai atbildība par terorisma finansēšanu (līdzīgi kā tas ir KL 195.pantā). Lai nodrošinātu viennozīmīgu normu uztveri Tieslietu ministrijas izveidotā, Krimināllikuma pastāvīgā darba grupa atbalstīja risinājumu, kurš paredz, ka Noziedzīgi iegūtu līdzekļu legalizācijas un terorisma finansēšanas novēršanas likuma 5.panta trešajā daļā ir ietvertas atsauces uz starptautisko konvenciju normām, kuras ir minētas </w:t>
            </w:r>
            <w:r w:rsidRPr="00325EDA">
              <w:rPr>
                <w:rFonts w:ascii="Times New Roman" w:hAnsi="Times New Roman"/>
                <w:sz w:val="24"/>
                <w:szCs w:val="24"/>
                <w:lang w:eastAsia="lv-LV"/>
              </w:rPr>
              <w:t xml:space="preserve">Starptautiskās Konvencijas par cīņu pret terorisma finansēšanu 2.pantā. Minētais risinājums tikai atbalstīts kā labākais, jo tādējādi tiek kliedētas </w:t>
            </w:r>
            <w:r w:rsidRPr="00325EDA">
              <w:rPr>
                <w:rFonts w:ascii="Times New Roman" w:hAnsi="Times New Roman"/>
                <w:sz w:val="24"/>
                <w:szCs w:val="24"/>
                <w:lang w:eastAsia="lv-LV"/>
              </w:rPr>
              <w:lastRenderedPageBreak/>
              <w:t>jebkādas neskaidrības par to, kuru darbību finansēšana varētu tikt uzskatīta par terorisma finansēšanu.</w:t>
            </w:r>
          </w:p>
        </w:tc>
      </w:tr>
      <w:tr w:rsidR="0065551F" w:rsidRPr="00934889" w:rsidTr="00A65B92">
        <w:trPr>
          <w:gridBefore w:val="1"/>
          <w:gridAfter w:val="1"/>
          <w:wBefore w:w="5" w:type="pct"/>
          <w:wAfter w:w="5" w:type="pct"/>
          <w:trHeight w:val="465"/>
        </w:trPr>
        <w:tc>
          <w:tcPr>
            <w:tcW w:w="249"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lastRenderedPageBreak/>
              <w:t>3.</w:t>
            </w:r>
          </w:p>
        </w:tc>
        <w:tc>
          <w:tcPr>
            <w:tcW w:w="1547"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Projekta izstrādē iesaistītās institūcijas</w:t>
            </w:r>
          </w:p>
        </w:tc>
        <w:tc>
          <w:tcPr>
            <w:tcW w:w="3194" w:type="pct"/>
            <w:tcBorders>
              <w:top w:val="outset" w:sz="6" w:space="0" w:color="414142"/>
              <w:left w:val="outset" w:sz="6" w:space="0" w:color="414142"/>
              <w:bottom w:val="outset" w:sz="6" w:space="0" w:color="414142"/>
              <w:right w:val="outset" w:sz="6" w:space="0" w:color="414142"/>
            </w:tcBorders>
            <w:hideMark/>
          </w:tcPr>
          <w:p w:rsidR="00543DA3" w:rsidRPr="00934889" w:rsidRDefault="006123D4" w:rsidP="00934889">
            <w:pPr>
              <w:spacing w:after="0" w:line="240" w:lineRule="auto"/>
              <w:jc w:val="both"/>
              <w:rPr>
                <w:rFonts w:ascii="Times New Roman" w:hAnsi="Times New Roman"/>
                <w:sz w:val="24"/>
                <w:szCs w:val="24"/>
              </w:rPr>
            </w:pPr>
            <w:r w:rsidRPr="00934889">
              <w:rPr>
                <w:rFonts w:ascii="Times New Roman" w:eastAsia="Times New Roman" w:hAnsi="Times New Roman"/>
                <w:sz w:val="24"/>
                <w:szCs w:val="24"/>
                <w:lang w:eastAsia="lv-LV"/>
              </w:rPr>
              <w:t xml:space="preserve">Likumprojektā ietvertās tiesību normas tika apspriestas </w:t>
            </w:r>
          </w:p>
          <w:p w:rsidR="00543DA3" w:rsidRPr="00934889" w:rsidRDefault="006123D4" w:rsidP="00934889">
            <w:pPr>
              <w:spacing w:after="0" w:line="240" w:lineRule="auto"/>
              <w:jc w:val="both"/>
              <w:rPr>
                <w:rFonts w:ascii="Times New Roman" w:eastAsia="Times New Roman" w:hAnsi="Times New Roman"/>
                <w:sz w:val="24"/>
                <w:szCs w:val="24"/>
                <w:lang w:eastAsia="lv-LV"/>
              </w:rPr>
            </w:pPr>
            <w:r w:rsidRPr="00934889">
              <w:rPr>
                <w:rFonts w:ascii="Times New Roman" w:hAnsi="Times New Roman"/>
                <w:sz w:val="24"/>
                <w:szCs w:val="24"/>
              </w:rPr>
              <w:t>darba grupā, kura tika izveidota</w:t>
            </w:r>
            <w:r w:rsidRPr="00934889">
              <w:rPr>
                <w:rFonts w:ascii="Times New Roman" w:eastAsia="Times New Roman" w:hAnsi="Times New Roman"/>
                <w:sz w:val="24"/>
                <w:szCs w:val="24"/>
                <w:lang w:eastAsia="lv-LV"/>
              </w:rPr>
              <w:t xml:space="preserve"> </w:t>
            </w:r>
            <w:r w:rsidRPr="00934889">
              <w:rPr>
                <w:rFonts w:ascii="Times New Roman" w:hAnsi="Times New Roman"/>
                <w:sz w:val="24"/>
                <w:szCs w:val="24"/>
              </w:rPr>
              <w:t>s</w:t>
            </w:r>
            <w:r w:rsidR="00543DA3" w:rsidRPr="00934889">
              <w:rPr>
                <w:rFonts w:ascii="Times New Roman" w:hAnsi="Times New Roman"/>
                <w:sz w:val="24"/>
                <w:szCs w:val="24"/>
              </w:rPr>
              <w:t xml:space="preserve">askaņā ar Ministru </w:t>
            </w:r>
            <w:r w:rsidRPr="00934889">
              <w:rPr>
                <w:rFonts w:ascii="Times New Roman" w:hAnsi="Times New Roman"/>
                <w:sz w:val="24"/>
                <w:szCs w:val="24"/>
              </w:rPr>
              <w:t xml:space="preserve">prezidenta </w:t>
            </w:r>
            <w:r w:rsidR="00543DA3" w:rsidRPr="00934889">
              <w:rPr>
                <w:rFonts w:ascii="Times New Roman" w:hAnsi="Times New Roman"/>
                <w:sz w:val="24"/>
                <w:szCs w:val="24"/>
              </w:rPr>
              <w:t>2013.</w:t>
            </w:r>
            <w:r w:rsidRPr="00934889">
              <w:rPr>
                <w:rFonts w:ascii="Times New Roman" w:hAnsi="Times New Roman"/>
                <w:sz w:val="24"/>
                <w:szCs w:val="24"/>
              </w:rPr>
              <w:t>gada 10.maija rīkojumu Nr. 173 L</w:t>
            </w:r>
            <w:r w:rsidR="00543DA3" w:rsidRPr="00934889">
              <w:rPr>
                <w:rFonts w:ascii="Times New Roman" w:hAnsi="Times New Roman"/>
                <w:sz w:val="24"/>
                <w:szCs w:val="24"/>
              </w:rPr>
              <w:t xml:space="preserve">ikumprojekta izstrādes darba grupā tika iekļautas šādas institūcijas: Finanšu un kapitāla tirgus komisija, Finanšu ministrija, Noziedzīgi iegūtu līdzekļu legalizācijas novēršanas dienests, Ārlietu ministrija, Izložu un azartspēļu uzraudzības inspekcija, Latvijas Zvērinātu notāru padome, Latvijas Banka, Ģenerālprokuratūra, Latvijas Zvērinātu revidentu asociācija, </w:t>
            </w:r>
            <w:proofErr w:type="spellStart"/>
            <w:r w:rsidR="00543DA3" w:rsidRPr="00934889">
              <w:rPr>
                <w:rFonts w:ascii="Times New Roman" w:hAnsi="Times New Roman"/>
                <w:sz w:val="24"/>
                <w:szCs w:val="24"/>
              </w:rPr>
              <w:t>Iekšlietu</w:t>
            </w:r>
            <w:proofErr w:type="spellEnd"/>
            <w:r w:rsidR="00543DA3" w:rsidRPr="00934889">
              <w:rPr>
                <w:rFonts w:ascii="Times New Roman" w:hAnsi="Times New Roman"/>
                <w:sz w:val="24"/>
                <w:szCs w:val="24"/>
              </w:rPr>
              <w:t xml:space="preserve"> ministrijas Valsts policijas Galvenās kriminālpolicijas pārvalde, Valsts kultūras pieminekļu aizsardzības inspekcija, Latvijas Zvērinātu advokātu padome, Latvijas Zvērinātu notāru padome, Latvijas Komercbanku asociācija, Latvijas Privātbanku asociācija, Satiksmes ministrija, Valsts ieņēmumu dienests.</w:t>
            </w:r>
          </w:p>
          <w:p w:rsidR="0065551F" w:rsidRPr="00934889" w:rsidRDefault="00543DA3" w:rsidP="00934889">
            <w:pPr>
              <w:spacing w:after="0" w:line="240" w:lineRule="auto"/>
              <w:jc w:val="both"/>
              <w:rPr>
                <w:rFonts w:ascii="Times New Roman" w:eastAsia="Times New Roman" w:hAnsi="Times New Roman"/>
                <w:sz w:val="24"/>
                <w:szCs w:val="24"/>
                <w:lang w:eastAsia="lv-LV"/>
              </w:rPr>
            </w:pPr>
            <w:r w:rsidRPr="00934889">
              <w:rPr>
                <w:rFonts w:ascii="Times New Roman" w:hAnsi="Times New Roman"/>
                <w:sz w:val="24"/>
                <w:szCs w:val="24"/>
              </w:rPr>
              <w:t>Dalībai likumprojekta izstrādē papildus tika pieaicināta arī Valsts sociālās apdrošināšanas aģentūra un Labklājības ministrija.</w:t>
            </w:r>
          </w:p>
        </w:tc>
      </w:tr>
      <w:tr w:rsidR="0065551F" w:rsidRPr="00934889" w:rsidTr="00A65B92">
        <w:trPr>
          <w:gridBefore w:val="1"/>
          <w:gridAfter w:val="1"/>
          <w:wBefore w:w="5" w:type="pct"/>
          <w:wAfter w:w="5" w:type="pct"/>
        </w:trPr>
        <w:tc>
          <w:tcPr>
            <w:tcW w:w="249"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 xml:space="preserve">Nav </w:t>
            </w:r>
          </w:p>
        </w:tc>
      </w:tr>
      <w:tr w:rsidR="0065551F" w:rsidRPr="00934889" w:rsidTr="00A65B92">
        <w:trPr>
          <w:gridBefore w:val="1"/>
          <w:gridAfter w:val="1"/>
          <w:wBefore w:w="5" w:type="pct"/>
          <w:wAfter w:w="5" w:type="pct"/>
          <w:trHeight w:val="128"/>
        </w:trPr>
        <w:tc>
          <w:tcPr>
            <w:tcW w:w="4990" w:type="pct"/>
            <w:gridSpan w:val="4"/>
            <w:tcBorders>
              <w:top w:val="outset" w:sz="6" w:space="0" w:color="414142"/>
              <w:left w:val="nil"/>
              <w:bottom w:val="outset" w:sz="6" w:space="0" w:color="414142"/>
              <w:right w:val="nil"/>
            </w:tcBorders>
          </w:tcPr>
          <w:p w:rsidR="0065551F" w:rsidRPr="00934889" w:rsidRDefault="0065551F" w:rsidP="00934889">
            <w:pPr>
              <w:tabs>
                <w:tab w:val="left" w:pos="990"/>
              </w:tabs>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ab/>
            </w:r>
          </w:p>
        </w:tc>
      </w:tr>
      <w:tr w:rsidR="002E2010" w:rsidRPr="00934889" w:rsidTr="00A65B92">
        <w:trPr>
          <w:trHeight w:val="465"/>
        </w:trPr>
        <w:tc>
          <w:tcPr>
            <w:tcW w:w="5000" w:type="pct"/>
            <w:gridSpan w:val="6"/>
            <w:tcBorders>
              <w:top w:val="outset" w:sz="6" w:space="0" w:color="414142"/>
              <w:left w:val="outset" w:sz="6" w:space="0" w:color="414142"/>
              <w:bottom w:val="outset" w:sz="6" w:space="0" w:color="414142"/>
              <w:right w:val="outset" w:sz="6" w:space="0" w:color="414142"/>
            </w:tcBorders>
          </w:tcPr>
          <w:p w:rsidR="002E2010" w:rsidRPr="00934889" w:rsidRDefault="002E2010" w:rsidP="00934889">
            <w:pPr>
              <w:spacing w:after="0" w:line="240" w:lineRule="auto"/>
              <w:jc w:val="center"/>
              <w:rPr>
                <w:rFonts w:ascii="Times New Roman" w:eastAsia="Times New Roman" w:hAnsi="Times New Roman"/>
                <w:sz w:val="24"/>
                <w:szCs w:val="24"/>
                <w:lang w:eastAsia="lv-LV"/>
              </w:rPr>
            </w:pPr>
            <w:r w:rsidRPr="00934889">
              <w:rPr>
                <w:rFonts w:ascii="Times New Roman" w:eastAsia="Times New Roman" w:hAnsi="Times New Roman"/>
                <w:b/>
                <w:bCs/>
                <w:sz w:val="24"/>
                <w:szCs w:val="24"/>
                <w:lang w:eastAsia="lv-LV"/>
              </w:rPr>
              <w:t>II. Tiesību akta projekta ietekme uz sabiedrību, tautsaimniecības attīstību un administratīvo slogu</w:t>
            </w:r>
          </w:p>
        </w:tc>
      </w:tr>
      <w:tr w:rsidR="0065551F" w:rsidRPr="00934889" w:rsidTr="00A65B92">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1.</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 xml:space="preserve">Sabiedrības </w:t>
            </w:r>
            <w:proofErr w:type="spellStart"/>
            <w:r w:rsidRPr="00934889">
              <w:rPr>
                <w:rFonts w:ascii="Times New Roman" w:eastAsia="Times New Roman" w:hAnsi="Times New Roman"/>
                <w:sz w:val="24"/>
                <w:szCs w:val="24"/>
                <w:lang w:eastAsia="lv-LV"/>
              </w:rPr>
              <w:t>mērķgrupas</w:t>
            </w:r>
            <w:proofErr w:type="spellEnd"/>
            <w:r w:rsidRPr="00934889">
              <w:rPr>
                <w:rFonts w:ascii="Times New Roman" w:eastAsia="Times New Roman" w:hAnsi="Times New Roman"/>
                <w:sz w:val="24"/>
                <w:szCs w:val="24"/>
                <w:lang w:eastAsia="lv-LV"/>
              </w:rPr>
              <w:t>, kuras tiesiskais regulējums ietekmē vai varētu ietekmēt</w:t>
            </w:r>
          </w:p>
        </w:tc>
        <w:tc>
          <w:tcPr>
            <w:tcW w:w="3199"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A65B92" w:rsidP="00934889">
            <w:pPr>
              <w:spacing w:after="0" w:line="240" w:lineRule="auto"/>
              <w:jc w:val="both"/>
              <w:rPr>
                <w:rFonts w:ascii="Times New Roman" w:eastAsia="Times New Roman" w:hAnsi="Times New Roman"/>
                <w:sz w:val="24"/>
                <w:szCs w:val="24"/>
                <w:lang w:eastAsia="lv-LV"/>
              </w:rPr>
            </w:pPr>
            <w:r w:rsidRPr="00934889">
              <w:rPr>
                <w:rFonts w:ascii="Times New Roman" w:hAnsi="Times New Roman"/>
                <w:sz w:val="24"/>
                <w:szCs w:val="24"/>
              </w:rPr>
              <w:t>Likumprojekts attieksies uz NILLTFN likuma 3. pantā noteiktajiem likuma subjektiem, tai skaitā kredītiestādēm, finanšu iestādēm, zvērinātiem notāriem, izložu un azartspēļu organizētājiem.</w:t>
            </w:r>
            <w:r w:rsidR="0065551F" w:rsidRPr="00934889">
              <w:rPr>
                <w:rFonts w:ascii="Times New Roman" w:eastAsia="Times New Roman" w:hAnsi="Times New Roman"/>
                <w:sz w:val="24"/>
                <w:szCs w:val="24"/>
                <w:lang w:eastAsia="lv-LV"/>
              </w:rPr>
              <w:t> </w:t>
            </w:r>
          </w:p>
        </w:tc>
      </w:tr>
      <w:tr w:rsidR="0065551F" w:rsidRPr="00934889" w:rsidTr="00A65B92">
        <w:trPr>
          <w:trHeight w:val="510"/>
        </w:trPr>
        <w:tc>
          <w:tcPr>
            <w:tcW w:w="250"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2.</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Tiesiskā regulējuma ietekme uz tautsaimniecību un administratīvo slogu</w:t>
            </w:r>
          </w:p>
        </w:tc>
        <w:tc>
          <w:tcPr>
            <w:tcW w:w="3199" w:type="pct"/>
            <w:gridSpan w:val="2"/>
            <w:tcBorders>
              <w:top w:val="outset" w:sz="6" w:space="0" w:color="414142"/>
              <w:left w:val="outset" w:sz="6" w:space="0" w:color="414142"/>
              <w:bottom w:val="outset" w:sz="6" w:space="0" w:color="414142"/>
              <w:right w:val="outset" w:sz="6" w:space="0" w:color="414142"/>
            </w:tcBorders>
            <w:hideMark/>
          </w:tcPr>
          <w:p w:rsidR="0065551F" w:rsidRPr="00701E57" w:rsidRDefault="00701E57" w:rsidP="00934889">
            <w:pPr>
              <w:spacing w:after="0" w:line="240" w:lineRule="auto"/>
              <w:jc w:val="both"/>
              <w:rPr>
                <w:rFonts w:ascii="Times New Roman" w:eastAsia="Times New Roman" w:hAnsi="Times New Roman"/>
                <w:sz w:val="24"/>
                <w:szCs w:val="24"/>
                <w:lang w:eastAsia="lv-LV"/>
              </w:rPr>
            </w:pPr>
            <w:r w:rsidRPr="00701E57">
              <w:rPr>
                <w:rFonts w:ascii="Times New Roman" w:hAnsi="Times New Roman"/>
                <w:sz w:val="24"/>
                <w:szCs w:val="24"/>
              </w:rPr>
              <w:t>Projekts šo jomu neskar</w:t>
            </w:r>
            <w:r w:rsidR="00A65B92" w:rsidRPr="00701E57">
              <w:rPr>
                <w:rFonts w:ascii="Times New Roman" w:hAnsi="Times New Roman"/>
                <w:sz w:val="24"/>
                <w:szCs w:val="24"/>
              </w:rPr>
              <w:t>.</w:t>
            </w:r>
          </w:p>
        </w:tc>
      </w:tr>
      <w:tr w:rsidR="0065551F" w:rsidRPr="00934889" w:rsidTr="00A65B92">
        <w:trPr>
          <w:trHeight w:val="510"/>
        </w:trPr>
        <w:tc>
          <w:tcPr>
            <w:tcW w:w="250"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3.</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Administratīvo izmaksu monetārs novērtējums</w:t>
            </w:r>
          </w:p>
        </w:tc>
        <w:tc>
          <w:tcPr>
            <w:tcW w:w="3199"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A65B92" w:rsidP="00934889">
            <w:pPr>
              <w:spacing w:after="0" w:line="240" w:lineRule="auto"/>
              <w:jc w:val="both"/>
              <w:rPr>
                <w:rFonts w:ascii="Times New Roman" w:eastAsia="Times New Roman" w:hAnsi="Times New Roman"/>
                <w:color w:val="000000"/>
                <w:sz w:val="24"/>
                <w:szCs w:val="24"/>
                <w:lang w:eastAsia="lv-LV"/>
              </w:rPr>
            </w:pPr>
            <w:r w:rsidRPr="00934889">
              <w:rPr>
                <w:rFonts w:ascii="Times New Roman" w:hAnsi="Times New Roman"/>
                <w:sz w:val="24"/>
                <w:szCs w:val="24"/>
              </w:rPr>
              <w:t>Projekts šo jomu neskar.</w:t>
            </w:r>
          </w:p>
        </w:tc>
      </w:tr>
      <w:tr w:rsidR="0065551F" w:rsidRPr="00934889" w:rsidTr="00A65B92">
        <w:trPr>
          <w:trHeight w:val="345"/>
        </w:trPr>
        <w:tc>
          <w:tcPr>
            <w:tcW w:w="250"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4.</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Cita informācija</w:t>
            </w:r>
          </w:p>
        </w:tc>
        <w:tc>
          <w:tcPr>
            <w:tcW w:w="3199" w:type="pct"/>
            <w:gridSpan w:val="2"/>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Nav</w:t>
            </w:r>
          </w:p>
        </w:tc>
      </w:tr>
    </w:tbl>
    <w:p w:rsidR="0065551F" w:rsidRPr="00934889" w:rsidRDefault="0065551F"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A246C8" w:rsidRPr="00934889" w:rsidTr="00B50B85">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A246C8" w:rsidRPr="00934889" w:rsidRDefault="00A246C8" w:rsidP="00934889">
            <w:pPr>
              <w:spacing w:after="0" w:line="240" w:lineRule="auto"/>
              <w:ind w:firstLine="300"/>
              <w:jc w:val="center"/>
              <w:rPr>
                <w:rFonts w:ascii="Times New Roman" w:eastAsia="Times New Roman" w:hAnsi="Times New Roman"/>
                <w:b/>
                <w:bCs/>
                <w:sz w:val="24"/>
                <w:szCs w:val="24"/>
                <w:lang w:eastAsia="lv-LV"/>
              </w:rPr>
            </w:pPr>
            <w:r w:rsidRPr="00934889">
              <w:rPr>
                <w:rFonts w:ascii="Times New Roman" w:eastAsia="Times New Roman" w:hAnsi="Times New Roman"/>
                <w:b/>
                <w:bCs/>
                <w:sz w:val="24"/>
                <w:szCs w:val="24"/>
                <w:lang w:eastAsia="lv-LV"/>
              </w:rPr>
              <w:t>III. Tiesību akta projekta ietekme uz valsts budžetu un pašvaldību budžetiem</w:t>
            </w:r>
          </w:p>
        </w:tc>
      </w:tr>
      <w:tr w:rsidR="00A246C8" w:rsidRPr="00934889" w:rsidTr="00B50B85">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A246C8" w:rsidRPr="00934889" w:rsidRDefault="00A246C8" w:rsidP="00934889">
            <w:pPr>
              <w:spacing w:after="0" w:line="240" w:lineRule="auto"/>
              <w:ind w:firstLine="300"/>
              <w:jc w:val="center"/>
              <w:rPr>
                <w:rFonts w:ascii="Times New Roman" w:eastAsia="Times New Roman" w:hAnsi="Times New Roman"/>
                <w:b/>
                <w:bCs/>
                <w:sz w:val="24"/>
                <w:szCs w:val="24"/>
                <w:lang w:eastAsia="lv-LV"/>
              </w:rPr>
            </w:pPr>
            <w:r w:rsidRPr="00934889">
              <w:rPr>
                <w:rFonts w:ascii="Times New Roman" w:eastAsia="Times New Roman" w:hAnsi="Times New Roman"/>
                <w:bCs/>
                <w:sz w:val="24"/>
                <w:szCs w:val="24"/>
                <w:lang w:eastAsia="lv-LV"/>
              </w:rPr>
              <w:t>Projekts šo jomu neskar</w:t>
            </w:r>
          </w:p>
        </w:tc>
      </w:tr>
    </w:tbl>
    <w:p w:rsidR="00A246C8" w:rsidRPr="00934889" w:rsidRDefault="00A246C8" w:rsidP="00934889">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65551F" w:rsidRPr="00934889" w:rsidTr="00B50B8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5551F" w:rsidRPr="00934889" w:rsidRDefault="0065551F" w:rsidP="00934889">
            <w:pPr>
              <w:spacing w:after="0" w:line="240" w:lineRule="auto"/>
              <w:ind w:firstLine="300"/>
              <w:jc w:val="center"/>
              <w:rPr>
                <w:rFonts w:ascii="Times New Roman" w:eastAsia="Times New Roman" w:hAnsi="Times New Roman"/>
                <w:b/>
                <w:bCs/>
                <w:sz w:val="24"/>
                <w:szCs w:val="24"/>
                <w:lang w:eastAsia="lv-LV"/>
              </w:rPr>
            </w:pPr>
            <w:r w:rsidRPr="00934889">
              <w:rPr>
                <w:rFonts w:ascii="Times New Roman" w:eastAsia="Times New Roman" w:hAnsi="Times New Roman"/>
                <w:b/>
                <w:bCs/>
                <w:sz w:val="24"/>
                <w:szCs w:val="24"/>
                <w:lang w:eastAsia="lv-LV"/>
              </w:rPr>
              <w:t>IV. Tiesību akta projekta ietekme uz spēkā esošo tiesību normu sistēmu</w:t>
            </w:r>
          </w:p>
        </w:tc>
      </w:tr>
      <w:tr w:rsidR="0065551F" w:rsidRPr="00934889" w:rsidTr="00B50B85">
        <w:tc>
          <w:tcPr>
            <w:tcW w:w="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701E57" w:rsidRDefault="00C722FC" w:rsidP="00CF1EE6">
            <w:pPr>
              <w:spacing w:after="0" w:line="240" w:lineRule="auto"/>
              <w:jc w:val="both"/>
              <w:rPr>
                <w:rFonts w:ascii="Times New Roman" w:hAnsi="Times New Roman"/>
                <w:sz w:val="24"/>
                <w:szCs w:val="24"/>
              </w:rPr>
            </w:pPr>
            <w:r w:rsidRPr="00934889">
              <w:rPr>
                <w:rFonts w:ascii="Times New Roman" w:hAnsi="Times New Roman"/>
                <w:sz w:val="24"/>
                <w:szCs w:val="24"/>
              </w:rPr>
              <w:t xml:space="preserve">Veicot grozījumus Noziedzīgi iegūtu līdzekļu legalizācijas un terorisma finansēšanas novēršanas </w:t>
            </w:r>
            <w:r w:rsidRPr="0000733B">
              <w:rPr>
                <w:rFonts w:ascii="Times New Roman" w:hAnsi="Times New Roman"/>
                <w:sz w:val="24"/>
                <w:szCs w:val="24"/>
              </w:rPr>
              <w:lastRenderedPageBreak/>
              <w:t>likumā</w:t>
            </w:r>
            <w:r w:rsidR="00CF1EE6" w:rsidRPr="0000733B">
              <w:rPr>
                <w:rFonts w:ascii="Times New Roman" w:hAnsi="Times New Roman"/>
                <w:sz w:val="24"/>
                <w:szCs w:val="24"/>
              </w:rPr>
              <w:t>(</w:t>
            </w:r>
            <w:r w:rsidR="00CF1EE6" w:rsidRPr="0000733B">
              <w:rPr>
                <w:rFonts w:ascii="Times New Roman" w:hAnsi="Times New Roman"/>
                <w:noProof/>
                <w:sz w:val="24"/>
                <w:szCs w:val="24"/>
              </w:rPr>
              <w:t xml:space="preserve">NILLTFN likuma 41.panta </w:t>
            </w:r>
            <w:r w:rsidR="00CF1EE6" w:rsidRPr="0000733B">
              <w:rPr>
                <w:rFonts w:ascii="Times New Roman" w:hAnsi="Times New Roman"/>
                <w:sz w:val="24"/>
                <w:szCs w:val="24"/>
              </w:rPr>
              <w:t>otrās daļas 2.punkts)</w:t>
            </w:r>
            <w:r w:rsidRPr="0000733B">
              <w:rPr>
                <w:rFonts w:ascii="Times New Roman" w:hAnsi="Times New Roman"/>
                <w:sz w:val="24"/>
                <w:szCs w:val="24"/>
              </w:rPr>
              <w:t xml:space="preserve">, </w:t>
            </w:r>
            <w:r w:rsidR="00CF1EE6">
              <w:rPr>
                <w:rFonts w:ascii="Times New Roman" w:hAnsi="Times New Roman"/>
                <w:sz w:val="24"/>
                <w:szCs w:val="24"/>
              </w:rPr>
              <w:t>j</w:t>
            </w:r>
            <w:r w:rsidR="0000733B" w:rsidRPr="0000733B">
              <w:rPr>
                <w:rFonts w:ascii="Times New Roman" w:hAnsi="Times New Roman"/>
                <w:sz w:val="24"/>
                <w:szCs w:val="24"/>
              </w:rPr>
              <w:t xml:space="preserve">āveic Grozījumi likumā „Par nodokļiem un nodevām” paredzot informācijas sniegšanu no nodokļu </w:t>
            </w:r>
            <w:r w:rsidR="0000733B" w:rsidRPr="00701E57">
              <w:rPr>
                <w:rFonts w:ascii="Times New Roman" w:hAnsi="Times New Roman"/>
                <w:sz w:val="24"/>
                <w:szCs w:val="24"/>
              </w:rPr>
              <w:t>administrācijas reģistriem par personas ienāk</w:t>
            </w:r>
            <w:r w:rsidR="00CF1EE6" w:rsidRPr="00701E57">
              <w:rPr>
                <w:rFonts w:ascii="Times New Roman" w:hAnsi="Times New Roman"/>
                <w:sz w:val="24"/>
                <w:szCs w:val="24"/>
              </w:rPr>
              <w:t>umiem un ienākumu izmaksātājiem</w:t>
            </w:r>
            <w:r w:rsidR="0000733B" w:rsidRPr="00701E57">
              <w:rPr>
                <w:rFonts w:ascii="Times New Roman" w:hAnsi="Times New Roman"/>
                <w:sz w:val="24"/>
                <w:szCs w:val="24"/>
              </w:rPr>
              <w:t>.</w:t>
            </w:r>
            <w:r w:rsidR="00701E57" w:rsidRPr="00701E57">
              <w:rPr>
                <w:rFonts w:ascii="Times New Roman" w:hAnsi="Times New Roman"/>
                <w:sz w:val="24"/>
                <w:szCs w:val="24"/>
              </w:rPr>
              <w:t xml:space="preserve"> Grozījumi nodrošinās Kredītiestādēm un apdrošināšanas komersantiem pienākumu izpildei, bez maksas saņemt informāciju no Valsts ieņēmuma dienesta reģistriem.</w:t>
            </w:r>
          </w:p>
          <w:p w:rsidR="00701E57" w:rsidRPr="00CF1EE6" w:rsidRDefault="00701E57" w:rsidP="00CF1EE6">
            <w:pPr>
              <w:spacing w:after="0" w:line="240" w:lineRule="auto"/>
              <w:jc w:val="both"/>
              <w:rPr>
                <w:rFonts w:ascii="Times New Roman" w:hAnsi="Times New Roman"/>
                <w:sz w:val="24"/>
                <w:szCs w:val="24"/>
              </w:rPr>
            </w:pPr>
          </w:p>
        </w:tc>
      </w:tr>
      <w:tr w:rsidR="0065551F" w:rsidRPr="00934889" w:rsidTr="00B50B85">
        <w:tc>
          <w:tcPr>
            <w:tcW w:w="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65551F" w:rsidRPr="00934889" w:rsidRDefault="00C722FC"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Finanšu</w:t>
            </w:r>
            <w:r w:rsidR="0065551F" w:rsidRPr="00934889">
              <w:rPr>
                <w:rFonts w:ascii="Times New Roman" w:eastAsia="Times New Roman" w:hAnsi="Times New Roman"/>
                <w:sz w:val="24"/>
                <w:szCs w:val="24"/>
                <w:lang w:eastAsia="lv-LV"/>
              </w:rPr>
              <w:t xml:space="preserve"> ministrija</w:t>
            </w:r>
          </w:p>
        </w:tc>
      </w:tr>
      <w:tr w:rsidR="0065551F" w:rsidRPr="00934889" w:rsidTr="00B50B85">
        <w:tc>
          <w:tcPr>
            <w:tcW w:w="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Nav</w:t>
            </w:r>
          </w:p>
        </w:tc>
      </w:tr>
    </w:tbl>
    <w:p w:rsidR="0065551F" w:rsidRPr="00934889" w:rsidRDefault="0065551F"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65551F" w:rsidRPr="00934889" w:rsidTr="00B50B8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5551F" w:rsidRPr="00934889" w:rsidRDefault="0065551F" w:rsidP="00934889">
            <w:pPr>
              <w:spacing w:after="0" w:line="240" w:lineRule="auto"/>
              <w:ind w:firstLine="300"/>
              <w:jc w:val="center"/>
              <w:rPr>
                <w:rFonts w:ascii="Times New Roman" w:eastAsia="Times New Roman" w:hAnsi="Times New Roman"/>
                <w:b/>
                <w:bCs/>
                <w:sz w:val="24"/>
                <w:szCs w:val="24"/>
                <w:lang w:eastAsia="lv-LV"/>
              </w:rPr>
            </w:pPr>
            <w:r w:rsidRPr="00934889">
              <w:rPr>
                <w:rFonts w:ascii="Times New Roman" w:eastAsia="Times New Roman" w:hAnsi="Times New Roman"/>
                <w:b/>
                <w:bCs/>
                <w:sz w:val="24"/>
                <w:szCs w:val="24"/>
                <w:lang w:eastAsia="lv-LV"/>
              </w:rPr>
              <w:t>V. Tiesību akta projekta atbilstība Latvijas Republikas starptautiskajām saistībām</w:t>
            </w:r>
          </w:p>
        </w:tc>
      </w:tr>
      <w:tr w:rsidR="00C722FC" w:rsidRPr="00934889" w:rsidTr="00B50B85">
        <w:tc>
          <w:tcPr>
            <w:tcW w:w="250" w:type="pct"/>
            <w:tcBorders>
              <w:top w:val="outset" w:sz="6" w:space="0" w:color="414142"/>
              <w:left w:val="outset" w:sz="6" w:space="0" w:color="414142"/>
              <w:bottom w:val="outset" w:sz="6" w:space="0" w:color="414142"/>
              <w:right w:val="outset" w:sz="6" w:space="0" w:color="414142"/>
            </w:tcBorders>
            <w:hideMark/>
          </w:tcPr>
          <w:p w:rsidR="00C722FC" w:rsidRPr="00934889" w:rsidRDefault="00C722FC"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C722FC" w:rsidRPr="00934889" w:rsidRDefault="00C722FC" w:rsidP="00934889">
            <w:pPr>
              <w:spacing w:after="0" w:line="240" w:lineRule="auto"/>
              <w:rPr>
                <w:rFonts w:ascii="Times New Roman" w:eastAsia="Times New Roman" w:hAnsi="Times New Roman"/>
                <w:sz w:val="24"/>
                <w:szCs w:val="24"/>
                <w:lang w:eastAsia="lv-LV"/>
              </w:rPr>
            </w:pPr>
            <w:r w:rsidRPr="00934889">
              <w:rPr>
                <w:rFonts w:ascii="Times New Roman" w:hAnsi="Times New Roman"/>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C722FC" w:rsidRPr="00934889" w:rsidRDefault="00C722FC"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Nav.</w:t>
            </w:r>
          </w:p>
        </w:tc>
      </w:tr>
      <w:tr w:rsidR="00C722FC" w:rsidRPr="00934889" w:rsidTr="00B50B85">
        <w:tc>
          <w:tcPr>
            <w:tcW w:w="250" w:type="pct"/>
            <w:tcBorders>
              <w:top w:val="outset" w:sz="6" w:space="0" w:color="414142"/>
              <w:left w:val="outset" w:sz="6" w:space="0" w:color="414142"/>
              <w:bottom w:val="outset" w:sz="6" w:space="0" w:color="414142"/>
              <w:right w:val="outset" w:sz="6" w:space="0" w:color="414142"/>
            </w:tcBorders>
            <w:hideMark/>
          </w:tcPr>
          <w:p w:rsidR="00C722FC" w:rsidRPr="00934889" w:rsidRDefault="00C722FC"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C722FC" w:rsidRPr="00934889" w:rsidRDefault="00C722FC" w:rsidP="00934889">
            <w:pPr>
              <w:spacing w:after="0" w:line="240" w:lineRule="auto"/>
              <w:rPr>
                <w:rFonts w:ascii="Times New Roman" w:eastAsia="Times New Roman" w:hAnsi="Times New Roman"/>
                <w:sz w:val="24"/>
                <w:szCs w:val="24"/>
                <w:lang w:eastAsia="lv-LV"/>
              </w:rPr>
            </w:pPr>
            <w:r w:rsidRPr="00934889">
              <w:rPr>
                <w:rFonts w:ascii="Times New Roman" w:hAnsi="Times New Roman"/>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C722FC" w:rsidRPr="00934889" w:rsidRDefault="00C722FC" w:rsidP="00934889">
            <w:pPr>
              <w:spacing w:after="0" w:line="240" w:lineRule="auto"/>
              <w:rPr>
                <w:rFonts w:ascii="Times New Roman" w:eastAsia="Times New Roman" w:hAnsi="Times New Roman"/>
                <w:sz w:val="24"/>
                <w:szCs w:val="24"/>
                <w:lang w:eastAsia="lv-LV"/>
              </w:rPr>
            </w:pPr>
            <w:r w:rsidRPr="00934889">
              <w:rPr>
                <w:rFonts w:ascii="Times New Roman" w:hAnsi="Times New Roman"/>
                <w:sz w:val="24"/>
                <w:szCs w:val="24"/>
              </w:rPr>
              <w:t>FATF 2012. gada februārī apstiprinātās rekomendācijas.</w:t>
            </w:r>
          </w:p>
        </w:tc>
      </w:tr>
      <w:tr w:rsidR="00C722FC" w:rsidRPr="00934889" w:rsidTr="00B50B85">
        <w:tc>
          <w:tcPr>
            <w:tcW w:w="250" w:type="pct"/>
            <w:tcBorders>
              <w:top w:val="outset" w:sz="6" w:space="0" w:color="414142"/>
              <w:left w:val="outset" w:sz="6" w:space="0" w:color="414142"/>
              <w:bottom w:val="outset" w:sz="6" w:space="0" w:color="414142"/>
              <w:right w:val="outset" w:sz="6" w:space="0" w:color="414142"/>
            </w:tcBorders>
          </w:tcPr>
          <w:p w:rsidR="00C722FC" w:rsidRPr="00934889" w:rsidRDefault="00C722FC"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tcPr>
          <w:p w:rsidR="00C722FC" w:rsidRPr="00934889" w:rsidRDefault="00C722FC" w:rsidP="00934889">
            <w:pPr>
              <w:spacing w:after="0" w:line="240" w:lineRule="auto"/>
              <w:rPr>
                <w:rFonts w:ascii="Times New Roman" w:hAnsi="Times New Roman"/>
                <w:sz w:val="24"/>
                <w:szCs w:val="24"/>
              </w:rPr>
            </w:pPr>
            <w:r w:rsidRPr="00934889">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C722FC" w:rsidRPr="00934889" w:rsidRDefault="00C722FC" w:rsidP="00934889">
            <w:pPr>
              <w:spacing w:after="0" w:line="240" w:lineRule="auto"/>
              <w:rPr>
                <w:rFonts w:ascii="Times New Roman" w:eastAsia="Times New Roman" w:hAnsi="Times New Roman"/>
                <w:sz w:val="24"/>
                <w:szCs w:val="24"/>
                <w:lang w:eastAsia="lv-LV"/>
              </w:rPr>
            </w:pPr>
            <w:r w:rsidRPr="00934889">
              <w:rPr>
                <w:rFonts w:ascii="Times New Roman" w:hAnsi="Times New Roman"/>
                <w:iCs/>
                <w:sz w:val="24"/>
                <w:szCs w:val="24"/>
              </w:rPr>
              <w:t>Nav.</w:t>
            </w:r>
          </w:p>
        </w:tc>
      </w:tr>
    </w:tbl>
    <w:p w:rsidR="00C722FC" w:rsidRPr="00934889" w:rsidRDefault="00C722FC"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8635B6" w:rsidRPr="00934889" w:rsidTr="00B50B85">
        <w:tc>
          <w:tcPr>
            <w:tcW w:w="5000" w:type="pct"/>
            <w:tcBorders>
              <w:top w:val="outset" w:sz="6" w:space="0" w:color="414142"/>
              <w:left w:val="outset" w:sz="6" w:space="0" w:color="414142"/>
              <w:bottom w:val="outset" w:sz="6" w:space="0" w:color="414142"/>
              <w:right w:val="outset" w:sz="6" w:space="0" w:color="414142"/>
            </w:tcBorders>
            <w:vAlign w:val="center"/>
            <w:hideMark/>
          </w:tcPr>
          <w:p w:rsidR="008635B6" w:rsidRPr="00934889" w:rsidRDefault="008635B6" w:rsidP="00934889">
            <w:pPr>
              <w:pStyle w:val="naisnod"/>
              <w:spacing w:before="0" w:after="0"/>
            </w:pPr>
            <w:r w:rsidRPr="00934889">
              <w:t xml:space="preserve">1.tabula </w:t>
            </w:r>
          </w:p>
          <w:p w:rsidR="008635B6" w:rsidRPr="00934889" w:rsidRDefault="008635B6" w:rsidP="00934889">
            <w:pPr>
              <w:spacing w:after="0" w:line="240" w:lineRule="auto"/>
              <w:ind w:firstLine="300"/>
              <w:jc w:val="center"/>
              <w:rPr>
                <w:rFonts w:ascii="Times New Roman" w:eastAsia="Times New Roman" w:hAnsi="Times New Roman"/>
                <w:b/>
                <w:bCs/>
                <w:sz w:val="24"/>
                <w:szCs w:val="24"/>
                <w:lang w:eastAsia="lv-LV"/>
              </w:rPr>
            </w:pPr>
            <w:r w:rsidRPr="00934889">
              <w:rPr>
                <w:rFonts w:ascii="Times New Roman" w:hAnsi="Times New Roman"/>
                <w:b/>
                <w:sz w:val="24"/>
                <w:szCs w:val="24"/>
              </w:rPr>
              <w:t>Tiesību akta projekta atbilstība ES tiesību aktiem</w:t>
            </w:r>
          </w:p>
        </w:tc>
      </w:tr>
      <w:tr w:rsidR="00B930E4" w:rsidRPr="00934889" w:rsidTr="00B50B85">
        <w:tc>
          <w:tcPr>
            <w:tcW w:w="5000" w:type="pct"/>
            <w:tcBorders>
              <w:top w:val="outset" w:sz="6" w:space="0" w:color="414142"/>
              <w:left w:val="outset" w:sz="6" w:space="0" w:color="414142"/>
              <w:bottom w:val="outset" w:sz="6" w:space="0" w:color="414142"/>
              <w:right w:val="outset" w:sz="6" w:space="0" w:color="414142"/>
            </w:tcBorders>
            <w:vAlign w:val="center"/>
          </w:tcPr>
          <w:p w:rsidR="00B930E4" w:rsidRPr="00934889" w:rsidRDefault="00B930E4" w:rsidP="00934889">
            <w:pPr>
              <w:pStyle w:val="naisnod"/>
              <w:spacing w:before="0" w:after="0"/>
              <w:rPr>
                <w:b w:val="0"/>
              </w:rPr>
            </w:pPr>
            <w:r w:rsidRPr="00934889">
              <w:rPr>
                <w:b w:val="0"/>
                <w:bCs w:val="0"/>
                <w:iCs/>
              </w:rPr>
              <w:t>Projekts šo jomu neskar.</w:t>
            </w:r>
          </w:p>
        </w:tc>
      </w:tr>
    </w:tbl>
    <w:p w:rsidR="008635B6" w:rsidRPr="00934889" w:rsidRDefault="008635B6"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B930E4" w:rsidRPr="00934889" w:rsidTr="00B50B85">
        <w:tc>
          <w:tcPr>
            <w:tcW w:w="5000" w:type="pct"/>
            <w:tcBorders>
              <w:top w:val="outset" w:sz="6" w:space="0" w:color="414142"/>
              <w:left w:val="outset" w:sz="6" w:space="0" w:color="414142"/>
              <w:bottom w:val="outset" w:sz="6" w:space="0" w:color="414142"/>
              <w:right w:val="outset" w:sz="6" w:space="0" w:color="414142"/>
            </w:tcBorders>
            <w:vAlign w:val="center"/>
            <w:hideMark/>
          </w:tcPr>
          <w:p w:rsidR="00B930E4" w:rsidRPr="00934889" w:rsidRDefault="00B930E4" w:rsidP="00934889">
            <w:pPr>
              <w:pStyle w:val="naisnod"/>
              <w:spacing w:before="0" w:after="0"/>
            </w:pPr>
            <w:r w:rsidRPr="00934889">
              <w:t xml:space="preserve">2.tabula </w:t>
            </w:r>
          </w:p>
          <w:p w:rsidR="00B930E4" w:rsidRPr="00934889" w:rsidRDefault="00B930E4" w:rsidP="00934889">
            <w:pPr>
              <w:pStyle w:val="naisnod"/>
              <w:spacing w:before="0" w:after="0"/>
            </w:pPr>
            <w:r w:rsidRPr="00934889">
              <w:t>Ar tiesību akta projektu uzņemtās saistības, kas izriet no starptautiskajiem tiesību aktiem vai starptautiskas institūcijas vai organizācijas dokumentiem</w:t>
            </w:r>
          </w:p>
          <w:p w:rsidR="00B930E4" w:rsidRPr="00934889" w:rsidRDefault="00B930E4" w:rsidP="00934889">
            <w:pPr>
              <w:spacing w:after="0" w:line="240" w:lineRule="auto"/>
              <w:ind w:firstLine="300"/>
              <w:jc w:val="center"/>
              <w:rPr>
                <w:rFonts w:ascii="Times New Roman" w:eastAsia="Times New Roman" w:hAnsi="Times New Roman"/>
                <w:b/>
                <w:bCs/>
                <w:sz w:val="24"/>
                <w:szCs w:val="24"/>
                <w:lang w:eastAsia="lv-LV"/>
              </w:rPr>
            </w:pPr>
            <w:r w:rsidRPr="00934889">
              <w:rPr>
                <w:rFonts w:ascii="Times New Roman" w:hAnsi="Times New Roman"/>
                <w:b/>
                <w:sz w:val="24"/>
                <w:szCs w:val="24"/>
              </w:rPr>
              <w:t>Pasākumi šo saistību izpildei</w:t>
            </w:r>
          </w:p>
        </w:tc>
      </w:tr>
      <w:tr w:rsidR="00B930E4" w:rsidRPr="00934889" w:rsidTr="00B50B85">
        <w:tc>
          <w:tcPr>
            <w:tcW w:w="5000" w:type="pct"/>
            <w:tcBorders>
              <w:top w:val="outset" w:sz="6" w:space="0" w:color="414142"/>
              <w:left w:val="outset" w:sz="6" w:space="0" w:color="414142"/>
              <w:bottom w:val="outset" w:sz="6" w:space="0" w:color="414142"/>
              <w:right w:val="outset" w:sz="6" w:space="0" w:color="414142"/>
            </w:tcBorders>
            <w:vAlign w:val="center"/>
          </w:tcPr>
          <w:p w:rsidR="00B930E4" w:rsidRPr="00934889" w:rsidRDefault="00B930E4" w:rsidP="00934889">
            <w:pPr>
              <w:pStyle w:val="naisnod"/>
              <w:spacing w:before="0" w:after="0"/>
              <w:rPr>
                <w:b w:val="0"/>
              </w:rPr>
            </w:pPr>
            <w:r w:rsidRPr="00934889">
              <w:rPr>
                <w:b w:val="0"/>
                <w:bCs w:val="0"/>
                <w:iCs/>
              </w:rPr>
              <w:t>Projekts šo jomu neskar.</w:t>
            </w:r>
          </w:p>
        </w:tc>
      </w:tr>
    </w:tbl>
    <w:p w:rsidR="008635B6" w:rsidRPr="00934889" w:rsidRDefault="008635B6"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5389"/>
      </w:tblGrid>
      <w:tr w:rsidR="0065551F" w:rsidRPr="00934889" w:rsidTr="00B50B8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5551F" w:rsidRPr="00934889" w:rsidRDefault="0065551F" w:rsidP="00934889">
            <w:pPr>
              <w:spacing w:after="0" w:line="240" w:lineRule="auto"/>
              <w:ind w:firstLine="300"/>
              <w:jc w:val="center"/>
              <w:rPr>
                <w:rFonts w:ascii="Times New Roman" w:eastAsia="Times New Roman" w:hAnsi="Times New Roman"/>
                <w:b/>
                <w:bCs/>
                <w:sz w:val="24"/>
                <w:szCs w:val="24"/>
                <w:lang w:eastAsia="lv-LV"/>
              </w:rPr>
            </w:pPr>
            <w:r w:rsidRPr="00934889">
              <w:rPr>
                <w:rFonts w:ascii="Times New Roman" w:eastAsia="Times New Roman" w:hAnsi="Times New Roman"/>
                <w:b/>
                <w:bCs/>
                <w:sz w:val="24"/>
                <w:szCs w:val="24"/>
                <w:lang w:eastAsia="lv-LV"/>
              </w:rPr>
              <w:t>VI. Sabiedrības līdzdalība un komunikācijas aktivitātes</w:t>
            </w:r>
          </w:p>
        </w:tc>
      </w:tr>
      <w:tr w:rsidR="0065551F" w:rsidRPr="00934889" w:rsidTr="00B50B8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Projekts šo jomu neskar</w:t>
            </w:r>
            <w:r w:rsidR="003025E0">
              <w:rPr>
                <w:rFonts w:ascii="Times New Roman" w:eastAsia="Times New Roman" w:hAnsi="Times New Roman"/>
                <w:sz w:val="24"/>
                <w:szCs w:val="24"/>
                <w:lang w:eastAsia="lv-LV"/>
              </w:rPr>
              <w:t>.</w:t>
            </w:r>
          </w:p>
        </w:tc>
      </w:tr>
      <w:tr w:rsidR="0065551F" w:rsidRPr="00934889" w:rsidTr="00B50B8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65551F" w:rsidRPr="00934889" w:rsidRDefault="000D1174" w:rsidP="000D1174">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Par Likumprojekta izstrādē konsultācijas notikušas</w:t>
            </w:r>
            <w:r w:rsidR="00DC5CB9" w:rsidRPr="00934889">
              <w:rPr>
                <w:rFonts w:ascii="Times New Roman" w:hAnsi="Times New Roman"/>
                <w:sz w:val="24"/>
                <w:szCs w:val="24"/>
              </w:rPr>
              <w:t xml:space="preserve"> </w:t>
            </w:r>
            <w:r>
              <w:rPr>
                <w:rFonts w:ascii="Times New Roman" w:hAnsi="Times New Roman"/>
                <w:sz w:val="24"/>
                <w:szCs w:val="24"/>
              </w:rPr>
              <w:t xml:space="preserve">ar </w:t>
            </w:r>
            <w:r w:rsidR="00DC5CB9" w:rsidRPr="00934889">
              <w:rPr>
                <w:rFonts w:ascii="Times New Roman" w:hAnsi="Times New Roman"/>
                <w:sz w:val="24"/>
                <w:szCs w:val="24"/>
              </w:rPr>
              <w:t xml:space="preserve">Noziedzīgi iegūtu līdzekļu legalizācijas novēršanas dienests, Ārlietu ministrija, Izložu un azartspēļu uzraudzības inspekcija, Latvijas Zvērinātu notāru padome, Latvijas Banka, Ģenerālprokuratūra, Latvijas Zvērinātu revidentu asociācija, </w:t>
            </w:r>
            <w:proofErr w:type="spellStart"/>
            <w:r w:rsidR="00DC5CB9" w:rsidRPr="00934889">
              <w:rPr>
                <w:rFonts w:ascii="Times New Roman" w:hAnsi="Times New Roman"/>
                <w:sz w:val="24"/>
                <w:szCs w:val="24"/>
              </w:rPr>
              <w:t>Iekšlietu</w:t>
            </w:r>
            <w:proofErr w:type="spellEnd"/>
            <w:r w:rsidR="00DC5CB9" w:rsidRPr="00934889">
              <w:rPr>
                <w:rFonts w:ascii="Times New Roman" w:hAnsi="Times New Roman"/>
                <w:sz w:val="24"/>
                <w:szCs w:val="24"/>
              </w:rPr>
              <w:t xml:space="preserve"> ministrijas Valsts policijas Galvenās kriminālpolicijas pārvalde, Valsts kultūras pieminekļu aizsardzības inspekcija, Latvijas Zvērinātu advokātu padome, Latvijas </w:t>
            </w:r>
            <w:r w:rsidR="00DC5CB9" w:rsidRPr="00934889">
              <w:rPr>
                <w:rFonts w:ascii="Times New Roman" w:hAnsi="Times New Roman"/>
                <w:sz w:val="24"/>
                <w:szCs w:val="24"/>
              </w:rPr>
              <w:lastRenderedPageBreak/>
              <w:t>Zvērinātu notāru padome, Latvijas Komercbanku asociācija, Latvijas Privātbanku asociācija, Satiksmes ministrija, Valsts ieņēmumu dienests, Valsts sociālās apdrošināšanas aģentūra un Labklājības ministrija.</w:t>
            </w:r>
          </w:p>
        </w:tc>
      </w:tr>
      <w:tr w:rsidR="0065551F" w:rsidRPr="00934889" w:rsidTr="00B50B8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65551F" w:rsidRPr="00934889" w:rsidRDefault="00DC5CB9" w:rsidP="00934889">
            <w:pPr>
              <w:spacing w:after="0" w:line="240" w:lineRule="auto"/>
              <w:jc w:val="both"/>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Likump</w:t>
            </w:r>
            <w:r w:rsidR="0065551F" w:rsidRPr="00934889">
              <w:rPr>
                <w:rFonts w:ascii="Times New Roman" w:eastAsia="Times New Roman" w:hAnsi="Times New Roman"/>
                <w:sz w:val="24"/>
                <w:szCs w:val="24"/>
                <w:lang w:eastAsia="lv-LV"/>
              </w:rPr>
              <w:t xml:space="preserve">rojekts tika izskatīts un atbalstīts </w:t>
            </w:r>
            <w:r w:rsidR="00B65481" w:rsidRPr="00934889">
              <w:rPr>
                <w:rFonts w:ascii="Times New Roman" w:eastAsia="Times New Roman" w:hAnsi="Times New Roman"/>
                <w:sz w:val="24"/>
                <w:szCs w:val="24"/>
                <w:lang w:eastAsia="lv-LV"/>
              </w:rPr>
              <w:t xml:space="preserve">Finanšu ministrijas rīkotajās sanāksmēs, kurās piedalījās </w:t>
            </w:r>
            <w:r w:rsidR="00B65481" w:rsidRPr="00934889">
              <w:rPr>
                <w:rFonts w:ascii="Times New Roman" w:hAnsi="Times New Roman"/>
                <w:sz w:val="24"/>
                <w:szCs w:val="24"/>
              </w:rPr>
              <w:t xml:space="preserve">Noziedzīgi iegūtu līdzekļu legalizācijas novēršanas dienests, Latvijas Komercbanku asociācija, Valsts ieņēmumu dienests, </w:t>
            </w:r>
            <w:r w:rsidR="0047282B" w:rsidRPr="00934889">
              <w:rPr>
                <w:rFonts w:ascii="Times New Roman" w:hAnsi="Times New Roman"/>
                <w:sz w:val="24"/>
                <w:szCs w:val="24"/>
              </w:rPr>
              <w:t>Finanšu un Kapitāla tirgus komisija</w:t>
            </w:r>
            <w:r w:rsidR="00B65481" w:rsidRPr="00934889">
              <w:rPr>
                <w:rFonts w:ascii="Times New Roman" w:hAnsi="Times New Roman"/>
                <w:sz w:val="24"/>
                <w:szCs w:val="24"/>
              </w:rPr>
              <w:t xml:space="preserve"> un </w:t>
            </w:r>
            <w:r w:rsidR="0047282B" w:rsidRPr="00934889">
              <w:rPr>
                <w:rFonts w:ascii="Times New Roman" w:hAnsi="Times New Roman"/>
                <w:sz w:val="24"/>
                <w:szCs w:val="24"/>
              </w:rPr>
              <w:t>Ārlietu ministrija</w:t>
            </w:r>
            <w:r w:rsidR="00B65481" w:rsidRPr="00934889">
              <w:rPr>
                <w:rFonts w:ascii="Times New Roman" w:hAnsi="Times New Roman"/>
                <w:sz w:val="24"/>
                <w:szCs w:val="24"/>
              </w:rPr>
              <w:t>.</w:t>
            </w:r>
          </w:p>
        </w:tc>
      </w:tr>
      <w:tr w:rsidR="0065551F" w:rsidRPr="00934889" w:rsidTr="00B50B85">
        <w:trPr>
          <w:trHeight w:val="326"/>
        </w:trPr>
        <w:tc>
          <w:tcPr>
            <w:tcW w:w="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Nav</w:t>
            </w:r>
          </w:p>
        </w:tc>
      </w:tr>
    </w:tbl>
    <w:p w:rsidR="0065551F" w:rsidRPr="00934889" w:rsidRDefault="0065551F"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65551F" w:rsidRPr="00934889" w:rsidTr="00B50B8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5551F" w:rsidRPr="00934889" w:rsidRDefault="0065551F" w:rsidP="00934889">
            <w:pPr>
              <w:spacing w:after="0" w:line="240" w:lineRule="auto"/>
              <w:ind w:firstLine="300"/>
              <w:jc w:val="center"/>
              <w:rPr>
                <w:rFonts w:ascii="Times New Roman" w:eastAsia="Times New Roman" w:hAnsi="Times New Roman"/>
                <w:b/>
                <w:bCs/>
                <w:sz w:val="24"/>
                <w:szCs w:val="24"/>
                <w:lang w:eastAsia="lv-LV"/>
              </w:rPr>
            </w:pPr>
            <w:r w:rsidRPr="00934889">
              <w:rPr>
                <w:rFonts w:ascii="Times New Roman" w:eastAsia="Times New Roman" w:hAnsi="Times New Roman"/>
                <w:b/>
                <w:bCs/>
                <w:sz w:val="24"/>
                <w:szCs w:val="24"/>
                <w:lang w:eastAsia="lv-LV"/>
              </w:rPr>
              <w:t>VII. Tiesību akta projekta izpildes nodrošināšana un tās ietekme uz institūcijām</w:t>
            </w:r>
          </w:p>
        </w:tc>
      </w:tr>
      <w:tr w:rsidR="0065551F" w:rsidRPr="00934889" w:rsidTr="00B50B8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65551F" w:rsidRPr="00934889" w:rsidRDefault="0047282B" w:rsidP="00934889">
            <w:pPr>
              <w:spacing w:after="0" w:line="240" w:lineRule="auto"/>
              <w:jc w:val="both"/>
              <w:rPr>
                <w:rFonts w:ascii="Times New Roman" w:eastAsia="Times New Roman" w:hAnsi="Times New Roman"/>
                <w:sz w:val="24"/>
                <w:szCs w:val="24"/>
                <w:lang w:eastAsia="lv-LV"/>
              </w:rPr>
            </w:pPr>
            <w:r w:rsidRPr="00934889">
              <w:rPr>
                <w:rFonts w:ascii="Times New Roman" w:hAnsi="Times New Roman"/>
                <w:sz w:val="24"/>
                <w:szCs w:val="24"/>
              </w:rPr>
              <w:t>Likumprojekta prasību izpildi nodrošinās Finanšu un kapitāla tirgus komisija, Kontroles dienests, kā arī citas NILLTFN likuma 45. pantā minētās uzraudzības iestādes.</w:t>
            </w:r>
          </w:p>
        </w:tc>
      </w:tr>
      <w:tr w:rsidR="0065551F" w:rsidRPr="00934889" w:rsidTr="00B50B8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 xml:space="preserve">Projekta izpildes ietekme uz pārvaldes funkcijām un institucionālo struktūru. </w:t>
            </w:r>
          </w:p>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65551F" w:rsidRPr="00934889" w:rsidRDefault="003025E0" w:rsidP="003025E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65551F" w:rsidRPr="00934889" w:rsidTr="00B50B85">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65551F" w:rsidRPr="00934889" w:rsidRDefault="0065551F" w:rsidP="00934889">
            <w:pPr>
              <w:spacing w:after="0" w:line="240" w:lineRule="auto"/>
              <w:rPr>
                <w:rFonts w:ascii="Times New Roman" w:eastAsia="Times New Roman" w:hAnsi="Times New Roman"/>
                <w:sz w:val="24"/>
                <w:szCs w:val="24"/>
                <w:lang w:eastAsia="lv-LV"/>
              </w:rPr>
            </w:pPr>
            <w:r w:rsidRPr="00934889">
              <w:rPr>
                <w:rFonts w:ascii="Times New Roman" w:eastAsia="Times New Roman" w:hAnsi="Times New Roman"/>
                <w:sz w:val="24"/>
                <w:szCs w:val="24"/>
                <w:lang w:eastAsia="lv-LV"/>
              </w:rPr>
              <w:t>Nav</w:t>
            </w:r>
          </w:p>
        </w:tc>
      </w:tr>
    </w:tbl>
    <w:p w:rsidR="0065551F" w:rsidRDefault="0065551F" w:rsidP="0065551F">
      <w:pPr>
        <w:spacing w:after="0" w:line="240" w:lineRule="auto"/>
        <w:rPr>
          <w:rFonts w:ascii="Times New Roman" w:hAnsi="Times New Roman"/>
          <w:sz w:val="24"/>
          <w:szCs w:val="24"/>
        </w:rPr>
      </w:pPr>
    </w:p>
    <w:p w:rsidR="00CF107E" w:rsidRDefault="00CF107E" w:rsidP="0065551F">
      <w:pPr>
        <w:spacing w:after="0" w:line="240" w:lineRule="auto"/>
        <w:rPr>
          <w:rFonts w:ascii="Times New Roman" w:hAnsi="Times New Roman"/>
          <w:sz w:val="24"/>
          <w:szCs w:val="24"/>
        </w:rPr>
      </w:pPr>
    </w:p>
    <w:p w:rsidR="00CF107E" w:rsidRPr="009361D5" w:rsidRDefault="00CF107E" w:rsidP="0065551F">
      <w:pPr>
        <w:spacing w:after="0" w:line="240" w:lineRule="auto"/>
        <w:rPr>
          <w:rFonts w:ascii="Times New Roman" w:hAnsi="Times New Roman"/>
          <w:sz w:val="24"/>
          <w:szCs w:val="24"/>
        </w:rPr>
      </w:pPr>
    </w:p>
    <w:p w:rsidR="0047282B" w:rsidRDefault="0047282B" w:rsidP="0047282B">
      <w:pPr>
        <w:pStyle w:val="NormalWeb"/>
        <w:spacing w:before="0" w:beforeAutospacing="0" w:after="0" w:afterAutospacing="0"/>
        <w:ind w:left="540"/>
      </w:pPr>
      <w:r>
        <w:t xml:space="preserve">Finanšu ministrs </w:t>
      </w:r>
      <w:r>
        <w:tab/>
      </w:r>
      <w:r>
        <w:tab/>
      </w:r>
      <w:r>
        <w:tab/>
      </w:r>
      <w:r>
        <w:tab/>
      </w:r>
      <w:r>
        <w:tab/>
      </w:r>
      <w:r>
        <w:tab/>
        <w:t>A. Vilks</w:t>
      </w:r>
    </w:p>
    <w:p w:rsidR="0047282B" w:rsidRPr="00CF107E" w:rsidRDefault="0047282B" w:rsidP="00CF107E">
      <w:pPr>
        <w:spacing w:after="0"/>
        <w:rPr>
          <w:rFonts w:ascii="Times New Roman" w:hAnsi="Times New Roman"/>
        </w:rPr>
      </w:pPr>
    </w:p>
    <w:p w:rsidR="0047282B" w:rsidRPr="00CF107E" w:rsidRDefault="0047282B" w:rsidP="00CF107E">
      <w:pPr>
        <w:spacing w:after="0"/>
        <w:rPr>
          <w:rFonts w:ascii="Times New Roman" w:hAnsi="Times New Roman"/>
        </w:rPr>
      </w:pPr>
    </w:p>
    <w:p w:rsidR="0047282B" w:rsidRDefault="0047282B" w:rsidP="00CF107E">
      <w:pPr>
        <w:spacing w:after="0"/>
        <w:rPr>
          <w:rFonts w:ascii="Times New Roman" w:hAnsi="Times New Roman"/>
        </w:rPr>
      </w:pPr>
    </w:p>
    <w:p w:rsidR="00CF107E" w:rsidRDefault="00CF107E" w:rsidP="00CF107E">
      <w:pPr>
        <w:spacing w:after="0"/>
        <w:rPr>
          <w:rFonts w:ascii="Times New Roman" w:hAnsi="Times New Roman"/>
        </w:rPr>
      </w:pPr>
    </w:p>
    <w:p w:rsidR="00CF107E" w:rsidRDefault="00CF107E" w:rsidP="00CF107E">
      <w:pPr>
        <w:spacing w:after="0"/>
        <w:rPr>
          <w:rFonts w:ascii="Times New Roman" w:hAnsi="Times New Roman"/>
        </w:rPr>
      </w:pPr>
    </w:p>
    <w:p w:rsidR="00CF107E" w:rsidRPr="00CF107E" w:rsidRDefault="00CF107E" w:rsidP="00CF107E">
      <w:pPr>
        <w:spacing w:after="0"/>
        <w:rPr>
          <w:rFonts w:ascii="Times New Roman" w:hAnsi="Times New Roman"/>
        </w:rPr>
      </w:pPr>
    </w:p>
    <w:p w:rsidR="0047282B" w:rsidRDefault="0047282B" w:rsidP="00CF107E">
      <w:pPr>
        <w:spacing w:after="0"/>
        <w:rPr>
          <w:rFonts w:ascii="Times New Roman" w:hAnsi="Times New Roman"/>
        </w:rPr>
      </w:pPr>
    </w:p>
    <w:p w:rsidR="00CF107E" w:rsidRPr="00CF107E" w:rsidRDefault="00CF107E" w:rsidP="00CF107E">
      <w:pPr>
        <w:spacing w:after="0"/>
        <w:rPr>
          <w:rFonts w:ascii="Times New Roman" w:hAnsi="Times New Roman"/>
        </w:rPr>
      </w:pPr>
    </w:p>
    <w:p w:rsidR="0047282B" w:rsidRPr="0047282B" w:rsidRDefault="00C53007" w:rsidP="0047282B">
      <w:pPr>
        <w:spacing w:after="0" w:line="240" w:lineRule="auto"/>
        <w:rPr>
          <w:rFonts w:ascii="Times New Roman" w:hAnsi="Times New Roman"/>
          <w:sz w:val="20"/>
          <w:szCs w:val="20"/>
        </w:rPr>
      </w:pPr>
      <w:r>
        <w:rPr>
          <w:rFonts w:ascii="Times New Roman" w:hAnsi="Times New Roman"/>
          <w:sz w:val="20"/>
          <w:szCs w:val="20"/>
        </w:rPr>
        <w:t>15</w:t>
      </w:r>
      <w:r w:rsidR="008E5B1A">
        <w:rPr>
          <w:rFonts w:ascii="Times New Roman" w:hAnsi="Times New Roman"/>
          <w:sz w:val="20"/>
          <w:szCs w:val="20"/>
        </w:rPr>
        <w:t>.04</w:t>
      </w:r>
      <w:r w:rsidR="00712F1F">
        <w:rPr>
          <w:rFonts w:ascii="Times New Roman" w:hAnsi="Times New Roman"/>
          <w:sz w:val="20"/>
          <w:szCs w:val="20"/>
        </w:rPr>
        <w:t>.2014. 9:</w:t>
      </w:r>
      <w:r w:rsidR="0047282B" w:rsidRPr="0047282B">
        <w:rPr>
          <w:rFonts w:ascii="Times New Roman" w:hAnsi="Times New Roman"/>
          <w:sz w:val="20"/>
          <w:szCs w:val="20"/>
        </w:rPr>
        <w:t>35</w:t>
      </w:r>
    </w:p>
    <w:p w:rsidR="0047282B" w:rsidRPr="0047282B" w:rsidRDefault="00913333" w:rsidP="0047282B">
      <w:pPr>
        <w:spacing w:after="0" w:line="240" w:lineRule="auto"/>
        <w:rPr>
          <w:rFonts w:ascii="Times New Roman" w:hAnsi="Times New Roman"/>
          <w:sz w:val="20"/>
          <w:szCs w:val="20"/>
        </w:rPr>
      </w:pPr>
      <w:r>
        <w:rPr>
          <w:rFonts w:ascii="Times New Roman" w:hAnsi="Times New Roman"/>
          <w:sz w:val="20"/>
          <w:szCs w:val="20"/>
        </w:rPr>
        <w:t>2640</w:t>
      </w:r>
    </w:p>
    <w:p w:rsidR="0047282B" w:rsidRPr="0047282B" w:rsidRDefault="0047282B" w:rsidP="0047282B">
      <w:pPr>
        <w:spacing w:after="0" w:line="240" w:lineRule="auto"/>
        <w:rPr>
          <w:rFonts w:ascii="Times New Roman" w:hAnsi="Times New Roman"/>
          <w:sz w:val="20"/>
          <w:szCs w:val="20"/>
        </w:rPr>
      </w:pPr>
      <w:r w:rsidRPr="0047282B">
        <w:rPr>
          <w:rFonts w:ascii="Times New Roman" w:hAnsi="Times New Roman"/>
          <w:sz w:val="20"/>
          <w:szCs w:val="20"/>
        </w:rPr>
        <w:t>K. Markovskis</w:t>
      </w:r>
    </w:p>
    <w:p w:rsidR="0047282B" w:rsidRPr="0047282B" w:rsidRDefault="0047282B" w:rsidP="0047282B">
      <w:pPr>
        <w:spacing w:after="0" w:line="240" w:lineRule="auto"/>
        <w:rPr>
          <w:rFonts w:ascii="Times New Roman" w:hAnsi="Times New Roman"/>
          <w:sz w:val="20"/>
          <w:szCs w:val="20"/>
        </w:rPr>
      </w:pPr>
      <w:r w:rsidRPr="0047282B">
        <w:rPr>
          <w:rFonts w:ascii="Times New Roman" w:hAnsi="Times New Roman"/>
          <w:sz w:val="20"/>
          <w:szCs w:val="20"/>
        </w:rPr>
        <w:t>67774824, Kristaps.Markovskis@fktk.lv</w:t>
      </w:r>
    </w:p>
    <w:p w:rsidR="00801A04" w:rsidRDefault="00801A04" w:rsidP="009F2B0C">
      <w:pPr>
        <w:spacing w:after="0" w:line="240" w:lineRule="auto"/>
      </w:pPr>
    </w:p>
    <w:p w:rsidR="009F2B0C" w:rsidRPr="00B44B30" w:rsidRDefault="009F2B0C" w:rsidP="009F2B0C">
      <w:pPr>
        <w:spacing w:after="0" w:line="240" w:lineRule="auto"/>
        <w:rPr>
          <w:rFonts w:ascii="Times New Roman" w:hAnsi="Times New Roman"/>
          <w:sz w:val="20"/>
          <w:szCs w:val="20"/>
        </w:rPr>
      </w:pPr>
      <w:r w:rsidRPr="00B44B30">
        <w:rPr>
          <w:rFonts w:ascii="Times New Roman" w:hAnsi="Times New Roman"/>
          <w:sz w:val="20"/>
          <w:szCs w:val="20"/>
        </w:rPr>
        <w:t>M. Stepiņš</w:t>
      </w:r>
    </w:p>
    <w:p w:rsidR="009F2B0C" w:rsidRPr="009F2B0C" w:rsidRDefault="009F2B0C" w:rsidP="009F2B0C">
      <w:pPr>
        <w:spacing w:after="0" w:line="240" w:lineRule="auto"/>
        <w:rPr>
          <w:rFonts w:ascii="Times New Roman" w:hAnsi="Times New Roman"/>
          <w:sz w:val="20"/>
          <w:szCs w:val="20"/>
        </w:rPr>
      </w:pPr>
      <w:r w:rsidRPr="00B44B30">
        <w:rPr>
          <w:rFonts w:ascii="Times New Roman" w:hAnsi="Times New Roman"/>
          <w:sz w:val="20"/>
          <w:szCs w:val="20"/>
        </w:rPr>
        <w:t xml:space="preserve">67095490, </w:t>
      </w:r>
      <w:hyperlink r:id="rId7" w:history="1">
        <w:r w:rsidRPr="00B44B30">
          <w:rPr>
            <w:rStyle w:val="Hyperlink"/>
            <w:rFonts w:ascii="Times New Roman" w:hAnsi="Times New Roman"/>
            <w:sz w:val="20"/>
            <w:szCs w:val="20"/>
          </w:rPr>
          <w:t>maris.stepins@fm.gov.lv</w:t>
        </w:r>
      </w:hyperlink>
    </w:p>
    <w:sectPr w:rsidR="009F2B0C" w:rsidRPr="009F2B0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FC" w:rsidRDefault="00B406FC" w:rsidP="00347AF3">
      <w:pPr>
        <w:spacing w:after="0" w:line="240" w:lineRule="auto"/>
      </w:pPr>
      <w:r>
        <w:separator/>
      </w:r>
    </w:p>
  </w:endnote>
  <w:endnote w:type="continuationSeparator" w:id="0">
    <w:p w:rsidR="00B406FC" w:rsidRDefault="00B406FC" w:rsidP="0034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F3" w:rsidRPr="0059788D" w:rsidRDefault="008E5B1A">
    <w:pPr>
      <w:pStyle w:val="Footer"/>
      <w:rPr>
        <w:rFonts w:ascii="Times New Roman" w:hAnsi="Times New Roman"/>
        <w:sz w:val="20"/>
        <w:szCs w:val="20"/>
      </w:rP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Pr>
        <w:rFonts w:ascii="Times New Roman" w:hAnsi="Times New Roman"/>
        <w:noProof/>
        <w:sz w:val="20"/>
        <w:szCs w:val="20"/>
      </w:rPr>
      <w:t>FMAnot_090414_NILLTFN</w:t>
    </w:r>
    <w:r>
      <w:rPr>
        <w:rFonts w:ascii="Times New Roman" w:hAnsi="Times New Roman"/>
        <w:noProof/>
        <w:sz w:val="20"/>
        <w:szCs w:val="20"/>
      </w:rPr>
      <w:fldChar w:fldCharType="end"/>
    </w:r>
    <w:r w:rsidR="00347AF3" w:rsidRPr="0059788D">
      <w:rPr>
        <w:rFonts w:ascii="Times New Roman" w:hAnsi="Times New Roman"/>
        <w:noProof/>
        <w:sz w:val="20"/>
        <w:szCs w:val="20"/>
      </w:rPr>
      <w:t>;</w:t>
    </w:r>
    <w:r w:rsidR="00347AF3" w:rsidRPr="0059788D">
      <w:rPr>
        <w:rFonts w:ascii="Times New Roman" w:hAnsi="Times New Roman"/>
        <w:sz w:val="20"/>
        <w:szCs w:val="20"/>
      </w:rPr>
      <w:t xml:space="preserve"> Likumprojekta "Grozījumi Noziedzīgi iegūtu līdzekļu legalizācijas un terorisma finansēšanas novēršanas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FC" w:rsidRDefault="00B406FC" w:rsidP="00347AF3">
      <w:pPr>
        <w:spacing w:after="0" w:line="240" w:lineRule="auto"/>
      </w:pPr>
      <w:r>
        <w:separator/>
      </w:r>
    </w:p>
  </w:footnote>
  <w:footnote w:type="continuationSeparator" w:id="0">
    <w:p w:rsidR="00B406FC" w:rsidRDefault="00B406FC" w:rsidP="00347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1F"/>
    <w:rsid w:val="0000733B"/>
    <w:rsid w:val="000D1174"/>
    <w:rsid w:val="002D5DC3"/>
    <w:rsid w:val="002E2010"/>
    <w:rsid w:val="002E66AB"/>
    <w:rsid w:val="002F7573"/>
    <w:rsid w:val="00300AE2"/>
    <w:rsid w:val="003025E0"/>
    <w:rsid w:val="00325EDA"/>
    <w:rsid w:val="00347AF3"/>
    <w:rsid w:val="00404787"/>
    <w:rsid w:val="00435EC9"/>
    <w:rsid w:val="0047282B"/>
    <w:rsid w:val="004D0925"/>
    <w:rsid w:val="00543DA3"/>
    <w:rsid w:val="00571763"/>
    <w:rsid w:val="0059788D"/>
    <w:rsid w:val="006123D4"/>
    <w:rsid w:val="006258B0"/>
    <w:rsid w:val="0064319B"/>
    <w:rsid w:val="0065551F"/>
    <w:rsid w:val="006D2FCC"/>
    <w:rsid w:val="00701E57"/>
    <w:rsid w:val="00712F1F"/>
    <w:rsid w:val="00727BA9"/>
    <w:rsid w:val="00801A04"/>
    <w:rsid w:val="00855F5B"/>
    <w:rsid w:val="008635B6"/>
    <w:rsid w:val="008D2A09"/>
    <w:rsid w:val="008E5B1A"/>
    <w:rsid w:val="00906AE6"/>
    <w:rsid w:val="00913333"/>
    <w:rsid w:val="00934889"/>
    <w:rsid w:val="00961975"/>
    <w:rsid w:val="009F2B0C"/>
    <w:rsid w:val="00A246C8"/>
    <w:rsid w:val="00A24C21"/>
    <w:rsid w:val="00A65B92"/>
    <w:rsid w:val="00AC059E"/>
    <w:rsid w:val="00AD4368"/>
    <w:rsid w:val="00B0360C"/>
    <w:rsid w:val="00B406FC"/>
    <w:rsid w:val="00B65481"/>
    <w:rsid w:val="00B72727"/>
    <w:rsid w:val="00B930E4"/>
    <w:rsid w:val="00BD5201"/>
    <w:rsid w:val="00C53007"/>
    <w:rsid w:val="00C5485F"/>
    <w:rsid w:val="00C57522"/>
    <w:rsid w:val="00C722FC"/>
    <w:rsid w:val="00CF107E"/>
    <w:rsid w:val="00CF1EE6"/>
    <w:rsid w:val="00DC5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45A0D-7981-434B-B58B-2C370D95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65551F"/>
    <w:pPr>
      <w:spacing w:after="120" w:line="240" w:lineRule="auto"/>
      <w:ind w:firstLine="720"/>
      <w:jc w:val="right"/>
    </w:pPr>
    <w:rPr>
      <w:rFonts w:ascii="Times New Roman" w:eastAsia="Times New Roman" w:hAnsi="Times New Roman"/>
      <w:sz w:val="28"/>
      <w:szCs w:val="28"/>
    </w:rPr>
  </w:style>
  <w:style w:type="paragraph" w:customStyle="1" w:styleId="tv2131">
    <w:name w:val="tv2131"/>
    <w:basedOn w:val="Normal"/>
    <w:rsid w:val="0065551F"/>
    <w:pPr>
      <w:spacing w:before="240" w:after="0" w:line="360" w:lineRule="auto"/>
      <w:ind w:firstLine="300"/>
      <w:jc w:val="both"/>
    </w:pPr>
    <w:rPr>
      <w:rFonts w:ascii="Verdana" w:eastAsia="Times New Roman" w:hAnsi="Verdana"/>
      <w:sz w:val="18"/>
      <w:szCs w:val="18"/>
      <w:lang w:eastAsia="lv-LV"/>
    </w:rPr>
  </w:style>
  <w:style w:type="paragraph" w:customStyle="1" w:styleId="naiskr">
    <w:name w:val="naiskr"/>
    <w:basedOn w:val="Normal"/>
    <w:rsid w:val="0065551F"/>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635B6"/>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635B6"/>
    <w:pPr>
      <w:spacing w:before="150" w:after="150" w:line="240" w:lineRule="auto"/>
      <w:jc w:val="center"/>
    </w:pPr>
    <w:rPr>
      <w:rFonts w:ascii="Times New Roman" w:eastAsia="Times New Roman" w:hAnsi="Times New Roman"/>
      <w:b/>
      <w:bCs/>
      <w:sz w:val="24"/>
      <w:szCs w:val="24"/>
      <w:lang w:eastAsia="lv-LV"/>
    </w:rPr>
  </w:style>
  <w:style w:type="paragraph" w:styleId="NormalWeb">
    <w:name w:val="Normal (Web)"/>
    <w:basedOn w:val="Normal"/>
    <w:rsid w:val="0047282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47A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7AF3"/>
    <w:rPr>
      <w:rFonts w:ascii="Calibri" w:eastAsia="Calibri" w:hAnsi="Calibri" w:cs="Times New Roman"/>
    </w:rPr>
  </w:style>
  <w:style w:type="paragraph" w:styleId="Footer">
    <w:name w:val="footer"/>
    <w:basedOn w:val="Normal"/>
    <w:link w:val="FooterChar"/>
    <w:uiPriority w:val="99"/>
    <w:unhideWhenUsed/>
    <w:rsid w:val="00347A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7AF3"/>
    <w:rPr>
      <w:rFonts w:ascii="Calibri" w:eastAsia="Calibri" w:hAnsi="Calibri" w:cs="Times New Roman"/>
    </w:rPr>
  </w:style>
  <w:style w:type="character" w:styleId="Hyperlink">
    <w:name w:val="Hyperlink"/>
    <w:basedOn w:val="DefaultParagraphFont"/>
    <w:uiPriority w:val="99"/>
    <w:unhideWhenUsed/>
    <w:rsid w:val="009F2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s.stepins@f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17898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14035</Words>
  <Characters>8001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Likumprojekta "Grozījumi Noziedzīgi iegūtu līdzekļu legalizācijas un terorisma finansēšanas novēršanas likumā'' sākotnējās ietekmes novērtējuma ziņojums (anotācija)</vt:lpstr>
    </vt:vector>
  </TitlesOfParts>
  <Company>Finanšu ministrija</Company>
  <LinksUpToDate>false</LinksUpToDate>
  <CharactersWithSpaces>21993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Noziedzīgi iegūtu līdzekļu legalizācijas un terorisma finansēšanas novēršanas likumā'' sākotnējās ietekmes novērtējuma ziņojums (anotācija)</dc:title>
  <dc:subject>anotācija</dc:subject>
  <dc:creator>maris.stepins@fm.gov.lv</dc:creator>
  <cp:keywords/>
  <dc:description>67095490, maris.stepins@fm.gov.lv</dc:description>
  <cp:lastModifiedBy>Lagzdiņa Lelde</cp:lastModifiedBy>
  <cp:revision>7</cp:revision>
  <dcterms:created xsi:type="dcterms:W3CDTF">2014-04-15T07:58:00Z</dcterms:created>
  <dcterms:modified xsi:type="dcterms:W3CDTF">2014-04-25T06:16:00Z</dcterms:modified>
</cp:coreProperties>
</file>