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F5D51" w14:textId="51BF38EF" w:rsidR="00CC1A56" w:rsidRPr="00857C5B" w:rsidRDefault="005D1946" w:rsidP="00F23F1D">
      <w:pPr>
        <w:pStyle w:val="tv2121"/>
        <w:spacing w:before="0" w:line="240" w:lineRule="auto"/>
        <w:rPr>
          <w:rFonts w:ascii="Times New Roman" w:hAnsi="Times New Roman"/>
          <w:sz w:val="28"/>
          <w:szCs w:val="28"/>
        </w:rPr>
      </w:pPr>
      <w:r w:rsidRPr="005D1946">
        <w:rPr>
          <w:rFonts w:ascii="Times New Roman" w:hAnsi="Times New Roman"/>
          <w:bCs w:val="0"/>
          <w:sz w:val="28"/>
          <w:szCs w:val="28"/>
        </w:rPr>
        <w:t>Ministru kabineta noteikumu projekta „</w:t>
      </w:r>
      <w:r w:rsidR="00020D21" w:rsidRPr="00020D21">
        <w:rPr>
          <w:rFonts w:ascii="Times New Roman" w:hAnsi="Times New Roman"/>
          <w:bCs w:val="0"/>
          <w:sz w:val="28"/>
          <w:szCs w:val="28"/>
        </w:rPr>
        <w:t>Grozījums Ministru kabineta 2006.gada 27.jūnija noteikumos Nr.545 „Kārtība, kādā Eiropas Savienības struktūrfondu vadībā iesaistītās institūcijas nodrošina struktūrfondu ieviešanu un grozījumu izdarīšanu plānošanas dokumentos”</w:t>
      </w:r>
      <w:r w:rsidRPr="005D1946">
        <w:rPr>
          <w:rFonts w:ascii="Times New Roman" w:hAnsi="Times New Roman"/>
          <w:bCs w:val="0"/>
          <w:sz w:val="28"/>
          <w:szCs w:val="28"/>
        </w:rPr>
        <w:t>” sākotnējās ietekmes novērtējuma ziņojums (anotācija)</w:t>
      </w:r>
    </w:p>
    <w:p w14:paraId="21DBD002" w14:textId="77777777" w:rsidR="0040461A" w:rsidRPr="00584A0C" w:rsidRDefault="0040461A" w:rsidP="0040461A">
      <w:pPr>
        <w:pStyle w:val="naisf"/>
        <w:spacing w:before="0" w:beforeAutospacing="0" w:after="0" w:afterAutospacing="0"/>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400"/>
        <w:gridCol w:w="5671"/>
      </w:tblGrid>
      <w:tr w:rsidR="00CC1A56" w:rsidRPr="00DD49B6" w14:paraId="6D41320C" w14:textId="77777777" w:rsidTr="001E645F">
        <w:trPr>
          <w:trHeight w:val="419"/>
        </w:trPr>
        <w:tc>
          <w:tcPr>
            <w:tcW w:w="5000" w:type="pct"/>
            <w:gridSpan w:val="3"/>
            <w:vAlign w:val="center"/>
          </w:tcPr>
          <w:p w14:paraId="08C79F91"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0BFB4749" w14:textId="77777777" w:rsidTr="005A2925">
        <w:trPr>
          <w:trHeight w:val="415"/>
        </w:trPr>
        <w:tc>
          <w:tcPr>
            <w:tcW w:w="227" w:type="pct"/>
          </w:tcPr>
          <w:p w14:paraId="7929F549" w14:textId="77777777" w:rsidR="00CC1A56" w:rsidRPr="00DD49B6" w:rsidRDefault="00CC1A56" w:rsidP="007D385B">
            <w:pPr>
              <w:pStyle w:val="naiskr"/>
              <w:spacing w:before="0" w:beforeAutospacing="0" w:after="0" w:afterAutospacing="0"/>
              <w:ind w:left="57" w:right="57"/>
              <w:jc w:val="center"/>
            </w:pPr>
            <w:r w:rsidRPr="00DD49B6">
              <w:t>1.</w:t>
            </w:r>
          </w:p>
        </w:tc>
        <w:tc>
          <w:tcPr>
            <w:tcW w:w="1789" w:type="pct"/>
          </w:tcPr>
          <w:p w14:paraId="59B3E655" w14:textId="77777777" w:rsidR="00CC1A56" w:rsidRPr="00DD49B6" w:rsidRDefault="00CC1A56" w:rsidP="007D385B">
            <w:pPr>
              <w:pStyle w:val="naiskr"/>
              <w:spacing w:before="0" w:beforeAutospacing="0" w:after="0" w:afterAutospacing="0"/>
              <w:ind w:left="57" w:right="57"/>
            </w:pPr>
            <w:r w:rsidRPr="00DD49B6">
              <w:t>Pamatojums</w:t>
            </w:r>
          </w:p>
        </w:tc>
        <w:tc>
          <w:tcPr>
            <w:tcW w:w="2984" w:type="pct"/>
          </w:tcPr>
          <w:p w14:paraId="2AF5D8AA" w14:textId="2AF01544" w:rsidR="00A16A65" w:rsidRDefault="0039127D" w:rsidP="00A16A65">
            <w:pPr>
              <w:spacing w:after="0" w:line="240" w:lineRule="auto"/>
              <w:ind w:left="57" w:right="57"/>
              <w:jc w:val="both"/>
              <w:rPr>
                <w:rFonts w:ascii="Times New Roman" w:hAnsi="Times New Roman" w:cs="Times New Roman"/>
                <w:sz w:val="24"/>
                <w:szCs w:val="24"/>
                <w:shd w:val="clear" w:color="auto" w:fill="FFFFFF"/>
              </w:rPr>
            </w:pPr>
            <w:r w:rsidRPr="0039127D">
              <w:rPr>
                <w:rFonts w:ascii="Times New Roman" w:hAnsi="Times New Roman" w:cs="Times New Roman"/>
                <w:sz w:val="24"/>
                <w:szCs w:val="24"/>
                <w:shd w:val="clear" w:color="auto" w:fill="FFFFFF"/>
              </w:rPr>
              <w:t>Eiropas Savienība</w:t>
            </w:r>
            <w:r>
              <w:rPr>
                <w:rFonts w:ascii="Times New Roman" w:hAnsi="Times New Roman" w:cs="Times New Roman"/>
                <w:sz w:val="24"/>
                <w:szCs w:val="24"/>
                <w:shd w:val="clear" w:color="auto" w:fill="FFFFFF"/>
              </w:rPr>
              <w:t xml:space="preserve">s struktūrfondu vadības likuma </w:t>
            </w:r>
            <w:r w:rsidRPr="0039127D">
              <w:rPr>
                <w:rFonts w:ascii="Times New Roman" w:hAnsi="Times New Roman" w:cs="Times New Roman"/>
                <w:sz w:val="24"/>
                <w:szCs w:val="24"/>
                <w:shd w:val="clear" w:color="auto" w:fill="FFFFFF"/>
              </w:rPr>
              <w:t>9.panta otr</w:t>
            </w:r>
            <w:r>
              <w:rPr>
                <w:rFonts w:ascii="Times New Roman" w:hAnsi="Times New Roman" w:cs="Times New Roman"/>
                <w:sz w:val="24"/>
                <w:szCs w:val="24"/>
                <w:shd w:val="clear" w:color="auto" w:fill="FFFFFF"/>
              </w:rPr>
              <w:t>ā</w:t>
            </w:r>
            <w:r w:rsidRPr="0039127D">
              <w:rPr>
                <w:rFonts w:ascii="Times New Roman" w:hAnsi="Times New Roman" w:cs="Times New Roman"/>
                <w:sz w:val="24"/>
                <w:szCs w:val="24"/>
                <w:shd w:val="clear" w:color="auto" w:fill="FFFFFF"/>
              </w:rPr>
              <w:t xml:space="preserve"> un piekt</w:t>
            </w:r>
            <w:r>
              <w:rPr>
                <w:rFonts w:ascii="Times New Roman" w:hAnsi="Times New Roman" w:cs="Times New Roman"/>
                <w:sz w:val="24"/>
                <w:szCs w:val="24"/>
                <w:shd w:val="clear" w:color="auto" w:fill="FFFFFF"/>
              </w:rPr>
              <w:t>ā</w:t>
            </w:r>
            <w:r w:rsidRPr="0039127D">
              <w:rPr>
                <w:rFonts w:ascii="Times New Roman" w:hAnsi="Times New Roman" w:cs="Times New Roman"/>
                <w:sz w:val="24"/>
                <w:szCs w:val="24"/>
                <w:shd w:val="clear" w:color="auto" w:fill="FFFFFF"/>
              </w:rPr>
              <w:t xml:space="preserve"> daļ</w:t>
            </w:r>
            <w:r>
              <w:rPr>
                <w:rFonts w:ascii="Times New Roman" w:hAnsi="Times New Roman" w:cs="Times New Roman"/>
                <w:sz w:val="24"/>
                <w:szCs w:val="24"/>
                <w:shd w:val="clear" w:color="auto" w:fill="FFFFFF"/>
              </w:rPr>
              <w:t>a</w:t>
            </w:r>
            <w:r w:rsidRPr="0039127D">
              <w:rPr>
                <w:rFonts w:ascii="Times New Roman" w:hAnsi="Times New Roman" w:cs="Times New Roman"/>
                <w:sz w:val="24"/>
                <w:szCs w:val="24"/>
                <w:shd w:val="clear" w:color="auto" w:fill="FFFFFF"/>
              </w:rPr>
              <w:t>, 10.panta treš</w:t>
            </w:r>
            <w:r>
              <w:rPr>
                <w:rFonts w:ascii="Times New Roman" w:hAnsi="Times New Roman" w:cs="Times New Roman"/>
                <w:sz w:val="24"/>
                <w:szCs w:val="24"/>
                <w:shd w:val="clear" w:color="auto" w:fill="FFFFFF"/>
              </w:rPr>
              <w:t>ā</w:t>
            </w:r>
            <w:r w:rsidRPr="0039127D">
              <w:rPr>
                <w:rFonts w:ascii="Times New Roman" w:hAnsi="Times New Roman" w:cs="Times New Roman"/>
                <w:sz w:val="24"/>
                <w:szCs w:val="24"/>
                <w:shd w:val="clear" w:color="auto" w:fill="FFFFFF"/>
              </w:rPr>
              <w:t xml:space="preserve"> daļ</w:t>
            </w:r>
            <w:r>
              <w:rPr>
                <w:rFonts w:ascii="Times New Roman" w:hAnsi="Times New Roman" w:cs="Times New Roman"/>
                <w:sz w:val="24"/>
                <w:szCs w:val="24"/>
                <w:shd w:val="clear" w:color="auto" w:fill="FFFFFF"/>
              </w:rPr>
              <w:t>a</w:t>
            </w:r>
            <w:r w:rsidRPr="0039127D">
              <w:rPr>
                <w:rFonts w:ascii="Times New Roman" w:hAnsi="Times New Roman" w:cs="Times New Roman"/>
                <w:sz w:val="24"/>
                <w:szCs w:val="24"/>
                <w:shd w:val="clear" w:color="auto" w:fill="FFFFFF"/>
              </w:rPr>
              <w:t>, 11.panta ceturt</w:t>
            </w:r>
            <w:r>
              <w:rPr>
                <w:rFonts w:ascii="Times New Roman" w:hAnsi="Times New Roman" w:cs="Times New Roman"/>
                <w:sz w:val="24"/>
                <w:szCs w:val="24"/>
                <w:shd w:val="clear" w:color="auto" w:fill="FFFFFF"/>
              </w:rPr>
              <w:t>ā</w:t>
            </w:r>
            <w:r w:rsidRPr="0039127D">
              <w:rPr>
                <w:rFonts w:ascii="Times New Roman" w:hAnsi="Times New Roman" w:cs="Times New Roman"/>
                <w:sz w:val="24"/>
                <w:szCs w:val="24"/>
                <w:shd w:val="clear" w:color="auto" w:fill="FFFFFF"/>
              </w:rPr>
              <w:t xml:space="preserve"> daļ</w:t>
            </w:r>
            <w:r>
              <w:rPr>
                <w:rFonts w:ascii="Times New Roman" w:hAnsi="Times New Roman" w:cs="Times New Roman"/>
                <w:sz w:val="24"/>
                <w:szCs w:val="24"/>
                <w:shd w:val="clear" w:color="auto" w:fill="FFFFFF"/>
              </w:rPr>
              <w:t>a</w:t>
            </w:r>
            <w:r w:rsidR="00A16A65">
              <w:rPr>
                <w:rFonts w:ascii="Times New Roman" w:hAnsi="Times New Roman" w:cs="Times New Roman"/>
                <w:sz w:val="24"/>
                <w:szCs w:val="24"/>
                <w:shd w:val="clear" w:color="auto" w:fill="FFFFFF"/>
              </w:rPr>
              <w:t>,</w:t>
            </w:r>
            <w:r w:rsidRPr="0039127D">
              <w:rPr>
                <w:rFonts w:ascii="Times New Roman" w:hAnsi="Times New Roman" w:cs="Times New Roman"/>
                <w:sz w:val="24"/>
                <w:szCs w:val="24"/>
                <w:shd w:val="clear" w:color="auto" w:fill="FFFFFF"/>
              </w:rPr>
              <w:t>16.panta pirmās daļas 1., 8. un 11.punkt</w:t>
            </w:r>
            <w:r w:rsidR="00A16A65">
              <w:rPr>
                <w:rFonts w:ascii="Times New Roman" w:hAnsi="Times New Roman" w:cs="Times New Roman"/>
                <w:sz w:val="24"/>
                <w:szCs w:val="24"/>
                <w:shd w:val="clear" w:color="auto" w:fill="FFFFFF"/>
              </w:rPr>
              <w:t>s;</w:t>
            </w:r>
          </w:p>
          <w:p w14:paraId="19CDEC9F" w14:textId="576C9F2E" w:rsidR="005A2925" w:rsidRPr="006D573E" w:rsidRDefault="009B6966" w:rsidP="00A16A65">
            <w:pPr>
              <w:spacing w:after="0" w:line="240" w:lineRule="auto"/>
              <w:ind w:left="57" w:right="57"/>
              <w:jc w:val="both"/>
              <w:rPr>
                <w:rFonts w:ascii="Times New Roman" w:hAnsi="Times New Roman" w:cs="Times New Roman"/>
                <w:sz w:val="24"/>
                <w:szCs w:val="24"/>
                <w:shd w:val="clear" w:color="auto" w:fill="FFFFFF"/>
              </w:rPr>
            </w:pPr>
            <w:r w:rsidRPr="00535C67">
              <w:rPr>
                <w:rFonts w:ascii="Times New Roman" w:hAnsi="Times New Roman" w:cs="Times New Roman"/>
                <w:sz w:val="24"/>
                <w:szCs w:val="24"/>
                <w:shd w:val="clear" w:color="auto" w:fill="FFFFFF"/>
              </w:rPr>
              <w:t xml:space="preserve">Padomes 1999. gada 21. jūnija </w:t>
            </w:r>
            <w:r w:rsidR="006D5708">
              <w:rPr>
                <w:rFonts w:ascii="Times New Roman" w:hAnsi="Times New Roman" w:cs="Times New Roman"/>
                <w:sz w:val="24"/>
                <w:szCs w:val="24"/>
                <w:shd w:val="clear" w:color="auto" w:fill="FFFFFF"/>
              </w:rPr>
              <w:t>Regulas</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(EK) Nr. 1260/1999, kas nosaka vispārīgus noteikumus par struktūrfondiem, 38.punkta 6.</w:t>
            </w:r>
            <w:r w:rsidR="006D5708">
              <w:rPr>
                <w:rFonts w:ascii="Times New Roman" w:hAnsi="Times New Roman" w:cs="Times New Roman"/>
                <w:sz w:val="24"/>
                <w:szCs w:val="24"/>
                <w:shd w:val="clear" w:color="auto" w:fill="FFFFFF"/>
              </w:rPr>
              <w:t>punkts</w:t>
            </w:r>
          </w:p>
        </w:tc>
      </w:tr>
      <w:tr w:rsidR="00CC1A56" w:rsidRPr="00DD49B6" w14:paraId="5E9BDED0" w14:textId="77777777" w:rsidTr="005A2925">
        <w:trPr>
          <w:trHeight w:val="472"/>
        </w:trPr>
        <w:tc>
          <w:tcPr>
            <w:tcW w:w="227" w:type="pct"/>
          </w:tcPr>
          <w:p w14:paraId="41EA85D9" w14:textId="3485C228" w:rsidR="00CC1A56" w:rsidRPr="00DD49B6" w:rsidRDefault="00CC1A56" w:rsidP="007D385B">
            <w:pPr>
              <w:pStyle w:val="naiskr"/>
              <w:spacing w:before="0" w:beforeAutospacing="0" w:after="0" w:afterAutospacing="0"/>
              <w:ind w:left="57" w:right="57"/>
              <w:jc w:val="center"/>
            </w:pPr>
            <w:r w:rsidRPr="00DD49B6">
              <w:t>2.</w:t>
            </w:r>
          </w:p>
        </w:tc>
        <w:tc>
          <w:tcPr>
            <w:tcW w:w="1789" w:type="pct"/>
          </w:tcPr>
          <w:p w14:paraId="5D1DB6DD" w14:textId="3DC36465" w:rsidR="00286219"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5BA7BB48" w14:textId="77777777" w:rsidR="00286219" w:rsidRPr="00286219" w:rsidRDefault="00286219" w:rsidP="00286219">
            <w:pPr>
              <w:rPr>
                <w:lang w:eastAsia="lv-LV"/>
              </w:rPr>
            </w:pPr>
          </w:p>
          <w:p w14:paraId="46404C5C" w14:textId="77777777" w:rsidR="00286219" w:rsidRPr="00286219" w:rsidRDefault="00286219" w:rsidP="00286219">
            <w:pPr>
              <w:rPr>
                <w:lang w:eastAsia="lv-LV"/>
              </w:rPr>
            </w:pPr>
          </w:p>
          <w:p w14:paraId="3CD2BBE9" w14:textId="77777777" w:rsidR="00286219" w:rsidRPr="00286219" w:rsidRDefault="00286219" w:rsidP="00286219">
            <w:pPr>
              <w:rPr>
                <w:lang w:eastAsia="lv-LV"/>
              </w:rPr>
            </w:pPr>
          </w:p>
          <w:p w14:paraId="69B154C6" w14:textId="77777777" w:rsidR="00286219" w:rsidRPr="00286219" w:rsidRDefault="00286219" w:rsidP="00286219">
            <w:pPr>
              <w:rPr>
                <w:lang w:eastAsia="lv-LV"/>
              </w:rPr>
            </w:pPr>
          </w:p>
          <w:p w14:paraId="5F11FFC9" w14:textId="77777777" w:rsidR="00286219" w:rsidRPr="00286219" w:rsidRDefault="00286219" w:rsidP="00286219">
            <w:pPr>
              <w:rPr>
                <w:lang w:eastAsia="lv-LV"/>
              </w:rPr>
            </w:pPr>
          </w:p>
          <w:p w14:paraId="0C09410F" w14:textId="77777777" w:rsidR="00286219" w:rsidRPr="00286219" w:rsidRDefault="00286219" w:rsidP="00286219">
            <w:pPr>
              <w:rPr>
                <w:lang w:eastAsia="lv-LV"/>
              </w:rPr>
            </w:pPr>
          </w:p>
          <w:p w14:paraId="714F2BCC" w14:textId="77777777" w:rsidR="00286219" w:rsidRPr="00286219" w:rsidRDefault="00286219" w:rsidP="00286219">
            <w:pPr>
              <w:rPr>
                <w:lang w:eastAsia="lv-LV"/>
              </w:rPr>
            </w:pPr>
          </w:p>
          <w:p w14:paraId="701360B9" w14:textId="77777777" w:rsidR="00286219" w:rsidRPr="00286219" w:rsidRDefault="00286219" w:rsidP="00286219">
            <w:pPr>
              <w:rPr>
                <w:lang w:eastAsia="lv-LV"/>
              </w:rPr>
            </w:pPr>
          </w:p>
          <w:p w14:paraId="6D273459" w14:textId="77777777" w:rsidR="00286219" w:rsidRPr="00286219" w:rsidRDefault="00286219" w:rsidP="00286219">
            <w:pPr>
              <w:rPr>
                <w:lang w:eastAsia="lv-LV"/>
              </w:rPr>
            </w:pPr>
          </w:p>
          <w:p w14:paraId="48A34524" w14:textId="77777777" w:rsidR="00286219" w:rsidRPr="00286219" w:rsidRDefault="00286219" w:rsidP="00286219">
            <w:pPr>
              <w:rPr>
                <w:lang w:eastAsia="lv-LV"/>
              </w:rPr>
            </w:pPr>
          </w:p>
          <w:p w14:paraId="0BEF5388" w14:textId="3AA055D6" w:rsidR="00286219" w:rsidRDefault="00286219" w:rsidP="00286219">
            <w:pPr>
              <w:rPr>
                <w:lang w:eastAsia="lv-LV"/>
              </w:rPr>
            </w:pPr>
          </w:p>
          <w:p w14:paraId="3409D1D4" w14:textId="77777777" w:rsidR="00CC1A56" w:rsidRPr="00286219" w:rsidRDefault="00CC1A56" w:rsidP="00286219">
            <w:pPr>
              <w:rPr>
                <w:lang w:eastAsia="lv-LV"/>
              </w:rPr>
            </w:pPr>
          </w:p>
        </w:tc>
        <w:tc>
          <w:tcPr>
            <w:tcW w:w="2984" w:type="pct"/>
          </w:tcPr>
          <w:p w14:paraId="57FD1EBD" w14:textId="77777777" w:rsidR="00535C67" w:rsidRPr="00535C67" w:rsidRDefault="00535C67" w:rsidP="00535C67">
            <w:pPr>
              <w:tabs>
                <w:tab w:val="left" w:pos="6444"/>
              </w:tabs>
              <w:spacing w:after="0" w:line="240" w:lineRule="auto"/>
              <w:ind w:left="142" w:right="141"/>
              <w:jc w:val="both"/>
              <w:rPr>
                <w:rFonts w:ascii="Times New Roman" w:hAnsi="Times New Roman" w:cs="Times New Roman"/>
                <w:sz w:val="24"/>
                <w:szCs w:val="24"/>
                <w:shd w:val="clear" w:color="auto" w:fill="FFFFFF"/>
              </w:rPr>
            </w:pPr>
            <w:r w:rsidRPr="00535C67">
              <w:rPr>
                <w:rFonts w:ascii="Times New Roman" w:hAnsi="Times New Roman" w:cs="Times New Roman"/>
                <w:sz w:val="24"/>
                <w:szCs w:val="24"/>
                <w:shd w:val="clear" w:color="auto" w:fill="FFFFFF"/>
              </w:rPr>
              <w:t xml:space="preserve">Padomes 1999. gada 21. jūnija </w:t>
            </w:r>
            <w:r w:rsidR="006D5708">
              <w:rPr>
                <w:rFonts w:ascii="Times New Roman" w:hAnsi="Times New Roman" w:cs="Times New Roman"/>
                <w:sz w:val="24"/>
                <w:szCs w:val="24"/>
                <w:shd w:val="clear" w:color="auto" w:fill="FFFFFF"/>
              </w:rPr>
              <w:t>Regulas</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(EK) Nr. 1260/1999, kas nosaka vispārīgus noteikumus par struktūrfondiem, 38.punkta 6.</w:t>
            </w:r>
            <w:r w:rsidR="006D5708">
              <w:rPr>
                <w:rFonts w:ascii="Times New Roman" w:hAnsi="Times New Roman" w:cs="Times New Roman"/>
                <w:sz w:val="24"/>
                <w:szCs w:val="24"/>
                <w:shd w:val="clear" w:color="auto" w:fill="FFFFFF"/>
              </w:rPr>
              <w:t>punkts</w:t>
            </w:r>
            <w:r w:rsidRPr="00535C67">
              <w:rPr>
                <w:rFonts w:ascii="Times New Roman" w:hAnsi="Times New Roman" w:cs="Times New Roman"/>
                <w:sz w:val="24"/>
                <w:szCs w:val="24"/>
                <w:shd w:val="clear" w:color="auto" w:fill="FFFFFF"/>
              </w:rPr>
              <w:t xml:space="preserve"> paredz, ka trīs gadu laikā pēc galīgā </w:t>
            </w:r>
            <w:r w:rsidR="006D5708">
              <w:rPr>
                <w:rFonts w:ascii="Times New Roman" w:hAnsi="Times New Roman" w:cs="Times New Roman"/>
                <w:sz w:val="24"/>
                <w:szCs w:val="24"/>
                <w:shd w:val="clear" w:color="auto" w:fill="FFFFFF"/>
              </w:rPr>
              <w:t>saldo</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 xml:space="preserve">maksājuma, ko veic Komisija attiecībā uz jebkuru palīdzību, ja </w:t>
            </w:r>
            <w:r w:rsidR="006D5708">
              <w:rPr>
                <w:rFonts w:ascii="Times New Roman" w:hAnsi="Times New Roman" w:cs="Times New Roman"/>
                <w:sz w:val="24"/>
                <w:szCs w:val="24"/>
                <w:shd w:val="clear" w:color="auto" w:fill="FFFFFF"/>
              </w:rPr>
              <w:t xml:space="preserve">saskaņā ar </w:t>
            </w:r>
            <w:r w:rsidRPr="00535C67">
              <w:rPr>
                <w:rFonts w:ascii="Times New Roman" w:hAnsi="Times New Roman" w:cs="Times New Roman"/>
                <w:sz w:val="24"/>
                <w:szCs w:val="24"/>
                <w:shd w:val="clear" w:color="auto" w:fill="FFFFFF"/>
              </w:rPr>
              <w:t>divpusēj</w:t>
            </w:r>
            <w:r w:rsidR="006D5708">
              <w:rPr>
                <w:rFonts w:ascii="Times New Roman" w:hAnsi="Times New Roman" w:cs="Times New Roman"/>
                <w:sz w:val="24"/>
                <w:szCs w:val="24"/>
                <w:shd w:val="clear" w:color="auto" w:fill="FFFFFF"/>
              </w:rPr>
              <w:t>o</w:t>
            </w:r>
            <w:r w:rsidRPr="00535C67">
              <w:rPr>
                <w:rFonts w:ascii="Times New Roman" w:hAnsi="Times New Roman" w:cs="Times New Roman"/>
                <w:sz w:val="24"/>
                <w:szCs w:val="24"/>
                <w:shd w:val="clear" w:color="auto" w:fill="FFFFFF"/>
              </w:rPr>
              <w:t xml:space="preserve"> administratīv</w:t>
            </w:r>
            <w:r w:rsidR="006D5708">
              <w:rPr>
                <w:rFonts w:ascii="Times New Roman" w:hAnsi="Times New Roman" w:cs="Times New Roman"/>
                <w:sz w:val="24"/>
                <w:szCs w:val="24"/>
                <w:shd w:val="clear" w:color="auto" w:fill="FFFFFF"/>
              </w:rPr>
              <w:t>o</w:t>
            </w:r>
            <w:r w:rsidRPr="00535C67">
              <w:rPr>
                <w:rFonts w:ascii="Times New Roman" w:hAnsi="Times New Roman" w:cs="Times New Roman"/>
                <w:sz w:val="24"/>
                <w:szCs w:val="24"/>
                <w:shd w:val="clear" w:color="auto" w:fill="FFFFFF"/>
              </w:rPr>
              <w:t xml:space="preserve"> </w:t>
            </w:r>
            <w:r w:rsidR="006D5708">
              <w:rPr>
                <w:rFonts w:ascii="Times New Roman" w:hAnsi="Times New Roman" w:cs="Times New Roman"/>
                <w:sz w:val="24"/>
                <w:szCs w:val="24"/>
                <w:shd w:val="clear" w:color="auto" w:fill="FFFFFF"/>
              </w:rPr>
              <w:t>kārtību</w:t>
            </w:r>
            <w:r w:rsidR="006D5708" w:rsidRPr="00535C67">
              <w:rPr>
                <w:rFonts w:ascii="Times New Roman" w:hAnsi="Times New Roman" w:cs="Times New Roman"/>
                <w:sz w:val="24"/>
                <w:szCs w:val="24"/>
                <w:shd w:val="clear" w:color="auto" w:fill="FFFFFF"/>
              </w:rPr>
              <w:t xml:space="preserve"> </w:t>
            </w:r>
            <w:r w:rsidR="006D5708">
              <w:rPr>
                <w:rFonts w:ascii="Times New Roman" w:hAnsi="Times New Roman" w:cs="Times New Roman"/>
                <w:sz w:val="24"/>
                <w:szCs w:val="24"/>
                <w:shd w:val="clear" w:color="auto" w:fill="FFFFFF"/>
              </w:rPr>
              <w:t>nenolemj</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 xml:space="preserve">citādi, atbildīgās iestādes saglabā visus izdevumus attaisnojošos dokumentus (oriģinālus vai kopijas uz vispāratzītiem informācijas nesējiem, kuru atbilstība oriģinālam ir apliecināta) un kvītis saistībā ar šo palīdzību, lai tās būtu pieejamas Komisijai. </w:t>
            </w:r>
          </w:p>
          <w:p w14:paraId="24912C6D" w14:textId="5ED82F61" w:rsidR="00535C67" w:rsidRDefault="00535C67" w:rsidP="00A05F19">
            <w:pPr>
              <w:tabs>
                <w:tab w:val="left" w:pos="6444"/>
              </w:tabs>
              <w:spacing w:after="0" w:line="240" w:lineRule="auto"/>
              <w:ind w:left="142" w:right="141"/>
              <w:jc w:val="both"/>
              <w:rPr>
                <w:rFonts w:ascii="Times New Roman" w:hAnsi="Times New Roman" w:cs="Times New Roman"/>
                <w:sz w:val="24"/>
                <w:szCs w:val="24"/>
                <w:shd w:val="clear" w:color="auto" w:fill="FFFFFF"/>
              </w:rPr>
            </w:pPr>
            <w:r w:rsidRPr="00535C67">
              <w:rPr>
                <w:rFonts w:ascii="Times New Roman" w:hAnsi="Times New Roman" w:cs="Times New Roman"/>
                <w:sz w:val="24"/>
                <w:szCs w:val="24"/>
                <w:shd w:val="clear" w:color="auto" w:fill="FFFFFF"/>
              </w:rPr>
              <w:t xml:space="preserve">Ministru kabineta 2006.gada 27.jūnija noteikumu </w:t>
            </w:r>
            <w:r w:rsidR="001354DC">
              <w:t xml:space="preserve"> </w:t>
            </w:r>
            <w:r w:rsidR="001354DC" w:rsidRPr="001354DC">
              <w:rPr>
                <w:rFonts w:ascii="Times New Roman" w:hAnsi="Times New Roman" w:cs="Times New Roman"/>
                <w:sz w:val="24"/>
                <w:szCs w:val="24"/>
                <w:shd w:val="clear" w:color="auto" w:fill="FFFFFF"/>
              </w:rPr>
              <w:t>Nr.545 „Kārtība, kādā Eiropas Savienības struktūrfondu vadībā iesaistītās institūcijas nodrošina struktūrfondu ieviešanu un grozījumu izdarīšanu plānošanas dokumentos”</w:t>
            </w:r>
            <w:r w:rsidRPr="00535C67">
              <w:rPr>
                <w:rFonts w:ascii="Times New Roman" w:hAnsi="Times New Roman" w:cs="Times New Roman"/>
                <w:sz w:val="24"/>
                <w:szCs w:val="24"/>
                <w:shd w:val="clear" w:color="auto" w:fill="FFFFFF"/>
              </w:rPr>
              <w:t xml:space="preserve"> (turpmāk – MK noteikumi Nr.</w:t>
            </w:r>
            <w:r w:rsidR="001354DC">
              <w:rPr>
                <w:rFonts w:ascii="Times New Roman" w:hAnsi="Times New Roman" w:cs="Times New Roman"/>
                <w:sz w:val="24"/>
                <w:szCs w:val="24"/>
                <w:shd w:val="clear" w:color="auto" w:fill="FFFFFF"/>
              </w:rPr>
              <w:t>545</w:t>
            </w:r>
            <w:r w:rsidRPr="00535C67">
              <w:rPr>
                <w:rFonts w:ascii="Times New Roman" w:hAnsi="Times New Roman" w:cs="Times New Roman"/>
                <w:sz w:val="24"/>
                <w:szCs w:val="24"/>
                <w:shd w:val="clear" w:color="auto" w:fill="FFFFFF"/>
              </w:rPr>
              <w:t xml:space="preserve">) izstrādes laikā nebija iespējams noteikt konkrētu galīgā </w:t>
            </w:r>
            <w:r w:rsidR="006D5708">
              <w:rPr>
                <w:rFonts w:ascii="Times New Roman" w:hAnsi="Times New Roman" w:cs="Times New Roman"/>
                <w:sz w:val="24"/>
                <w:szCs w:val="24"/>
                <w:shd w:val="clear" w:color="auto" w:fill="FFFFFF"/>
              </w:rPr>
              <w:t>saldo</w:t>
            </w:r>
            <w:r w:rsidR="006D5708"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maksājuma iesniegšanas termiņu, līdz ar to MK noteikumos Nr.</w:t>
            </w:r>
            <w:r w:rsidR="001354DC" w:rsidRPr="00535C67">
              <w:rPr>
                <w:rFonts w:ascii="Times New Roman" w:hAnsi="Times New Roman" w:cs="Times New Roman"/>
                <w:sz w:val="24"/>
                <w:szCs w:val="24"/>
                <w:shd w:val="clear" w:color="auto" w:fill="FFFFFF"/>
              </w:rPr>
              <w:t>5</w:t>
            </w:r>
            <w:r w:rsidR="001354DC">
              <w:rPr>
                <w:rFonts w:ascii="Times New Roman" w:hAnsi="Times New Roman" w:cs="Times New Roman"/>
                <w:sz w:val="24"/>
                <w:szCs w:val="24"/>
                <w:shd w:val="clear" w:color="auto" w:fill="FFFFFF"/>
              </w:rPr>
              <w:t>45</w:t>
            </w:r>
            <w:r w:rsidR="001354DC" w:rsidRPr="00535C67">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 xml:space="preserve">tika noteikts maksimālais ar </w:t>
            </w:r>
            <w:r w:rsidR="00B830AD">
              <w:t xml:space="preserve"> </w:t>
            </w:r>
            <w:r w:rsidR="00B830AD" w:rsidRPr="00B830AD">
              <w:rPr>
                <w:rFonts w:ascii="Times New Roman" w:hAnsi="Times New Roman" w:cs="Times New Roman"/>
                <w:sz w:val="24"/>
                <w:szCs w:val="24"/>
                <w:shd w:val="clear" w:color="auto" w:fill="FFFFFF"/>
              </w:rPr>
              <w:t>Eiropas Savienības struktūrfondu</w:t>
            </w:r>
            <w:r w:rsidR="00A05F19">
              <w:rPr>
                <w:rFonts w:ascii="Times New Roman" w:hAnsi="Times New Roman" w:cs="Times New Roman"/>
                <w:sz w:val="24"/>
                <w:szCs w:val="24"/>
                <w:shd w:val="clear" w:color="auto" w:fill="FFFFFF"/>
              </w:rPr>
              <w:t xml:space="preserve"> (turpmāk – ES fondi)</w:t>
            </w:r>
            <w:r w:rsidR="00B830AD" w:rsidRPr="00B830AD">
              <w:rPr>
                <w:rFonts w:ascii="Times New Roman" w:hAnsi="Times New Roman" w:cs="Times New Roman"/>
                <w:sz w:val="24"/>
                <w:szCs w:val="24"/>
                <w:shd w:val="clear" w:color="auto" w:fill="FFFFFF"/>
              </w:rPr>
              <w:t xml:space="preserve"> </w:t>
            </w:r>
            <w:r w:rsidR="00B830AD">
              <w:rPr>
                <w:rFonts w:ascii="Times New Roman" w:hAnsi="Times New Roman" w:cs="Times New Roman"/>
                <w:sz w:val="24"/>
                <w:szCs w:val="24"/>
                <w:shd w:val="clear" w:color="auto" w:fill="FFFFFF"/>
              </w:rPr>
              <w:t xml:space="preserve"> </w:t>
            </w:r>
            <w:r w:rsidRPr="00535C67">
              <w:rPr>
                <w:rFonts w:ascii="Times New Roman" w:hAnsi="Times New Roman" w:cs="Times New Roman"/>
                <w:sz w:val="24"/>
                <w:szCs w:val="24"/>
                <w:shd w:val="clear" w:color="auto" w:fill="FFFFFF"/>
              </w:rPr>
              <w:t>projekta</w:t>
            </w:r>
            <w:r w:rsidR="00B830AD">
              <w:rPr>
                <w:rFonts w:ascii="Times New Roman" w:hAnsi="Times New Roman" w:cs="Times New Roman"/>
                <w:sz w:val="24"/>
                <w:szCs w:val="24"/>
                <w:shd w:val="clear" w:color="auto" w:fill="FFFFFF"/>
              </w:rPr>
              <w:t xml:space="preserve"> (turpmāk – projekts)</w:t>
            </w:r>
            <w:r w:rsidRPr="00535C67">
              <w:rPr>
                <w:rFonts w:ascii="Times New Roman" w:hAnsi="Times New Roman" w:cs="Times New Roman"/>
                <w:sz w:val="24"/>
                <w:szCs w:val="24"/>
                <w:shd w:val="clear" w:color="auto" w:fill="FFFFFF"/>
              </w:rPr>
              <w:t xml:space="preserve"> īstenošanu saistīto dokumentu glabāšanas termiņš – 2016.gada 31.decembris.</w:t>
            </w:r>
          </w:p>
          <w:p w14:paraId="0C99EDE9" w14:textId="30D9EB76" w:rsidR="00EB039C" w:rsidRPr="008E39AF" w:rsidRDefault="00EB039C" w:rsidP="00EB039C">
            <w:pPr>
              <w:tabs>
                <w:tab w:val="left" w:pos="6444"/>
              </w:tabs>
              <w:spacing w:after="0" w:line="240" w:lineRule="auto"/>
              <w:ind w:left="142" w:right="141"/>
              <w:jc w:val="both"/>
              <w:rPr>
                <w:rFonts w:ascii="Times New Roman" w:hAnsi="Times New Roman" w:cs="Times New Roman"/>
                <w:sz w:val="24"/>
                <w:szCs w:val="24"/>
                <w:shd w:val="clear" w:color="auto" w:fill="FFFFFF"/>
              </w:rPr>
            </w:pPr>
            <w:r w:rsidRPr="008E39AF">
              <w:rPr>
                <w:rFonts w:ascii="Times New Roman" w:hAnsi="Times New Roman" w:cs="Times New Roman"/>
                <w:sz w:val="24"/>
                <w:szCs w:val="24"/>
                <w:shd w:val="clear" w:color="auto" w:fill="FFFFFF"/>
              </w:rPr>
              <w:t>2011.gada jūnijā tika saņemts pirmais 2004.-2006. ES fondu ieviešanas perioda  noslēguma maksājums Eiropas Lauksaimniecības virzības un garantiju fonda virzības daļas ietvaros, 2011.gada decembra beigās saņemts otrais noslēguma maksājums Eiropas Sociālā fonda ietvaros, bet 2012.gada jūnijā saņemts Eiropas Reģionālās attīstības fonda  noslēguma maksājums.</w:t>
            </w:r>
          </w:p>
          <w:p w14:paraId="41C67AD0" w14:textId="77777777" w:rsidR="00294431" w:rsidRDefault="00E22D68" w:rsidP="00E22D6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E22D68">
              <w:rPr>
                <w:rFonts w:ascii="Times New Roman" w:hAnsi="Times New Roman" w:cs="Times New Roman"/>
                <w:sz w:val="24"/>
                <w:szCs w:val="24"/>
                <w:shd w:val="clear" w:color="auto" w:fill="FFFFFF"/>
              </w:rPr>
              <w:t xml:space="preserve">2012.gada 3.augustā tika saņemts pēdējais struktūrfondu noslēguma maksājums Zivsaimniecības vadības finanšu instrumenta ietvaros, </w:t>
            </w:r>
            <w:r w:rsidR="00294431">
              <w:t xml:space="preserve"> </w:t>
            </w:r>
            <w:r w:rsidR="00294431" w:rsidRPr="00294431">
              <w:rPr>
                <w:rFonts w:ascii="Times New Roman" w:hAnsi="Times New Roman" w:cs="Times New Roman"/>
                <w:sz w:val="24"/>
                <w:szCs w:val="24"/>
                <w:shd w:val="clear" w:color="auto" w:fill="FFFFFF"/>
              </w:rPr>
              <w:t xml:space="preserve">kas nozīmē, ka Latvija ir veiksmīgi apguvusi visus pieejamos līdzekļus šo fondu ietvaros un līdz ar to 2004.-2006.gada perioda </w:t>
            </w:r>
            <w:r w:rsidR="00294431" w:rsidRPr="00294431">
              <w:rPr>
                <w:rFonts w:ascii="Times New Roman" w:hAnsi="Times New Roman" w:cs="Times New Roman"/>
                <w:sz w:val="24"/>
                <w:szCs w:val="24"/>
                <w:shd w:val="clear" w:color="auto" w:fill="FFFFFF"/>
              </w:rPr>
              <w:lastRenderedPageBreak/>
              <w:t xml:space="preserve">ES struktūrfondu ieviešana ar minēto datumu tiek uzskatīta par pabeigtu. </w:t>
            </w:r>
          </w:p>
          <w:p w14:paraId="34F0E567" w14:textId="66BDA117" w:rsidR="00294431" w:rsidRPr="008E39AF" w:rsidRDefault="00294431" w:rsidP="00E22D6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8E39AF">
              <w:rPr>
                <w:rFonts w:ascii="Times New Roman" w:hAnsi="Times New Roman" w:cs="Times New Roman"/>
                <w:sz w:val="24"/>
                <w:szCs w:val="24"/>
                <w:shd w:val="clear" w:color="auto" w:fill="FFFFFF"/>
              </w:rPr>
              <w:t>Ņemot vērā to, ka atbilstoši regulas Nr.1260/1999 2.pantam jēdziens “struktūrfondi” nozīmē Eiropas Reģionālās attīstības fondu, Eiropas Sociālo fondu, Eiropas Lauksaimniecības vadības un garantiju fondu, Vadības nodaļu un Zivsaimniecības vadības finansēšanas fondu, lai nodrošinātu vienotu pieeju, trīs gadu dokumentu glabāšanas termiņš rēķināms no 2012.gada 3.augusta un sanāk īsāks, nekā bija sākotnēji paredzēts MK noteikumos Nr.545.</w:t>
            </w:r>
          </w:p>
          <w:p w14:paraId="181AFE56" w14:textId="3F3A1E6B" w:rsidR="00402608" w:rsidRPr="001679C6" w:rsidRDefault="00E22D68" w:rsidP="00F37B9A">
            <w:pPr>
              <w:tabs>
                <w:tab w:val="left" w:pos="6444"/>
              </w:tabs>
              <w:spacing w:after="0" w:line="240" w:lineRule="auto"/>
              <w:ind w:left="142" w:right="141"/>
              <w:jc w:val="both"/>
              <w:rPr>
                <w:rFonts w:ascii="Times New Roman" w:hAnsi="Times New Roman" w:cs="Times New Roman"/>
                <w:sz w:val="24"/>
                <w:szCs w:val="24"/>
                <w:shd w:val="clear" w:color="auto" w:fill="FFFFFF"/>
              </w:rPr>
            </w:pPr>
            <w:r w:rsidRPr="00E22D68">
              <w:rPr>
                <w:rFonts w:ascii="Times New Roman" w:hAnsi="Times New Roman" w:cs="Times New Roman"/>
                <w:sz w:val="24"/>
                <w:szCs w:val="24"/>
                <w:shd w:val="clear" w:color="auto" w:fill="FFFFFF"/>
              </w:rPr>
              <w:t xml:space="preserve">Līdz ar to </w:t>
            </w:r>
            <w:r w:rsidR="006D5708">
              <w:rPr>
                <w:rFonts w:ascii="Times New Roman" w:hAnsi="Times New Roman" w:cs="Times New Roman"/>
                <w:sz w:val="24"/>
                <w:szCs w:val="24"/>
                <w:shd w:val="clear" w:color="auto" w:fill="FFFFFF"/>
              </w:rPr>
              <w:t xml:space="preserve">ir </w:t>
            </w:r>
            <w:r w:rsidR="0044195E">
              <w:rPr>
                <w:rFonts w:ascii="Times New Roman" w:hAnsi="Times New Roman" w:cs="Times New Roman"/>
                <w:sz w:val="24"/>
                <w:szCs w:val="24"/>
                <w:shd w:val="clear" w:color="auto" w:fill="FFFFFF"/>
              </w:rPr>
              <w:t xml:space="preserve">izstrādāts </w:t>
            </w:r>
            <w:r w:rsidR="007A2139">
              <w:t xml:space="preserve"> </w:t>
            </w:r>
            <w:r w:rsidR="007A2139" w:rsidRPr="007A2139">
              <w:rPr>
                <w:rFonts w:ascii="Times New Roman" w:hAnsi="Times New Roman" w:cs="Times New Roman"/>
                <w:sz w:val="24"/>
                <w:szCs w:val="24"/>
                <w:shd w:val="clear" w:color="auto" w:fill="FFFFFF"/>
              </w:rPr>
              <w:t>Ministru kabineta noteikumu projekt</w:t>
            </w:r>
            <w:r w:rsidR="007A2139">
              <w:rPr>
                <w:rFonts w:ascii="Times New Roman" w:hAnsi="Times New Roman" w:cs="Times New Roman"/>
                <w:sz w:val="24"/>
                <w:szCs w:val="24"/>
                <w:shd w:val="clear" w:color="auto" w:fill="FFFFFF"/>
              </w:rPr>
              <w:t>s</w:t>
            </w:r>
            <w:r w:rsidR="007A2139" w:rsidRPr="007A2139">
              <w:rPr>
                <w:rFonts w:ascii="Times New Roman" w:hAnsi="Times New Roman" w:cs="Times New Roman"/>
                <w:sz w:val="24"/>
                <w:szCs w:val="24"/>
                <w:shd w:val="clear" w:color="auto" w:fill="FFFFFF"/>
              </w:rPr>
              <w:t xml:space="preserve"> „</w:t>
            </w:r>
            <w:r w:rsidR="00A02BDB" w:rsidRPr="00A02BDB">
              <w:rPr>
                <w:rFonts w:ascii="Times New Roman" w:hAnsi="Times New Roman" w:cs="Times New Roman"/>
                <w:sz w:val="24"/>
                <w:szCs w:val="24"/>
                <w:shd w:val="clear" w:color="auto" w:fill="FFFFFF"/>
              </w:rPr>
              <w:t>Grozījums Ministru kabineta 2006.gada 27.jūnija noteikumos Nr.545 „Kārtība, kādā Eiropas Savienības struktūrfondu vadībā iesaistītās institūcijas nodrošina struktūrfondu ieviešanu un grozījumu izdarīšanu plānošanas dokumentos</w:t>
            </w:r>
            <w:r w:rsidR="007A2139" w:rsidRPr="007A2139">
              <w:rPr>
                <w:rFonts w:ascii="Times New Roman" w:hAnsi="Times New Roman" w:cs="Times New Roman"/>
                <w:sz w:val="24"/>
                <w:szCs w:val="24"/>
                <w:shd w:val="clear" w:color="auto" w:fill="FFFFFF"/>
              </w:rPr>
              <w:t>”</w:t>
            </w:r>
            <w:r w:rsidR="007A2139">
              <w:rPr>
                <w:rFonts w:ascii="Times New Roman" w:hAnsi="Times New Roman" w:cs="Times New Roman"/>
                <w:sz w:val="24"/>
                <w:szCs w:val="24"/>
                <w:shd w:val="clear" w:color="auto" w:fill="FFFFFF"/>
              </w:rPr>
              <w:t xml:space="preserve"> (turpmāk – MK notiekamu projekts), kas paredz noteikt, ka </w:t>
            </w:r>
            <w:r w:rsidR="00A02BDB">
              <w:rPr>
                <w:rFonts w:ascii="Times New Roman" w:hAnsi="Times New Roman" w:cs="Times New Roman"/>
                <w:sz w:val="24"/>
                <w:szCs w:val="24"/>
                <w:shd w:val="clear" w:color="auto" w:fill="FFFFFF"/>
              </w:rPr>
              <w:t>s</w:t>
            </w:r>
            <w:r w:rsidR="00A02BDB" w:rsidRPr="00A02BDB">
              <w:rPr>
                <w:rFonts w:ascii="Times New Roman" w:hAnsi="Times New Roman" w:cs="Times New Roman"/>
                <w:sz w:val="24"/>
                <w:szCs w:val="24"/>
                <w:shd w:val="clear" w:color="auto" w:fill="FFFFFF"/>
              </w:rPr>
              <w:t xml:space="preserve">truktūrfonda finansējuma saņēmējs un granta finansējuma saņēmējs līdz </w:t>
            </w:r>
            <w:r w:rsidR="00F37B9A" w:rsidRPr="00A02BDB">
              <w:rPr>
                <w:rFonts w:ascii="Times New Roman" w:hAnsi="Times New Roman" w:cs="Times New Roman"/>
                <w:sz w:val="24"/>
                <w:szCs w:val="24"/>
                <w:shd w:val="clear" w:color="auto" w:fill="FFFFFF"/>
              </w:rPr>
              <w:t>201</w:t>
            </w:r>
            <w:r w:rsidR="00F37B9A">
              <w:rPr>
                <w:rFonts w:ascii="Times New Roman" w:hAnsi="Times New Roman" w:cs="Times New Roman"/>
                <w:sz w:val="24"/>
                <w:szCs w:val="24"/>
                <w:shd w:val="clear" w:color="auto" w:fill="FFFFFF"/>
              </w:rPr>
              <w:t>5</w:t>
            </w:r>
            <w:r w:rsidR="00A02BDB" w:rsidRPr="00A02BDB">
              <w:rPr>
                <w:rFonts w:ascii="Times New Roman" w:hAnsi="Times New Roman" w:cs="Times New Roman"/>
                <w:sz w:val="24"/>
                <w:szCs w:val="24"/>
                <w:shd w:val="clear" w:color="auto" w:fill="FFFFFF"/>
              </w:rPr>
              <w:t xml:space="preserve">.gada </w:t>
            </w:r>
            <w:r w:rsidR="00F37B9A">
              <w:rPr>
                <w:rFonts w:ascii="Times New Roman" w:hAnsi="Times New Roman" w:cs="Times New Roman"/>
                <w:sz w:val="24"/>
                <w:szCs w:val="24"/>
                <w:shd w:val="clear" w:color="auto" w:fill="FFFFFF"/>
              </w:rPr>
              <w:t>3.augustam</w:t>
            </w:r>
            <w:r w:rsidR="00A02BDB" w:rsidRPr="00A02BDB">
              <w:rPr>
                <w:rFonts w:ascii="Times New Roman" w:hAnsi="Times New Roman" w:cs="Times New Roman"/>
                <w:sz w:val="24"/>
                <w:szCs w:val="24"/>
                <w:shd w:val="clear" w:color="auto" w:fill="FFFFFF"/>
              </w:rPr>
              <w:t xml:space="preserve"> glabā visus ar projekta īstenošanu saistītos dokumentu oriģinālus, tai skaitā jebkuru ar projektu saistīto korespondenci, sludinājumus, nolikumus, darbu un piegāžu veicēju, pakalpojumu sniedzēju piedāvājumus un piedāvājumu vērtēšanas dokumentāciju, projekta ietvaros noslēgto līgumu dokumentāciju un jebkuru ar līgumiem saistīto korespondenci, veikto darbu, piegāžu un pakalpojumu, kā arī veikto maksājumu apliecinošo dokumentāciju.</w:t>
            </w:r>
          </w:p>
        </w:tc>
      </w:tr>
      <w:tr w:rsidR="00CC1A56" w:rsidRPr="00DD49B6" w14:paraId="7FF9173F" w14:textId="77777777" w:rsidTr="005A2925">
        <w:trPr>
          <w:trHeight w:val="476"/>
        </w:trPr>
        <w:tc>
          <w:tcPr>
            <w:tcW w:w="227" w:type="pct"/>
          </w:tcPr>
          <w:p w14:paraId="1CBFCCE6" w14:textId="77777777" w:rsidR="00CC1A56" w:rsidRPr="00DD49B6" w:rsidRDefault="00CC1A56" w:rsidP="007D385B">
            <w:pPr>
              <w:pStyle w:val="naiskr"/>
              <w:spacing w:before="0" w:beforeAutospacing="0" w:after="0" w:afterAutospacing="0"/>
              <w:ind w:left="57" w:right="57"/>
              <w:jc w:val="center"/>
            </w:pPr>
            <w:r w:rsidRPr="00DD49B6">
              <w:lastRenderedPageBreak/>
              <w:t>3.</w:t>
            </w:r>
          </w:p>
        </w:tc>
        <w:tc>
          <w:tcPr>
            <w:tcW w:w="1789" w:type="pct"/>
          </w:tcPr>
          <w:p w14:paraId="05244649"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2984" w:type="pct"/>
          </w:tcPr>
          <w:p w14:paraId="5BA910DF" w14:textId="77777777" w:rsidR="00CC1A56" w:rsidRPr="0093520F" w:rsidRDefault="005D1946" w:rsidP="00E214A4">
            <w:pPr>
              <w:spacing w:after="0" w:line="240" w:lineRule="auto"/>
              <w:ind w:left="142" w:right="57"/>
              <w:rPr>
                <w:rFonts w:ascii="Times New Roman" w:hAnsi="Times New Roman" w:cs="Times New Roman"/>
                <w:b/>
                <w:sz w:val="24"/>
                <w:szCs w:val="24"/>
              </w:rPr>
            </w:pPr>
            <w:r>
              <w:rPr>
                <w:rFonts w:ascii="Times New Roman" w:hAnsi="Times New Roman" w:cs="Times New Roman"/>
                <w:sz w:val="24"/>
                <w:szCs w:val="24"/>
              </w:rPr>
              <w:t>Finanšu ministrija</w:t>
            </w:r>
          </w:p>
        </w:tc>
      </w:tr>
      <w:tr w:rsidR="00CC1A56" w:rsidRPr="003919EB" w14:paraId="7AF9CA43" w14:textId="77777777" w:rsidTr="005A2925">
        <w:tc>
          <w:tcPr>
            <w:tcW w:w="227" w:type="pct"/>
          </w:tcPr>
          <w:p w14:paraId="11FDBCBB" w14:textId="77777777" w:rsidR="00CC1A56" w:rsidRPr="004863B9" w:rsidRDefault="00CC1A56" w:rsidP="007D385B">
            <w:pPr>
              <w:pStyle w:val="naiskr"/>
              <w:spacing w:before="0" w:beforeAutospacing="0" w:after="0" w:afterAutospacing="0"/>
              <w:ind w:left="57" w:right="57"/>
              <w:jc w:val="center"/>
            </w:pPr>
            <w:r w:rsidRPr="004863B9">
              <w:t>4.</w:t>
            </w:r>
          </w:p>
        </w:tc>
        <w:tc>
          <w:tcPr>
            <w:tcW w:w="1789" w:type="pct"/>
          </w:tcPr>
          <w:p w14:paraId="4E3E1AB0" w14:textId="77777777" w:rsidR="00CC1A56" w:rsidRPr="004863B9" w:rsidRDefault="00CC1A56" w:rsidP="007D385B">
            <w:pPr>
              <w:pStyle w:val="naiskr"/>
              <w:spacing w:before="0" w:beforeAutospacing="0" w:after="0" w:afterAutospacing="0"/>
              <w:ind w:left="57" w:right="57"/>
            </w:pPr>
            <w:r w:rsidRPr="004863B9">
              <w:t>Cita informācija</w:t>
            </w:r>
          </w:p>
        </w:tc>
        <w:tc>
          <w:tcPr>
            <w:tcW w:w="2984" w:type="pct"/>
          </w:tcPr>
          <w:p w14:paraId="3F92BA17" w14:textId="4B680AF4" w:rsidR="00CC1A56" w:rsidRPr="008E39AF" w:rsidRDefault="00101C1A" w:rsidP="00A34FC6">
            <w:pPr>
              <w:pStyle w:val="naiskr"/>
              <w:spacing w:before="0" w:beforeAutospacing="0" w:after="0" w:afterAutospacing="0"/>
              <w:ind w:right="57"/>
              <w:jc w:val="both"/>
            </w:pPr>
            <w:bookmarkStart w:id="0" w:name="_GoBack"/>
            <w:r w:rsidRPr="008E39AF">
              <w:rPr>
                <w:color w:val="000000"/>
              </w:rPr>
              <w:t>MK noteikumu projekts attiecās uz ES fondu 2004. - 2006.gada ieviešanas periodu, uz kuru atbilstoši   Padomes 2006. gada 11. jūnija Regulas (EK) Nr.1083/2006, ar ko paredz vispārīgus noteikumus par Eiropas Reģionālās attīstības fondu, Eiropas Sociālo fondu un Kohēzijas fondu un atceļ Regulu (EK) Nr. 1260/1999, 105. pantam attiecināma  regula Nr.1260/1999.</w:t>
            </w:r>
            <w:bookmarkEnd w:id="0"/>
          </w:p>
        </w:tc>
      </w:tr>
    </w:tbl>
    <w:p w14:paraId="5BD1583C" w14:textId="77777777" w:rsidR="00CC1A56" w:rsidRPr="003919EB" w:rsidRDefault="00CC1A56" w:rsidP="00CC1A56">
      <w:pPr>
        <w:spacing w:after="0" w:line="240" w:lineRule="auto"/>
        <w:rPr>
          <w:rFonts w:ascii="Times New Roman" w:hAnsi="Times New Roman" w:cs="Times New Roman"/>
          <w:sz w:val="24"/>
          <w:szCs w:val="24"/>
          <w:highlight w:val="yellow"/>
        </w:rPr>
      </w:pPr>
    </w:p>
    <w:p w14:paraId="0932E538" w14:textId="77777777" w:rsidR="00445A9C" w:rsidRDefault="00445A9C" w:rsidP="00CC1A56">
      <w:pPr>
        <w:spacing w:after="0" w:line="240" w:lineRule="auto"/>
        <w:rPr>
          <w:rFonts w:ascii="Times New Roman" w:hAnsi="Times New Roman" w:cs="Times New Roman"/>
          <w:sz w:val="24"/>
          <w:szCs w:val="24"/>
        </w:rPr>
      </w:pPr>
    </w:p>
    <w:p w14:paraId="00904CA5" w14:textId="77777777" w:rsidR="005574A3" w:rsidRDefault="005574A3" w:rsidP="00CC1A56">
      <w:pPr>
        <w:spacing w:after="0" w:line="240" w:lineRule="auto"/>
        <w:rPr>
          <w:rFonts w:ascii="Times New Roman" w:hAnsi="Times New Roman" w:cs="Times New Roman"/>
          <w:sz w:val="24"/>
          <w:szCs w:val="24"/>
        </w:rPr>
      </w:pPr>
    </w:p>
    <w:tbl>
      <w:tblPr>
        <w:tblpPr w:leftFromText="180" w:rightFromText="180" w:vertAnchor="text" w:horzAnchor="margin" w:tblpX="-289" w:tblpY="-156"/>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574A3" w:rsidRPr="003919EB" w14:paraId="172CBD82" w14:textId="77777777" w:rsidTr="005574A3">
        <w:trPr>
          <w:trHeight w:val="556"/>
        </w:trPr>
        <w:tc>
          <w:tcPr>
            <w:tcW w:w="9503" w:type="dxa"/>
            <w:gridSpan w:val="3"/>
            <w:vAlign w:val="center"/>
          </w:tcPr>
          <w:p w14:paraId="3AD90B5E" w14:textId="77777777" w:rsidR="005574A3" w:rsidRPr="00791E4E" w:rsidRDefault="005574A3" w:rsidP="005574A3">
            <w:pPr>
              <w:pStyle w:val="naisnod"/>
              <w:spacing w:before="0" w:beforeAutospacing="0" w:after="0" w:afterAutospacing="0"/>
              <w:ind w:left="57" w:right="57"/>
              <w:jc w:val="center"/>
              <w:rPr>
                <w:b/>
              </w:rPr>
            </w:pPr>
            <w:r w:rsidRPr="00791E4E">
              <w:rPr>
                <w:b/>
              </w:rPr>
              <w:lastRenderedPageBreak/>
              <w:t>II. Tiesību akta projekta ietekme uz sabiedrību, tautsaimniecības attīstību</w:t>
            </w:r>
          </w:p>
          <w:p w14:paraId="3395DC2F" w14:textId="77777777" w:rsidR="005574A3" w:rsidRPr="00791E4E" w:rsidRDefault="005574A3" w:rsidP="005574A3">
            <w:pPr>
              <w:pStyle w:val="naisnod"/>
              <w:spacing w:before="0" w:beforeAutospacing="0" w:after="0" w:afterAutospacing="0"/>
              <w:ind w:left="57" w:right="57"/>
              <w:jc w:val="center"/>
              <w:rPr>
                <w:b/>
              </w:rPr>
            </w:pPr>
            <w:r w:rsidRPr="00791E4E">
              <w:rPr>
                <w:b/>
              </w:rPr>
              <w:t>un administratīvo slogu</w:t>
            </w:r>
          </w:p>
        </w:tc>
      </w:tr>
      <w:tr w:rsidR="005574A3" w:rsidRPr="00DD49B6" w14:paraId="617F1F3D" w14:textId="77777777" w:rsidTr="005574A3">
        <w:trPr>
          <w:trHeight w:val="467"/>
        </w:trPr>
        <w:tc>
          <w:tcPr>
            <w:tcW w:w="431" w:type="dxa"/>
          </w:tcPr>
          <w:p w14:paraId="2A6EF42D" w14:textId="77777777" w:rsidR="005574A3" w:rsidRPr="00791E4E" w:rsidRDefault="005574A3" w:rsidP="005574A3">
            <w:pPr>
              <w:pStyle w:val="naiskr"/>
              <w:spacing w:before="0" w:beforeAutospacing="0" w:after="0" w:afterAutospacing="0"/>
              <w:ind w:left="57" w:right="57"/>
              <w:jc w:val="both"/>
            </w:pPr>
            <w:r w:rsidRPr="00791E4E">
              <w:t>1.</w:t>
            </w:r>
          </w:p>
        </w:tc>
        <w:tc>
          <w:tcPr>
            <w:tcW w:w="2976" w:type="dxa"/>
          </w:tcPr>
          <w:p w14:paraId="7D9A34EA" w14:textId="77777777" w:rsidR="005574A3" w:rsidRPr="00791E4E" w:rsidRDefault="005574A3" w:rsidP="005574A3">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1FECFBA8" w14:textId="06B73709" w:rsidR="005574A3" w:rsidRPr="00682E06" w:rsidRDefault="00014934" w:rsidP="00014934">
            <w:pPr>
              <w:shd w:val="clear" w:color="auto" w:fill="FFFFFF"/>
              <w:spacing w:after="0" w:line="240" w:lineRule="auto"/>
              <w:ind w:left="142" w:right="57"/>
              <w:jc w:val="both"/>
              <w:rPr>
                <w:rFonts w:ascii="Times New Roman" w:hAnsi="Times New Roman" w:cs="Times New Roman"/>
                <w:sz w:val="24"/>
                <w:szCs w:val="24"/>
              </w:rPr>
            </w:pPr>
            <w:r>
              <w:rPr>
                <w:rFonts w:ascii="Times New Roman" w:hAnsi="Times New Roman" w:cs="Times New Roman"/>
                <w:sz w:val="24"/>
                <w:szCs w:val="24"/>
              </w:rPr>
              <w:t>S</w:t>
            </w:r>
            <w:r w:rsidRPr="00014934">
              <w:rPr>
                <w:rFonts w:ascii="Times New Roman" w:hAnsi="Times New Roman" w:cs="Times New Roman"/>
                <w:sz w:val="24"/>
                <w:szCs w:val="24"/>
              </w:rPr>
              <w:t>truktūrfonda finansējuma saņēmēj</w:t>
            </w:r>
            <w:r>
              <w:rPr>
                <w:rFonts w:ascii="Times New Roman" w:hAnsi="Times New Roman" w:cs="Times New Roman"/>
                <w:sz w:val="24"/>
                <w:szCs w:val="24"/>
              </w:rPr>
              <w:t>i</w:t>
            </w:r>
            <w:r w:rsidRPr="00014934">
              <w:rPr>
                <w:rFonts w:ascii="Times New Roman" w:hAnsi="Times New Roman" w:cs="Times New Roman"/>
                <w:sz w:val="24"/>
                <w:szCs w:val="24"/>
              </w:rPr>
              <w:t xml:space="preserve"> un granta finansējuma saņēmēj</w:t>
            </w:r>
            <w:r>
              <w:rPr>
                <w:rFonts w:ascii="Times New Roman" w:hAnsi="Times New Roman" w:cs="Times New Roman"/>
                <w:sz w:val="24"/>
                <w:szCs w:val="24"/>
              </w:rPr>
              <w:t>i</w:t>
            </w:r>
          </w:p>
        </w:tc>
      </w:tr>
      <w:tr w:rsidR="005574A3" w:rsidRPr="00DD49B6" w14:paraId="297DF152" w14:textId="77777777" w:rsidTr="005574A3">
        <w:trPr>
          <w:trHeight w:val="523"/>
        </w:trPr>
        <w:tc>
          <w:tcPr>
            <w:tcW w:w="431" w:type="dxa"/>
          </w:tcPr>
          <w:p w14:paraId="64DE64BD" w14:textId="77777777" w:rsidR="005574A3" w:rsidRPr="00DD49B6" w:rsidRDefault="005574A3" w:rsidP="005574A3">
            <w:pPr>
              <w:pStyle w:val="naiskr"/>
              <w:spacing w:before="0" w:beforeAutospacing="0" w:after="0" w:afterAutospacing="0"/>
              <w:ind w:left="57" w:right="57"/>
              <w:jc w:val="both"/>
            </w:pPr>
            <w:r w:rsidRPr="00DD49B6">
              <w:t>2.</w:t>
            </w:r>
          </w:p>
        </w:tc>
        <w:tc>
          <w:tcPr>
            <w:tcW w:w="2976" w:type="dxa"/>
          </w:tcPr>
          <w:p w14:paraId="42CB90FC" w14:textId="77777777" w:rsidR="005574A3" w:rsidRPr="00DD49B6" w:rsidRDefault="005574A3" w:rsidP="005574A3">
            <w:pPr>
              <w:pStyle w:val="naiskr"/>
              <w:spacing w:before="0" w:beforeAutospacing="0" w:after="0" w:afterAutospacing="0"/>
              <w:ind w:left="57" w:right="57"/>
            </w:pPr>
            <w:r w:rsidRPr="00DD49B6">
              <w:t>Tiesiskā regulējuma ietekme uz tautsaimniecību un administratīvo slogu</w:t>
            </w:r>
          </w:p>
        </w:tc>
        <w:tc>
          <w:tcPr>
            <w:tcW w:w="6096" w:type="dxa"/>
          </w:tcPr>
          <w:p w14:paraId="1685E3B9" w14:textId="1EF335A4" w:rsidR="005574A3" w:rsidRPr="00D404FE" w:rsidRDefault="006D5708" w:rsidP="0097699D">
            <w:pPr>
              <w:shd w:val="clear" w:color="auto" w:fill="FFFFFF"/>
              <w:spacing w:after="0" w:line="240" w:lineRule="auto"/>
              <w:ind w:left="142" w:right="57"/>
              <w:jc w:val="both"/>
              <w:rPr>
                <w:rFonts w:ascii="Times New Roman" w:hAnsi="Times New Roman" w:cs="Times New Roman"/>
                <w:sz w:val="24"/>
                <w:szCs w:val="24"/>
                <w:lang w:eastAsia="lv-LV"/>
              </w:rPr>
            </w:pPr>
            <w:r w:rsidRPr="00E22D68">
              <w:rPr>
                <w:rFonts w:ascii="Times New Roman" w:hAnsi="Times New Roman" w:cs="Times New Roman"/>
                <w:sz w:val="24"/>
                <w:szCs w:val="24"/>
                <w:shd w:val="clear" w:color="auto" w:fill="FFFFFF"/>
              </w:rPr>
              <w:t>MK</w:t>
            </w:r>
            <w:r>
              <w:rPr>
                <w:rFonts w:ascii="Times New Roman" w:hAnsi="Times New Roman" w:cs="Times New Roman"/>
                <w:sz w:val="24"/>
                <w:szCs w:val="24"/>
                <w:shd w:val="clear" w:color="auto" w:fill="FFFFFF"/>
              </w:rPr>
              <w:t xml:space="preserve"> </w:t>
            </w:r>
            <w:r w:rsidRPr="00E22D68">
              <w:rPr>
                <w:rFonts w:ascii="Times New Roman" w:hAnsi="Times New Roman" w:cs="Times New Roman"/>
                <w:sz w:val="24"/>
                <w:szCs w:val="24"/>
                <w:shd w:val="clear" w:color="auto" w:fill="FFFFFF"/>
              </w:rPr>
              <w:t>noteikumu projektā ietvertais regulējums</w:t>
            </w:r>
            <w:r>
              <w:rPr>
                <w:rFonts w:ascii="Times New Roman" w:hAnsi="Times New Roman" w:cs="Times New Roman"/>
                <w:sz w:val="24"/>
                <w:szCs w:val="24"/>
                <w:shd w:val="clear" w:color="auto" w:fill="FFFFFF"/>
              </w:rPr>
              <w:t xml:space="preserve"> mazinās administratīvo slogu un</w:t>
            </w:r>
            <w:r w:rsidRPr="00E22D68">
              <w:rPr>
                <w:rFonts w:ascii="Times New Roman" w:hAnsi="Times New Roman" w:cs="Times New Roman"/>
                <w:sz w:val="24"/>
                <w:szCs w:val="24"/>
                <w:shd w:val="clear" w:color="auto" w:fill="FFFFFF"/>
              </w:rPr>
              <w:t xml:space="preserve"> ļaus ietaupīt resursus, kas </w:t>
            </w:r>
            <w:r w:rsidR="0097699D">
              <w:rPr>
                <w:rFonts w:ascii="Times New Roman" w:hAnsi="Times New Roman" w:cs="Times New Roman"/>
                <w:sz w:val="24"/>
                <w:szCs w:val="24"/>
                <w:shd w:val="clear" w:color="auto" w:fill="FFFFFF"/>
              </w:rPr>
              <w:t>varētu tikt</w:t>
            </w:r>
            <w:r w:rsidRPr="00E22D68">
              <w:rPr>
                <w:rFonts w:ascii="Times New Roman" w:hAnsi="Times New Roman" w:cs="Times New Roman"/>
                <w:sz w:val="24"/>
                <w:szCs w:val="24"/>
                <w:shd w:val="clear" w:color="auto" w:fill="FFFFFF"/>
              </w:rPr>
              <w:t xml:space="preserve"> tērēti ar projektu īstenošanu saist</w:t>
            </w:r>
            <w:r>
              <w:rPr>
                <w:rFonts w:ascii="Times New Roman" w:hAnsi="Times New Roman" w:cs="Times New Roman"/>
                <w:sz w:val="24"/>
                <w:szCs w:val="24"/>
                <w:shd w:val="clear" w:color="auto" w:fill="FFFFFF"/>
              </w:rPr>
              <w:t>ī</w:t>
            </w:r>
            <w:r w:rsidRPr="00E22D68">
              <w:rPr>
                <w:rFonts w:ascii="Times New Roman" w:hAnsi="Times New Roman" w:cs="Times New Roman"/>
                <w:sz w:val="24"/>
                <w:szCs w:val="24"/>
                <w:shd w:val="clear" w:color="auto" w:fill="FFFFFF"/>
              </w:rPr>
              <w:t>to dokumentu glabāšan</w:t>
            </w:r>
            <w:r>
              <w:rPr>
                <w:rFonts w:ascii="Times New Roman" w:hAnsi="Times New Roman" w:cs="Times New Roman"/>
                <w:sz w:val="24"/>
                <w:szCs w:val="24"/>
                <w:shd w:val="clear" w:color="auto" w:fill="FFFFFF"/>
              </w:rPr>
              <w:t>ai.</w:t>
            </w:r>
          </w:p>
        </w:tc>
      </w:tr>
      <w:tr w:rsidR="005574A3" w:rsidRPr="00DD49B6" w14:paraId="126FB6BB" w14:textId="77777777" w:rsidTr="005574A3">
        <w:trPr>
          <w:trHeight w:val="523"/>
        </w:trPr>
        <w:tc>
          <w:tcPr>
            <w:tcW w:w="431" w:type="dxa"/>
            <w:tcBorders>
              <w:bottom w:val="single" w:sz="4" w:space="0" w:color="auto"/>
            </w:tcBorders>
          </w:tcPr>
          <w:p w14:paraId="5F9FAAB5" w14:textId="77777777" w:rsidR="005574A3" w:rsidRPr="00DD49B6" w:rsidRDefault="005574A3" w:rsidP="005574A3">
            <w:pPr>
              <w:pStyle w:val="naiskr"/>
              <w:spacing w:before="0" w:beforeAutospacing="0" w:after="0" w:afterAutospacing="0"/>
              <w:ind w:left="57" w:right="57"/>
              <w:jc w:val="both"/>
            </w:pPr>
            <w:r w:rsidRPr="00DD49B6">
              <w:t>3.</w:t>
            </w:r>
          </w:p>
        </w:tc>
        <w:tc>
          <w:tcPr>
            <w:tcW w:w="2976" w:type="dxa"/>
            <w:tcBorders>
              <w:bottom w:val="single" w:sz="4" w:space="0" w:color="auto"/>
            </w:tcBorders>
          </w:tcPr>
          <w:p w14:paraId="0B64CC61" w14:textId="77777777" w:rsidR="005574A3" w:rsidRPr="00DD49B6" w:rsidRDefault="005574A3" w:rsidP="005574A3">
            <w:pPr>
              <w:pStyle w:val="naiskr"/>
              <w:spacing w:before="0" w:beforeAutospacing="0" w:after="0" w:afterAutospacing="0"/>
              <w:ind w:left="57" w:right="57"/>
            </w:pPr>
            <w:r w:rsidRPr="00DD49B6">
              <w:t>Administratīvo izmaksu monetārs novērtējums</w:t>
            </w:r>
          </w:p>
        </w:tc>
        <w:tc>
          <w:tcPr>
            <w:tcW w:w="6096" w:type="dxa"/>
            <w:tcBorders>
              <w:bottom w:val="single" w:sz="4" w:space="0" w:color="auto"/>
            </w:tcBorders>
          </w:tcPr>
          <w:p w14:paraId="35016AEC" w14:textId="77777777" w:rsidR="005574A3" w:rsidRPr="00DD49B6" w:rsidRDefault="005574A3" w:rsidP="005574A3">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5574A3" w:rsidRPr="00DD49B6" w14:paraId="6934FCAF" w14:textId="77777777" w:rsidTr="005574A3">
        <w:trPr>
          <w:trHeight w:val="316"/>
        </w:trPr>
        <w:tc>
          <w:tcPr>
            <w:tcW w:w="431" w:type="dxa"/>
            <w:tcBorders>
              <w:bottom w:val="single" w:sz="4" w:space="0" w:color="auto"/>
            </w:tcBorders>
          </w:tcPr>
          <w:p w14:paraId="62C1D2FD" w14:textId="77777777" w:rsidR="005574A3" w:rsidRPr="00DD49B6" w:rsidRDefault="005574A3" w:rsidP="005574A3">
            <w:pPr>
              <w:pStyle w:val="naiskr"/>
              <w:spacing w:before="0" w:beforeAutospacing="0" w:after="0" w:afterAutospacing="0"/>
              <w:ind w:left="57" w:right="57"/>
              <w:jc w:val="both"/>
            </w:pPr>
            <w:r w:rsidRPr="00DD49B6">
              <w:t>4.</w:t>
            </w:r>
          </w:p>
        </w:tc>
        <w:tc>
          <w:tcPr>
            <w:tcW w:w="2976" w:type="dxa"/>
            <w:tcBorders>
              <w:bottom w:val="single" w:sz="4" w:space="0" w:color="auto"/>
            </w:tcBorders>
          </w:tcPr>
          <w:p w14:paraId="40C81072" w14:textId="77777777" w:rsidR="005574A3" w:rsidRPr="00DD49B6" w:rsidRDefault="005574A3" w:rsidP="005574A3">
            <w:pPr>
              <w:pStyle w:val="naiskr"/>
              <w:spacing w:before="0" w:beforeAutospacing="0" w:after="0" w:afterAutospacing="0"/>
              <w:ind w:left="57" w:right="57"/>
            </w:pPr>
            <w:r w:rsidRPr="00DD49B6">
              <w:t>Cita informācija</w:t>
            </w:r>
          </w:p>
        </w:tc>
        <w:tc>
          <w:tcPr>
            <w:tcW w:w="6096" w:type="dxa"/>
            <w:tcBorders>
              <w:bottom w:val="single" w:sz="4" w:space="0" w:color="auto"/>
            </w:tcBorders>
          </w:tcPr>
          <w:p w14:paraId="562BCBC4" w14:textId="77777777" w:rsidR="005574A3" w:rsidRPr="00DD49B6" w:rsidRDefault="005574A3" w:rsidP="005574A3">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r w:rsidR="005574A3" w:rsidRPr="00DD49B6" w14:paraId="07CE11BC" w14:textId="77777777" w:rsidTr="005574A3">
        <w:trPr>
          <w:trHeight w:val="357"/>
        </w:trPr>
        <w:tc>
          <w:tcPr>
            <w:tcW w:w="9503" w:type="dxa"/>
            <w:gridSpan w:val="3"/>
            <w:tcBorders>
              <w:top w:val="single" w:sz="4" w:space="0" w:color="auto"/>
              <w:left w:val="nil"/>
              <w:bottom w:val="nil"/>
              <w:right w:val="nil"/>
            </w:tcBorders>
          </w:tcPr>
          <w:p w14:paraId="30CEC7A7" w14:textId="77777777" w:rsidR="005574A3" w:rsidRPr="004336DC" w:rsidRDefault="005574A3" w:rsidP="005574A3">
            <w:pPr>
              <w:shd w:val="clear" w:color="auto" w:fill="FFFFFF"/>
              <w:spacing w:after="0" w:line="240" w:lineRule="auto"/>
              <w:ind w:left="142" w:right="57"/>
              <w:rPr>
                <w:rFonts w:ascii="Times New Roman" w:hAnsi="Times New Roman" w:cs="Times New Roman"/>
              </w:rPr>
            </w:pPr>
          </w:p>
        </w:tc>
      </w:tr>
    </w:tbl>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867694" w:rsidRPr="00867694" w14:paraId="7E33658D" w14:textId="77777777" w:rsidTr="00A45ACD">
        <w:trPr>
          <w:trHeight w:val="461"/>
          <w:jc w:val="center"/>
        </w:trPr>
        <w:tc>
          <w:tcPr>
            <w:tcW w:w="9511" w:type="dxa"/>
            <w:gridSpan w:val="3"/>
            <w:vAlign w:val="center"/>
          </w:tcPr>
          <w:p w14:paraId="078B1864" w14:textId="77777777" w:rsidR="00867694" w:rsidRPr="00867694" w:rsidRDefault="00867694" w:rsidP="00867694">
            <w:pPr>
              <w:spacing w:after="0" w:line="240" w:lineRule="auto"/>
              <w:rPr>
                <w:rFonts w:ascii="Times New Roman" w:hAnsi="Times New Roman" w:cs="Times New Roman"/>
                <w:b/>
                <w:sz w:val="24"/>
                <w:szCs w:val="24"/>
              </w:rPr>
            </w:pPr>
            <w:r w:rsidRPr="00867694">
              <w:rPr>
                <w:rFonts w:ascii="Times New Roman" w:hAnsi="Times New Roman" w:cs="Times New Roman"/>
                <w:sz w:val="24"/>
                <w:szCs w:val="24"/>
              </w:rPr>
              <w:br w:type="page"/>
            </w:r>
            <w:r w:rsidRPr="00867694">
              <w:rPr>
                <w:rFonts w:ascii="Times New Roman" w:hAnsi="Times New Roman" w:cs="Times New Roman"/>
                <w:b/>
                <w:sz w:val="24"/>
                <w:szCs w:val="24"/>
              </w:rPr>
              <w:t>IV. Tiesību akta projekta ietekme uz spēkā esošo tiesību normu sistēmu</w:t>
            </w:r>
          </w:p>
        </w:tc>
      </w:tr>
      <w:tr w:rsidR="00867694" w:rsidRPr="00867694" w14:paraId="40F6B2F5" w14:textId="77777777" w:rsidTr="00A45ACD">
        <w:trPr>
          <w:jc w:val="center"/>
        </w:trPr>
        <w:tc>
          <w:tcPr>
            <w:tcW w:w="470" w:type="dxa"/>
          </w:tcPr>
          <w:p w14:paraId="14CBDF64"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iCs/>
                <w:sz w:val="24"/>
                <w:szCs w:val="24"/>
              </w:rPr>
              <w:t>1.</w:t>
            </w:r>
          </w:p>
        </w:tc>
        <w:tc>
          <w:tcPr>
            <w:tcW w:w="2728" w:type="dxa"/>
          </w:tcPr>
          <w:p w14:paraId="6C45BAE5"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sz w:val="24"/>
                <w:szCs w:val="24"/>
              </w:rPr>
              <w:t>Nepieciešamie saistītie tiesību aktu projekti</w:t>
            </w:r>
          </w:p>
        </w:tc>
        <w:tc>
          <w:tcPr>
            <w:tcW w:w="6313" w:type="dxa"/>
          </w:tcPr>
          <w:p w14:paraId="4A1FCC8A" w14:textId="170CADC7" w:rsidR="00867694" w:rsidRPr="003F0AA6" w:rsidRDefault="00A36CDB" w:rsidP="008979D2">
            <w:pPr>
              <w:jc w:val="both"/>
              <w:rPr>
                <w:rFonts w:ascii="Times New Roman" w:hAnsi="Times New Roman" w:cs="Times New Roman"/>
                <w:sz w:val="24"/>
                <w:szCs w:val="24"/>
              </w:rPr>
            </w:pPr>
            <w:r w:rsidRPr="003F0AA6">
              <w:rPr>
                <w:rFonts w:ascii="Times New Roman" w:hAnsi="Times New Roman" w:cs="Times New Roman"/>
                <w:sz w:val="24"/>
                <w:szCs w:val="24"/>
              </w:rPr>
              <w:t xml:space="preserve">MK noteikumu projektu paredzēts virzīt </w:t>
            </w:r>
            <w:r w:rsidR="00001B9F">
              <w:rPr>
                <w:rFonts w:ascii="Times New Roman" w:hAnsi="Times New Roman" w:cs="Times New Roman"/>
                <w:sz w:val="24"/>
                <w:szCs w:val="24"/>
              </w:rPr>
              <w:t xml:space="preserve">vienlaicīgi ar </w:t>
            </w:r>
            <w:r w:rsidRPr="003F0AA6">
              <w:rPr>
                <w:rFonts w:ascii="Times New Roman" w:hAnsi="Times New Roman" w:cs="Times New Roman"/>
                <w:sz w:val="24"/>
                <w:szCs w:val="24"/>
              </w:rPr>
              <w:t>groz</w:t>
            </w:r>
            <w:r w:rsidR="00001B9F">
              <w:rPr>
                <w:rFonts w:ascii="Times New Roman" w:hAnsi="Times New Roman" w:cs="Times New Roman"/>
                <w:sz w:val="24"/>
                <w:szCs w:val="24"/>
              </w:rPr>
              <w:t>ījumiem</w:t>
            </w:r>
            <w:r w:rsidRPr="003F0AA6">
              <w:rPr>
                <w:rFonts w:ascii="Times New Roman" w:hAnsi="Times New Roman" w:cs="Times New Roman"/>
                <w:sz w:val="24"/>
                <w:szCs w:val="24"/>
              </w:rPr>
              <w:t xml:space="preserve"> </w:t>
            </w:r>
            <w:r w:rsidR="00F34AA1">
              <w:rPr>
                <w:rFonts w:ascii="Times New Roman" w:hAnsi="Times New Roman" w:cs="Times New Roman"/>
                <w:sz w:val="24"/>
                <w:szCs w:val="24"/>
              </w:rPr>
              <w:t>Ministru kabineta</w:t>
            </w:r>
            <w:r w:rsidR="0097699D" w:rsidRPr="003F0AA6">
              <w:rPr>
                <w:rFonts w:ascii="Times New Roman" w:hAnsi="Times New Roman" w:cs="Times New Roman"/>
                <w:sz w:val="24"/>
                <w:szCs w:val="24"/>
              </w:rPr>
              <w:t xml:space="preserve"> </w:t>
            </w:r>
            <w:r w:rsidRPr="003F0AA6">
              <w:rPr>
                <w:rFonts w:ascii="Times New Roman" w:hAnsi="Times New Roman" w:cs="Times New Roman"/>
                <w:sz w:val="24"/>
                <w:szCs w:val="24"/>
              </w:rPr>
              <w:t xml:space="preserve">2006.gada 27.jūnija </w:t>
            </w:r>
            <w:r w:rsidRPr="003F0AA6">
              <w:rPr>
                <w:rFonts w:ascii="Times New Roman" w:eastAsia="Times New Roman" w:hAnsi="Times New Roman" w:cs="Times New Roman"/>
                <w:bCs/>
                <w:sz w:val="24"/>
                <w:szCs w:val="24"/>
                <w:lang w:eastAsia="lv-LV"/>
              </w:rPr>
              <w:t xml:space="preserve">noteikumos </w:t>
            </w:r>
            <w:r w:rsidR="00B830AD" w:rsidRPr="00B830AD">
              <w:rPr>
                <w:rFonts w:ascii="Times New Roman" w:eastAsia="Times New Roman" w:hAnsi="Times New Roman" w:cs="Times New Roman"/>
                <w:bCs/>
                <w:sz w:val="24"/>
                <w:szCs w:val="24"/>
                <w:lang w:eastAsia="lv-LV"/>
              </w:rPr>
              <w:t>Nr.538 „Kārtība, kādā Eiropas Savienības struktūrfondu vadībā iesaistītās institūcijas nodrošina struktūrfondu finanšu kontroli un auditu”</w:t>
            </w:r>
            <w:r w:rsidR="00420087" w:rsidRPr="003F0AA6">
              <w:rPr>
                <w:rFonts w:ascii="Times New Roman" w:eastAsia="Times New Roman" w:hAnsi="Times New Roman" w:cs="Times New Roman"/>
                <w:sz w:val="24"/>
                <w:szCs w:val="24"/>
                <w:lang w:eastAsia="lv-LV"/>
              </w:rPr>
              <w:t>, kur tiks noteikts</w:t>
            </w:r>
            <w:r w:rsidR="00B830AD">
              <w:rPr>
                <w:rFonts w:ascii="Times New Roman" w:eastAsia="Times New Roman" w:hAnsi="Times New Roman" w:cs="Times New Roman"/>
                <w:sz w:val="24"/>
                <w:szCs w:val="24"/>
                <w:lang w:eastAsia="lv-LV"/>
              </w:rPr>
              <w:t xml:space="preserve">, ka </w:t>
            </w:r>
            <w:r w:rsidR="00B830AD" w:rsidRPr="00B830AD">
              <w:rPr>
                <w:rFonts w:ascii="Times New Roman" w:eastAsia="Times New Roman" w:hAnsi="Times New Roman" w:cs="Times New Roman"/>
                <w:sz w:val="24"/>
                <w:szCs w:val="24"/>
                <w:lang w:eastAsia="lv-LV"/>
              </w:rPr>
              <w:t>otrā līmeņa starpniekinstitūcija vai grantu shēmas apsaimniekotājs, veicot pārbaudes projekta īstenošanas vietā, pārliecinās, vai  visi ar projekta īstenošanu saistīt</w:t>
            </w:r>
            <w:r w:rsidR="008979D2">
              <w:rPr>
                <w:rFonts w:ascii="Times New Roman" w:eastAsia="Times New Roman" w:hAnsi="Times New Roman" w:cs="Times New Roman"/>
                <w:sz w:val="24"/>
                <w:szCs w:val="24"/>
                <w:lang w:eastAsia="lv-LV"/>
              </w:rPr>
              <w:t>ie</w:t>
            </w:r>
            <w:r w:rsidR="00B830AD" w:rsidRPr="00B830AD">
              <w:rPr>
                <w:rFonts w:ascii="Times New Roman" w:eastAsia="Times New Roman" w:hAnsi="Times New Roman" w:cs="Times New Roman"/>
                <w:sz w:val="24"/>
                <w:szCs w:val="24"/>
                <w:lang w:eastAsia="lv-LV"/>
              </w:rPr>
              <w:t xml:space="preserve"> dokume</w:t>
            </w:r>
            <w:r w:rsidR="00B830AD">
              <w:rPr>
                <w:rFonts w:ascii="Times New Roman" w:eastAsia="Times New Roman" w:hAnsi="Times New Roman" w:cs="Times New Roman"/>
                <w:sz w:val="24"/>
                <w:szCs w:val="24"/>
                <w:lang w:eastAsia="lv-LV"/>
              </w:rPr>
              <w:t xml:space="preserve">nti </w:t>
            </w:r>
            <w:r w:rsidR="00B830AD" w:rsidRPr="00B830AD">
              <w:rPr>
                <w:rFonts w:ascii="Times New Roman" w:eastAsia="Times New Roman" w:hAnsi="Times New Roman" w:cs="Times New Roman"/>
                <w:sz w:val="24"/>
                <w:szCs w:val="24"/>
                <w:lang w:eastAsia="lv-LV"/>
              </w:rPr>
              <w:t>tiek gl</w:t>
            </w:r>
            <w:r w:rsidR="00B830AD">
              <w:rPr>
                <w:rFonts w:ascii="Times New Roman" w:eastAsia="Times New Roman" w:hAnsi="Times New Roman" w:cs="Times New Roman"/>
                <w:sz w:val="24"/>
                <w:szCs w:val="24"/>
                <w:lang w:eastAsia="lv-LV"/>
              </w:rPr>
              <w:t>abāti līdz 2015.gada 3.augustam</w:t>
            </w:r>
            <w:r w:rsidR="00420087" w:rsidRPr="003F0AA6">
              <w:rPr>
                <w:rFonts w:ascii="Times New Roman" w:hAnsi="Times New Roman" w:cs="Times New Roman"/>
                <w:sz w:val="24"/>
                <w:szCs w:val="24"/>
              </w:rPr>
              <w:t>, nevis līdz 2016.gada 31.decembrim, kā tas ir noteikts šobrīd.</w:t>
            </w:r>
          </w:p>
        </w:tc>
      </w:tr>
      <w:tr w:rsidR="00867694" w:rsidRPr="00867694" w14:paraId="5E3EE3D0" w14:textId="77777777" w:rsidTr="00A45ACD">
        <w:trPr>
          <w:jc w:val="center"/>
        </w:trPr>
        <w:tc>
          <w:tcPr>
            <w:tcW w:w="470" w:type="dxa"/>
          </w:tcPr>
          <w:p w14:paraId="533C3F43"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iCs/>
                <w:sz w:val="24"/>
                <w:szCs w:val="24"/>
              </w:rPr>
              <w:t>2.</w:t>
            </w:r>
          </w:p>
        </w:tc>
        <w:tc>
          <w:tcPr>
            <w:tcW w:w="2728" w:type="dxa"/>
          </w:tcPr>
          <w:p w14:paraId="4953DA83" w14:textId="77777777" w:rsidR="00867694" w:rsidRPr="00867694" w:rsidRDefault="00867694" w:rsidP="00867694">
            <w:pPr>
              <w:spacing w:after="0" w:line="240" w:lineRule="auto"/>
              <w:rPr>
                <w:rFonts w:ascii="Times New Roman" w:hAnsi="Times New Roman" w:cs="Times New Roman"/>
                <w:sz w:val="24"/>
                <w:szCs w:val="24"/>
              </w:rPr>
            </w:pPr>
            <w:r w:rsidRPr="00867694">
              <w:rPr>
                <w:rFonts w:ascii="Times New Roman" w:hAnsi="Times New Roman" w:cs="Times New Roman"/>
                <w:sz w:val="24"/>
                <w:szCs w:val="24"/>
              </w:rPr>
              <w:t>Atbildīgā institūcija</w:t>
            </w:r>
          </w:p>
        </w:tc>
        <w:tc>
          <w:tcPr>
            <w:tcW w:w="6313" w:type="dxa"/>
          </w:tcPr>
          <w:p w14:paraId="30F2A005" w14:textId="77777777" w:rsidR="00867694" w:rsidRPr="00867694" w:rsidRDefault="00867694" w:rsidP="00867694">
            <w:pPr>
              <w:spacing w:after="0" w:line="240" w:lineRule="auto"/>
              <w:rPr>
                <w:rFonts w:ascii="Times New Roman" w:hAnsi="Times New Roman" w:cs="Times New Roman"/>
                <w:sz w:val="24"/>
                <w:szCs w:val="24"/>
              </w:rPr>
            </w:pPr>
            <w:r w:rsidRPr="00867694">
              <w:rPr>
                <w:rFonts w:ascii="Times New Roman" w:hAnsi="Times New Roman" w:cs="Times New Roman"/>
                <w:sz w:val="24"/>
                <w:szCs w:val="24"/>
              </w:rPr>
              <w:t>Finanšu ministrija</w:t>
            </w:r>
          </w:p>
          <w:p w14:paraId="66F19DC8" w14:textId="77777777" w:rsidR="00867694" w:rsidRPr="00867694" w:rsidRDefault="00867694" w:rsidP="00867694">
            <w:pPr>
              <w:spacing w:after="0" w:line="240" w:lineRule="auto"/>
              <w:rPr>
                <w:rFonts w:ascii="Times New Roman" w:hAnsi="Times New Roman" w:cs="Times New Roman"/>
                <w:sz w:val="24"/>
                <w:szCs w:val="24"/>
              </w:rPr>
            </w:pPr>
          </w:p>
        </w:tc>
      </w:tr>
      <w:tr w:rsidR="00867694" w:rsidRPr="00867694" w14:paraId="5312FC57" w14:textId="77777777" w:rsidTr="00A45ACD">
        <w:trPr>
          <w:jc w:val="center"/>
        </w:trPr>
        <w:tc>
          <w:tcPr>
            <w:tcW w:w="470" w:type="dxa"/>
          </w:tcPr>
          <w:p w14:paraId="2DB67A74"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iCs/>
                <w:sz w:val="24"/>
                <w:szCs w:val="24"/>
              </w:rPr>
              <w:t>3.</w:t>
            </w:r>
          </w:p>
        </w:tc>
        <w:tc>
          <w:tcPr>
            <w:tcW w:w="2728" w:type="dxa"/>
          </w:tcPr>
          <w:p w14:paraId="4C849074"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sz w:val="24"/>
                <w:szCs w:val="24"/>
              </w:rPr>
              <w:t>Cita informācija</w:t>
            </w:r>
          </w:p>
        </w:tc>
        <w:tc>
          <w:tcPr>
            <w:tcW w:w="6313" w:type="dxa"/>
          </w:tcPr>
          <w:p w14:paraId="14A68397" w14:textId="77777777" w:rsidR="00867694" w:rsidRPr="00867694" w:rsidRDefault="00867694" w:rsidP="00867694">
            <w:pPr>
              <w:spacing w:after="0" w:line="240" w:lineRule="auto"/>
              <w:rPr>
                <w:rFonts w:ascii="Times New Roman" w:hAnsi="Times New Roman" w:cs="Times New Roman"/>
                <w:iCs/>
                <w:sz w:val="24"/>
                <w:szCs w:val="24"/>
              </w:rPr>
            </w:pPr>
            <w:r w:rsidRPr="00867694">
              <w:rPr>
                <w:rFonts w:ascii="Times New Roman" w:hAnsi="Times New Roman" w:cs="Times New Roman"/>
                <w:sz w:val="24"/>
                <w:szCs w:val="24"/>
              </w:rPr>
              <w:t>Nav</w:t>
            </w:r>
          </w:p>
        </w:tc>
      </w:tr>
    </w:tbl>
    <w:p w14:paraId="1A677032" w14:textId="77777777" w:rsidR="005574A3" w:rsidRDefault="005574A3" w:rsidP="00CC1A56">
      <w:pPr>
        <w:spacing w:after="0" w:line="240" w:lineRule="auto"/>
        <w:rPr>
          <w:rFonts w:ascii="Times New Roman" w:hAnsi="Times New Roman" w:cs="Times New Roman"/>
          <w:sz w:val="24"/>
          <w:szCs w:val="24"/>
        </w:rPr>
      </w:pPr>
    </w:p>
    <w:p w14:paraId="0D47F8CC" w14:textId="77777777" w:rsidR="00071699" w:rsidRDefault="00071699" w:rsidP="00CC1A56">
      <w:pPr>
        <w:spacing w:after="0" w:line="240" w:lineRule="auto"/>
        <w:rPr>
          <w:rFonts w:ascii="Times New Roman" w:hAnsi="Times New Roman" w:cs="Times New Roman"/>
          <w:sz w:val="24"/>
          <w:szCs w:val="24"/>
        </w:rPr>
      </w:pPr>
    </w:p>
    <w:p w14:paraId="1D205A4A" w14:textId="77777777" w:rsidR="00071699" w:rsidRDefault="00071699" w:rsidP="00CC1A56">
      <w:pPr>
        <w:spacing w:after="0" w:line="240" w:lineRule="auto"/>
        <w:rPr>
          <w:rFonts w:ascii="Times New Roman" w:hAnsi="Times New Roman" w:cs="Times New Roman"/>
          <w:sz w:val="24"/>
          <w:szCs w:val="24"/>
        </w:rPr>
      </w:pPr>
    </w:p>
    <w:p w14:paraId="7D349ADA" w14:textId="77777777" w:rsidR="001D7874" w:rsidRPr="00DD49B6" w:rsidRDefault="001D7874"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A7076AF" w14:textId="77777777" w:rsidTr="007D385B">
        <w:trPr>
          <w:trHeight w:val="421"/>
          <w:jc w:val="center"/>
        </w:trPr>
        <w:tc>
          <w:tcPr>
            <w:tcW w:w="9524" w:type="dxa"/>
            <w:gridSpan w:val="3"/>
            <w:vAlign w:val="center"/>
          </w:tcPr>
          <w:p w14:paraId="66259275" w14:textId="77777777" w:rsidR="00CC1A56" w:rsidRPr="00EC5A52" w:rsidRDefault="00CC1A56" w:rsidP="007D385B">
            <w:pPr>
              <w:pStyle w:val="naisnod"/>
              <w:spacing w:before="0" w:beforeAutospacing="0" w:after="0" w:afterAutospacing="0"/>
              <w:ind w:left="57" w:right="57"/>
              <w:jc w:val="center"/>
            </w:pPr>
            <w:r w:rsidRPr="00EC5A52">
              <w:rPr>
                <w:b/>
              </w:rPr>
              <w:t>VI. Sabiedrības līdzdalība un komunikācijas aktivitātes</w:t>
            </w:r>
          </w:p>
        </w:tc>
      </w:tr>
      <w:tr w:rsidR="00CC1A56" w:rsidRPr="00DD49B6" w14:paraId="0BBCB228" w14:textId="77777777" w:rsidTr="007D385B">
        <w:trPr>
          <w:trHeight w:val="553"/>
          <w:jc w:val="center"/>
        </w:trPr>
        <w:tc>
          <w:tcPr>
            <w:tcW w:w="476" w:type="dxa"/>
          </w:tcPr>
          <w:p w14:paraId="5785EBCB"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1.</w:t>
            </w:r>
          </w:p>
        </w:tc>
        <w:tc>
          <w:tcPr>
            <w:tcW w:w="2842" w:type="dxa"/>
          </w:tcPr>
          <w:p w14:paraId="47B3AAE1" w14:textId="77777777" w:rsidR="00CC1A56" w:rsidRPr="00EC5A52"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9F0F390" w14:textId="1883B234" w:rsidR="00DE67FF" w:rsidRPr="00EC5A52" w:rsidRDefault="005D1946" w:rsidP="000065EE">
            <w:pPr>
              <w:shd w:val="clear" w:color="auto" w:fill="FFFFFF"/>
              <w:spacing w:after="0" w:line="240" w:lineRule="auto"/>
              <w:ind w:left="169" w:right="83"/>
              <w:jc w:val="both"/>
              <w:rPr>
                <w:rFonts w:ascii="Times New Roman" w:hAnsi="Times New Roman" w:cs="Times New Roman"/>
                <w:sz w:val="24"/>
                <w:szCs w:val="24"/>
              </w:rPr>
            </w:pPr>
            <w:bookmarkStart w:id="1" w:name="p61"/>
            <w:bookmarkEnd w:id="1"/>
            <w:r w:rsidRPr="00EC5A52">
              <w:rPr>
                <w:rFonts w:ascii="Times New Roman" w:hAnsi="Times New Roman" w:cs="Times New Roman"/>
                <w:sz w:val="24"/>
                <w:szCs w:val="24"/>
              </w:rPr>
              <w:t xml:space="preserve">Sabiedrības līdzdalība </w:t>
            </w:r>
            <w:r w:rsidR="003B0661">
              <w:rPr>
                <w:rFonts w:ascii="Times New Roman" w:hAnsi="Times New Roman" w:cs="Times New Roman"/>
                <w:sz w:val="24"/>
                <w:szCs w:val="24"/>
              </w:rPr>
              <w:t xml:space="preserve">MK noteikumu </w:t>
            </w:r>
            <w:r w:rsidRPr="00EC5A52">
              <w:rPr>
                <w:rFonts w:ascii="Times New Roman" w:hAnsi="Times New Roman" w:cs="Times New Roman"/>
                <w:sz w:val="24"/>
                <w:szCs w:val="24"/>
              </w:rPr>
              <w:t xml:space="preserve">projekta izstrādē netika nodrošināta, jo MK noteikumu </w:t>
            </w:r>
            <w:r w:rsidR="00EC5A52" w:rsidRPr="00EC5A52">
              <w:rPr>
                <w:rFonts w:ascii="Times New Roman" w:hAnsi="Times New Roman" w:cs="Times New Roman"/>
                <w:sz w:val="24"/>
                <w:szCs w:val="24"/>
              </w:rPr>
              <w:t>projektā ie</w:t>
            </w:r>
            <w:r w:rsidR="0097699D">
              <w:rPr>
                <w:rFonts w:ascii="Times New Roman" w:hAnsi="Times New Roman" w:cs="Times New Roman"/>
                <w:sz w:val="24"/>
                <w:szCs w:val="24"/>
              </w:rPr>
              <w:t>t</w:t>
            </w:r>
            <w:r w:rsidR="00EC5A52" w:rsidRPr="00EC5A52">
              <w:rPr>
                <w:rFonts w:ascii="Times New Roman" w:hAnsi="Times New Roman" w:cs="Times New Roman"/>
                <w:sz w:val="24"/>
                <w:szCs w:val="24"/>
              </w:rPr>
              <w:t>v</w:t>
            </w:r>
            <w:r w:rsidR="0097699D">
              <w:rPr>
                <w:rFonts w:ascii="Times New Roman" w:hAnsi="Times New Roman" w:cs="Times New Roman"/>
                <w:sz w:val="24"/>
                <w:szCs w:val="24"/>
              </w:rPr>
              <w:t>e</w:t>
            </w:r>
            <w:r w:rsidR="00EC5A52" w:rsidRPr="00EC5A52">
              <w:rPr>
                <w:rFonts w:ascii="Times New Roman" w:hAnsi="Times New Roman" w:cs="Times New Roman"/>
                <w:sz w:val="24"/>
                <w:szCs w:val="24"/>
              </w:rPr>
              <w:t xml:space="preserve">rtais regulējums vērtējams kā </w:t>
            </w:r>
            <w:r w:rsidR="00692E7A">
              <w:rPr>
                <w:rFonts w:ascii="Times New Roman" w:hAnsi="Times New Roman" w:cs="Times New Roman"/>
                <w:sz w:val="24"/>
                <w:szCs w:val="24"/>
              </w:rPr>
              <w:t xml:space="preserve">Struktūrfonda finansējuma saņēmējiem </w:t>
            </w:r>
            <w:r w:rsidR="00EC5A52" w:rsidRPr="00EC5A52">
              <w:rPr>
                <w:rFonts w:ascii="Times New Roman" w:hAnsi="Times New Roman" w:cs="Times New Roman"/>
                <w:sz w:val="24"/>
                <w:szCs w:val="24"/>
              </w:rPr>
              <w:t>labvēlīgs, ņemot vērā to, ka tas paredz saīsināt ar projekta īstenošanu saistīto dokumentu glabāšanas termiņu, ar to samazinot administratīvo slogu.</w:t>
            </w:r>
          </w:p>
        </w:tc>
      </w:tr>
      <w:tr w:rsidR="00CC1A56" w:rsidRPr="00DD49B6" w14:paraId="79853DC6" w14:textId="77777777" w:rsidTr="007D385B">
        <w:trPr>
          <w:trHeight w:val="339"/>
          <w:jc w:val="center"/>
        </w:trPr>
        <w:tc>
          <w:tcPr>
            <w:tcW w:w="476" w:type="dxa"/>
          </w:tcPr>
          <w:p w14:paraId="610B7003" w14:textId="19C789AD"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2.</w:t>
            </w:r>
          </w:p>
        </w:tc>
        <w:tc>
          <w:tcPr>
            <w:tcW w:w="2842" w:type="dxa"/>
          </w:tcPr>
          <w:p w14:paraId="0ED507DF" w14:textId="77777777" w:rsidR="00CC1A56" w:rsidRPr="00EC5A52" w:rsidRDefault="00CC1A56" w:rsidP="007D385B">
            <w:pPr>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Sabiedrības līdzdalība projekta izstrādē</w:t>
            </w:r>
          </w:p>
        </w:tc>
        <w:tc>
          <w:tcPr>
            <w:tcW w:w="6206" w:type="dxa"/>
          </w:tcPr>
          <w:p w14:paraId="1D9BB541" w14:textId="77777777" w:rsidR="00CC1A56" w:rsidRPr="00EC5A52" w:rsidRDefault="00514DDD" w:rsidP="00E214A4">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sidRPr="00EC5A52">
              <w:rPr>
                <w:rFonts w:ascii="Times New Roman" w:hAnsi="Times New Roman" w:cs="Times New Roman"/>
                <w:sz w:val="24"/>
                <w:szCs w:val="24"/>
              </w:rPr>
              <w:t xml:space="preserve">MK </w:t>
            </w:r>
            <w:r w:rsidR="00E214A4" w:rsidRPr="00EC5A52">
              <w:rPr>
                <w:rFonts w:ascii="Times New Roman" w:hAnsi="Times New Roman" w:cs="Times New Roman"/>
                <w:sz w:val="24"/>
                <w:szCs w:val="24"/>
              </w:rPr>
              <w:t>noteikumu</w:t>
            </w:r>
            <w:r w:rsidRPr="00EC5A52">
              <w:rPr>
                <w:rFonts w:ascii="Times New Roman" w:hAnsi="Times New Roman" w:cs="Times New Roman"/>
                <w:sz w:val="24"/>
                <w:szCs w:val="24"/>
              </w:rPr>
              <w:t xml:space="preserve"> projekts šo jomu neskar.</w:t>
            </w:r>
          </w:p>
        </w:tc>
      </w:tr>
      <w:tr w:rsidR="00CC1A56" w:rsidRPr="00DD49B6" w14:paraId="4A2985D2" w14:textId="77777777" w:rsidTr="007D385B">
        <w:trPr>
          <w:trHeight w:val="476"/>
          <w:jc w:val="center"/>
        </w:trPr>
        <w:tc>
          <w:tcPr>
            <w:tcW w:w="476" w:type="dxa"/>
          </w:tcPr>
          <w:p w14:paraId="079FD9DB"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3.</w:t>
            </w:r>
          </w:p>
        </w:tc>
        <w:tc>
          <w:tcPr>
            <w:tcW w:w="2842" w:type="dxa"/>
          </w:tcPr>
          <w:p w14:paraId="1A756307" w14:textId="77777777" w:rsidR="00CC1A56" w:rsidRPr="00EC5A52" w:rsidRDefault="00CC1A56" w:rsidP="007D385B">
            <w:pPr>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Sabiedrības līdzdalības rezultāti</w:t>
            </w:r>
          </w:p>
        </w:tc>
        <w:tc>
          <w:tcPr>
            <w:tcW w:w="6206" w:type="dxa"/>
          </w:tcPr>
          <w:p w14:paraId="2464CD6D" w14:textId="77777777" w:rsidR="00CC1A56" w:rsidRPr="00EC5A52" w:rsidRDefault="00514DDD" w:rsidP="00E214A4">
            <w:pPr>
              <w:shd w:val="clear" w:color="auto" w:fill="FFFFFF"/>
              <w:spacing w:after="0" w:line="240" w:lineRule="auto"/>
              <w:ind w:left="169"/>
              <w:jc w:val="both"/>
              <w:rPr>
                <w:rFonts w:ascii="Times New Roman" w:hAnsi="Times New Roman" w:cs="Times New Roman"/>
                <w:sz w:val="24"/>
                <w:szCs w:val="24"/>
                <w:lang w:eastAsia="lv-LV"/>
              </w:rPr>
            </w:pPr>
            <w:r w:rsidRPr="00EC5A52">
              <w:rPr>
                <w:rFonts w:ascii="Times New Roman" w:hAnsi="Times New Roman" w:cs="Times New Roman"/>
                <w:sz w:val="24"/>
                <w:szCs w:val="24"/>
              </w:rPr>
              <w:t xml:space="preserve">MK </w:t>
            </w:r>
            <w:r w:rsidR="00E214A4" w:rsidRPr="00EC5A52">
              <w:rPr>
                <w:rFonts w:ascii="Times New Roman" w:hAnsi="Times New Roman" w:cs="Times New Roman"/>
                <w:sz w:val="24"/>
                <w:szCs w:val="24"/>
              </w:rPr>
              <w:t>noteikumu</w:t>
            </w:r>
            <w:r w:rsidRPr="00EC5A52">
              <w:rPr>
                <w:rFonts w:ascii="Times New Roman" w:hAnsi="Times New Roman" w:cs="Times New Roman"/>
                <w:sz w:val="24"/>
                <w:szCs w:val="24"/>
              </w:rPr>
              <w:t xml:space="preserve"> projekts šo jomu neskar.</w:t>
            </w:r>
          </w:p>
        </w:tc>
      </w:tr>
      <w:tr w:rsidR="00CC1A56" w:rsidRPr="00DD49B6" w14:paraId="3ED735A9" w14:textId="77777777" w:rsidTr="00993431">
        <w:trPr>
          <w:trHeight w:val="70"/>
          <w:jc w:val="center"/>
        </w:trPr>
        <w:tc>
          <w:tcPr>
            <w:tcW w:w="476" w:type="dxa"/>
          </w:tcPr>
          <w:p w14:paraId="35FF9E1C" w14:textId="77777777" w:rsidR="00CC1A56" w:rsidRPr="00EC5A52" w:rsidRDefault="00CC1A56" w:rsidP="007D385B">
            <w:pPr>
              <w:spacing w:after="0" w:line="240" w:lineRule="auto"/>
              <w:ind w:left="57" w:right="57"/>
              <w:jc w:val="both"/>
              <w:rPr>
                <w:rFonts w:ascii="Times New Roman" w:hAnsi="Times New Roman" w:cs="Times New Roman"/>
                <w:bCs/>
                <w:sz w:val="24"/>
                <w:szCs w:val="24"/>
              </w:rPr>
            </w:pPr>
            <w:r w:rsidRPr="00EC5A52">
              <w:rPr>
                <w:rFonts w:ascii="Times New Roman" w:hAnsi="Times New Roman" w:cs="Times New Roman"/>
                <w:bCs/>
                <w:sz w:val="24"/>
                <w:szCs w:val="24"/>
              </w:rPr>
              <w:t>4.</w:t>
            </w:r>
          </w:p>
        </w:tc>
        <w:tc>
          <w:tcPr>
            <w:tcW w:w="2842" w:type="dxa"/>
          </w:tcPr>
          <w:p w14:paraId="2A616354" w14:textId="77777777" w:rsidR="00CC1A56" w:rsidRPr="00EC5A52" w:rsidRDefault="00CC1A56" w:rsidP="007D385B">
            <w:pPr>
              <w:spacing w:after="0" w:line="240" w:lineRule="auto"/>
              <w:ind w:left="57" w:right="57"/>
              <w:rPr>
                <w:rFonts w:ascii="Times New Roman" w:hAnsi="Times New Roman" w:cs="Times New Roman"/>
                <w:sz w:val="24"/>
                <w:szCs w:val="24"/>
                <w:lang w:eastAsia="lv-LV"/>
              </w:rPr>
            </w:pPr>
            <w:r w:rsidRPr="00EC5A52">
              <w:rPr>
                <w:rFonts w:ascii="Times New Roman" w:hAnsi="Times New Roman" w:cs="Times New Roman"/>
                <w:sz w:val="24"/>
                <w:szCs w:val="24"/>
                <w:lang w:eastAsia="lv-LV"/>
              </w:rPr>
              <w:t>Cita informācija</w:t>
            </w:r>
          </w:p>
        </w:tc>
        <w:tc>
          <w:tcPr>
            <w:tcW w:w="6206" w:type="dxa"/>
          </w:tcPr>
          <w:p w14:paraId="752C481B" w14:textId="77777777" w:rsidR="00CC1A56" w:rsidRPr="00EC5A52" w:rsidRDefault="00514DDD" w:rsidP="007D385B">
            <w:pPr>
              <w:spacing w:after="0" w:line="240" w:lineRule="auto"/>
              <w:ind w:left="169" w:right="57"/>
              <w:jc w:val="both"/>
              <w:rPr>
                <w:rFonts w:ascii="Times New Roman" w:hAnsi="Times New Roman" w:cs="Times New Roman"/>
                <w:sz w:val="24"/>
                <w:szCs w:val="24"/>
                <w:lang w:eastAsia="lv-LV"/>
              </w:rPr>
            </w:pPr>
            <w:r w:rsidRPr="00EC5A52">
              <w:rPr>
                <w:rFonts w:ascii="Times New Roman" w:hAnsi="Times New Roman" w:cs="Times New Roman"/>
                <w:sz w:val="24"/>
                <w:szCs w:val="24"/>
              </w:rPr>
              <w:t>Nav.</w:t>
            </w:r>
          </w:p>
        </w:tc>
      </w:tr>
    </w:tbl>
    <w:p w14:paraId="613265FD"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A51E602" w14:textId="77777777" w:rsidTr="007D385B">
        <w:trPr>
          <w:trHeight w:val="381"/>
          <w:jc w:val="center"/>
        </w:trPr>
        <w:tc>
          <w:tcPr>
            <w:tcW w:w="9518" w:type="dxa"/>
            <w:gridSpan w:val="3"/>
            <w:vAlign w:val="center"/>
          </w:tcPr>
          <w:p w14:paraId="657F93B1"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5591FB1D" w14:textId="77777777" w:rsidTr="007D385B">
        <w:trPr>
          <w:trHeight w:val="427"/>
          <w:jc w:val="center"/>
        </w:trPr>
        <w:tc>
          <w:tcPr>
            <w:tcW w:w="437" w:type="dxa"/>
          </w:tcPr>
          <w:p w14:paraId="62F1CC77"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713DE717" w14:textId="77777777" w:rsidR="00CC1A56" w:rsidRPr="00DD49B6" w:rsidRDefault="00CC1A56" w:rsidP="007D385B">
            <w:pPr>
              <w:pStyle w:val="naisf"/>
              <w:spacing w:before="0" w:beforeAutospacing="0" w:after="0" w:afterAutospacing="0"/>
              <w:ind w:left="57" w:right="57"/>
            </w:pPr>
            <w:r w:rsidRPr="00DD49B6">
              <w:t xml:space="preserve">Projekta izpildē iesaistītās </w:t>
            </w:r>
            <w:r w:rsidRPr="00DD49B6">
              <w:lastRenderedPageBreak/>
              <w:t>institūcijas</w:t>
            </w:r>
          </w:p>
        </w:tc>
        <w:tc>
          <w:tcPr>
            <w:tcW w:w="5466" w:type="dxa"/>
          </w:tcPr>
          <w:p w14:paraId="6ED752D7" w14:textId="77777777" w:rsidR="00CC1A56" w:rsidRPr="00DD49B6" w:rsidRDefault="005D1946" w:rsidP="00993431">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EC5A52">
              <w:rPr>
                <w:rFonts w:ascii="Times New Roman" w:hAnsi="Times New Roman" w:cs="Times New Roman"/>
                <w:sz w:val="24"/>
                <w:szCs w:val="24"/>
              </w:rPr>
              <w:lastRenderedPageBreak/>
              <w:t>Eiropas Savienības fondu vadībā iesaistītās institūcijas</w:t>
            </w:r>
          </w:p>
        </w:tc>
      </w:tr>
      <w:tr w:rsidR="00CC1A56" w:rsidRPr="00DD49B6" w14:paraId="5033DC7E" w14:textId="77777777" w:rsidTr="007D385B">
        <w:trPr>
          <w:trHeight w:val="463"/>
          <w:jc w:val="center"/>
        </w:trPr>
        <w:tc>
          <w:tcPr>
            <w:tcW w:w="437" w:type="dxa"/>
          </w:tcPr>
          <w:p w14:paraId="5C5B6EDC" w14:textId="77777777" w:rsidR="00CC1A56" w:rsidRPr="00DD49B6" w:rsidRDefault="00CC1A56" w:rsidP="007D385B">
            <w:pPr>
              <w:pStyle w:val="naisnod"/>
              <w:spacing w:before="0" w:beforeAutospacing="0" w:after="0" w:afterAutospacing="0"/>
              <w:ind w:left="57" w:right="57"/>
              <w:jc w:val="both"/>
            </w:pPr>
            <w:r w:rsidRPr="00DD49B6">
              <w:lastRenderedPageBreak/>
              <w:t>2.</w:t>
            </w:r>
          </w:p>
        </w:tc>
        <w:tc>
          <w:tcPr>
            <w:tcW w:w="3615" w:type="dxa"/>
          </w:tcPr>
          <w:p w14:paraId="3AB8DA45"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609A5591"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1BD186FA" w14:textId="77777777" w:rsidR="00CC1A56" w:rsidRPr="00DD49B6" w:rsidRDefault="00232033" w:rsidP="00E214A4">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39607548" w14:textId="77777777" w:rsidTr="004336DC">
        <w:trPr>
          <w:trHeight w:val="297"/>
          <w:jc w:val="center"/>
        </w:trPr>
        <w:tc>
          <w:tcPr>
            <w:tcW w:w="437" w:type="dxa"/>
            <w:tcBorders>
              <w:top w:val="single" w:sz="4" w:space="0" w:color="auto"/>
              <w:left w:val="single" w:sz="4" w:space="0" w:color="auto"/>
              <w:bottom w:val="single" w:sz="4" w:space="0" w:color="auto"/>
              <w:right w:val="single" w:sz="4" w:space="0" w:color="auto"/>
            </w:tcBorders>
          </w:tcPr>
          <w:p w14:paraId="709EA609"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1154A66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77816083"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44801004" w14:textId="77777777" w:rsidR="00EE558F" w:rsidRDefault="00EE558F" w:rsidP="00843389">
      <w:pPr>
        <w:spacing w:after="0" w:line="240" w:lineRule="auto"/>
        <w:rPr>
          <w:rFonts w:ascii="Times New Roman" w:hAnsi="Times New Roman" w:cs="Times New Roman"/>
          <w:sz w:val="24"/>
          <w:szCs w:val="24"/>
        </w:rPr>
      </w:pPr>
    </w:p>
    <w:p w14:paraId="7FF34084" w14:textId="77777777" w:rsidR="00843389" w:rsidRDefault="00843389" w:rsidP="00EE558F">
      <w:pPr>
        <w:spacing w:after="0" w:line="240" w:lineRule="auto"/>
        <w:jc w:val="center"/>
        <w:rPr>
          <w:rFonts w:ascii="Times New Roman" w:hAnsi="Times New Roman" w:cs="Times New Roman"/>
          <w:sz w:val="24"/>
          <w:szCs w:val="24"/>
        </w:rPr>
      </w:pPr>
      <w:r w:rsidRPr="00843389">
        <w:rPr>
          <w:rFonts w:ascii="Times New Roman" w:hAnsi="Times New Roman" w:cs="Times New Roman"/>
          <w:sz w:val="24"/>
          <w:szCs w:val="24"/>
        </w:rPr>
        <w:t xml:space="preserve">Anotācijas </w:t>
      </w:r>
      <w:r w:rsidR="005D1946">
        <w:rPr>
          <w:rFonts w:ascii="Times New Roman" w:hAnsi="Times New Roman" w:cs="Times New Roman"/>
          <w:sz w:val="24"/>
          <w:szCs w:val="24"/>
        </w:rPr>
        <w:t xml:space="preserve">III, </w:t>
      </w:r>
      <w:r w:rsidRPr="00843389">
        <w:rPr>
          <w:rFonts w:ascii="Times New Roman" w:hAnsi="Times New Roman" w:cs="Times New Roman"/>
          <w:sz w:val="24"/>
          <w:szCs w:val="24"/>
        </w:rPr>
        <w:t xml:space="preserve">V sadaļa – MK </w:t>
      </w:r>
      <w:r w:rsidR="00E214A4">
        <w:rPr>
          <w:rFonts w:ascii="Times New Roman" w:hAnsi="Times New Roman" w:cs="Times New Roman"/>
          <w:sz w:val="24"/>
          <w:szCs w:val="24"/>
        </w:rPr>
        <w:t>noteikumu</w:t>
      </w:r>
      <w:r w:rsidRPr="00843389">
        <w:rPr>
          <w:rFonts w:ascii="Times New Roman" w:hAnsi="Times New Roman" w:cs="Times New Roman"/>
          <w:sz w:val="24"/>
          <w:szCs w:val="24"/>
        </w:rPr>
        <w:t xml:space="preserve"> projekts šo jomu neskar.</w:t>
      </w:r>
    </w:p>
    <w:p w14:paraId="31FF0AB4" w14:textId="77777777" w:rsidR="00C541BC" w:rsidRDefault="00C541BC" w:rsidP="00843389">
      <w:pPr>
        <w:spacing w:after="0" w:line="240" w:lineRule="auto"/>
        <w:rPr>
          <w:rFonts w:ascii="Times New Roman" w:hAnsi="Times New Roman" w:cs="Times New Roman"/>
          <w:sz w:val="24"/>
          <w:szCs w:val="24"/>
        </w:rPr>
      </w:pPr>
    </w:p>
    <w:p w14:paraId="204A73E2" w14:textId="77777777" w:rsidR="00D473ED" w:rsidRDefault="00D473ED" w:rsidP="00843389">
      <w:pPr>
        <w:spacing w:after="0" w:line="240" w:lineRule="auto"/>
        <w:rPr>
          <w:rFonts w:ascii="Times New Roman" w:hAnsi="Times New Roman" w:cs="Times New Roman"/>
          <w:sz w:val="24"/>
          <w:szCs w:val="24"/>
        </w:rPr>
      </w:pPr>
    </w:p>
    <w:p w14:paraId="634C6C6E" w14:textId="77777777" w:rsidR="00C541BC" w:rsidRPr="009D5616" w:rsidRDefault="00EE558F" w:rsidP="009D5616">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FF6C21">
        <w:rPr>
          <w:rFonts w:ascii="Times New Roman" w:hAnsi="Times New Roman" w:cs="Times New Roman"/>
          <w:sz w:val="28"/>
          <w:szCs w:val="28"/>
        </w:rPr>
        <w:t xml:space="preserve"> ministrs</w:t>
      </w:r>
      <w:r w:rsidR="00D473ED" w:rsidRPr="00D473ED">
        <w:rPr>
          <w:rFonts w:ascii="Times New Roman" w:hAnsi="Times New Roman" w:cs="Times New Roman"/>
          <w:sz w:val="28"/>
          <w:szCs w:val="28"/>
        </w:rPr>
        <w:tab/>
      </w:r>
      <w:r>
        <w:rPr>
          <w:rFonts w:ascii="Times New Roman" w:hAnsi="Times New Roman" w:cs="Times New Roman"/>
          <w:sz w:val="28"/>
          <w:szCs w:val="28"/>
        </w:rPr>
        <w:t>A.Vilks</w:t>
      </w:r>
    </w:p>
    <w:p w14:paraId="05E8B52C" w14:textId="77777777" w:rsidR="009D5616" w:rsidRDefault="009D5616" w:rsidP="00D473ED">
      <w:pPr>
        <w:spacing w:after="0" w:line="240" w:lineRule="auto"/>
        <w:rPr>
          <w:rFonts w:ascii="Times New Roman" w:hAnsi="Times New Roman" w:cs="Times New Roman"/>
          <w:sz w:val="24"/>
          <w:szCs w:val="24"/>
        </w:rPr>
      </w:pPr>
    </w:p>
    <w:p w14:paraId="4B7AFA1A" w14:textId="77777777" w:rsidR="00C42DB4" w:rsidRDefault="00C42DB4" w:rsidP="00EE558F">
      <w:pPr>
        <w:spacing w:after="0" w:line="240" w:lineRule="auto"/>
        <w:rPr>
          <w:rFonts w:ascii="Times New Roman" w:hAnsi="Times New Roman" w:cs="Times New Roman"/>
          <w:sz w:val="20"/>
          <w:szCs w:val="20"/>
        </w:rPr>
      </w:pPr>
    </w:p>
    <w:p w14:paraId="47D99C39" w14:textId="77777777" w:rsidR="00C42DB4" w:rsidRDefault="00C42DB4" w:rsidP="00EE558F">
      <w:pPr>
        <w:spacing w:after="0" w:line="240" w:lineRule="auto"/>
        <w:rPr>
          <w:rFonts w:ascii="Times New Roman" w:hAnsi="Times New Roman" w:cs="Times New Roman"/>
          <w:sz w:val="20"/>
          <w:szCs w:val="20"/>
        </w:rPr>
      </w:pPr>
    </w:p>
    <w:p w14:paraId="024B1C50" w14:textId="77777777" w:rsidR="00C42DB4" w:rsidRDefault="00C42DB4" w:rsidP="00EE558F">
      <w:pPr>
        <w:spacing w:after="0" w:line="240" w:lineRule="auto"/>
        <w:rPr>
          <w:rFonts w:ascii="Times New Roman" w:hAnsi="Times New Roman" w:cs="Times New Roman"/>
          <w:sz w:val="20"/>
          <w:szCs w:val="20"/>
        </w:rPr>
      </w:pPr>
    </w:p>
    <w:p w14:paraId="1689E83B" w14:textId="77777777" w:rsidR="00C42DB4" w:rsidRDefault="00C42DB4" w:rsidP="00EE558F">
      <w:pPr>
        <w:spacing w:after="0" w:line="240" w:lineRule="auto"/>
        <w:rPr>
          <w:rFonts w:ascii="Times New Roman" w:hAnsi="Times New Roman" w:cs="Times New Roman"/>
          <w:sz w:val="20"/>
          <w:szCs w:val="20"/>
        </w:rPr>
      </w:pPr>
    </w:p>
    <w:p w14:paraId="439ED7A2" w14:textId="19CFFC6F" w:rsidR="00EE558F" w:rsidRPr="00EE558F" w:rsidRDefault="00640784"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28.05.</w:t>
      </w:r>
      <w:r w:rsidR="00EE558F" w:rsidRPr="00EE558F">
        <w:rPr>
          <w:rFonts w:ascii="Times New Roman" w:hAnsi="Times New Roman" w:cs="Times New Roman"/>
          <w:sz w:val="20"/>
          <w:szCs w:val="20"/>
        </w:rPr>
        <w:t>201</w:t>
      </w:r>
      <w:r w:rsidR="00EE558F">
        <w:rPr>
          <w:rFonts w:ascii="Times New Roman" w:hAnsi="Times New Roman" w:cs="Times New Roman"/>
          <w:sz w:val="20"/>
          <w:szCs w:val="20"/>
        </w:rPr>
        <w:t>4</w:t>
      </w:r>
      <w:r w:rsidR="00EE558F" w:rsidRPr="00EE558F">
        <w:rPr>
          <w:rFonts w:ascii="Times New Roman" w:hAnsi="Times New Roman" w:cs="Times New Roman"/>
          <w:sz w:val="20"/>
          <w:szCs w:val="20"/>
        </w:rPr>
        <w:t xml:space="preserve"> </w:t>
      </w:r>
      <w:r w:rsidR="004B6AE1">
        <w:rPr>
          <w:rFonts w:ascii="Times New Roman" w:hAnsi="Times New Roman" w:cs="Times New Roman"/>
          <w:sz w:val="20"/>
          <w:szCs w:val="20"/>
        </w:rPr>
        <w:t>14</w:t>
      </w:r>
      <w:r w:rsidR="00EE558F" w:rsidRPr="00EE558F">
        <w:rPr>
          <w:rFonts w:ascii="Times New Roman" w:hAnsi="Times New Roman" w:cs="Times New Roman"/>
          <w:sz w:val="20"/>
          <w:szCs w:val="20"/>
        </w:rPr>
        <w:t>:</w:t>
      </w:r>
      <w:r w:rsidR="001D7874">
        <w:rPr>
          <w:rFonts w:ascii="Times New Roman" w:hAnsi="Times New Roman" w:cs="Times New Roman"/>
          <w:sz w:val="20"/>
          <w:szCs w:val="20"/>
        </w:rPr>
        <w:t>11</w:t>
      </w:r>
    </w:p>
    <w:p w14:paraId="3FC3352C" w14:textId="29761159" w:rsidR="00EE558F" w:rsidRPr="00EE558F" w:rsidRDefault="00640784"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863</w:t>
      </w:r>
    </w:p>
    <w:p w14:paraId="3EDBB239" w14:textId="77777777" w:rsidR="00EE558F" w:rsidRPr="00EE558F" w:rsidRDefault="00886D00"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J.Kapilova</w:t>
      </w:r>
    </w:p>
    <w:p w14:paraId="0D511B5D"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Finanšu ministrijas</w:t>
      </w:r>
    </w:p>
    <w:p w14:paraId="7B936C6A"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vadības sistēmas departamenta</w:t>
      </w:r>
    </w:p>
    <w:p w14:paraId="61B31019"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tiesiskā nodrošinājuma nodaļas</w:t>
      </w:r>
    </w:p>
    <w:p w14:paraId="2D7D7702" w14:textId="77777777"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juriskonsulte</w:t>
      </w:r>
    </w:p>
    <w:p w14:paraId="414B5F18" w14:textId="77777777" w:rsidR="00D473ED" w:rsidRPr="00D473ED"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67083</w:t>
      </w:r>
      <w:r w:rsidR="00886D00">
        <w:rPr>
          <w:rFonts w:ascii="Times New Roman" w:hAnsi="Times New Roman" w:cs="Times New Roman"/>
          <w:sz w:val="20"/>
          <w:szCs w:val="20"/>
        </w:rPr>
        <w:t>888</w:t>
      </w:r>
      <w:r w:rsidRPr="00EE558F">
        <w:rPr>
          <w:rFonts w:ascii="Times New Roman" w:hAnsi="Times New Roman" w:cs="Times New Roman"/>
          <w:sz w:val="20"/>
          <w:szCs w:val="20"/>
        </w:rPr>
        <w:t xml:space="preserve">, </w:t>
      </w:r>
      <w:r w:rsidR="00886D00">
        <w:rPr>
          <w:rFonts w:ascii="Times New Roman" w:hAnsi="Times New Roman" w:cs="Times New Roman"/>
          <w:sz w:val="20"/>
          <w:szCs w:val="20"/>
        </w:rPr>
        <w:t>jekaterina.kapilova</w:t>
      </w:r>
      <w:r w:rsidRPr="00EE558F">
        <w:rPr>
          <w:rFonts w:ascii="Times New Roman" w:hAnsi="Times New Roman" w:cs="Times New Roman"/>
          <w:sz w:val="20"/>
          <w:szCs w:val="20"/>
        </w:rPr>
        <w:t>@fm.gov.lv</w:t>
      </w:r>
    </w:p>
    <w:sectPr w:rsidR="00D473ED" w:rsidRPr="00D473ED" w:rsidSect="004336D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D90F4" w14:textId="77777777" w:rsidR="008A5582" w:rsidRDefault="008A5582" w:rsidP="006D6C82">
      <w:pPr>
        <w:spacing w:after="0" w:line="240" w:lineRule="auto"/>
      </w:pPr>
      <w:r>
        <w:separator/>
      </w:r>
    </w:p>
  </w:endnote>
  <w:endnote w:type="continuationSeparator" w:id="0">
    <w:p w14:paraId="6D34F7B6" w14:textId="77777777" w:rsidR="008A5582" w:rsidRDefault="008A558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F78B" w14:textId="77777777" w:rsidR="005C4D59" w:rsidRDefault="005C4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0858" w14:textId="5CF26D9A" w:rsidR="00AE2BFC" w:rsidRPr="007A4146" w:rsidRDefault="007A4146" w:rsidP="007A4146">
    <w:pPr>
      <w:pStyle w:val="Footer"/>
    </w:pPr>
    <w:r w:rsidRPr="007A4146">
      <w:rPr>
        <w:rFonts w:ascii="Times New Roman" w:hAnsi="Times New Roman" w:cs="Times New Roman"/>
        <w:sz w:val="20"/>
        <w:szCs w:val="20"/>
      </w:rPr>
      <w:t>FMAnot_</w:t>
    </w:r>
    <w:r w:rsidR="005C4D59">
      <w:rPr>
        <w:rFonts w:ascii="Times New Roman" w:hAnsi="Times New Roman" w:cs="Times New Roman"/>
        <w:sz w:val="20"/>
        <w:szCs w:val="20"/>
      </w:rPr>
      <w:t>2805</w:t>
    </w:r>
    <w:r w:rsidRPr="007A4146">
      <w:rPr>
        <w:rFonts w:ascii="Times New Roman" w:hAnsi="Times New Roman" w:cs="Times New Roman"/>
        <w:sz w:val="20"/>
        <w:szCs w:val="20"/>
      </w:rPr>
      <w:t>14_545; Ministru kabineta noteikumu projekta „Grozījums Ministru kabineta 2006.gada 27.jūnija noteikumos Nr.545 „Kārtība, kādā Eiropas Savienības struktūrfondu vadībā iesaistītās institūcijas nodrošina struktūrfondu ieviešanu un grozījumu izdarīšanu plānošanas dokumentos””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79A2D" w14:textId="0A57A9E0" w:rsidR="00AE2BFC" w:rsidRPr="00EE558F" w:rsidRDefault="00EE558F" w:rsidP="00EE558F">
    <w:pPr>
      <w:pStyle w:val="Footer"/>
    </w:pPr>
    <w:r w:rsidRPr="00EE558F">
      <w:rPr>
        <w:rFonts w:ascii="Times New Roman" w:hAnsi="Times New Roman" w:cs="Times New Roman"/>
        <w:sz w:val="20"/>
        <w:szCs w:val="20"/>
      </w:rPr>
      <w:t>FMAnot_</w:t>
    </w:r>
    <w:r w:rsidR="005C4D59">
      <w:rPr>
        <w:rFonts w:ascii="Times New Roman" w:hAnsi="Times New Roman" w:cs="Times New Roman"/>
        <w:sz w:val="20"/>
        <w:szCs w:val="20"/>
      </w:rPr>
      <w:t>2805</w:t>
    </w:r>
    <w:r w:rsidR="00FD7FE6">
      <w:rPr>
        <w:rFonts w:ascii="Times New Roman" w:hAnsi="Times New Roman" w:cs="Times New Roman"/>
        <w:sz w:val="20"/>
        <w:szCs w:val="20"/>
      </w:rPr>
      <w:t>14_5</w:t>
    </w:r>
    <w:r w:rsidR="007A4146">
      <w:rPr>
        <w:rFonts w:ascii="Times New Roman" w:hAnsi="Times New Roman" w:cs="Times New Roman"/>
        <w:sz w:val="20"/>
        <w:szCs w:val="20"/>
      </w:rPr>
      <w:t>45;</w:t>
    </w:r>
    <w:r w:rsidRPr="00EE558F">
      <w:rPr>
        <w:rFonts w:ascii="Times New Roman" w:hAnsi="Times New Roman" w:cs="Times New Roman"/>
        <w:sz w:val="20"/>
        <w:szCs w:val="20"/>
      </w:rPr>
      <w:t xml:space="preserve"> </w:t>
    </w:r>
    <w:r w:rsidR="007A4146" w:rsidRPr="007A4146">
      <w:rPr>
        <w:rFonts w:ascii="Times New Roman" w:hAnsi="Times New Roman" w:cs="Times New Roman"/>
        <w:sz w:val="20"/>
        <w:szCs w:val="20"/>
      </w:rPr>
      <w:t>Ministru kabineta noteikumu projekta „Grozījums Ministru kabineta 2006.gada 27.jūnija noteikumos Nr.545 „Kārtība, kādā Eiropas Savienības struktūrfondu vadībā iesaistītās institūcijas nodrošina struktūrfondu ieviešanu un grozījumu izdarīšanu plānošanas dokumentos””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4C64A" w14:textId="77777777" w:rsidR="008A5582" w:rsidRDefault="008A5582" w:rsidP="006D6C82">
      <w:pPr>
        <w:spacing w:after="0" w:line="240" w:lineRule="auto"/>
      </w:pPr>
      <w:r>
        <w:separator/>
      </w:r>
    </w:p>
  </w:footnote>
  <w:footnote w:type="continuationSeparator" w:id="0">
    <w:p w14:paraId="17DC4BBA" w14:textId="77777777" w:rsidR="008A5582" w:rsidRDefault="008A5582"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4C85" w14:textId="77777777" w:rsidR="005C4D59" w:rsidRDefault="005C4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26FA9EDA" w14:textId="77777777" w:rsidR="00AE2BFC" w:rsidRDefault="00AE2BFC">
        <w:pPr>
          <w:pStyle w:val="Header"/>
          <w:jc w:val="center"/>
        </w:pPr>
        <w:r>
          <w:fldChar w:fldCharType="begin"/>
        </w:r>
        <w:r>
          <w:instrText xml:space="preserve"> PAGE   \* MERGEFORMAT </w:instrText>
        </w:r>
        <w:r>
          <w:fldChar w:fldCharType="separate"/>
        </w:r>
        <w:r w:rsidR="008E39AF">
          <w:rPr>
            <w:noProof/>
          </w:rPr>
          <w:t>4</w:t>
        </w:r>
        <w:r>
          <w:rPr>
            <w:noProof/>
          </w:rPr>
          <w:fldChar w:fldCharType="end"/>
        </w:r>
      </w:p>
    </w:sdtContent>
  </w:sdt>
  <w:p w14:paraId="77ACDB12" w14:textId="77777777" w:rsidR="00AE2BFC" w:rsidRDefault="00AE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FE2" w14:textId="77777777" w:rsidR="005C4D59" w:rsidRDefault="005C4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8"/>
  </w:num>
  <w:num w:numId="6">
    <w:abstractNumId w:val="1"/>
  </w:num>
  <w:num w:numId="7">
    <w:abstractNumId w:val="10"/>
  </w:num>
  <w:num w:numId="8">
    <w:abstractNumId w:val="6"/>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56"/>
    <w:rsid w:val="000012B1"/>
    <w:rsid w:val="00001B9F"/>
    <w:rsid w:val="00002103"/>
    <w:rsid w:val="000065EE"/>
    <w:rsid w:val="00014934"/>
    <w:rsid w:val="000160BE"/>
    <w:rsid w:val="00020D21"/>
    <w:rsid w:val="00026FF1"/>
    <w:rsid w:val="00032C72"/>
    <w:rsid w:val="000459D0"/>
    <w:rsid w:val="000559C4"/>
    <w:rsid w:val="00065E19"/>
    <w:rsid w:val="00071699"/>
    <w:rsid w:val="000A1134"/>
    <w:rsid w:val="000A1ABE"/>
    <w:rsid w:val="000A50F4"/>
    <w:rsid w:val="000A556B"/>
    <w:rsid w:val="000A69BD"/>
    <w:rsid w:val="000C0932"/>
    <w:rsid w:val="000C6DA7"/>
    <w:rsid w:val="000E6D15"/>
    <w:rsid w:val="000F2C5F"/>
    <w:rsid w:val="000F7EDC"/>
    <w:rsid w:val="00101C1A"/>
    <w:rsid w:val="00111FE6"/>
    <w:rsid w:val="001144D9"/>
    <w:rsid w:val="0011756F"/>
    <w:rsid w:val="001212D4"/>
    <w:rsid w:val="00134CB8"/>
    <w:rsid w:val="001354DC"/>
    <w:rsid w:val="00140CF3"/>
    <w:rsid w:val="0016361D"/>
    <w:rsid w:val="00166E6E"/>
    <w:rsid w:val="00167190"/>
    <w:rsid w:val="001679C6"/>
    <w:rsid w:val="00173DFD"/>
    <w:rsid w:val="00175F56"/>
    <w:rsid w:val="00176916"/>
    <w:rsid w:val="001851CA"/>
    <w:rsid w:val="0018780A"/>
    <w:rsid w:val="001A19A7"/>
    <w:rsid w:val="001B1214"/>
    <w:rsid w:val="001C7D4E"/>
    <w:rsid w:val="001D5DAD"/>
    <w:rsid w:val="001D7874"/>
    <w:rsid w:val="001D78B6"/>
    <w:rsid w:val="001E645F"/>
    <w:rsid w:val="002013EC"/>
    <w:rsid w:val="002123C9"/>
    <w:rsid w:val="002141C0"/>
    <w:rsid w:val="00232033"/>
    <w:rsid w:val="00246978"/>
    <w:rsid w:val="00260F04"/>
    <w:rsid w:val="0026710C"/>
    <w:rsid w:val="00277744"/>
    <w:rsid w:val="00286219"/>
    <w:rsid w:val="002874DE"/>
    <w:rsid w:val="00294431"/>
    <w:rsid w:val="002953D1"/>
    <w:rsid w:val="002A161A"/>
    <w:rsid w:val="002A7C5D"/>
    <w:rsid w:val="002B0D05"/>
    <w:rsid w:val="002C7854"/>
    <w:rsid w:val="002D1F05"/>
    <w:rsid w:val="002D1F3D"/>
    <w:rsid w:val="002D2016"/>
    <w:rsid w:val="002F2310"/>
    <w:rsid w:val="00302A7F"/>
    <w:rsid w:val="00303FFC"/>
    <w:rsid w:val="00304567"/>
    <w:rsid w:val="00320A19"/>
    <w:rsid w:val="00321D39"/>
    <w:rsid w:val="00336B3A"/>
    <w:rsid w:val="003376D6"/>
    <w:rsid w:val="00345771"/>
    <w:rsid w:val="0035641C"/>
    <w:rsid w:val="00365B8E"/>
    <w:rsid w:val="00366492"/>
    <w:rsid w:val="00381A01"/>
    <w:rsid w:val="0038217F"/>
    <w:rsid w:val="00382C79"/>
    <w:rsid w:val="0039127D"/>
    <w:rsid w:val="003919EB"/>
    <w:rsid w:val="00393677"/>
    <w:rsid w:val="00393692"/>
    <w:rsid w:val="003A3A21"/>
    <w:rsid w:val="003A77B7"/>
    <w:rsid w:val="003B0661"/>
    <w:rsid w:val="003B0FBE"/>
    <w:rsid w:val="003B16BD"/>
    <w:rsid w:val="003D32DB"/>
    <w:rsid w:val="003D58F4"/>
    <w:rsid w:val="003D7FCC"/>
    <w:rsid w:val="003E5B8D"/>
    <w:rsid w:val="003F0AA6"/>
    <w:rsid w:val="004001DB"/>
    <w:rsid w:val="00402608"/>
    <w:rsid w:val="0040461A"/>
    <w:rsid w:val="00420087"/>
    <w:rsid w:val="00427EFE"/>
    <w:rsid w:val="0043187B"/>
    <w:rsid w:val="004336DC"/>
    <w:rsid w:val="0044195E"/>
    <w:rsid w:val="00445A9C"/>
    <w:rsid w:val="00463C01"/>
    <w:rsid w:val="00464DB0"/>
    <w:rsid w:val="00470125"/>
    <w:rsid w:val="004771E1"/>
    <w:rsid w:val="0048204B"/>
    <w:rsid w:val="004863B9"/>
    <w:rsid w:val="00487311"/>
    <w:rsid w:val="004A0562"/>
    <w:rsid w:val="004A19F0"/>
    <w:rsid w:val="004B4BC8"/>
    <w:rsid w:val="004B6AE1"/>
    <w:rsid w:val="004B6F34"/>
    <w:rsid w:val="004C0127"/>
    <w:rsid w:val="004C55C1"/>
    <w:rsid w:val="004D24D9"/>
    <w:rsid w:val="004D2900"/>
    <w:rsid w:val="004D4A4C"/>
    <w:rsid w:val="004D654A"/>
    <w:rsid w:val="004F1BD2"/>
    <w:rsid w:val="005007A2"/>
    <w:rsid w:val="0050327A"/>
    <w:rsid w:val="00514C83"/>
    <w:rsid w:val="00514DDD"/>
    <w:rsid w:val="00527322"/>
    <w:rsid w:val="005346EE"/>
    <w:rsid w:val="00534C8B"/>
    <w:rsid w:val="00535C67"/>
    <w:rsid w:val="0055242A"/>
    <w:rsid w:val="005550F6"/>
    <w:rsid w:val="005574A3"/>
    <w:rsid w:val="005616C0"/>
    <w:rsid w:val="0056256F"/>
    <w:rsid w:val="00571FAE"/>
    <w:rsid w:val="005913E4"/>
    <w:rsid w:val="005954DC"/>
    <w:rsid w:val="005A2925"/>
    <w:rsid w:val="005B104F"/>
    <w:rsid w:val="005C4D59"/>
    <w:rsid w:val="005C718F"/>
    <w:rsid w:val="005D1946"/>
    <w:rsid w:val="005E10A7"/>
    <w:rsid w:val="005E122C"/>
    <w:rsid w:val="005E263C"/>
    <w:rsid w:val="005F403C"/>
    <w:rsid w:val="00627F1F"/>
    <w:rsid w:val="00640784"/>
    <w:rsid w:val="00654303"/>
    <w:rsid w:val="006673B6"/>
    <w:rsid w:val="0066746B"/>
    <w:rsid w:val="006727B9"/>
    <w:rsid w:val="00682E06"/>
    <w:rsid w:val="00690EFD"/>
    <w:rsid w:val="00692E7A"/>
    <w:rsid w:val="006952F4"/>
    <w:rsid w:val="0069651C"/>
    <w:rsid w:val="006B1DFB"/>
    <w:rsid w:val="006B616F"/>
    <w:rsid w:val="006B7133"/>
    <w:rsid w:val="006D5708"/>
    <w:rsid w:val="006D573E"/>
    <w:rsid w:val="006D6C82"/>
    <w:rsid w:val="006E169E"/>
    <w:rsid w:val="006E3024"/>
    <w:rsid w:val="006E3A94"/>
    <w:rsid w:val="006F615E"/>
    <w:rsid w:val="006F6735"/>
    <w:rsid w:val="007032FF"/>
    <w:rsid w:val="007406C5"/>
    <w:rsid w:val="0077161A"/>
    <w:rsid w:val="00781141"/>
    <w:rsid w:val="007831DA"/>
    <w:rsid w:val="007847C8"/>
    <w:rsid w:val="00786082"/>
    <w:rsid w:val="00787A81"/>
    <w:rsid w:val="00791E4E"/>
    <w:rsid w:val="00793254"/>
    <w:rsid w:val="00797BB6"/>
    <w:rsid w:val="007A2139"/>
    <w:rsid w:val="007A4146"/>
    <w:rsid w:val="007D0852"/>
    <w:rsid w:val="007D385B"/>
    <w:rsid w:val="007F44BF"/>
    <w:rsid w:val="007F57E5"/>
    <w:rsid w:val="00814324"/>
    <w:rsid w:val="00827CBD"/>
    <w:rsid w:val="00835248"/>
    <w:rsid w:val="00843389"/>
    <w:rsid w:val="008477DE"/>
    <w:rsid w:val="008504B9"/>
    <w:rsid w:val="00857C5B"/>
    <w:rsid w:val="00865131"/>
    <w:rsid w:val="00867694"/>
    <w:rsid w:val="00870319"/>
    <w:rsid w:val="008716F5"/>
    <w:rsid w:val="00874FAD"/>
    <w:rsid w:val="0088200C"/>
    <w:rsid w:val="00886D00"/>
    <w:rsid w:val="00887FD0"/>
    <w:rsid w:val="00891D72"/>
    <w:rsid w:val="00893F8B"/>
    <w:rsid w:val="008979D2"/>
    <w:rsid w:val="008A10C7"/>
    <w:rsid w:val="008A5582"/>
    <w:rsid w:val="008B1F4F"/>
    <w:rsid w:val="008E39AF"/>
    <w:rsid w:val="009001A3"/>
    <w:rsid w:val="00901F67"/>
    <w:rsid w:val="0093520F"/>
    <w:rsid w:val="0094080C"/>
    <w:rsid w:val="00952489"/>
    <w:rsid w:val="00955DF2"/>
    <w:rsid w:val="00962BF1"/>
    <w:rsid w:val="009665F6"/>
    <w:rsid w:val="00975BC8"/>
    <w:rsid w:val="0097699D"/>
    <w:rsid w:val="00993431"/>
    <w:rsid w:val="009945CD"/>
    <w:rsid w:val="009A5F8B"/>
    <w:rsid w:val="009B252C"/>
    <w:rsid w:val="009B5EDB"/>
    <w:rsid w:val="009B6966"/>
    <w:rsid w:val="009C3952"/>
    <w:rsid w:val="009C39B5"/>
    <w:rsid w:val="009C5386"/>
    <w:rsid w:val="009C53F6"/>
    <w:rsid w:val="009D5616"/>
    <w:rsid w:val="009F37C9"/>
    <w:rsid w:val="009F3C67"/>
    <w:rsid w:val="00A02BDB"/>
    <w:rsid w:val="00A05787"/>
    <w:rsid w:val="00A05F19"/>
    <w:rsid w:val="00A07162"/>
    <w:rsid w:val="00A16A65"/>
    <w:rsid w:val="00A33379"/>
    <w:rsid w:val="00A347F0"/>
    <w:rsid w:val="00A34FC6"/>
    <w:rsid w:val="00A36CDB"/>
    <w:rsid w:val="00A65330"/>
    <w:rsid w:val="00A65744"/>
    <w:rsid w:val="00A74718"/>
    <w:rsid w:val="00A93506"/>
    <w:rsid w:val="00A94DAE"/>
    <w:rsid w:val="00AA68B8"/>
    <w:rsid w:val="00AB23D6"/>
    <w:rsid w:val="00AC0FA8"/>
    <w:rsid w:val="00AE2BFC"/>
    <w:rsid w:val="00AE79EF"/>
    <w:rsid w:val="00AF5F89"/>
    <w:rsid w:val="00B00F6C"/>
    <w:rsid w:val="00B04CCD"/>
    <w:rsid w:val="00B105FC"/>
    <w:rsid w:val="00B13677"/>
    <w:rsid w:val="00B16C57"/>
    <w:rsid w:val="00B321EE"/>
    <w:rsid w:val="00B4173A"/>
    <w:rsid w:val="00B42FA5"/>
    <w:rsid w:val="00B4391E"/>
    <w:rsid w:val="00B46053"/>
    <w:rsid w:val="00B46D66"/>
    <w:rsid w:val="00B607D2"/>
    <w:rsid w:val="00B80868"/>
    <w:rsid w:val="00B830AD"/>
    <w:rsid w:val="00B84BDB"/>
    <w:rsid w:val="00B90D82"/>
    <w:rsid w:val="00B96576"/>
    <w:rsid w:val="00BB35A6"/>
    <w:rsid w:val="00BB3EAD"/>
    <w:rsid w:val="00BC1631"/>
    <w:rsid w:val="00BD76EA"/>
    <w:rsid w:val="00BE48CE"/>
    <w:rsid w:val="00BF07F2"/>
    <w:rsid w:val="00BF1C90"/>
    <w:rsid w:val="00C06341"/>
    <w:rsid w:val="00C20F59"/>
    <w:rsid w:val="00C30007"/>
    <w:rsid w:val="00C42DB4"/>
    <w:rsid w:val="00C43430"/>
    <w:rsid w:val="00C44595"/>
    <w:rsid w:val="00C51095"/>
    <w:rsid w:val="00C54170"/>
    <w:rsid w:val="00C541BC"/>
    <w:rsid w:val="00C63E56"/>
    <w:rsid w:val="00C75949"/>
    <w:rsid w:val="00C80769"/>
    <w:rsid w:val="00C845E5"/>
    <w:rsid w:val="00CA43BD"/>
    <w:rsid w:val="00CA74AB"/>
    <w:rsid w:val="00CB0881"/>
    <w:rsid w:val="00CC1A56"/>
    <w:rsid w:val="00D01517"/>
    <w:rsid w:val="00D01828"/>
    <w:rsid w:val="00D02DF7"/>
    <w:rsid w:val="00D0364B"/>
    <w:rsid w:val="00D10304"/>
    <w:rsid w:val="00D1177A"/>
    <w:rsid w:val="00D404FE"/>
    <w:rsid w:val="00D473ED"/>
    <w:rsid w:val="00D53B1F"/>
    <w:rsid w:val="00D61CB4"/>
    <w:rsid w:val="00D81398"/>
    <w:rsid w:val="00D907C9"/>
    <w:rsid w:val="00DB42EE"/>
    <w:rsid w:val="00DC6F56"/>
    <w:rsid w:val="00DD0E18"/>
    <w:rsid w:val="00DD2124"/>
    <w:rsid w:val="00DD3888"/>
    <w:rsid w:val="00DE0F62"/>
    <w:rsid w:val="00DE67FF"/>
    <w:rsid w:val="00DF04EA"/>
    <w:rsid w:val="00E01807"/>
    <w:rsid w:val="00E214A4"/>
    <w:rsid w:val="00E22D68"/>
    <w:rsid w:val="00E2764C"/>
    <w:rsid w:val="00E452F5"/>
    <w:rsid w:val="00E55F1C"/>
    <w:rsid w:val="00E56A71"/>
    <w:rsid w:val="00E74162"/>
    <w:rsid w:val="00E80A96"/>
    <w:rsid w:val="00E91B4D"/>
    <w:rsid w:val="00EB039C"/>
    <w:rsid w:val="00EB0910"/>
    <w:rsid w:val="00EB3B4E"/>
    <w:rsid w:val="00EC3F2B"/>
    <w:rsid w:val="00EC5A52"/>
    <w:rsid w:val="00ED3E88"/>
    <w:rsid w:val="00ED4855"/>
    <w:rsid w:val="00ED56D4"/>
    <w:rsid w:val="00ED63AA"/>
    <w:rsid w:val="00EE3E73"/>
    <w:rsid w:val="00EE558F"/>
    <w:rsid w:val="00EF5FAB"/>
    <w:rsid w:val="00F00CD5"/>
    <w:rsid w:val="00F03866"/>
    <w:rsid w:val="00F07BB7"/>
    <w:rsid w:val="00F11F5B"/>
    <w:rsid w:val="00F15C0D"/>
    <w:rsid w:val="00F16D63"/>
    <w:rsid w:val="00F16FBB"/>
    <w:rsid w:val="00F23F1D"/>
    <w:rsid w:val="00F24852"/>
    <w:rsid w:val="00F26330"/>
    <w:rsid w:val="00F325A9"/>
    <w:rsid w:val="00F34AA1"/>
    <w:rsid w:val="00F37B9A"/>
    <w:rsid w:val="00F66D21"/>
    <w:rsid w:val="00F74844"/>
    <w:rsid w:val="00F80EC4"/>
    <w:rsid w:val="00F91C43"/>
    <w:rsid w:val="00FB3434"/>
    <w:rsid w:val="00FB5790"/>
    <w:rsid w:val="00FB750A"/>
    <w:rsid w:val="00FC6CF7"/>
    <w:rsid w:val="00FD6FE9"/>
    <w:rsid w:val="00FD7FE6"/>
    <w:rsid w:val="00FE25D4"/>
    <w:rsid w:val="00FE61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F1AC3"/>
  <w15:docId w15:val="{DD426226-E488-43CC-AA16-C7FD60D4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DE67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DE67FF"/>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16">
      <w:bodyDiv w:val="1"/>
      <w:marLeft w:val="0"/>
      <w:marRight w:val="0"/>
      <w:marTop w:val="0"/>
      <w:marBottom w:val="0"/>
      <w:divBdr>
        <w:top w:val="none" w:sz="0" w:space="0" w:color="auto"/>
        <w:left w:val="none" w:sz="0" w:space="0" w:color="auto"/>
        <w:bottom w:val="none" w:sz="0" w:space="0" w:color="auto"/>
        <w:right w:val="none" w:sz="0" w:space="0" w:color="auto"/>
      </w:divBdr>
      <w:divsChild>
        <w:div w:id="1590306668">
          <w:marLeft w:val="0"/>
          <w:marRight w:val="0"/>
          <w:marTop w:val="0"/>
          <w:marBottom w:val="0"/>
          <w:divBdr>
            <w:top w:val="none" w:sz="0" w:space="0" w:color="auto"/>
            <w:left w:val="none" w:sz="0" w:space="0" w:color="auto"/>
            <w:bottom w:val="none" w:sz="0" w:space="0" w:color="auto"/>
            <w:right w:val="none" w:sz="0" w:space="0" w:color="auto"/>
          </w:divBdr>
          <w:divsChild>
            <w:div w:id="576087106">
              <w:marLeft w:val="0"/>
              <w:marRight w:val="0"/>
              <w:marTop w:val="0"/>
              <w:marBottom w:val="0"/>
              <w:divBdr>
                <w:top w:val="none" w:sz="0" w:space="0" w:color="auto"/>
                <w:left w:val="none" w:sz="0" w:space="0" w:color="auto"/>
                <w:bottom w:val="none" w:sz="0" w:space="0" w:color="auto"/>
                <w:right w:val="none" w:sz="0" w:space="0" w:color="auto"/>
              </w:divBdr>
              <w:divsChild>
                <w:div w:id="18970990">
                  <w:marLeft w:val="0"/>
                  <w:marRight w:val="0"/>
                  <w:marTop w:val="0"/>
                  <w:marBottom w:val="0"/>
                  <w:divBdr>
                    <w:top w:val="none" w:sz="0" w:space="0" w:color="auto"/>
                    <w:left w:val="none" w:sz="0" w:space="0" w:color="auto"/>
                    <w:bottom w:val="none" w:sz="0" w:space="0" w:color="auto"/>
                    <w:right w:val="none" w:sz="0" w:space="0" w:color="auto"/>
                  </w:divBdr>
                  <w:divsChild>
                    <w:div w:id="215704423">
                      <w:marLeft w:val="0"/>
                      <w:marRight w:val="0"/>
                      <w:marTop w:val="0"/>
                      <w:marBottom w:val="0"/>
                      <w:divBdr>
                        <w:top w:val="none" w:sz="0" w:space="0" w:color="auto"/>
                        <w:left w:val="none" w:sz="0" w:space="0" w:color="auto"/>
                        <w:bottom w:val="none" w:sz="0" w:space="0" w:color="auto"/>
                        <w:right w:val="none" w:sz="0" w:space="0" w:color="auto"/>
                      </w:divBdr>
                      <w:divsChild>
                        <w:div w:id="806774265">
                          <w:marLeft w:val="0"/>
                          <w:marRight w:val="0"/>
                          <w:marTop w:val="0"/>
                          <w:marBottom w:val="0"/>
                          <w:divBdr>
                            <w:top w:val="none" w:sz="0" w:space="0" w:color="auto"/>
                            <w:left w:val="none" w:sz="0" w:space="0" w:color="auto"/>
                            <w:bottom w:val="none" w:sz="0" w:space="0" w:color="auto"/>
                            <w:right w:val="none" w:sz="0" w:space="0" w:color="auto"/>
                          </w:divBdr>
                          <w:divsChild>
                            <w:div w:id="1664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304316574">
      <w:bodyDiv w:val="1"/>
      <w:marLeft w:val="0"/>
      <w:marRight w:val="0"/>
      <w:marTop w:val="0"/>
      <w:marBottom w:val="0"/>
      <w:divBdr>
        <w:top w:val="none" w:sz="0" w:space="0" w:color="auto"/>
        <w:left w:val="none" w:sz="0" w:space="0" w:color="auto"/>
        <w:bottom w:val="none" w:sz="0" w:space="0" w:color="auto"/>
        <w:right w:val="none" w:sz="0" w:space="0" w:color="auto"/>
      </w:divBdr>
      <w:divsChild>
        <w:div w:id="1544635549">
          <w:marLeft w:val="0"/>
          <w:marRight w:val="0"/>
          <w:marTop w:val="0"/>
          <w:marBottom w:val="0"/>
          <w:divBdr>
            <w:top w:val="none" w:sz="0" w:space="0" w:color="auto"/>
            <w:left w:val="none" w:sz="0" w:space="0" w:color="auto"/>
            <w:bottom w:val="none" w:sz="0" w:space="0" w:color="auto"/>
            <w:right w:val="none" w:sz="0" w:space="0" w:color="auto"/>
          </w:divBdr>
          <w:divsChild>
            <w:div w:id="893002383">
              <w:marLeft w:val="0"/>
              <w:marRight w:val="0"/>
              <w:marTop w:val="0"/>
              <w:marBottom w:val="0"/>
              <w:divBdr>
                <w:top w:val="none" w:sz="0" w:space="0" w:color="auto"/>
                <w:left w:val="none" w:sz="0" w:space="0" w:color="auto"/>
                <w:bottom w:val="none" w:sz="0" w:space="0" w:color="auto"/>
                <w:right w:val="none" w:sz="0" w:space="0" w:color="auto"/>
              </w:divBdr>
              <w:divsChild>
                <w:div w:id="2033918800">
                  <w:marLeft w:val="0"/>
                  <w:marRight w:val="0"/>
                  <w:marTop w:val="0"/>
                  <w:marBottom w:val="0"/>
                  <w:divBdr>
                    <w:top w:val="none" w:sz="0" w:space="0" w:color="auto"/>
                    <w:left w:val="none" w:sz="0" w:space="0" w:color="auto"/>
                    <w:bottom w:val="none" w:sz="0" w:space="0" w:color="auto"/>
                    <w:right w:val="none" w:sz="0" w:space="0" w:color="auto"/>
                  </w:divBdr>
                  <w:divsChild>
                    <w:div w:id="1618487525">
                      <w:marLeft w:val="0"/>
                      <w:marRight w:val="0"/>
                      <w:marTop w:val="0"/>
                      <w:marBottom w:val="0"/>
                      <w:divBdr>
                        <w:top w:val="none" w:sz="0" w:space="0" w:color="auto"/>
                        <w:left w:val="none" w:sz="0" w:space="0" w:color="auto"/>
                        <w:bottom w:val="none" w:sz="0" w:space="0" w:color="auto"/>
                        <w:right w:val="none" w:sz="0" w:space="0" w:color="auto"/>
                      </w:divBdr>
                      <w:divsChild>
                        <w:div w:id="184682674">
                          <w:marLeft w:val="0"/>
                          <w:marRight w:val="0"/>
                          <w:marTop w:val="0"/>
                          <w:marBottom w:val="0"/>
                          <w:divBdr>
                            <w:top w:val="none" w:sz="0" w:space="0" w:color="auto"/>
                            <w:left w:val="none" w:sz="0" w:space="0" w:color="auto"/>
                            <w:bottom w:val="none" w:sz="0" w:space="0" w:color="auto"/>
                            <w:right w:val="none" w:sz="0" w:space="0" w:color="auto"/>
                          </w:divBdr>
                          <w:divsChild>
                            <w:div w:id="1084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A6EF-3DAD-4BFB-ABF0-4451720A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4567</Words>
  <Characters>2604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2006.gada 27.jūnija noteikumos Nr.545 „Kārtība, kādā Eiropas Savienības struktūrfondu vadībā iesaistītās institūcijas nodrošina struktūrfondu ieviešanu un grozījumu izdarīšanu plānošanas do</vt:lpstr>
    </vt:vector>
  </TitlesOfParts>
  <Company>lm</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27.jūnija noteikumos Nr.545 „Kārtība, kādā Eiropas Savienības struktūrfondu vadībā iesaistītās institūcijas nodrošina struktūrfondu ieviešanu un grozījumu izdarīšanu plānošanas dokumentos”” sākotnējās ietekmes novērtējuma ziņojums (anotācija)</dc:title>
  <dc:subject>Anotācija</dc:subject>
  <dc:creator>J.Kapilova</dc:creator>
  <dc:description>Jekaterina.Kapilova@fm.gov.lv, _x000d_
t.67-083-888</dc:description>
  <cp:lastModifiedBy>Jekaterina Kapilova</cp:lastModifiedBy>
  <cp:revision>39</cp:revision>
  <cp:lastPrinted>2014-03-11T09:21:00Z</cp:lastPrinted>
  <dcterms:created xsi:type="dcterms:W3CDTF">2014-03-09T13:47:00Z</dcterms:created>
  <dcterms:modified xsi:type="dcterms:W3CDTF">2014-06-19T06:25:00Z</dcterms:modified>
</cp:coreProperties>
</file>