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DA" w:rsidRDefault="00056CDA" w:rsidP="006516CC">
      <w:pPr>
        <w:jc w:val="center"/>
        <w:outlineLvl w:val="0"/>
        <w:rPr>
          <w:b/>
          <w:color w:val="000000"/>
        </w:rPr>
      </w:pPr>
    </w:p>
    <w:p w:rsidR="006516CC" w:rsidRPr="00F449FA" w:rsidRDefault="006516CC" w:rsidP="006516CC">
      <w:pPr>
        <w:jc w:val="center"/>
        <w:outlineLvl w:val="0"/>
        <w:rPr>
          <w:b/>
          <w:bCs/>
          <w:color w:val="000000"/>
        </w:rPr>
      </w:pPr>
      <w:r w:rsidRPr="00F449FA">
        <w:rPr>
          <w:b/>
          <w:color w:val="000000"/>
        </w:rPr>
        <w:t xml:space="preserve">Likumprojekta </w:t>
      </w:r>
      <w:r w:rsidR="00B0122C">
        <w:rPr>
          <w:b/>
          <w:color w:val="000000"/>
        </w:rPr>
        <w:t>“</w:t>
      </w:r>
      <w:r w:rsidR="00442809">
        <w:rPr>
          <w:b/>
          <w:color w:val="000000"/>
        </w:rPr>
        <w:t>Komercdarbības atbalsta kontroles likums</w:t>
      </w:r>
      <w:r w:rsidR="00B0122C">
        <w:rPr>
          <w:b/>
          <w:color w:val="000000"/>
        </w:rPr>
        <w:t>”</w:t>
      </w:r>
      <w:r w:rsidRPr="00F449FA">
        <w:rPr>
          <w:b/>
          <w:color w:val="000000"/>
        </w:rPr>
        <w:t xml:space="preserve"> </w:t>
      </w:r>
      <w:r w:rsidRPr="00F449FA">
        <w:rPr>
          <w:b/>
          <w:bCs/>
          <w:color w:val="000000"/>
        </w:rPr>
        <w:t xml:space="preserve">sākotnējās ietekmes novērtējuma </w:t>
      </w:r>
      <w:smartTag w:uri="schemas-tilde-lv/tildestengine" w:element="veidnes">
        <w:smartTagPr>
          <w:attr w:name="id" w:val="-1"/>
          <w:attr w:name="baseform" w:val="ziņojums"/>
          <w:attr w:name="text" w:val="ziņojums"/>
        </w:smartTagPr>
        <w:r w:rsidRPr="00F449FA">
          <w:rPr>
            <w:b/>
            <w:bCs/>
            <w:color w:val="000000"/>
          </w:rPr>
          <w:t>ziņojums</w:t>
        </w:r>
      </w:smartTag>
      <w:r w:rsidRPr="00F449FA">
        <w:rPr>
          <w:b/>
          <w:bCs/>
          <w:color w:val="000000"/>
        </w:rPr>
        <w:t xml:space="preserve"> (anotācija)</w:t>
      </w:r>
    </w:p>
    <w:p w:rsidR="006516CC" w:rsidRPr="00F449FA" w:rsidRDefault="006516CC" w:rsidP="006516CC">
      <w:pPr>
        <w:jc w:val="center"/>
        <w:rPr>
          <w:b/>
          <w:color w:val="000000"/>
        </w:rPr>
      </w:pPr>
    </w:p>
    <w:tbl>
      <w:tblPr>
        <w:tblW w:w="97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5"/>
        <w:gridCol w:w="1977"/>
        <w:gridCol w:w="7503"/>
      </w:tblGrid>
      <w:tr w:rsidR="006516CC" w:rsidRPr="00F449FA" w:rsidTr="006975B5">
        <w:tc>
          <w:tcPr>
            <w:tcW w:w="5000" w:type="pct"/>
            <w:gridSpan w:val="3"/>
            <w:tcBorders>
              <w:top w:val="single" w:sz="6" w:space="0" w:color="auto"/>
              <w:left w:val="single" w:sz="6" w:space="0" w:color="auto"/>
              <w:bottom w:val="outset" w:sz="6" w:space="0" w:color="000000"/>
              <w:right w:val="single" w:sz="6" w:space="0" w:color="auto"/>
            </w:tcBorders>
            <w:vAlign w:val="center"/>
          </w:tcPr>
          <w:p w:rsidR="006516CC" w:rsidRPr="00F449FA" w:rsidRDefault="006516CC" w:rsidP="006975B5">
            <w:pPr>
              <w:spacing w:before="100" w:beforeAutospacing="1" w:after="100" w:afterAutospacing="1"/>
              <w:jc w:val="center"/>
              <w:rPr>
                <w:b/>
                <w:bCs/>
                <w:color w:val="000000"/>
              </w:rPr>
            </w:pPr>
            <w:r w:rsidRPr="00F449FA">
              <w:rPr>
                <w:b/>
                <w:bCs/>
                <w:color w:val="000000"/>
              </w:rPr>
              <w:t>I. Tiesību akta projekta izstrādes nepieciešamība</w:t>
            </w:r>
          </w:p>
        </w:tc>
      </w:tr>
      <w:tr w:rsidR="006516CC" w:rsidRPr="00F449FA" w:rsidTr="00B505D4">
        <w:tc>
          <w:tcPr>
            <w:tcW w:w="151" w:type="pct"/>
            <w:tcBorders>
              <w:top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1.</w:t>
            </w:r>
          </w:p>
        </w:tc>
        <w:tc>
          <w:tcPr>
            <w:tcW w:w="1011" w:type="pct"/>
            <w:tcBorders>
              <w:top w:val="outset" w:sz="6" w:space="0" w:color="000000"/>
              <w:left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Pamatojums</w:t>
            </w:r>
          </w:p>
        </w:tc>
        <w:tc>
          <w:tcPr>
            <w:tcW w:w="3838" w:type="pct"/>
            <w:tcBorders>
              <w:top w:val="outset" w:sz="6" w:space="0" w:color="000000"/>
              <w:left w:val="outset" w:sz="6" w:space="0" w:color="000000"/>
              <w:bottom w:val="outset" w:sz="6" w:space="0" w:color="000000"/>
            </w:tcBorders>
          </w:tcPr>
          <w:p w:rsidR="00BD726E" w:rsidRPr="00B505D4" w:rsidRDefault="009E0A63" w:rsidP="006C7182">
            <w:pPr>
              <w:jc w:val="both"/>
            </w:pPr>
            <w:r w:rsidRPr="009E0A63">
              <w:t>Saskaņā ar Eiropas Komisijas 2012.gada 8.maija paziņojumu Eiropas Parlamentam, Padomei, Eiropas ekonomikas un sociālo lietu Komitejai un Reģionu Komitejai Nr. COM(2012) 209, tika uzsākta Eiropas Savienības valsts atbalsta modernizācija (VAM). VAM</w:t>
            </w:r>
            <w:r w:rsidR="00C11776">
              <w:t xml:space="preserve"> ietvaros </w:t>
            </w:r>
            <w:r w:rsidR="001D5F64">
              <w:t xml:space="preserve">Eiropas Komisija ir izstrādājusi jaunus </w:t>
            </w:r>
            <w:r w:rsidR="000715DD" w:rsidRPr="009E0A63">
              <w:t xml:space="preserve">Eiropas Savienības tiesību aktus valsts atbalsta jomā, </w:t>
            </w:r>
            <w:r w:rsidR="000715DD">
              <w:t>no kuriem būtiskākie Latvijas Republikai tieši piemērojamie Eiropas Savienības tiesību akti stāsies spēkā 2014.</w:t>
            </w:r>
            <w:r w:rsidR="000715DD" w:rsidRPr="009E0A63">
              <w:t xml:space="preserve">gada 1.jūlijā, </w:t>
            </w:r>
            <w:r w:rsidR="000715DD">
              <w:t>ar kuriem pastāvošais regulējums Komercdarbības atbalsta kontroles likumā zaudēs aktualitāti. Minētā sakarā ir nepieciešams steidzami veikt būtiskas izmaiņas esošajā Komercdarbības atbalsta kontroles likumā, lai nodrošinātu tā normu atbilstību Latvijas Republikai saistošajiem starptautiskiem tiesību aktiem.</w:t>
            </w:r>
            <w:r w:rsidR="006C7182">
              <w:t xml:space="preserve"> </w:t>
            </w:r>
          </w:p>
        </w:tc>
      </w:tr>
      <w:tr w:rsidR="006516CC" w:rsidRPr="00F449FA" w:rsidTr="00B505D4">
        <w:tc>
          <w:tcPr>
            <w:tcW w:w="151" w:type="pct"/>
            <w:tcBorders>
              <w:top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2.</w:t>
            </w:r>
          </w:p>
        </w:tc>
        <w:tc>
          <w:tcPr>
            <w:tcW w:w="1011" w:type="pct"/>
            <w:tcBorders>
              <w:top w:val="outset" w:sz="6" w:space="0" w:color="000000"/>
              <w:left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Pašreizējā situācija un problēmas</w:t>
            </w:r>
            <w:r w:rsidR="005C2A8A">
              <w:rPr>
                <w:color w:val="000000"/>
              </w:rPr>
              <w:t>, kuru risināšanai tiesību akta projekts izstrādāts, tiesiskā regulējuma mērķis un būtība</w:t>
            </w:r>
          </w:p>
        </w:tc>
        <w:tc>
          <w:tcPr>
            <w:tcW w:w="3838" w:type="pct"/>
            <w:tcBorders>
              <w:top w:val="outset" w:sz="6" w:space="0" w:color="000000"/>
              <w:left w:val="outset" w:sz="6" w:space="0" w:color="000000"/>
              <w:bottom w:val="outset" w:sz="6" w:space="0" w:color="000000"/>
            </w:tcBorders>
          </w:tcPr>
          <w:p w:rsidR="00E33804" w:rsidRDefault="009E0A63" w:rsidP="00A972DC">
            <w:pPr>
              <w:jc w:val="both"/>
            </w:pPr>
            <w:r w:rsidRPr="00035105">
              <w:t xml:space="preserve">Šobrīd spēkā esošais Komercdarbības atbalsta kontroles likums ir spēkā no 2003.gada 1.janvāra. </w:t>
            </w:r>
            <w:r w:rsidR="0088606E">
              <w:t xml:space="preserve">Kopš likuma spēkā stāšanās tika veikti vairāki grozījumi, ar kuriem Komercdarbības </w:t>
            </w:r>
            <w:r w:rsidR="0088606E" w:rsidRPr="00035105">
              <w:t>atbalsta kontroles likums</w:t>
            </w:r>
            <w:r w:rsidR="0088606E">
              <w:t xml:space="preserve"> tika papildināts ar </w:t>
            </w:r>
            <w:r w:rsidR="00B658DB">
              <w:t xml:space="preserve">aktuālo </w:t>
            </w:r>
            <w:r w:rsidR="0088606E">
              <w:t xml:space="preserve">tiesisko regulējumu, kas tiešā veidā </w:t>
            </w:r>
            <w:r w:rsidRPr="00035105">
              <w:t>izrietēja no izmaiņām Eiropas Savienības</w:t>
            </w:r>
            <w:r w:rsidR="00222317">
              <w:t xml:space="preserve"> </w:t>
            </w:r>
            <w:r w:rsidRPr="00035105">
              <w:t>aktos.</w:t>
            </w:r>
            <w:r w:rsidR="00335758">
              <w:t xml:space="preserve"> </w:t>
            </w:r>
          </w:p>
          <w:p w:rsidR="00D54753" w:rsidRDefault="00283C1E" w:rsidP="00A972DC">
            <w:pPr>
              <w:jc w:val="both"/>
              <w:rPr>
                <w:color w:val="000000"/>
              </w:rPr>
            </w:pPr>
            <w:r>
              <w:rPr>
                <w:color w:val="000000"/>
              </w:rPr>
              <w:t>Lielākā daļa</w:t>
            </w:r>
            <w:r w:rsidR="00D54753">
              <w:rPr>
                <w:color w:val="000000"/>
              </w:rPr>
              <w:t>s spēkā esoš</w:t>
            </w:r>
            <w:r>
              <w:rPr>
                <w:color w:val="000000"/>
              </w:rPr>
              <w:t>ā</w:t>
            </w:r>
            <w:r w:rsidR="00D54753">
              <w:rPr>
                <w:color w:val="000000"/>
              </w:rPr>
              <w:t xml:space="preserve"> Komercdarbības atbalsta kontroles likuma norm</w:t>
            </w:r>
            <w:r>
              <w:rPr>
                <w:color w:val="000000"/>
              </w:rPr>
              <w:t>u</w:t>
            </w:r>
            <w:r w:rsidR="00D54753">
              <w:rPr>
                <w:color w:val="000000"/>
              </w:rPr>
              <w:t xml:space="preserve"> zaudē aktualitāti līdz ar</w:t>
            </w:r>
            <w:r w:rsidR="006A406F">
              <w:rPr>
                <w:color w:val="000000"/>
              </w:rPr>
              <w:t xml:space="preserve"> VAM ietvaros izstrādāto un pieņemto</w:t>
            </w:r>
            <w:r w:rsidR="00D54753">
              <w:rPr>
                <w:color w:val="000000"/>
              </w:rPr>
              <w:t xml:space="preserve"> jauno regulējumu, </w:t>
            </w:r>
            <w:r w:rsidR="00D54753" w:rsidRPr="006D5313">
              <w:rPr>
                <w:color w:val="000000"/>
              </w:rPr>
              <w:t>kas</w:t>
            </w:r>
            <w:r w:rsidR="006A406F" w:rsidRPr="006D5313">
              <w:rPr>
                <w:color w:val="000000"/>
              </w:rPr>
              <w:t xml:space="preserve"> aptver</w:t>
            </w:r>
            <w:r w:rsidR="00D54753" w:rsidRPr="006D5313">
              <w:rPr>
                <w:color w:val="000000"/>
              </w:rPr>
              <w:t xml:space="preserve"> </w:t>
            </w:r>
            <w:r w:rsidR="006A406F" w:rsidRPr="006D5313">
              <w:rPr>
                <w:color w:val="000000"/>
              </w:rPr>
              <w:t>valsts atbalsta noteikumus v</w:t>
            </w:r>
            <w:r w:rsidR="00D54753" w:rsidRPr="006D5313">
              <w:rPr>
                <w:color w:val="000000"/>
              </w:rPr>
              <w:t>ides aizs</w:t>
            </w:r>
            <w:r w:rsidR="006A406F" w:rsidRPr="006D5313">
              <w:rPr>
                <w:color w:val="000000"/>
              </w:rPr>
              <w:t>ardzības un enerģētikas jomā</w:t>
            </w:r>
            <w:r w:rsidR="00D54753" w:rsidRPr="006D5313">
              <w:rPr>
                <w:color w:val="000000"/>
              </w:rPr>
              <w:t xml:space="preserve">, </w:t>
            </w:r>
            <w:r w:rsidR="006A406F" w:rsidRPr="006D5313">
              <w:rPr>
                <w:color w:val="000000"/>
              </w:rPr>
              <w:t>a</w:t>
            </w:r>
            <w:r w:rsidR="00D54753" w:rsidRPr="006D5313">
              <w:rPr>
                <w:color w:val="000000"/>
              </w:rPr>
              <w:t>viācija</w:t>
            </w:r>
            <w:r w:rsidR="006A406F" w:rsidRPr="006D5313">
              <w:rPr>
                <w:color w:val="000000"/>
              </w:rPr>
              <w:t xml:space="preserve">s jomā, uzņēmumu glābšanas un restrukturizācijas jomā, pētījumu un inovāciju atbalsta jomā, riska finanšu jomā, platjoslu jomā, </w:t>
            </w:r>
            <w:r w:rsidR="000715DD" w:rsidRPr="006D5313">
              <w:rPr>
                <w:color w:val="000000"/>
              </w:rPr>
              <w:t>atbalstam maziem un vidējiem uzņēmumiem</w:t>
            </w:r>
            <w:r w:rsidR="006D5313" w:rsidRPr="006D5313">
              <w:rPr>
                <w:color w:val="000000"/>
              </w:rPr>
              <w:t>, reģionālā atbalsta jomā</w:t>
            </w:r>
            <w:r w:rsidR="006A406F" w:rsidRPr="006D5313">
              <w:rPr>
                <w:color w:val="000000"/>
              </w:rPr>
              <w:t>,</w:t>
            </w:r>
            <w:r w:rsidR="006D5313" w:rsidRPr="006D5313">
              <w:rPr>
                <w:color w:val="000000"/>
              </w:rPr>
              <w:t xml:space="preserve"> riska kapitāla jomā</w:t>
            </w:r>
            <w:r w:rsidR="006A406F" w:rsidRPr="006D5313">
              <w:rPr>
                <w:color w:val="000000"/>
              </w:rPr>
              <w:t xml:space="preserve"> u.c. jomā</w:t>
            </w:r>
            <w:r w:rsidR="006D5313" w:rsidRPr="006D5313">
              <w:rPr>
                <w:color w:val="000000"/>
              </w:rPr>
              <w:t>s</w:t>
            </w:r>
            <w:r w:rsidR="00D54753" w:rsidRPr="006D5313">
              <w:rPr>
                <w:color w:val="000000"/>
              </w:rPr>
              <w:t>.</w:t>
            </w:r>
          </w:p>
          <w:p w:rsidR="00E918B2" w:rsidRDefault="00E918B2" w:rsidP="00A972DC">
            <w:pPr>
              <w:jc w:val="both"/>
            </w:pPr>
            <w:r>
              <w:rPr>
                <w:color w:val="000000"/>
              </w:rPr>
              <w:t>Likumprojekta normas tika pārņemtas no šobrīd spēkā esošā Komercdarbības atbalsta kontroles likuma, kur</w:t>
            </w:r>
            <w:r w:rsidR="00CD3E67">
              <w:rPr>
                <w:color w:val="000000"/>
              </w:rPr>
              <w:t xml:space="preserve">ām ir </w:t>
            </w:r>
            <w:r w:rsidR="002F106A">
              <w:rPr>
                <w:color w:val="000000"/>
              </w:rPr>
              <w:t xml:space="preserve">izveidojusies </w:t>
            </w:r>
            <w:r w:rsidR="00CD3E67">
              <w:rPr>
                <w:color w:val="000000"/>
              </w:rPr>
              <w:t xml:space="preserve">piemērošanas prakse un tajās ietverto </w:t>
            </w:r>
            <w:r w:rsidR="002F106A">
              <w:rPr>
                <w:color w:val="000000"/>
              </w:rPr>
              <w:t xml:space="preserve">terminu </w:t>
            </w:r>
            <w:r w:rsidR="00CD3E67">
              <w:rPr>
                <w:color w:val="000000"/>
              </w:rPr>
              <w:t xml:space="preserve">vienota nepārprotama </w:t>
            </w:r>
            <w:r w:rsidR="002F106A">
              <w:rPr>
                <w:color w:val="000000"/>
              </w:rPr>
              <w:t>interpretācija</w:t>
            </w:r>
            <w:r>
              <w:rPr>
                <w:color w:val="000000"/>
              </w:rPr>
              <w:t xml:space="preserve">. Vienlaikus norādāms, ka šo normu piemērotāji galvenokārt ir valsts vai pašvaldības iestādes, izstrādājot atbalsta programmas, līdz ar to ar jau pastāvošo praksi tie ir </w:t>
            </w:r>
            <w:r w:rsidR="006F47C1">
              <w:rPr>
                <w:color w:val="000000"/>
              </w:rPr>
              <w:t xml:space="preserve">kompetenti </w:t>
            </w:r>
            <w:r>
              <w:rPr>
                <w:color w:val="000000"/>
              </w:rPr>
              <w:t xml:space="preserve"> Eiropas Savienības normatīv</w:t>
            </w:r>
            <w:r w:rsidR="006F47C1">
              <w:rPr>
                <w:color w:val="000000"/>
              </w:rPr>
              <w:t>o</w:t>
            </w:r>
            <w:r>
              <w:rPr>
                <w:color w:val="000000"/>
              </w:rPr>
              <w:t xml:space="preserve"> akt</w:t>
            </w:r>
            <w:r w:rsidR="006F47C1">
              <w:rPr>
                <w:color w:val="000000"/>
              </w:rPr>
              <w:t>u</w:t>
            </w:r>
            <w:r>
              <w:rPr>
                <w:color w:val="000000"/>
              </w:rPr>
              <w:t xml:space="preserve"> </w:t>
            </w:r>
            <w:r w:rsidR="006F47C1">
              <w:rPr>
                <w:color w:val="000000"/>
              </w:rPr>
              <w:t>izvēlē un piemērošanā</w:t>
            </w:r>
            <w:r>
              <w:rPr>
                <w:color w:val="000000"/>
              </w:rPr>
              <w:t>.</w:t>
            </w:r>
          </w:p>
          <w:p w:rsidR="00A57206" w:rsidRDefault="00A57206" w:rsidP="00A972DC">
            <w:pPr>
              <w:jc w:val="both"/>
            </w:pPr>
            <w:r>
              <w:t>Līdz ar jauna likuma spēkā stāšanos zaudēs spēku Ministru kabineta noteikumi, k</w:t>
            </w:r>
            <w:r w:rsidR="00A27C2B">
              <w:t>as</w:t>
            </w:r>
            <w:r>
              <w:t xml:space="preserve"> nosaka </w:t>
            </w:r>
            <w:r w:rsidR="00FE6626" w:rsidRPr="00AB5551">
              <w:rPr>
                <w:color w:val="000000"/>
              </w:rPr>
              <w:t>komercsabiedrību deklarēšanas kārtību atbilstoši mazajai (sīkajai) vai vidējai komercsabiedrībai</w:t>
            </w:r>
            <w:r w:rsidR="00FE6626">
              <w:rPr>
                <w:color w:val="000000"/>
              </w:rPr>
              <w:t xml:space="preserve">, noteikumi </w:t>
            </w:r>
            <w:r w:rsidR="00A27C2B">
              <w:t>par reģionālās attīstības atbalstu Latvijas Republikā, noteikumi, kas nosaka kārtību, kādā Eiropas Komisijā elektroniski iesniedz atbalsta programmu un individuālo atbalsta projektu paziņojumus un kādā piešķir un anulē atbalsta paziņojumu elektroniskās sistēmas lietošanas tiesības, noteikumi, kas nosaka kārtību</w:t>
            </w:r>
            <w:r w:rsidR="00394197">
              <w:t xml:space="preserve">, kādā </w:t>
            </w:r>
            <w:r w:rsidR="00A27C2B">
              <w:t>atbalsta sniedzēji iesniedz Finanšu ministrijai pārskatu par veiktajiem atlīdzības maksājumiem par sniegtajiem sabiedriskajiem pakalpojumiem</w:t>
            </w:r>
            <w:r w:rsidR="00142CFF">
              <w:t xml:space="preserve">, noteikumi, kas nosaka kārtību, kādā apstiprina </w:t>
            </w:r>
            <w:proofErr w:type="spellStart"/>
            <w:r w:rsidR="00142CFF" w:rsidRPr="00142CFF">
              <w:rPr>
                <w:i/>
              </w:rPr>
              <w:t>de</w:t>
            </w:r>
            <w:proofErr w:type="spellEnd"/>
            <w:r w:rsidR="00142CFF" w:rsidRPr="00142CFF">
              <w:rPr>
                <w:i/>
              </w:rPr>
              <w:t xml:space="preserve"> </w:t>
            </w:r>
            <w:proofErr w:type="spellStart"/>
            <w:r w:rsidR="00142CFF" w:rsidRPr="00142CFF">
              <w:rPr>
                <w:i/>
              </w:rPr>
              <w:t>minimis</w:t>
            </w:r>
            <w:proofErr w:type="spellEnd"/>
            <w:r w:rsidR="00142CFF">
              <w:t xml:space="preserve"> atbalsta uzskaites veidlapu paraugus un veic </w:t>
            </w:r>
            <w:proofErr w:type="spellStart"/>
            <w:r w:rsidR="00142CFF" w:rsidRPr="00142CFF">
              <w:rPr>
                <w:i/>
              </w:rPr>
              <w:t>de</w:t>
            </w:r>
            <w:proofErr w:type="spellEnd"/>
            <w:r w:rsidR="00142CFF" w:rsidRPr="00142CFF">
              <w:rPr>
                <w:i/>
              </w:rPr>
              <w:t xml:space="preserve"> </w:t>
            </w:r>
            <w:proofErr w:type="spellStart"/>
            <w:r w:rsidR="00142CFF" w:rsidRPr="00142CFF">
              <w:rPr>
                <w:i/>
              </w:rPr>
              <w:t>minimis</w:t>
            </w:r>
            <w:proofErr w:type="spellEnd"/>
            <w:r w:rsidR="00142CFF">
              <w:t xml:space="preserve"> atbalsta uzskaiti un piešķiršanu.  </w:t>
            </w:r>
          </w:p>
          <w:p w:rsidR="00394197" w:rsidRDefault="00394197" w:rsidP="00A972DC">
            <w:pPr>
              <w:jc w:val="both"/>
            </w:pPr>
            <w:r>
              <w:t>Minētie noteikumi būs piemērojami līdz jaunu Ministru kabineta noteikumu pieņemšanai, ciktāl tie nebūs pretrunā ar jauno likumu</w:t>
            </w:r>
            <w:r w:rsidR="007E2211" w:rsidRPr="00B0510A">
              <w:t>, bet ne vēlāk kā līdz 2014. gada 31. decembrim</w:t>
            </w:r>
            <w:r>
              <w:t>.</w:t>
            </w:r>
          </w:p>
          <w:p w:rsidR="00BD726E" w:rsidRDefault="00BD726E" w:rsidP="00A972DC">
            <w:pPr>
              <w:jc w:val="both"/>
              <w:rPr>
                <w:color w:val="000000"/>
              </w:rPr>
            </w:pPr>
          </w:p>
          <w:p w:rsidR="00AA3314" w:rsidRDefault="00613726" w:rsidP="00A972DC">
            <w:pPr>
              <w:jc w:val="both"/>
              <w:rPr>
                <w:color w:val="000000"/>
              </w:rPr>
            </w:pPr>
            <w:r>
              <w:rPr>
                <w:color w:val="000000"/>
              </w:rPr>
              <w:lastRenderedPageBreak/>
              <w:t>Jaunais Komercdarbības atbalsta kontroles likums noteiks Latvijas nacionālās kompetences un nodrošinās efektīvu valsts atbalsta kontroles normu pielietošanu</w:t>
            </w:r>
            <w:r w:rsidR="00AA3314">
              <w:rPr>
                <w:color w:val="000000"/>
              </w:rPr>
              <w:t>, tai skaitā:</w:t>
            </w:r>
          </w:p>
          <w:p w:rsidR="00B64D1A" w:rsidRPr="00B64D1A" w:rsidRDefault="0017579F" w:rsidP="00A972DC">
            <w:pPr>
              <w:pStyle w:val="ListParagraph"/>
              <w:numPr>
                <w:ilvl w:val="0"/>
                <w:numId w:val="4"/>
              </w:numPr>
              <w:jc w:val="both"/>
            </w:pPr>
            <w:r>
              <w:rPr>
                <w:color w:val="000000"/>
              </w:rPr>
              <w:t>l</w:t>
            </w:r>
            <w:r w:rsidR="00391505" w:rsidRPr="00391505">
              <w:rPr>
                <w:color w:val="000000"/>
              </w:rPr>
              <w:t xml:space="preserve">ai nodrošinātu efektīvu komercdarbības atbalsta kontroli un novērstu negatīvo ietekmi uz konkurenci Eiropas Savienības iekšējā tirgū, kas var rasties, piešķirot nelikumīgu atbalstu komercsabiedrībām, dalībvalstīm būtu jāvadās pēc aktuālākās komercdarbības atbalsta kontroles normu interpretācijas. Tā kā komercdarbības atbalsta kontroles normu interpretācija ir atrodama ne tikai Eiropas Savienības izdotajos normatīvajos aktos, bet arī Eiropas Savienības tiesu spriedumos, kā arī dokumentos, ko Eiropas Komisija izdod atbilstoši savai kompetencei, lai sasniegtu Eiropas Savienības noteiktos mērķus, </w:t>
            </w:r>
            <w:r w:rsidR="00391505">
              <w:rPr>
                <w:color w:val="000000"/>
              </w:rPr>
              <w:t>likumprojektā</w:t>
            </w:r>
            <w:r w:rsidR="00391505" w:rsidRPr="00391505">
              <w:rPr>
                <w:color w:val="000000"/>
              </w:rPr>
              <w:t xml:space="preserve"> </w:t>
            </w:r>
            <w:r w:rsidR="00335758" w:rsidRPr="00391505">
              <w:rPr>
                <w:color w:val="000000"/>
              </w:rPr>
              <w:t>ti</w:t>
            </w:r>
            <w:r w:rsidR="003F20DC" w:rsidRPr="00391505">
              <w:rPr>
                <w:color w:val="000000"/>
              </w:rPr>
              <w:t>e</w:t>
            </w:r>
            <w:r w:rsidR="00335758" w:rsidRPr="00391505">
              <w:rPr>
                <w:color w:val="000000"/>
              </w:rPr>
              <w:t xml:space="preserve">k paredzēta iespēja tieši </w:t>
            </w:r>
            <w:r w:rsidR="003F20DC" w:rsidRPr="00391505">
              <w:rPr>
                <w:color w:val="000000"/>
              </w:rPr>
              <w:t xml:space="preserve">piemērot </w:t>
            </w:r>
            <w:r w:rsidR="00335758" w:rsidRPr="00391505">
              <w:rPr>
                <w:color w:val="000000"/>
              </w:rPr>
              <w:t>Eiropas Savienības akt</w:t>
            </w:r>
            <w:r w:rsidR="003F20DC" w:rsidRPr="00391505">
              <w:rPr>
                <w:color w:val="000000"/>
              </w:rPr>
              <w:t>us</w:t>
            </w:r>
            <w:r w:rsidR="00AA3314" w:rsidRPr="00391505">
              <w:rPr>
                <w:color w:val="000000"/>
              </w:rPr>
              <w:t>, Eiropas Savienības tiesu spriedum</w:t>
            </w:r>
            <w:r w:rsidR="003F20DC" w:rsidRPr="00391505">
              <w:rPr>
                <w:color w:val="000000"/>
              </w:rPr>
              <w:t>us</w:t>
            </w:r>
            <w:r w:rsidR="00335758" w:rsidRPr="00391505">
              <w:rPr>
                <w:color w:val="000000"/>
              </w:rPr>
              <w:t xml:space="preserve"> un cit</w:t>
            </w:r>
            <w:r w:rsidR="003F20DC" w:rsidRPr="00391505">
              <w:rPr>
                <w:color w:val="000000"/>
              </w:rPr>
              <w:t>us</w:t>
            </w:r>
            <w:r w:rsidR="00335758" w:rsidRPr="00391505">
              <w:rPr>
                <w:color w:val="000000"/>
              </w:rPr>
              <w:t xml:space="preserve"> pieņemt</w:t>
            </w:r>
            <w:r w:rsidR="003F20DC" w:rsidRPr="00391505">
              <w:rPr>
                <w:color w:val="000000"/>
              </w:rPr>
              <w:t>os</w:t>
            </w:r>
            <w:r w:rsidR="00335758" w:rsidRPr="00391505">
              <w:rPr>
                <w:color w:val="000000"/>
              </w:rPr>
              <w:t xml:space="preserve"> </w:t>
            </w:r>
            <w:r w:rsidR="00AA3314" w:rsidRPr="00391505">
              <w:rPr>
                <w:color w:val="000000"/>
              </w:rPr>
              <w:t>dokument</w:t>
            </w:r>
            <w:r w:rsidR="003F20DC" w:rsidRPr="00391505">
              <w:rPr>
                <w:color w:val="000000"/>
              </w:rPr>
              <w:t>us</w:t>
            </w:r>
            <w:r w:rsidR="00AA3314" w:rsidRPr="00391505">
              <w:rPr>
                <w:color w:val="000000"/>
              </w:rPr>
              <w:t xml:space="preserve"> valsts atbalsta jomā</w:t>
            </w:r>
            <w:r w:rsidR="00B64D1A">
              <w:rPr>
                <w:color w:val="000000"/>
              </w:rPr>
              <w:t>. Tā kā lielākā daļa jauno Eiropas Savienības aktu stāsties spēkā ar 2014. gada 1.jūliju, ir vēlams likumprojektu pieņemt līdz 2014. gada 1. jūlijam jeb iespējami tuvākajā laikā;</w:t>
            </w:r>
          </w:p>
          <w:p w:rsidR="00F26639" w:rsidRDefault="006B3E1A" w:rsidP="00A972DC">
            <w:pPr>
              <w:pStyle w:val="ListParagraph"/>
              <w:numPr>
                <w:ilvl w:val="0"/>
                <w:numId w:val="4"/>
              </w:numPr>
              <w:jc w:val="both"/>
            </w:pPr>
            <w:r>
              <w:t>tiek ietvert</w:t>
            </w:r>
            <w:r w:rsidR="00ED15D6">
              <w:t>s</w:t>
            </w:r>
            <w:r>
              <w:t xml:space="preserve"> nacionālais kompetenču sadalījums starp Finanšu ministriju un Zemkopības ministriju;</w:t>
            </w:r>
          </w:p>
          <w:p w:rsidR="006B3E1A" w:rsidRDefault="00150ABD" w:rsidP="00A972DC">
            <w:pPr>
              <w:pStyle w:val="ListParagraph"/>
              <w:numPr>
                <w:ilvl w:val="0"/>
                <w:numId w:val="4"/>
              </w:numPr>
              <w:jc w:val="both"/>
            </w:pPr>
            <w:r>
              <w:t>tiek ietvertas procesuālās normas attiecībā uz valsts atbalsta izvērtēšanu un paziņošanu;</w:t>
            </w:r>
          </w:p>
          <w:p w:rsidR="00AA3314" w:rsidRDefault="00AA3314" w:rsidP="00A972DC">
            <w:pPr>
              <w:pStyle w:val="ListParagraph"/>
              <w:numPr>
                <w:ilvl w:val="0"/>
                <w:numId w:val="4"/>
              </w:numPr>
              <w:jc w:val="both"/>
            </w:pPr>
            <w:r>
              <w:t>ti</w:t>
            </w:r>
            <w:r w:rsidR="00150ABD">
              <w:t>ek</w:t>
            </w:r>
            <w:r>
              <w:t xml:space="preserve"> noteiktas nelikumīgā valsts atbalsta atgūšanas procedūras;</w:t>
            </w:r>
          </w:p>
          <w:p w:rsidR="00A972DC" w:rsidRPr="009D421E" w:rsidRDefault="00AA3314" w:rsidP="00A972DC">
            <w:pPr>
              <w:pStyle w:val="ListParagraph"/>
              <w:numPr>
                <w:ilvl w:val="0"/>
                <w:numId w:val="4"/>
              </w:numPr>
              <w:jc w:val="both"/>
              <w:rPr>
                <w:color w:val="000000"/>
              </w:rPr>
            </w:pPr>
            <w:r>
              <w:t>ti</w:t>
            </w:r>
            <w:r w:rsidR="00150ABD">
              <w:t>e</w:t>
            </w:r>
            <w:r>
              <w:t xml:space="preserve">k noteikti </w:t>
            </w:r>
            <w:r w:rsidR="002F48E1">
              <w:t xml:space="preserve">finanšu uzskaites </w:t>
            </w:r>
            <w:r>
              <w:t xml:space="preserve">nosacījumi </w:t>
            </w:r>
            <w:r w:rsidR="002F48E1">
              <w:t xml:space="preserve">valsts un pašvaldību institūcijām, piešķirot </w:t>
            </w:r>
            <w:r w:rsidRPr="00AA3314">
              <w:t>finansiāl</w:t>
            </w:r>
            <w:r w:rsidR="002F48E1">
              <w:t>o atbalstu</w:t>
            </w:r>
            <w:r w:rsidRPr="00AA3314">
              <w:t xml:space="preserve"> komercsabiedrībām</w:t>
            </w:r>
            <w:r>
              <w:t xml:space="preserve">, kas izriet no </w:t>
            </w:r>
            <w:r w:rsidRPr="00AA3314">
              <w:t xml:space="preserve">Komisijas 2006.gada </w:t>
            </w:r>
            <w:r w:rsidRPr="009D04FF">
              <w:t xml:space="preserve">16.novembra direktīvas </w:t>
            </w:r>
            <w:hyperlink r:id="rId8" w:tgtFrame="_blank" w:history="1">
              <w:r w:rsidRPr="009D04FF">
                <w:rPr>
                  <w:rStyle w:val="Hyperlink"/>
                  <w:color w:val="auto"/>
                  <w:u w:val="none"/>
                </w:rPr>
                <w:t>2006/111/EK</w:t>
              </w:r>
            </w:hyperlink>
            <w:r w:rsidRPr="009D04FF">
              <w:t xml:space="preserve"> par dalībvalstu un publisku </w:t>
            </w:r>
            <w:r w:rsidRPr="00AA3314">
              <w:t>uzņēmumu finansiālo attiecību pārredzamību</w:t>
            </w:r>
            <w:r w:rsidR="002940DE">
              <w:t xml:space="preserve"> (turpmāk – Direktīva Nr.2006/111/EK)</w:t>
            </w:r>
            <w:r w:rsidRPr="00AA3314">
              <w:t xml:space="preserve">, kā arī par dažu uzņēmumu finanšu </w:t>
            </w:r>
            <w:proofErr w:type="spellStart"/>
            <w:r w:rsidRPr="00AA3314">
              <w:t>pārredzamību</w:t>
            </w:r>
            <w:proofErr w:type="spellEnd"/>
            <w:r w:rsidR="00391505">
              <w:t xml:space="preserve"> prasību pārņemšanas.</w:t>
            </w:r>
          </w:p>
          <w:p w:rsidR="00A972DC" w:rsidRPr="009D421E" w:rsidRDefault="00A972DC" w:rsidP="009D421E">
            <w:pPr>
              <w:pStyle w:val="ListParagraph"/>
              <w:ind w:left="100"/>
              <w:jc w:val="both"/>
              <w:rPr>
                <w:color w:val="000000"/>
              </w:rPr>
            </w:pPr>
            <w:r>
              <w:t>Likumprojektā tiek lietots termins “komercsabiedrība”</w:t>
            </w:r>
            <w:r w:rsidR="00E92D5C">
              <w:t>. A</w:t>
            </w:r>
            <w:r>
              <w:t xml:space="preserve">r to saprot jebkuru fizisku, juridisku personu, neatkarīgi no juridiskās personas statusa. Minēto pamato arī Eiropas Komisijas 2008.gada 6.augusta Regulas Nr. 800/2008, kas atzīst noteiktas atbalsta kategorijas par saderīgām ar kopējo tirgu, piemērojot Līguma 87. un 88.pantu (vispārējā grupu atbrīvojuma regula) 1.pielikumā noteiktais, ka par uzņēmumu uzskata jebkuru saimnieciskās darbības subjektu neatkarīgi no tā juridiskās formas. Pie tiem cita starpā pieder </w:t>
            </w:r>
            <w:proofErr w:type="spellStart"/>
            <w:r>
              <w:t>pašnodarbinātas</w:t>
            </w:r>
            <w:proofErr w:type="spellEnd"/>
            <w:r>
              <w:t xml:space="preserve"> personas un ģimenes uzņēmumi, kas nodarbojas ar amatniecību vai veic citu darbību, kā arī personālsabiedrības un apvienības, kas regulāri ir iesaistītas saimnieciskajā darbībā.</w:t>
            </w:r>
          </w:p>
          <w:p w:rsidR="00BD726E" w:rsidRPr="00F449FA" w:rsidRDefault="00A972DC" w:rsidP="00CC5B30">
            <w:pPr>
              <w:pStyle w:val="ListParagraph"/>
              <w:ind w:left="100"/>
              <w:jc w:val="both"/>
              <w:rPr>
                <w:color w:val="000000"/>
              </w:rPr>
            </w:pPr>
            <w:r>
              <w:t xml:space="preserve">Eiropas Savienības kontekstā lietotais termins tiek skaidrots arī Eiropas Kopienas tiesas lēmuma lietā Nr. </w:t>
            </w:r>
            <w:hyperlink r:id="rId9" w:history="1">
              <w:r w:rsidRPr="001D70FD">
                <w:t>C</w:t>
              </w:r>
              <w:r w:rsidRPr="00A972DC">
                <w:rPr>
                  <w:rFonts w:ascii="Cambria Math" w:hAnsi="Cambria Math" w:cs="Cambria Math"/>
                </w:rPr>
                <w:t>‐</w:t>
              </w:r>
            </w:hyperlink>
            <w:r w:rsidRPr="008A4BC3">
              <w:t>41/90</w:t>
            </w:r>
            <w:r>
              <w:t xml:space="preserve"> </w:t>
            </w:r>
            <w:r w:rsidRPr="001D70FD">
              <w:t xml:space="preserve">lietā Klaus </w:t>
            </w:r>
            <w:proofErr w:type="spellStart"/>
            <w:r w:rsidRPr="001D70FD">
              <w:t>Höfner</w:t>
            </w:r>
            <w:proofErr w:type="spellEnd"/>
            <w:r w:rsidRPr="001D70FD">
              <w:t xml:space="preserve"> 21. apsvērumā.</w:t>
            </w:r>
            <w:r>
              <w:t xml:space="preserve"> </w:t>
            </w:r>
            <w:r>
              <w:rPr>
                <w:color w:val="000000"/>
              </w:rPr>
              <w:t>T</w:t>
            </w:r>
            <w:r w:rsidRPr="009D421E">
              <w:rPr>
                <w:color w:val="000000"/>
              </w:rPr>
              <w:t>ermina lietošana tiek pārņemta no spēkā esoša Komercdarbības atbalsta kontroles likuma, kas bija saskaņots ar visām nozares ministrijām.</w:t>
            </w:r>
            <w:r>
              <w:rPr>
                <w:color w:val="000000"/>
              </w:rPr>
              <w:t xml:space="preserve"> </w:t>
            </w:r>
          </w:p>
        </w:tc>
      </w:tr>
      <w:tr w:rsidR="006516CC" w:rsidRPr="00F449FA" w:rsidTr="00B505D4">
        <w:tc>
          <w:tcPr>
            <w:tcW w:w="151" w:type="pct"/>
            <w:tcBorders>
              <w:top w:val="outset" w:sz="6" w:space="0" w:color="000000"/>
              <w:bottom w:val="outset" w:sz="6" w:space="0" w:color="000000"/>
              <w:right w:val="outset" w:sz="6" w:space="0" w:color="000000"/>
            </w:tcBorders>
          </w:tcPr>
          <w:p w:rsidR="006516CC" w:rsidRPr="00F449FA" w:rsidRDefault="005C2A8A" w:rsidP="006975B5">
            <w:pPr>
              <w:spacing w:before="100" w:beforeAutospacing="1" w:after="100" w:afterAutospacing="1"/>
              <w:rPr>
                <w:color w:val="000000"/>
              </w:rPr>
            </w:pPr>
            <w:r>
              <w:rPr>
                <w:color w:val="000000"/>
              </w:rPr>
              <w:lastRenderedPageBreak/>
              <w:t>3</w:t>
            </w:r>
            <w:r w:rsidR="006516CC" w:rsidRPr="00F449FA">
              <w:rPr>
                <w:color w:val="000000"/>
              </w:rPr>
              <w:t>.</w:t>
            </w:r>
          </w:p>
        </w:tc>
        <w:tc>
          <w:tcPr>
            <w:tcW w:w="1011" w:type="pct"/>
            <w:tcBorders>
              <w:top w:val="outset" w:sz="6" w:space="0" w:color="000000"/>
              <w:left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Projekta izstrādē iesaistītās institūcijas</w:t>
            </w:r>
          </w:p>
        </w:tc>
        <w:tc>
          <w:tcPr>
            <w:tcW w:w="3838" w:type="pct"/>
            <w:tcBorders>
              <w:top w:val="outset" w:sz="6" w:space="0" w:color="000000"/>
              <w:left w:val="outset" w:sz="6" w:space="0" w:color="000000"/>
              <w:bottom w:val="outset" w:sz="6" w:space="0" w:color="000000"/>
            </w:tcBorders>
          </w:tcPr>
          <w:p w:rsidR="006516CC" w:rsidRPr="00F449FA" w:rsidRDefault="007E2211" w:rsidP="00441EDD">
            <w:pPr>
              <w:spacing w:before="100" w:beforeAutospacing="1" w:after="100" w:afterAutospacing="1"/>
              <w:jc w:val="both"/>
              <w:rPr>
                <w:color w:val="000000"/>
              </w:rPr>
            </w:pPr>
            <w:r>
              <w:rPr>
                <w:color w:val="000000"/>
              </w:rPr>
              <w:t>Finanšu ministrija</w:t>
            </w:r>
          </w:p>
        </w:tc>
      </w:tr>
      <w:tr w:rsidR="006516CC" w:rsidRPr="00F449FA" w:rsidTr="00B505D4">
        <w:tc>
          <w:tcPr>
            <w:tcW w:w="151" w:type="pct"/>
            <w:tcBorders>
              <w:top w:val="outset" w:sz="6" w:space="0" w:color="000000"/>
              <w:bottom w:val="outset" w:sz="6" w:space="0" w:color="000000"/>
              <w:right w:val="outset" w:sz="6" w:space="0" w:color="000000"/>
            </w:tcBorders>
          </w:tcPr>
          <w:p w:rsidR="006516CC" w:rsidRPr="00F449FA" w:rsidRDefault="005C2A8A" w:rsidP="006975B5">
            <w:pPr>
              <w:spacing w:before="100" w:beforeAutospacing="1" w:after="100" w:afterAutospacing="1"/>
              <w:rPr>
                <w:color w:val="000000"/>
              </w:rPr>
            </w:pPr>
            <w:r>
              <w:rPr>
                <w:color w:val="000000"/>
              </w:rPr>
              <w:t>4</w:t>
            </w:r>
            <w:r w:rsidR="006516CC" w:rsidRPr="00F449FA">
              <w:rPr>
                <w:color w:val="000000"/>
              </w:rPr>
              <w:t>.</w:t>
            </w:r>
          </w:p>
        </w:tc>
        <w:tc>
          <w:tcPr>
            <w:tcW w:w="1011" w:type="pct"/>
            <w:tcBorders>
              <w:top w:val="outset" w:sz="6" w:space="0" w:color="000000"/>
              <w:left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Cita informācija</w:t>
            </w:r>
          </w:p>
        </w:tc>
        <w:tc>
          <w:tcPr>
            <w:tcW w:w="3838" w:type="pct"/>
            <w:tcBorders>
              <w:top w:val="outset" w:sz="6" w:space="0" w:color="000000"/>
              <w:left w:val="outset" w:sz="6" w:space="0" w:color="000000"/>
              <w:bottom w:val="outset" w:sz="6" w:space="0" w:color="000000"/>
            </w:tcBorders>
          </w:tcPr>
          <w:p w:rsidR="006516CC" w:rsidRPr="00B505D4" w:rsidRDefault="005C2A8A" w:rsidP="006975B5">
            <w:pPr>
              <w:jc w:val="both"/>
            </w:pPr>
            <w:r>
              <w:t>Nav</w:t>
            </w:r>
          </w:p>
        </w:tc>
      </w:tr>
    </w:tbl>
    <w:p w:rsidR="006516CC" w:rsidRDefault="006516CC" w:rsidP="006516CC">
      <w:pPr>
        <w:rPr>
          <w:color w:val="000000"/>
        </w:rPr>
      </w:pPr>
    </w:p>
    <w:p w:rsidR="00E226C5" w:rsidRDefault="00E226C5" w:rsidP="006516CC">
      <w:pPr>
        <w:rPr>
          <w:color w:val="000000"/>
        </w:rPr>
      </w:pPr>
    </w:p>
    <w:p w:rsidR="00BD726E" w:rsidRPr="00F449FA" w:rsidRDefault="00BD726E" w:rsidP="006516CC">
      <w:pPr>
        <w:rPr>
          <w:color w:val="000000"/>
        </w:rPr>
      </w:pPr>
    </w:p>
    <w:tbl>
      <w:tblPr>
        <w:tblW w:w="96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0"/>
        <w:gridCol w:w="3640"/>
        <w:gridCol w:w="5556"/>
      </w:tblGrid>
      <w:tr w:rsidR="006516CC" w:rsidRPr="00F449FA" w:rsidTr="006975B5">
        <w:tc>
          <w:tcPr>
            <w:tcW w:w="0" w:type="auto"/>
            <w:gridSpan w:val="3"/>
            <w:tcBorders>
              <w:top w:val="single" w:sz="6" w:space="0" w:color="auto"/>
              <w:left w:val="single" w:sz="6" w:space="0" w:color="auto"/>
              <w:bottom w:val="outset" w:sz="6" w:space="0" w:color="000000"/>
              <w:right w:val="single" w:sz="6" w:space="0" w:color="auto"/>
            </w:tcBorders>
            <w:vAlign w:val="center"/>
          </w:tcPr>
          <w:p w:rsidR="006516CC" w:rsidRPr="00F449FA" w:rsidRDefault="006516CC" w:rsidP="006975B5">
            <w:pPr>
              <w:spacing w:before="100" w:beforeAutospacing="1" w:after="100" w:afterAutospacing="1"/>
              <w:jc w:val="center"/>
              <w:rPr>
                <w:b/>
                <w:bCs/>
                <w:color w:val="000000"/>
              </w:rPr>
            </w:pPr>
            <w:r w:rsidRPr="00F449FA">
              <w:rPr>
                <w:b/>
                <w:bCs/>
                <w:color w:val="000000"/>
              </w:rPr>
              <w:t>II. Tiesību akta projekta ietekme uz sabiedrību</w:t>
            </w:r>
            <w:r w:rsidR="00441EDD">
              <w:rPr>
                <w:b/>
                <w:bCs/>
                <w:color w:val="000000"/>
              </w:rPr>
              <w:t>, tautsaimniecības attīstību un administratīvo slogu</w:t>
            </w:r>
          </w:p>
        </w:tc>
      </w:tr>
      <w:tr w:rsidR="006516CC" w:rsidRPr="00F449FA" w:rsidTr="006975B5">
        <w:tc>
          <w:tcPr>
            <w:tcW w:w="258" w:type="pct"/>
            <w:tcBorders>
              <w:top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1.</w:t>
            </w:r>
          </w:p>
        </w:tc>
        <w:tc>
          <w:tcPr>
            <w:tcW w:w="1877" w:type="pct"/>
            <w:tcBorders>
              <w:top w:val="outset" w:sz="6" w:space="0" w:color="000000"/>
              <w:left w:val="outset" w:sz="6" w:space="0" w:color="000000"/>
              <w:bottom w:val="outset" w:sz="6" w:space="0" w:color="000000"/>
              <w:right w:val="outset" w:sz="6" w:space="0" w:color="000000"/>
            </w:tcBorders>
          </w:tcPr>
          <w:p w:rsidR="006516CC" w:rsidRPr="00F449FA" w:rsidRDefault="006516CC" w:rsidP="006975B5">
            <w:pPr>
              <w:spacing w:before="100" w:beforeAutospacing="1" w:after="100" w:afterAutospacing="1"/>
              <w:rPr>
                <w:color w:val="000000"/>
              </w:rPr>
            </w:pPr>
            <w:r w:rsidRPr="00F449FA">
              <w:rPr>
                <w:color w:val="000000"/>
              </w:rPr>
              <w:t>Sabiedrības mērķgrupa</w:t>
            </w:r>
            <w:r w:rsidR="00137296">
              <w:rPr>
                <w:color w:val="000000"/>
              </w:rPr>
              <w:t xml:space="preserve">s, kuras tiesiskais </w:t>
            </w:r>
            <w:r w:rsidR="00773CCE">
              <w:rPr>
                <w:color w:val="000000"/>
              </w:rPr>
              <w:t>regulējums ietekmē vai varētu ietekmēt</w:t>
            </w:r>
          </w:p>
        </w:tc>
        <w:tc>
          <w:tcPr>
            <w:tcW w:w="2865" w:type="pct"/>
            <w:tcBorders>
              <w:top w:val="outset" w:sz="6" w:space="0" w:color="000000"/>
              <w:left w:val="outset" w:sz="6" w:space="0" w:color="000000"/>
              <w:bottom w:val="outset" w:sz="6" w:space="0" w:color="000000"/>
            </w:tcBorders>
          </w:tcPr>
          <w:p w:rsidR="00BF1D77" w:rsidRDefault="00BF1D77" w:rsidP="00BF1D77">
            <w:pPr>
              <w:pStyle w:val="tv2131"/>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Likumprojekta normas ir attiecināmas uz atbalsta sniedzējiem, piemēram, </w:t>
            </w:r>
            <w:r w:rsidR="00CF0EA1">
              <w:rPr>
                <w:rFonts w:ascii="Times New Roman" w:hAnsi="Times New Roman"/>
                <w:color w:val="000000"/>
                <w:sz w:val="24"/>
                <w:szCs w:val="24"/>
              </w:rPr>
              <w:t xml:space="preserve">valsts un </w:t>
            </w:r>
            <w:r>
              <w:rPr>
                <w:rFonts w:ascii="Times New Roman" w:hAnsi="Times New Roman"/>
                <w:color w:val="000000"/>
                <w:sz w:val="24"/>
                <w:szCs w:val="24"/>
              </w:rPr>
              <w:t>pašvaldību institūcij</w:t>
            </w:r>
            <w:r w:rsidR="00CF0EA1">
              <w:rPr>
                <w:rFonts w:ascii="Times New Roman" w:hAnsi="Times New Roman"/>
                <w:color w:val="000000"/>
                <w:sz w:val="24"/>
                <w:szCs w:val="24"/>
              </w:rPr>
              <w:t>ām</w:t>
            </w:r>
            <w:r>
              <w:rPr>
                <w:rFonts w:ascii="Times New Roman" w:hAnsi="Times New Roman"/>
                <w:color w:val="000000"/>
                <w:sz w:val="24"/>
                <w:szCs w:val="24"/>
              </w:rPr>
              <w:t>, kas plāno sniegt</w:t>
            </w:r>
            <w:r w:rsidR="00CF0EA1">
              <w:rPr>
                <w:rFonts w:ascii="Times New Roman" w:hAnsi="Times New Roman"/>
                <w:color w:val="000000"/>
                <w:sz w:val="24"/>
                <w:szCs w:val="24"/>
              </w:rPr>
              <w:t xml:space="preserve"> vai sniedz</w:t>
            </w:r>
            <w:r>
              <w:rPr>
                <w:rFonts w:ascii="Times New Roman" w:hAnsi="Times New Roman"/>
                <w:color w:val="000000"/>
                <w:sz w:val="24"/>
                <w:szCs w:val="24"/>
              </w:rPr>
              <w:t xml:space="preserve"> valsts atbalstu, neatkarīgi no finansēšanas avota (t.sk., </w:t>
            </w:r>
            <w:r w:rsidR="00CF0EA1">
              <w:rPr>
                <w:rFonts w:ascii="Times New Roman" w:hAnsi="Times New Roman"/>
                <w:color w:val="000000"/>
                <w:sz w:val="24"/>
                <w:szCs w:val="24"/>
              </w:rPr>
              <w:t xml:space="preserve">valsts, pašvaldības, </w:t>
            </w:r>
            <w:r>
              <w:rPr>
                <w:rFonts w:ascii="Times New Roman" w:hAnsi="Times New Roman"/>
                <w:color w:val="000000"/>
                <w:sz w:val="24"/>
                <w:szCs w:val="24"/>
              </w:rPr>
              <w:t>Eiropas Savienības fondu un citiem publiskiem resursiem).</w:t>
            </w:r>
          </w:p>
          <w:p w:rsidR="00BD726E" w:rsidRPr="00B64D1A" w:rsidRDefault="00C715E3" w:rsidP="00CF0EA1">
            <w:pPr>
              <w:pStyle w:val="tv2131"/>
              <w:spacing w:before="0" w:line="240" w:lineRule="auto"/>
              <w:ind w:firstLine="0"/>
              <w:rPr>
                <w:rFonts w:ascii="Times New Roman" w:hAnsi="Times New Roman"/>
                <w:color w:val="000000"/>
                <w:sz w:val="24"/>
                <w:szCs w:val="24"/>
              </w:rPr>
            </w:pPr>
            <w:r>
              <w:rPr>
                <w:rFonts w:ascii="Times New Roman" w:hAnsi="Times New Roman"/>
                <w:color w:val="000000"/>
                <w:sz w:val="24"/>
                <w:szCs w:val="24"/>
              </w:rPr>
              <w:t>L</w:t>
            </w:r>
            <w:r w:rsidR="00BF1D77">
              <w:rPr>
                <w:rFonts w:ascii="Times New Roman" w:hAnsi="Times New Roman"/>
                <w:color w:val="000000"/>
                <w:sz w:val="24"/>
                <w:szCs w:val="24"/>
              </w:rPr>
              <w:t xml:space="preserve">ikumprojekta normas attiecas uz komercsabiedrībām, kas plāno pretendēt uz </w:t>
            </w:r>
            <w:r w:rsidR="00CF0EA1">
              <w:rPr>
                <w:rFonts w:ascii="Times New Roman" w:hAnsi="Times New Roman"/>
                <w:color w:val="000000"/>
                <w:sz w:val="24"/>
                <w:szCs w:val="24"/>
              </w:rPr>
              <w:t xml:space="preserve">valsts atbalsta </w:t>
            </w:r>
            <w:r w:rsidR="00B64D1A">
              <w:rPr>
                <w:rFonts w:ascii="Times New Roman" w:hAnsi="Times New Roman"/>
                <w:color w:val="000000"/>
                <w:sz w:val="24"/>
                <w:szCs w:val="24"/>
              </w:rPr>
              <w:t>saņemšanu, valsts vai pašvaldību institūciju izstrādāto atbalsta pasākumu ietvaros.</w:t>
            </w:r>
          </w:p>
        </w:tc>
      </w:tr>
      <w:tr w:rsidR="006516CC" w:rsidRPr="00F449FA" w:rsidTr="006975B5">
        <w:tc>
          <w:tcPr>
            <w:tcW w:w="258" w:type="pct"/>
            <w:tcBorders>
              <w:top w:val="outset" w:sz="6" w:space="0" w:color="000000"/>
              <w:bottom w:val="outset" w:sz="6" w:space="0" w:color="000000"/>
              <w:right w:val="outset" w:sz="6" w:space="0" w:color="000000"/>
            </w:tcBorders>
          </w:tcPr>
          <w:p w:rsidR="006516CC" w:rsidRPr="00F449FA" w:rsidRDefault="003219E5" w:rsidP="006975B5">
            <w:pPr>
              <w:spacing w:before="100" w:beforeAutospacing="1" w:after="100" w:afterAutospacing="1"/>
              <w:rPr>
                <w:color w:val="000000"/>
              </w:rPr>
            </w:pPr>
            <w:r>
              <w:rPr>
                <w:color w:val="000000"/>
              </w:rPr>
              <w:t>2</w:t>
            </w:r>
            <w:r w:rsidR="006516CC" w:rsidRPr="00F449FA">
              <w:rPr>
                <w:color w:val="000000"/>
              </w:rPr>
              <w:t>.</w:t>
            </w:r>
          </w:p>
        </w:tc>
        <w:tc>
          <w:tcPr>
            <w:tcW w:w="1877" w:type="pct"/>
            <w:tcBorders>
              <w:top w:val="outset" w:sz="6" w:space="0" w:color="000000"/>
              <w:left w:val="outset" w:sz="6" w:space="0" w:color="000000"/>
              <w:bottom w:val="outset" w:sz="6" w:space="0" w:color="000000"/>
              <w:right w:val="outset" w:sz="6" w:space="0" w:color="000000"/>
            </w:tcBorders>
          </w:tcPr>
          <w:p w:rsidR="006516CC" w:rsidRPr="00F449FA" w:rsidRDefault="006516CC" w:rsidP="003219E5">
            <w:pPr>
              <w:spacing w:before="100" w:beforeAutospacing="1" w:after="100" w:afterAutospacing="1"/>
              <w:rPr>
                <w:color w:val="000000"/>
              </w:rPr>
            </w:pPr>
            <w:r w:rsidRPr="00F449FA">
              <w:rPr>
                <w:color w:val="000000"/>
              </w:rPr>
              <w:t>Tiesiskā regulējuma ietekme</w:t>
            </w:r>
            <w:r w:rsidR="003219E5">
              <w:rPr>
                <w:color w:val="000000"/>
              </w:rPr>
              <w:t xml:space="preserve"> uz tautsaimniecību </w:t>
            </w:r>
            <w:r w:rsidR="003219E5" w:rsidRPr="003219E5">
              <w:rPr>
                <w:color w:val="000000"/>
              </w:rPr>
              <w:t>un administratīvo slogu</w:t>
            </w:r>
          </w:p>
        </w:tc>
        <w:tc>
          <w:tcPr>
            <w:tcW w:w="2865" w:type="pct"/>
            <w:tcBorders>
              <w:top w:val="outset" w:sz="6" w:space="0" w:color="000000"/>
              <w:left w:val="outset" w:sz="6" w:space="0" w:color="000000"/>
              <w:bottom w:val="outset" w:sz="6" w:space="0" w:color="000000"/>
            </w:tcBorders>
          </w:tcPr>
          <w:p w:rsidR="0049529D" w:rsidRDefault="0049529D" w:rsidP="00DA1FA2">
            <w:pPr>
              <w:ind w:right="93"/>
              <w:jc w:val="both"/>
            </w:pPr>
            <w:r>
              <w:t>Ņemot vērā izmaiņas valsts atbalsta regulējumā, t.i., valsts atbalsta modernizācijas procesa rezultātā paplašināto vispārējā grupu atbrīvojuma ietvar</w:t>
            </w:r>
            <w:r w:rsidR="009D04FF">
              <w:t>u</w:t>
            </w:r>
            <w:r>
              <w:t>, kas nosaka papildus kategorijas, par kurām valsts atbalsts</w:t>
            </w:r>
            <w:r w:rsidR="00DA1FA2">
              <w:t xml:space="preserve"> nav </w:t>
            </w:r>
            <w:proofErr w:type="spellStart"/>
            <w:r>
              <w:t>jānotificē</w:t>
            </w:r>
            <w:proofErr w:type="spellEnd"/>
            <w:r>
              <w:t xml:space="preserve"> – administratīvais slogs samazināsies. Vienlaikus norāda</w:t>
            </w:r>
            <w:r w:rsidR="005C6D59">
              <w:t>ms</w:t>
            </w:r>
            <w:r>
              <w:t xml:space="preserve">, ka valsts atbalsta </w:t>
            </w:r>
            <w:proofErr w:type="spellStart"/>
            <w:r>
              <w:t>sniedzējinstitūcijām</w:t>
            </w:r>
            <w:proofErr w:type="spellEnd"/>
            <w:r>
              <w:t xml:space="preserve"> ir ieviesta papildus prasība – informācijas publicēšana savā interneta vietnē. </w:t>
            </w:r>
          </w:p>
          <w:p w:rsidR="00BD726E" w:rsidRPr="00F449FA" w:rsidRDefault="00BD726E" w:rsidP="00DA1FA2">
            <w:pPr>
              <w:ind w:right="93"/>
              <w:jc w:val="both"/>
              <w:rPr>
                <w:color w:val="000000"/>
              </w:rPr>
            </w:pPr>
          </w:p>
        </w:tc>
      </w:tr>
      <w:tr w:rsidR="006516CC" w:rsidRPr="00F449FA" w:rsidTr="006975B5">
        <w:tc>
          <w:tcPr>
            <w:tcW w:w="258" w:type="pct"/>
            <w:tcBorders>
              <w:top w:val="outset" w:sz="6" w:space="0" w:color="000000"/>
              <w:bottom w:val="outset" w:sz="6" w:space="0" w:color="000000"/>
              <w:right w:val="outset" w:sz="6" w:space="0" w:color="000000"/>
            </w:tcBorders>
          </w:tcPr>
          <w:p w:rsidR="006516CC" w:rsidRPr="00F449FA" w:rsidRDefault="005C2A8A" w:rsidP="006975B5">
            <w:pPr>
              <w:spacing w:after="100" w:afterAutospacing="1"/>
              <w:rPr>
                <w:color w:val="000000"/>
              </w:rPr>
            </w:pPr>
            <w:r>
              <w:rPr>
                <w:color w:val="000000"/>
              </w:rPr>
              <w:t>3</w:t>
            </w:r>
            <w:r w:rsidR="006516CC" w:rsidRPr="00F449FA">
              <w:rPr>
                <w:color w:val="000000"/>
              </w:rPr>
              <w:t>.</w:t>
            </w:r>
          </w:p>
        </w:tc>
        <w:tc>
          <w:tcPr>
            <w:tcW w:w="1877" w:type="pct"/>
            <w:tcBorders>
              <w:top w:val="outset" w:sz="6" w:space="0" w:color="000000"/>
              <w:left w:val="outset" w:sz="6" w:space="0" w:color="000000"/>
              <w:bottom w:val="outset" w:sz="6" w:space="0" w:color="000000"/>
              <w:right w:val="outset" w:sz="6" w:space="0" w:color="000000"/>
            </w:tcBorders>
          </w:tcPr>
          <w:p w:rsidR="006516CC" w:rsidRPr="00F449FA" w:rsidRDefault="006516CC" w:rsidP="006975B5">
            <w:pPr>
              <w:spacing w:after="100" w:afterAutospacing="1"/>
              <w:rPr>
                <w:color w:val="000000"/>
              </w:rPr>
            </w:pPr>
            <w:r w:rsidRPr="00F449FA">
              <w:rPr>
                <w:color w:val="000000"/>
              </w:rPr>
              <w:t>Administratīvo izmaksu monetārs novērtējums</w:t>
            </w:r>
          </w:p>
        </w:tc>
        <w:tc>
          <w:tcPr>
            <w:tcW w:w="2865" w:type="pct"/>
            <w:tcBorders>
              <w:top w:val="outset" w:sz="6" w:space="0" w:color="000000"/>
              <w:left w:val="outset" w:sz="6" w:space="0" w:color="000000"/>
              <w:bottom w:val="outset" w:sz="6" w:space="0" w:color="000000"/>
            </w:tcBorders>
          </w:tcPr>
          <w:p w:rsidR="006516CC" w:rsidRPr="00F449FA" w:rsidRDefault="006516CC" w:rsidP="006975B5">
            <w:pPr>
              <w:spacing w:after="100" w:afterAutospacing="1"/>
              <w:rPr>
                <w:color w:val="000000"/>
              </w:rPr>
            </w:pPr>
            <w:r w:rsidRPr="00F449FA">
              <w:rPr>
                <w:color w:val="000000"/>
              </w:rPr>
              <w:t>Projekts šo jomu neskar.</w:t>
            </w:r>
          </w:p>
        </w:tc>
      </w:tr>
      <w:tr w:rsidR="005C2A8A" w:rsidRPr="00F449FA" w:rsidTr="006975B5">
        <w:tc>
          <w:tcPr>
            <w:tcW w:w="258" w:type="pct"/>
            <w:tcBorders>
              <w:top w:val="outset" w:sz="6" w:space="0" w:color="000000"/>
              <w:bottom w:val="outset" w:sz="6" w:space="0" w:color="000000"/>
              <w:right w:val="outset" w:sz="6" w:space="0" w:color="000000"/>
            </w:tcBorders>
          </w:tcPr>
          <w:p w:rsidR="005C2A8A" w:rsidRPr="00F449FA" w:rsidRDefault="005C2A8A" w:rsidP="006975B5">
            <w:pPr>
              <w:spacing w:after="100" w:afterAutospacing="1"/>
              <w:rPr>
                <w:color w:val="000000"/>
              </w:rPr>
            </w:pPr>
            <w:r>
              <w:rPr>
                <w:color w:val="000000"/>
              </w:rPr>
              <w:t>4.</w:t>
            </w:r>
          </w:p>
        </w:tc>
        <w:tc>
          <w:tcPr>
            <w:tcW w:w="1877" w:type="pct"/>
            <w:tcBorders>
              <w:top w:val="outset" w:sz="6" w:space="0" w:color="000000"/>
              <w:left w:val="outset" w:sz="6" w:space="0" w:color="000000"/>
              <w:bottom w:val="outset" w:sz="6" w:space="0" w:color="000000"/>
              <w:right w:val="outset" w:sz="6" w:space="0" w:color="000000"/>
            </w:tcBorders>
          </w:tcPr>
          <w:p w:rsidR="005C2A8A" w:rsidRPr="00F449FA" w:rsidRDefault="005C2A8A" w:rsidP="006975B5">
            <w:pPr>
              <w:spacing w:after="100" w:afterAutospacing="1"/>
              <w:rPr>
                <w:color w:val="000000"/>
              </w:rPr>
            </w:pPr>
            <w:r>
              <w:rPr>
                <w:color w:val="000000"/>
              </w:rPr>
              <w:t>Cita informācija</w:t>
            </w:r>
          </w:p>
        </w:tc>
        <w:tc>
          <w:tcPr>
            <w:tcW w:w="2865" w:type="pct"/>
            <w:tcBorders>
              <w:top w:val="outset" w:sz="6" w:space="0" w:color="000000"/>
              <w:left w:val="outset" w:sz="6" w:space="0" w:color="000000"/>
              <w:bottom w:val="outset" w:sz="6" w:space="0" w:color="000000"/>
            </w:tcBorders>
          </w:tcPr>
          <w:p w:rsidR="005C2A8A" w:rsidRPr="00F449FA" w:rsidRDefault="005C2A8A" w:rsidP="006975B5">
            <w:pPr>
              <w:spacing w:after="100" w:afterAutospacing="1"/>
              <w:rPr>
                <w:color w:val="000000"/>
              </w:rPr>
            </w:pPr>
            <w:r>
              <w:rPr>
                <w:color w:val="000000"/>
              </w:rPr>
              <w:t>Nav</w:t>
            </w:r>
          </w:p>
        </w:tc>
      </w:tr>
    </w:tbl>
    <w:p w:rsidR="006516CC" w:rsidRDefault="006516CC" w:rsidP="006516CC">
      <w:pPr>
        <w:rPr>
          <w:color w:val="000000"/>
        </w:rPr>
      </w:pPr>
    </w:p>
    <w:p w:rsidR="00BD726E" w:rsidRDefault="00BD726E" w:rsidP="006516CC">
      <w:pPr>
        <w:rPr>
          <w:color w:val="000000"/>
        </w:rPr>
      </w:pPr>
    </w:p>
    <w:tbl>
      <w:tblPr>
        <w:tblW w:w="971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9718"/>
      </w:tblGrid>
      <w:tr w:rsidR="006516CC" w:rsidRPr="00F449FA" w:rsidTr="006975B5">
        <w:tc>
          <w:tcPr>
            <w:tcW w:w="5000" w:type="pct"/>
            <w:tcBorders>
              <w:top w:val="single" w:sz="4" w:space="0" w:color="auto"/>
              <w:left w:val="single" w:sz="4" w:space="0" w:color="auto"/>
              <w:bottom w:val="single" w:sz="4" w:space="0" w:color="auto"/>
              <w:right w:val="single" w:sz="4" w:space="0" w:color="auto"/>
            </w:tcBorders>
          </w:tcPr>
          <w:p w:rsidR="006516CC" w:rsidRPr="00F449FA" w:rsidRDefault="006516CC" w:rsidP="006975B5">
            <w:pPr>
              <w:spacing w:before="100" w:beforeAutospacing="1" w:after="100" w:afterAutospacing="1"/>
              <w:jc w:val="center"/>
              <w:rPr>
                <w:color w:val="000000"/>
              </w:rPr>
            </w:pPr>
            <w:r w:rsidRPr="00F449FA">
              <w:rPr>
                <w:b/>
                <w:bCs/>
                <w:color w:val="000000"/>
              </w:rPr>
              <w:t>III. Tiesību akta projekta ietekme uz valsts budžetu un pašvaldību budžetiem</w:t>
            </w:r>
          </w:p>
        </w:tc>
      </w:tr>
      <w:tr w:rsidR="00B60735" w:rsidRPr="00F449FA" w:rsidTr="006975B5">
        <w:tc>
          <w:tcPr>
            <w:tcW w:w="5000" w:type="pct"/>
            <w:tcBorders>
              <w:top w:val="single" w:sz="4" w:space="0" w:color="auto"/>
              <w:left w:val="single" w:sz="4" w:space="0" w:color="auto"/>
              <w:bottom w:val="single" w:sz="4" w:space="0" w:color="auto"/>
              <w:right w:val="single" w:sz="4" w:space="0" w:color="auto"/>
            </w:tcBorders>
          </w:tcPr>
          <w:p w:rsidR="00B60735" w:rsidRPr="00F449FA" w:rsidRDefault="00B60735" w:rsidP="006975B5">
            <w:pPr>
              <w:spacing w:before="100" w:beforeAutospacing="1" w:after="100" w:afterAutospacing="1"/>
              <w:jc w:val="center"/>
              <w:rPr>
                <w:b/>
                <w:bCs/>
                <w:color w:val="000000"/>
              </w:rPr>
            </w:pPr>
            <w:r w:rsidRPr="007C5054">
              <w:t>Projekts šo jomu neskar.</w:t>
            </w:r>
          </w:p>
        </w:tc>
      </w:tr>
    </w:tbl>
    <w:p w:rsidR="006516CC" w:rsidRDefault="006516CC" w:rsidP="006516CC">
      <w:pPr>
        <w:tabs>
          <w:tab w:val="left" w:pos="5940"/>
        </w:tabs>
        <w:rPr>
          <w:color w:val="000000"/>
        </w:rPr>
      </w:pPr>
    </w:p>
    <w:p w:rsidR="00BD726E" w:rsidRPr="00F449FA" w:rsidRDefault="00BD726E" w:rsidP="006516CC">
      <w:pPr>
        <w:tabs>
          <w:tab w:val="left" w:pos="5940"/>
        </w:tabs>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81"/>
        <w:gridCol w:w="6957"/>
      </w:tblGrid>
      <w:tr w:rsidR="006516CC" w:rsidRPr="00F449FA" w:rsidTr="00A02406">
        <w:tc>
          <w:tcPr>
            <w:tcW w:w="9634" w:type="dxa"/>
            <w:gridSpan w:val="3"/>
            <w:shd w:val="clear" w:color="auto" w:fill="auto"/>
          </w:tcPr>
          <w:p w:rsidR="006516CC" w:rsidRPr="00F449FA" w:rsidRDefault="006516CC" w:rsidP="006975B5">
            <w:pPr>
              <w:tabs>
                <w:tab w:val="left" w:pos="5940"/>
              </w:tabs>
              <w:jc w:val="center"/>
              <w:rPr>
                <w:b/>
                <w:color w:val="000000"/>
              </w:rPr>
            </w:pPr>
            <w:r w:rsidRPr="00F449FA">
              <w:rPr>
                <w:b/>
              </w:rPr>
              <w:t>IV. Tiesību akta projekta ietekme uz spēkā esošo tiesību normu sistēmu</w:t>
            </w:r>
          </w:p>
        </w:tc>
      </w:tr>
      <w:tr w:rsidR="006516CC" w:rsidRPr="00F449FA" w:rsidTr="00A02406">
        <w:tc>
          <w:tcPr>
            <w:tcW w:w="396" w:type="dxa"/>
            <w:shd w:val="clear" w:color="auto" w:fill="auto"/>
          </w:tcPr>
          <w:p w:rsidR="006516CC" w:rsidRPr="00F449FA" w:rsidRDefault="006516CC" w:rsidP="006975B5">
            <w:pPr>
              <w:tabs>
                <w:tab w:val="left" w:pos="5940"/>
              </w:tabs>
              <w:rPr>
                <w:color w:val="000000"/>
              </w:rPr>
            </w:pPr>
            <w:r w:rsidRPr="00F449FA">
              <w:rPr>
                <w:color w:val="000000"/>
              </w:rPr>
              <w:t>1.</w:t>
            </w:r>
          </w:p>
        </w:tc>
        <w:tc>
          <w:tcPr>
            <w:tcW w:w="2281" w:type="dxa"/>
            <w:shd w:val="clear" w:color="auto" w:fill="auto"/>
          </w:tcPr>
          <w:p w:rsidR="006516CC" w:rsidRPr="00F449FA" w:rsidRDefault="006516CC" w:rsidP="006975B5">
            <w:pPr>
              <w:tabs>
                <w:tab w:val="left" w:pos="5940"/>
              </w:tabs>
              <w:rPr>
                <w:color w:val="000000"/>
              </w:rPr>
            </w:pPr>
            <w:r w:rsidRPr="00F449FA">
              <w:t>Nepieciešamie saistītie tiesību aktu projekti</w:t>
            </w:r>
          </w:p>
        </w:tc>
        <w:tc>
          <w:tcPr>
            <w:tcW w:w="6957" w:type="dxa"/>
            <w:shd w:val="clear" w:color="auto" w:fill="auto"/>
          </w:tcPr>
          <w:p w:rsidR="006516CC" w:rsidRDefault="00CF624C" w:rsidP="006975B5">
            <w:pPr>
              <w:tabs>
                <w:tab w:val="left" w:pos="1134"/>
                <w:tab w:val="left" w:pos="1701"/>
                <w:tab w:val="left" w:pos="2268"/>
                <w:tab w:val="left" w:pos="3969"/>
              </w:tabs>
              <w:jc w:val="both"/>
              <w:rPr>
                <w:noProof/>
                <w:color w:val="000000"/>
              </w:rPr>
            </w:pPr>
            <w:r>
              <w:rPr>
                <w:noProof/>
                <w:color w:val="000000"/>
              </w:rPr>
              <w:t xml:space="preserve">Likumprojekts paredz vairākus pilnvarojumus, kuri noteikti likumprojekta </w:t>
            </w:r>
            <w:r w:rsidR="00CE2F09">
              <w:rPr>
                <w:noProof/>
                <w:color w:val="000000"/>
              </w:rPr>
              <w:t>11</w:t>
            </w:r>
            <w:r>
              <w:rPr>
                <w:noProof/>
                <w:color w:val="000000"/>
              </w:rPr>
              <w:t>.pantā:</w:t>
            </w:r>
          </w:p>
          <w:p w:rsidR="00AB5551" w:rsidRPr="00AB5551" w:rsidRDefault="006F292E" w:rsidP="00F94258">
            <w:pPr>
              <w:pStyle w:val="ListParagraph"/>
              <w:numPr>
                <w:ilvl w:val="0"/>
                <w:numId w:val="3"/>
              </w:numPr>
              <w:tabs>
                <w:tab w:val="left" w:pos="1134"/>
                <w:tab w:val="left" w:pos="1701"/>
                <w:tab w:val="left" w:pos="2268"/>
                <w:tab w:val="left" w:pos="3969"/>
              </w:tabs>
              <w:jc w:val="both"/>
              <w:rPr>
                <w:color w:val="000000"/>
              </w:rPr>
            </w:pPr>
            <w:r>
              <w:rPr>
                <w:color w:val="000000"/>
              </w:rPr>
              <w:t xml:space="preserve">tiks izstrādāti jauni Ministru kabineta noteikumi, kas aizstās </w:t>
            </w:r>
            <w:r w:rsidR="00446622" w:rsidRPr="00AB5551">
              <w:rPr>
                <w:color w:val="000000"/>
              </w:rPr>
              <w:t xml:space="preserve">Ministru </w:t>
            </w:r>
            <w:r w:rsidR="006748A3" w:rsidRPr="00AB5551">
              <w:rPr>
                <w:color w:val="000000"/>
              </w:rPr>
              <w:t>k</w:t>
            </w:r>
            <w:r w:rsidR="00446622" w:rsidRPr="00AB5551">
              <w:rPr>
                <w:color w:val="000000"/>
              </w:rPr>
              <w:t>abineta</w:t>
            </w:r>
            <w:r w:rsidR="00EE05FE" w:rsidRPr="00AB5551">
              <w:rPr>
                <w:color w:val="000000"/>
              </w:rPr>
              <w:t xml:space="preserve"> 2008.gada 25.novembra</w:t>
            </w:r>
            <w:r w:rsidR="00446622" w:rsidRPr="00AB5551">
              <w:rPr>
                <w:color w:val="000000"/>
              </w:rPr>
              <w:t xml:space="preserve"> noteikum</w:t>
            </w:r>
            <w:r w:rsidR="00427041">
              <w:rPr>
                <w:color w:val="000000"/>
              </w:rPr>
              <w:t>us</w:t>
            </w:r>
            <w:r w:rsidR="00446622" w:rsidRPr="00AB5551">
              <w:rPr>
                <w:color w:val="000000"/>
              </w:rPr>
              <w:t xml:space="preserve"> Nr.964 “Noteikumi par komercsabiedrību deklarēšanas kārtību atbilstoši mazajai (sīkajai) vai vidējai komercsabiedrībai</w:t>
            </w:r>
            <w:r w:rsidR="00961EC5" w:rsidRPr="00AB5551">
              <w:rPr>
                <w:color w:val="000000"/>
              </w:rPr>
              <w:t>”</w:t>
            </w:r>
            <w:r w:rsidR="00887BC0">
              <w:rPr>
                <w:color w:val="000000"/>
              </w:rPr>
              <w:t xml:space="preserve"> (Ministru kabineta noteikumu izstrādātājs ir Ekonomikas</w:t>
            </w:r>
            <w:r w:rsidR="00887BC0" w:rsidRPr="00887BC0">
              <w:rPr>
                <w:color w:val="000000"/>
              </w:rPr>
              <w:t xml:space="preserve"> ministrija</w:t>
            </w:r>
            <w:r w:rsidR="00887BC0">
              <w:rPr>
                <w:color w:val="000000"/>
              </w:rPr>
              <w:t>)</w:t>
            </w:r>
            <w:r w:rsidR="00961EC5" w:rsidRPr="00AB5551">
              <w:rPr>
                <w:color w:val="000000"/>
              </w:rPr>
              <w:t>;</w:t>
            </w:r>
          </w:p>
          <w:p w:rsidR="00961EC5" w:rsidRDefault="005A3E1D" w:rsidP="00887BC0">
            <w:pPr>
              <w:pStyle w:val="ListParagraph"/>
              <w:numPr>
                <w:ilvl w:val="0"/>
                <w:numId w:val="3"/>
              </w:numPr>
              <w:tabs>
                <w:tab w:val="left" w:pos="1134"/>
                <w:tab w:val="left" w:pos="1701"/>
                <w:tab w:val="left" w:pos="2268"/>
                <w:tab w:val="left" w:pos="3969"/>
              </w:tabs>
              <w:jc w:val="both"/>
              <w:rPr>
                <w:color w:val="000000"/>
              </w:rPr>
            </w:pPr>
            <w:r>
              <w:rPr>
                <w:color w:val="000000"/>
              </w:rPr>
              <w:t xml:space="preserve">ar 2014.gada 1.jūliju spēkā stāsies </w:t>
            </w:r>
            <w:r w:rsidR="00961EC5">
              <w:rPr>
                <w:color w:val="000000"/>
              </w:rPr>
              <w:t xml:space="preserve"> Ministru kabineta 2014.gada 4.februāra noteikum</w:t>
            </w:r>
            <w:r>
              <w:rPr>
                <w:color w:val="000000"/>
              </w:rPr>
              <w:t>i</w:t>
            </w:r>
            <w:r w:rsidR="00961EC5">
              <w:rPr>
                <w:color w:val="000000"/>
              </w:rPr>
              <w:t xml:space="preserve"> Nr.66 “</w:t>
            </w:r>
            <w:r w:rsidR="00961EC5" w:rsidRPr="00DF38C4">
              <w:rPr>
                <w:color w:val="000000"/>
              </w:rPr>
              <w:t>Noteikumi par reģionālās attīstības atbalstu Latvijas Republikā līdz 2020.gadam</w:t>
            </w:r>
            <w:r w:rsidR="00961EC5">
              <w:rPr>
                <w:color w:val="000000"/>
              </w:rPr>
              <w:t>”</w:t>
            </w:r>
            <w:r w:rsidR="00394197">
              <w:rPr>
                <w:color w:val="000000"/>
              </w:rPr>
              <w:t xml:space="preserve"> (</w:t>
            </w:r>
            <w:r w:rsidR="006F292E">
              <w:rPr>
                <w:color w:val="000000"/>
              </w:rPr>
              <w:t>Ministru kabineta noteikumu izstrādāt</w:t>
            </w:r>
            <w:r w:rsidR="00887BC0">
              <w:rPr>
                <w:color w:val="000000"/>
              </w:rPr>
              <w:t>ā</w:t>
            </w:r>
            <w:r w:rsidR="006F292E">
              <w:rPr>
                <w:color w:val="000000"/>
              </w:rPr>
              <w:t xml:space="preserve">js ir </w:t>
            </w:r>
            <w:r w:rsidR="00887BC0" w:rsidRPr="00887BC0">
              <w:rPr>
                <w:color w:val="000000"/>
              </w:rPr>
              <w:t>Vides aizsardzības un reģionālās attīstības ministrija</w:t>
            </w:r>
            <w:r w:rsidR="00394197">
              <w:rPr>
                <w:color w:val="000000"/>
              </w:rPr>
              <w:t>)</w:t>
            </w:r>
            <w:r w:rsidR="009E5F70">
              <w:rPr>
                <w:color w:val="000000"/>
              </w:rPr>
              <w:t xml:space="preserve">. Jāpiebilst, ka minētie Ministru kabineta noteikumi pēc jauna likuma spēkā stāšanās tiks </w:t>
            </w:r>
            <w:proofErr w:type="spellStart"/>
            <w:r w:rsidR="009E5F70">
              <w:rPr>
                <w:color w:val="000000"/>
              </w:rPr>
              <w:t>pārizdoti</w:t>
            </w:r>
            <w:proofErr w:type="spellEnd"/>
            <w:r w:rsidR="009E5F70">
              <w:rPr>
                <w:color w:val="000000"/>
              </w:rPr>
              <w:t>, ņemot vērā tajos ietverto deleģējumu;</w:t>
            </w:r>
          </w:p>
          <w:p w:rsidR="00AB5551" w:rsidRDefault="00AB5551" w:rsidP="00AB5551">
            <w:pPr>
              <w:pStyle w:val="ListParagraph"/>
              <w:numPr>
                <w:ilvl w:val="0"/>
                <w:numId w:val="3"/>
              </w:numPr>
              <w:tabs>
                <w:tab w:val="left" w:pos="1134"/>
                <w:tab w:val="left" w:pos="1701"/>
                <w:tab w:val="left" w:pos="2268"/>
                <w:tab w:val="left" w:pos="3969"/>
              </w:tabs>
              <w:jc w:val="both"/>
              <w:rPr>
                <w:color w:val="000000"/>
              </w:rPr>
            </w:pPr>
            <w:r>
              <w:rPr>
                <w:color w:val="000000"/>
              </w:rPr>
              <w:lastRenderedPageBreak/>
              <w:t xml:space="preserve">tiks </w:t>
            </w:r>
            <w:r w:rsidR="00394197">
              <w:rPr>
                <w:color w:val="000000"/>
              </w:rPr>
              <w:t xml:space="preserve">izstrādāti jauni Ministru kabineta noteikumi, kas aizstās </w:t>
            </w:r>
            <w:r>
              <w:rPr>
                <w:color w:val="000000"/>
              </w:rPr>
              <w:t xml:space="preserve">Ministru Kabineta </w:t>
            </w:r>
            <w:r w:rsidRPr="00EE05FE">
              <w:rPr>
                <w:color w:val="000000"/>
              </w:rPr>
              <w:t>2007.gada 6.</w:t>
            </w:r>
            <w:r>
              <w:rPr>
                <w:color w:val="000000"/>
              </w:rPr>
              <w:t>februāra</w:t>
            </w:r>
            <w:r w:rsidRPr="00EE05FE">
              <w:rPr>
                <w:color w:val="000000"/>
              </w:rPr>
              <w:t xml:space="preserve"> </w:t>
            </w:r>
            <w:r>
              <w:rPr>
                <w:color w:val="000000"/>
              </w:rPr>
              <w:t xml:space="preserve"> noteikum</w:t>
            </w:r>
            <w:r w:rsidR="00394197">
              <w:rPr>
                <w:color w:val="000000"/>
              </w:rPr>
              <w:t>us</w:t>
            </w:r>
            <w:r>
              <w:rPr>
                <w:color w:val="000000"/>
              </w:rPr>
              <w:t xml:space="preserve"> Nr.100 “</w:t>
            </w:r>
            <w:r w:rsidRPr="00446622">
              <w:rPr>
                <w:color w:val="000000"/>
              </w:rPr>
              <w:t>Kārtība, kādā Eiropas Komisijā elektroniski iesniedz atbalsta programmu un individuālo atbalsta projektu paziņojumus un kādā piešķir un anulē atbalsta paziņojumu elektroniskās sistēmas lietošanas tiesības</w:t>
            </w:r>
            <w:r>
              <w:rPr>
                <w:color w:val="000000"/>
              </w:rPr>
              <w:t>”;</w:t>
            </w:r>
          </w:p>
          <w:p w:rsidR="00311D52" w:rsidRDefault="00311D52" w:rsidP="00311D52">
            <w:pPr>
              <w:pStyle w:val="ListParagraph"/>
              <w:numPr>
                <w:ilvl w:val="0"/>
                <w:numId w:val="3"/>
              </w:numPr>
              <w:tabs>
                <w:tab w:val="left" w:pos="1134"/>
                <w:tab w:val="left" w:pos="1701"/>
                <w:tab w:val="left" w:pos="2268"/>
                <w:tab w:val="left" w:pos="3969"/>
              </w:tabs>
              <w:jc w:val="both"/>
              <w:rPr>
                <w:color w:val="000000"/>
              </w:rPr>
            </w:pPr>
            <w:r>
              <w:rPr>
                <w:color w:val="000000"/>
              </w:rPr>
              <w:t xml:space="preserve">tiks </w:t>
            </w:r>
            <w:r w:rsidR="000252FA">
              <w:rPr>
                <w:color w:val="000000"/>
              </w:rPr>
              <w:t>izstrādāti</w:t>
            </w:r>
            <w:r w:rsidR="00BA3FD5">
              <w:rPr>
                <w:color w:val="000000"/>
              </w:rPr>
              <w:t xml:space="preserve"> </w:t>
            </w:r>
            <w:r w:rsidR="000252FA">
              <w:rPr>
                <w:color w:val="000000"/>
              </w:rPr>
              <w:t>jauni Ministru kabineta noteikumi, kas aizstās</w:t>
            </w:r>
            <w:r>
              <w:rPr>
                <w:color w:val="000000"/>
              </w:rPr>
              <w:t xml:space="preserve"> Ministru kabineta </w:t>
            </w:r>
            <w:r w:rsidRPr="00EE05FE">
              <w:rPr>
                <w:color w:val="000000"/>
              </w:rPr>
              <w:t>2008.gada 5.</w:t>
            </w:r>
            <w:r>
              <w:rPr>
                <w:color w:val="000000"/>
              </w:rPr>
              <w:t>februāra noteikum</w:t>
            </w:r>
            <w:r w:rsidR="000252FA">
              <w:rPr>
                <w:color w:val="000000"/>
              </w:rPr>
              <w:t>us</w:t>
            </w:r>
            <w:r>
              <w:rPr>
                <w:color w:val="000000"/>
              </w:rPr>
              <w:t xml:space="preserve"> Nr.58</w:t>
            </w:r>
            <w:r>
              <w:t xml:space="preserve"> “</w:t>
            </w:r>
            <w:r w:rsidRPr="00446622">
              <w:rPr>
                <w:color w:val="000000"/>
              </w:rPr>
              <w:t xml:space="preserve">Noteikumi par </w:t>
            </w:r>
            <w:proofErr w:type="spellStart"/>
            <w:r w:rsidRPr="00446622">
              <w:rPr>
                <w:color w:val="000000"/>
              </w:rPr>
              <w:t>de</w:t>
            </w:r>
            <w:proofErr w:type="spellEnd"/>
            <w:r w:rsidRPr="00446622">
              <w:rPr>
                <w:color w:val="000000"/>
              </w:rPr>
              <w:t xml:space="preserve"> </w:t>
            </w:r>
            <w:proofErr w:type="spellStart"/>
            <w:r w:rsidRPr="00446622">
              <w:rPr>
                <w:color w:val="000000"/>
              </w:rPr>
              <w:t>minimis</w:t>
            </w:r>
            <w:proofErr w:type="spellEnd"/>
            <w:r w:rsidRPr="00446622">
              <w:rPr>
                <w:color w:val="000000"/>
              </w:rPr>
              <w:t xml:space="preserve"> atbalsta uzskaites un piešķiršanas kārtību un </w:t>
            </w:r>
            <w:proofErr w:type="spellStart"/>
            <w:r w:rsidRPr="00446622">
              <w:rPr>
                <w:color w:val="000000"/>
              </w:rPr>
              <w:t>de</w:t>
            </w:r>
            <w:proofErr w:type="spellEnd"/>
            <w:r w:rsidRPr="00446622">
              <w:rPr>
                <w:color w:val="000000"/>
              </w:rPr>
              <w:t xml:space="preserve"> </w:t>
            </w:r>
            <w:proofErr w:type="spellStart"/>
            <w:r w:rsidRPr="00446622">
              <w:rPr>
                <w:color w:val="000000"/>
              </w:rPr>
              <w:t>minimis</w:t>
            </w:r>
            <w:proofErr w:type="spellEnd"/>
            <w:r w:rsidRPr="00446622">
              <w:rPr>
                <w:color w:val="000000"/>
              </w:rPr>
              <w:t xml:space="preserve"> atbalsta uzskaites veidlapu paraugiem</w:t>
            </w:r>
            <w:r>
              <w:rPr>
                <w:color w:val="000000"/>
              </w:rPr>
              <w:t>”;</w:t>
            </w:r>
          </w:p>
          <w:p w:rsidR="00BD726E" w:rsidRPr="00BD726E" w:rsidRDefault="00961EC5" w:rsidP="006C7182">
            <w:pPr>
              <w:pStyle w:val="ListParagraph"/>
              <w:numPr>
                <w:ilvl w:val="0"/>
                <w:numId w:val="3"/>
              </w:numPr>
              <w:tabs>
                <w:tab w:val="left" w:pos="1134"/>
                <w:tab w:val="left" w:pos="1701"/>
                <w:tab w:val="left" w:pos="2268"/>
                <w:tab w:val="left" w:pos="3969"/>
              </w:tabs>
              <w:jc w:val="both"/>
              <w:rPr>
                <w:color w:val="000000"/>
              </w:rPr>
            </w:pPr>
            <w:r>
              <w:rPr>
                <w:color w:val="000000"/>
              </w:rPr>
              <w:t xml:space="preserve">tiks izstrādāti </w:t>
            </w:r>
            <w:r w:rsidR="00005D31">
              <w:rPr>
                <w:color w:val="000000"/>
              </w:rPr>
              <w:t xml:space="preserve">jauni </w:t>
            </w:r>
            <w:r>
              <w:rPr>
                <w:color w:val="000000"/>
              </w:rPr>
              <w:t xml:space="preserve">Ministru kabineta noteikumi, kuri noteiks </w:t>
            </w:r>
            <w:r w:rsidRPr="00961EC5">
              <w:rPr>
                <w:color w:val="000000"/>
              </w:rPr>
              <w:t>kārtīb</w:t>
            </w:r>
            <w:r>
              <w:rPr>
                <w:color w:val="000000"/>
              </w:rPr>
              <w:t>u</w:t>
            </w:r>
            <w:r w:rsidRPr="00961EC5">
              <w:rPr>
                <w:color w:val="000000"/>
              </w:rPr>
              <w:t>,</w:t>
            </w:r>
            <w:r>
              <w:rPr>
                <w:color w:val="000000"/>
              </w:rPr>
              <w:t xml:space="preserve"> </w:t>
            </w:r>
            <w:r w:rsidRPr="00961EC5">
              <w:rPr>
                <w:color w:val="000000"/>
              </w:rPr>
              <w:t>kādā Eiropas Komisijā elektroniski iesniedz gada ziņojumus par valsts atbalsta izdevumiem un kādā piešķir un anulē atbalsta ziņojumu elektroniskās sistēmas lietošanas tiesības</w:t>
            </w:r>
            <w:r w:rsidR="00372615">
              <w:rPr>
                <w:color w:val="000000"/>
              </w:rPr>
              <w:t xml:space="preserve">. </w:t>
            </w:r>
          </w:p>
        </w:tc>
      </w:tr>
      <w:tr w:rsidR="006516CC" w:rsidRPr="00F449FA" w:rsidTr="00A02406">
        <w:tc>
          <w:tcPr>
            <w:tcW w:w="396" w:type="dxa"/>
            <w:shd w:val="clear" w:color="auto" w:fill="auto"/>
          </w:tcPr>
          <w:p w:rsidR="006516CC" w:rsidRPr="00F449FA" w:rsidRDefault="006516CC" w:rsidP="006975B5">
            <w:pPr>
              <w:tabs>
                <w:tab w:val="left" w:pos="5940"/>
              </w:tabs>
              <w:rPr>
                <w:color w:val="000000"/>
              </w:rPr>
            </w:pPr>
            <w:r w:rsidRPr="00F449FA">
              <w:rPr>
                <w:color w:val="000000"/>
              </w:rPr>
              <w:lastRenderedPageBreak/>
              <w:t>2.</w:t>
            </w:r>
          </w:p>
        </w:tc>
        <w:tc>
          <w:tcPr>
            <w:tcW w:w="2281" w:type="dxa"/>
            <w:shd w:val="clear" w:color="auto" w:fill="auto"/>
          </w:tcPr>
          <w:p w:rsidR="006516CC" w:rsidRPr="00F449FA" w:rsidRDefault="006516CC" w:rsidP="003633B2">
            <w:pPr>
              <w:tabs>
                <w:tab w:val="left" w:pos="5940"/>
              </w:tabs>
              <w:rPr>
                <w:color w:val="000000"/>
              </w:rPr>
            </w:pPr>
            <w:r w:rsidRPr="00F449FA">
              <w:t>Cita</w:t>
            </w:r>
            <w:r w:rsidR="003633B2">
              <w:t>s starptautiskas saistības</w:t>
            </w:r>
          </w:p>
        </w:tc>
        <w:tc>
          <w:tcPr>
            <w:tcW w:w="6957" w:type="dxa"/>
            <w:shd w:val="clear" w:color="auto" w:fill="auto"/>
          </w:tcPr>
          <w:p w:rsidR="006516CC" w:rsidRPr="00F449FA" w:rsidRDefault="0097561A" w:rsidP="006975B5">
            <w:pPr>
              <w:tabs>
                <w:tab w:val="left" w:pos="5940"/>
              </w:tabs>
              <w:jc w:val="both"/>
              <w:rPr>
                <w:color w:val="000000"/>
              </w:rPr>
            </w:pPr>
            <w:r>
              <w:rPr>
                <w:color w:val="000000"/>
              </w:rPr>
              <w:t xml:space="preserve">Nav </w:t>
            </w:r>
          </w:p>
        </w:tc>
      </w:tr>
      <w:tr w:rsidR="003633B2" w:rsidRPr="00F449FA" w:rsidTr="00A02406">
        <w:tc>
          <w:tcPr>
            <w:tcW w:w="396" w:type="dxa"/>
            <w:shd w:val="clear" w:color="auto" w:fill="auto"/>
          </w:tcPr>
          <w:p w:rsidR="003633B2" w:rsidRPr="00F449FA" w:rsidRDefault="003633B2" w:rsidP="006975B5">
            <w:pPr>
              <w:tabs>
                <w:tab w:val="left" w:pos="5940"/>
              </w:tabs>
              <w:rPr>
                <w:color w:val="000000"/>
              </w:rPr>
            </w:pPr>
            <w:r>
              <w:rPr>
                <w:color w:val="000000"/>
              </w:rPr>
              <w:t>3.</w:t>
            </w:r>
          </w:p>
        </w:tc>
        <w:tc>
          <w:tcPr>
            <w:tcW w:w="2281" w:type="dxa"/>
            <w:shd w:val="clear" w:color="auto" w:fill="auto"/>
          </w:tcPr>
          <w:p w:rsidR="003633B2" w:rsidRPr="00F449FA" w:rsidRDefault="003633B2" w:rsidP="003633B2">
            <w:pPr>
              <w:tabs>
                <w:tab w:val="left" w:pos="5940"/>
              </w:tabs>
            </w:pPr>
            <w:r>
              <w:t>Cita informācija</w:t>
            </w:r>
          </w:p>
        </w:tc>
        <w:tc>
          <w:tcPr>
            <w:tcW w:w="6957" w:type="dxa"/>
            <w:shd w:val="clear" w:color="auto" w:fill="auto"/>
          </w:tcPr>
          <w:p w:rsidR="00BD726E" w:rsidRPr="00F449FA" w:rsidRDefault="008B44A7" w:rsidP="006C7182">
            <w:pPr>
              <w:tabs>
                <w:tab w:val="left" w:pos="5940"/>
              </w:tabs>
              <w:jc w:val="both"/>
            </w:pPr>
            <w:r>
              <w:rPr>
                <w:color w:val="000000"/>
              </w:rPr>
              <w:t xml:space="preserve">Ar 2014.gada 1.jūliju zaudēs spēku </w:t>
            </w:r>
            <w:r w:rsidRPr="00DF38C4">
              <w:rPr>
                <w:color w:val="000000"/>
              </w:rPr>
              <w:t>Ministru Kabineta 2009.gada 4.augusta noteikumos Nr.850 “Noteikumi par reģionālās attīstības atbalstu Latvijas Republikā”.</w:t>
            </w:r>
            <w:r>
              <w:rPr>
                <w:color w:val="000000"/>
              </w:rPr>
              <w:t xml:space="preserve"> Ar minētā likumprojekta spēkā stāšanos zaudēs spēku arī Ministru kabineta </w:t>
            </w:r>
            <w:r w:rsidRPr="00EE05FE">
              <w:rPr>
                <w:color w:val="000000"/>
              </w:rPr>
              <w:t>2012.gada 10.</w:t>
            </w:r>
            <w:r>
              <w:rPr>
                <w:color w:val="000000"/>
              </w:rPr>
              <w:t>aprīļa noteikumi Nr.261 “</w:t>
            </w:r>
            <w:r w:rsidRPr="00EE05FE">
              <w:rPr>
                <w:color w:val="000000"/>
              </w:rPr>
              <w:t>Par Ministru kabineta 2009.g</w:t>
            </w:r>
            <w:r>
              <w:rPr>
                <w:color w:val="000000"/>
              </w:rPr>
              <w:t>ada 4.augusta noteikumu Nr.851 “</w:t>
            </w:r>
            <w:r w:rsidRPr="00EE05FE">
              <w:rPr>
                <w:color w:val="000000"/>
              </w:rPr>
              <w:t xml:space="preserve">Noteikumi par </w:t>
            </w:r>
            <w:proofErr w:type="spellStart"/>
            <w:r w:rsidRPr="00E57406">
              <w:rPr>
                <w:i/>
                <w:color w:val="000000"/>
              </w:rPr>
              <w:t>de</w:t>
            </w:r>
            <w:proofErr w:type="spellEnd"/>
            <w:r w:rsidRPr="00E57406">
              <w:rPr>
                <w:i/>
                <w:color w:val="000000"/>
              </w:rPr>
              <w:t xml:space="preserve"> </w:t>
            </w:r>
            <w:proofErr w:type="spellStart"/>
            <w:r w:rsidRPr="00E57406">
              <w:rPr>
                <w:i/>
                <w:color w:val="000000"/>
              </w:rPr>
              <w:t>minimis</w:t>
            </w:r>
            <w:proofErr w:type="spellEnd"/>
            <w:r w:rsidRPr="00EE05FE">
              <w:rPr>
                <w:color w:val="000000"/>
              </w:rPr>
              <w:t xml:space="preserve"> un cita ierobežota apmēra atbalsta uzskaites veidlapu pa</w:t>
            </w:r>
            <w:r>
              <w:rPr>
                <w:color w:val="000000"/>
              </w:rPr>
              <w:t>raugiem un piešķiršanas kārtību”</w:t>
            </w:r>
            <w:r w:rsidRPr="00EE05FE">
              <w:rPr>
                <w:color w:val="000000"/>
              </w:rPr>
              <w:t xml:space="preserve"> atzīšanu par spēku zaudējušiem</w:t>
            </w:r>
            <w:r>
              <w:rPr>
                <w:color w:val="000000"/>
              </w:rPr>
              <w:t>”.</w:t>
            </w:r>
            <w:r w:rsidR="00E226C5">
              <w:rPr>
                <w:color w:val="000000"/>
              </w:rPr>
              <w:t xml:space="preserve"> </w:t>
            </w:r>
          </w:p>
        </w:tc>
      </w:tr>
    </w:tbl>
    <w:p w:rsidR="00BD726E" w:rsidRDefault="00BD726E" w:rsidP="003B4F1E">
      <w:pPr>
        <w:spacing w:line="360" w:lineRule="auto"/>
        <w:jc w:val="center"/>
        <w:rPr>
          <w:i/>
          <w:color w:val="000000"/>
        </w:rPr>
      </w:pPr>
    </w:p>
    <w:tbl>
      <w:tblPr>
        <w:tblW w:w="98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736"/>
        <w:gridCol w:w="1311"/>
        <w:gridCol w:w="704"/>
        <w:gridCol w:w="2611"/>
        <w:gridCol w:w="3023"/>
      </w:tblGrid>
      <w:tr w:rsidR="00A02406" w:rsidRPr="00C115AD" w:rsidTr="00B60735">
        <w:tc>
          <w:tcPr>
            <w:tcW w:w="9894" w:type="dxa"/>
            <w:gridSpan w:val="6"/>
            <w:shd w:val="clear" w:color="auto" w:fill="auto"/>
          </w:tcPr>
          <w:p w:rsidR="00A02406" w:rsidRPr="00C115AD" w:rsidRDefault="00A02406" w:rsidP="004E7E27">
            <w:pPr>
              <w:jc w:val="center"/>
              <w:rPr>
                <w:b/>
              </w:rPr>
            </w:pPr>
            <w:r w:rsidRPr="00C115AD">
              <w:rPr>
                <w:b/>
              </w:rPr>
              <w:t>V. Tiesību akta projekta atbilstība Latvijas Republikas starptautiskajām saistībām</w:t>
            </w:r>
          </w:p>
        </w:tc>
      </w:tr>
      <w:tr w:rsidR="00A02406" w:rsidRPr="00C115AD" w:rsidTr="00B60735">
        <w:tc>
          <w:tcPr>
            <w:tcW w:w="509" w:type="dxa"/>
            <w:shd w:val="clear" w:color="auto" w:fill="auto"/>
          </w:tcPr>
          <w:p w:rsidR="00A02406" w:rsidRPr="00C115AD" w:rsidRDefault="00A02406" w:rsidP="004E7E27">
            <w:pPr>
              <w:jc w:val="center"/>
            </w:pPr>
            <w:r w:rsidRPr="00C115AD">
              <w:t>1.</w:t>
            </w:r>
          </w:p>
        </w:tc>
        <w:tc>
          <w:tcPr>
            <w:tcW w:w="3047" w:type="dxa"/>
            <w:gridSpan w:val="2"/>
            <w:shd w:val="clear" w:color="auto" w:fill="auto"/>
          </w:tcPr>
          <w:p w:rsidR="00A02406" w:rsidRPr="00C115AD" w:rsidRDefault="00A02406" w:rsidP="004E7E27">
            <w:pPr>
              <w:tabs>
                <w:tab w:val="left" w:pos="2628"/>
              </w:tabs>
              <w:rPr>
                <w:iCs/>
              </w:rPr>
            </w:pPr>
            <w:r w:rsidRPr="00C115AD">
              <w:t>Saistības pret Eiropas Savienību</w:t>
            </w:r>
          </w:p>
        </w:tc>
        <w:tc>
          <w:tcPr>
            <w:tcW w:w="6338" w:type="dxa"/>
            <w:gridSpan w:val="3"/>
            <w:shd w:val="clear" w:color="auto" w:fill="auto"/>
          </w:tcPr>
          <w:p w:rsidR="00AC3D1D" w:rsidRDefault="00D21E40" w:rsidP="00EB5159">
            <w:pPr>
              <w:pStyle w:val="naiskr"/>
              <w:tabs>
                <w:tab w:val="left" w:pos="2628"/>
              </w:tabs>
              <w:spacing w:before="0" w:after="0"/>
              <w:jc w:val="both"/>
              <w:rPr>
                <w:color w:val="000000"/>
              </w:rPr>
            </w:pPr>
            <w:r>
              <w:rPr>
                <w:color w:val="000000"/>
              </w:rPr>
              <w:t xml:space="preserve">Likumprojekts ievieš Eiropas Savienībā spēkā esošās atbalsta kontroles pamatprincipus, kas izriet no Līguma par Eiropas Savienības darbību 107. un 108.panta. </w:t>
            </w:r>
          </w:p>
          <w:p w:rsidR="00BD726E" w:rsidRPr="00C115AD" w:rsidRDefault="00BD726E" w:rsidP="00EB5159">
            <w:pPr>
              <w:pStyle w:val="naiskr"/>
              <w:tabs>
                <w:tab w:val="left" w:pos="2628"/>
              </w:tabs>
              <w:spacing w:before="0" w:after="0"/>
              <w:jc w:val="both"/>
              <w:rPr>
                <w:color w:val="000000"/>
              </w:rPr>
            </w:pPr>
          </w:p>
        </w:tc>
      </w:tr>
      <w:tr w:rsidR="00A02406" w:rsidRPr="00C115AD" w:rsidTr="00B60735">
        <w:tc>
          <w:tcPr>
            <w:tcW w:w="509" w:type="dxa"/>
            <w:shd w:val="clear" w:color="auto" w:fill="auto"/>
          </w:tcPr>
          <w:p w:rsidR="00A02406" w:rsidRPr="00C115AD" w:rsidRDefault="00A02406" w:rsidP="004E7E27">
            <w:pPr>
              <w:jc w:val="center"/>
            </w:pPr>
            <w:r w:rsidRPr="00C115AD">
              <w:t>2.</w:t>
            </w:r>
          </w:p>
        </w:tc>
        <w:tc>
          <w:tcPr>
            <w:tcW w:w="3047" w:type="dxa"/>
            <w:gridSpan w:val="2"/>
            <w:shd w:val="clear" w:color="auto" w:fill="auto"/>
          </w:tcPr>
          <w:p w:rsidR="00A02406" w:rsidRPr="00C115AD" w:rsidRDefault="00A02406" w:rsidP="004E7E27">
            <w:pPr>
              <w:tabs>
                <w:tab w:val="left" w:pos="2628"/>
              </w:tabs>
              <w:rPr>
                <w:iCs/>
              </w:rPr>
            </w:pPr>
            <w:r w:rsidRPr="00C115AD">
              <w:t>Citas starptautiskās saistības</w:t>
            </w:r>
          </w:p>
        </w:tc>
        <w:tc>
          <w:tcPr>
            <w:tcW w:w="6338" w:type="dxa"/>
            <w:gridSpan w:val="3"/>
            <w:shd w:val="clear" w:color="auto" w:fill="auto"/>
          </w:tcPr>
          <w:p w:rsidR="00A02406" w:rsidRPr="00C115AD" w:rsidRDefault="00CC2CA3" w:rsidP="004E7E27">
            <w:pPr>
              <w:pStyle w:val="naiskr"/>
              <w:tabs>
                <w:tab w:val="left" w:pos="2628"/>
              </w:tabs>
              <w:spacing w:before="0" w:after="0"/>
              <w:jc w:val="both"/>
              <w:rPr>
                <w:iCs/>
                <w:color w:val="000000"/>
              </w:rPr>
            </w:pPr>
            <w:r>
              <w:rPr>
                <w:iCs/>
                <w:color w:val="000000"/>
              </w:rPr>
              <w:t xml:space="preserve">Nav </w:t>
            </w:r>
          </w:p>
        </w:tc>
      </w:tr>
      <w:tr w:rsidR="00A02406" w:rsidRPr="00C115AD" w:rsidTr="00B60735">
        <w:tc>
          <w:tcPr>
            <w:tcW w:w="509" w:type="dxa"/>
            <w:shd w:val="clear" w:color="auto" w:fill="auto"/>
          </w:tcPr>
          <w:p w:rsidR="00A02406" w:rsidRPr="00C115AD" w:rsidRDefault="00A02406" w:rsidP="004E7E27">
            <w:pPr>
              <w:jc w:val="center"/>
            </w:pPr>
            <w:r w:rsidRPr="00C115AD">
              <w:t>3.</w:t>
            </w:r>
          </w:p>
        </w:tc>
        <w:tc>
          <w:tcPr>
            <w:tcW w:w="3047" w:type="dxa"/>
            <w:gridSpan w:val="2"/>
            <w:shd w:val="clear" w:color="auto" w:fill="auto"/>
          </w:tcPr>
          <w:p w:rsidR="00A02406" w:rsidRPr="00C115AD" w:rsidRDefault="00A02406" w:rsidP="004E7E27">
            <w:pPr>
              <w:tabs>
                <w:tab w:val="left" w:pos="2628"/>
              </w:tabs>
              <w:rPr>
                <w:color w:val="000000"/>
              </w:rPr>
            </w:pPr>
            <w:r w:rsidRPr="00C115AD">
              <w:rPr>
                <w:color w:val="000000"/>
              </w:rPr>
              <w:t>Cita informācija</w:t>
            </w:r>
          </w:p>
        </w:tc>
        <w:tc>
          <w:tcPr>
            <w:tcW w:w="6338" w:type="dxa"/>
            <w:gridSpan w:val="3"/>
            <w:shd w:val="clear" w:color="auto" w:fill="auto"/>
          </w:tcPr>
          <w:p w:rsidR="00AC3D1D" w:rsidRDefault="003B4F1E" w:rsidP="00181D5E">
            <w:pPr>
              <w:pStyle w:val="naiskr"/>
              <w:tabs>
                <w:tab w:val="left" w:pos="2628"/>
              </w:tabs>
              <w:spacing w:before="0" w:after="0"/>
              <w:jc w:val="both"/>
              <w:rPr>
                <w:color w:val="000000"/>
              </w:rPr>
            </w:pPr>
            <w:r>
              <w:rPr>
                <w:color w:val="000000"/>
              </w:rPr>
              <w:t xml:space="preserve">Eiropa Savienības akti ietver arī dokumentus, kas nosaka valsts atbalsta ietvaru dažādiem valsts atbalsta pasākumu mērķiem, </w:t>
            </w:r>
            <w:r w:rsidR="00ED6ECE">
              <w:rPr>
                <w:color w:val="000000"/>
              </w:rPr>
              <w:t xml:space="preserve">proti, vadlīnijas </w:t>
            </w:r>
            <w:r w:rsidRPr="006D5313">
              <w:rPr>
                <w:color w:val="000000"/>
              </w:rPr>
              <w:t>vides aizsardzības un enerģētikas jomā, aviācijas jomā, uzņēmumu glābšanas un restrukturizācijas jomā, pētījumu un inovāciju atbalsta jomā, riska finanšu jomā, platjoslu jomā, atbalstam maziem un vidējiem uzņēmumiem, reģionālā atbalsta jomā, riska kapitāla jomā u.c. jomā</w:t>
            </w:r>
            <w:r w:rsidR="00ED6ECE">
              <w:rPr>
                <w:color w:val="000000"/>
              </w:rPr>
              <w:t xml:space="preserve">s. </w:t>
            </w:r>
          </w:p>
          <w:p w:rsidR="00BD726E" w:rsidRPr="008560DB" w:rsidRDefault="00BD726E" w:rsidP="00181D5E">
            <w:pPr>
              <w:pStyle w:val="naiskr"/>
              <w:tabs>
                <w:tab w:val="left" w:pos="2628"/>
              </w:tabs>
              <w:spacing w:before="0" w:after="0"/>
              <w:jc w:val="both"/>
              <w:rPr>
                <w:iCs/>
                <w:color w:val="000000"/>
              </w:rPr>
            </w:pPr>
          </w:p>
        </w:tc>
      </w:tr>
      <w:tr w:rsidR="00A02406" w:rsidRPr="00C115AD" w:rsidTr="00B60735">
        <w:tc>
          <w:tcPr>
            <w:tcW w:w="9894" w:type="dxa"/>
            <w:gridSpan w:val="6"/>
            <w:shd w:val="clear" w:color="auto" w:fill="auto"/>
          </w:tcPr>
          <w:p w:rsidR="00A02406" w:rsidRPr="00C115AD" w:rsidRDefault="00A02406" w:rsidP="004E7E27">
            <w:pPr>
              <w:pStyle w:val="naisnod"/>
              <w:spacing w:before="0" w:after="0"/>
            </w:pPr>
            <w:r w:rsidRPr="00C115AD">
              <w:t xml:space="preserve">1.tabula </w:t>
            </w:r>
          </w:p>
          <w:p w:rsidR="00A02406" w:rsidRPr="00C115AD" w:rsidRDefault="00A02406" w:rsidP="004E7E27">
            <w:pPr>
              <w:jc w:val="center"/>
            </w:pPr>
            <w:r w:rsidRPr="00C115AD">
              <w:rPr>
                <w:b/>
              </w:rPr>
              <w:t>Tiesību akta projekta atbilstība ES tiesību aktiem</w:t>
            </w:r>
          </w:p>
        </w:tc>
      </w:tr>
      <w:tr w:rsidR="00A02406" w:rsidRPr="00C115AD" w:rsidTr="00B60735">
        <w:tc>
          <w:tcPr>
            <w:tcW w:w="2245" w:type="dxa"/>
            <w:gridSpan w:val="2"/>
            <w:shd w:val="clear" w:color="auto" w:fill="auto"/>
          </w:tcPr>
          <w:p w:rsidR="00A02406" w:rsidRPr="00C115AD" w:rsidRDefault="00A02406" w:rsidP="004E7E27">
            <w:r w:rsidRPr="00C115AD">
              <w:t>Attiecīgā ES tiesību akta datums, numurs un nosaukums</w:t>
            </w:r>
          </w:p>
        </w:tc>
        <w:tc>
          <w:tcPr>
            <w:tcW w:w="7649" w:type="dxa"/>
            <w:gridSpan w:val="4"/>
            <w:shd w:val="clear" w:color="auto" w:fill="auto"/>
          </w:tcPr>
          <w:p w:rsidR="00EB5159" w:rsidRPr="00B3134B" w:rsidRDefault="00EB5159" w:rsidP="000D4C53">
            <w:pPr>
              <w:pStyle w:val="naiskr"/>
              <w:tabs>
                <w:tab w:val="left" w:pos="2628"/>
              </w:tabs>
              <w:spacing w:before="0" w:after="0"/>
              <w:jc w:val="both"/>
              <w:rPr>
                <w:color w:val="000000"/>
              </w:rPr>
            </w:pPr>
            <w:r w:rsidRPr="00B3134B">
              <w:rPr>
                <w:color w:val="000000"/>
              </w:rPr>
              <w:t>Likumprojekts ietver šādu EK tiesību aktu un citu atbalsta kontroles jomas dokumentu nosacījumus:</w:t>
            </w:r>
          </w:p>
          <w:p w:rsidR="00EB5159" w:rsidRDefault="00EB5159" w:rsidP="000D4C53">
            <w:pPr>
              <w:pStyle w:val="naiskr"/>
              <w:tabs>
                <w:tab w:val="left" w:pos="2628"/>
              </w:tabs>
              <w:spacing w:before="0" w:after="0"/>
              <w:jc w:val="both"/>
              <w:rPr>
                <w:color w:val="000000"/>
              </w:rPr>
            </w:pPr>
            <w:r w:rsidRPr="00B3134B">
              <w:rPr>
                <w:color w:val="000000"/>
              </w:rPr>
              <w:t>-</w:t>
            </w:r>
            <w:r w:rsidR="00744BDB">
              <w:rPr>
                <w:color w:val="000000"/>
              </w:rPr>
              <w:t xml:space="preserve"> </w:t>
            </w:r>
            <w:r w:rsidR="00B12B07">
              <w:rPr>
                <w:color w:val="000000"/>
              </w:rPr>
              <w:t xml:space="preserve">Eiropas </w:t>
            </w:r>
            <w:r w:rsidR="00AB3752">
              <w:rPr>
                <w:color w:val="000000"/>
              </w:rPr>
              <w:t xml:space="preserve">Padomes </w:t>
            </w:r>
            <w:r w:rsidRPr="00B3134B">
              <w:rPr>
                <w:color w:val="000000"/>
              </w:rPr>
              <w:t>1999.gada 22.marta Regula Nr.659/1999</w:t>
            </w:r>
            <w:r w:rsidR="00424ACD">
              <w:rPr>
                <w:color w:val="000000"/>
              </w:rPr>
              <w:t xml:space="preserve">, </w:t>
            </w:r>
            <w:r w:rsidR="00424ACD" w:rsidRPr="00424ACD">
              <w:rPr>
                <w:color w:val="000000"/>
              </w:rPr>
              <w:t xml:space="preserve">ar ko nosaka sīki izstrādātus noteikumus </w:t>
            </w:r>
            <w:r w:rsidR="00424ACD" w:rsidRPr="0025427F">
              <w:rPr>
                <w:color w:val="000000"/>
              </w:rPr>
              <w:t>E</w:t>
            </w:r>
            <w:r w:rsidR="00424ACD">
              <w:rPr>
                <w:color w:val="000000"/>
              </w:rPr>
              <w:t xml:space="preserve">iropas Kopienas </w:t>
            </w:r>
            <w:r w:rsidR="00424ACD" w:rsidRPr="00424ACD">
              <w:rPr>
                <w:color w:val="000000"/>
              </w:rPr>
              <w:t>līguma 93.panta piemērošanai</w:t>
            </w:r>
            <w:r w:rsidR="005E3FC8">
              <w:rPr>
                <w:color w:val="000000"/>
              </w:rPr>
              <w:t xml:space="preserve"> (turpmāk – Regula Nr.659/1999)</w:t>
            </w:r>
            <w:r w:rsidR="00744BDB">
              <w:rPr>
                <w:color w:val="000000"/>
              </w:rPr>
              <w:t>;</w:t>
            </w:r>
          </w:p>
          <w:p w:rsidR="00EB5159" w:rsidRDefault="00744BDB" w:rsidP="000D4C53">
            <w:pPr>
              <w:pStyle w:val="naiskr"/>
              <w:tabs>
                <w:tab w:val="left" w:pos="2628"/>
              </w:tabs>
              <w:spacing w:before="0" w:after="0"/>
              <w:jc w:val="both"/>
              <w:rPr>
                <w:color w:val="000000"/>
              </w:rPr>
            </w:pPr>
            <w:r>
              <w:rPr>
                <w:color w:val="000000"/>
              </w:rPr>
              <w:lastRenderedPageBreak/>
              <w:t xml:space="preserve">- </w:t>
            </w:r>
            <w:r w:rsidR="00B12B07">
              <w:rPr>
                <w:color w:val="000000"/>
              </w:rPr>
              <w:t xml:space="preserve">Eiropas </w:t>
            </w:r>
            <w:r w:rsidR="00AB3752">
              <w:rPr>
                <w:color w:val="000000"/>
              </w:rPr>
              <w:t xml:space="preserve">Padomes </w:t>
            </w:r>
            <w:r w:rsidR="00EB5159" w:rsidRPr="00B3134B">
              <w:rPr>
                <w:color w:val="000000"/>
              </w:rPr>
              <w:t xml:space="preserve">1998.gada 7.maija </w:t>
            </w:r>
            <w:r>
              <w:rPr>
                <w:color w:val="000000"/>
              </w:rPr>
              <w:t>R</w:t>
            </w:r>
            <w:r w:rsidR="00EB5159" w:rsidRPr="00B3134B">
              <w:rPr>
                <w:color w:val="000000"/>
              </w:rPr>
              <w:t>egula Nr.994/</w:t>
            </w:r>
            <w:r w:rsidR="00345D99">
              <w:rPr>
                <w:color w:val="000000"/>
              </w:rPr>
              <w:t>199</w:t>
            </w:r>
            <w:r w:rsidR="00EB5159" w:rsidRPr="00B3134B">
              <w:rPr>
                <w:color w:val="000000"/>
              </w:rPr>
              <w:t>8</w:t>
            </w:r>
            <w:r w:rsidR="00345D99">
              <w:rPr>
                <w:color w:val="000000"/>
              </w:rPr>
              <w:t xml:space="preserve"> </w:t>
            </w:r>
            <w:r w:rsidR="00CC11C1" w:rsidRPr="00CC11C1">
              <w:rPr>
                <w:color w:val="000000"/>
              </w:rPr>
              <w:t>par to, kā piemērot Eiropas Kopienas dibināšanas līguma 92. un 93.pantu attiecībā uz dažu kategoriju</w:t>
            </w:r>
            <w:r w:rsidR="00CC11C1">
              <w:rPr>
                <w:color w:val="000000"/>
              </w:rPr>
              <w:t xml:space="preserve"> </w:t>
            </w:r>
            <w:r w:rsidR="00CC11C1" w:rsidRPr="00CC11C1">
              <w:rPr>
                <w:color w:val="000000"/>
              </w:rPr>
              <w:t>valsts horizontālo atbalstu</w:t>
            </w:r>
            <w:r w:rsidR="00CC11C1">
              <w:rPr>
                <w:color w:val="000000"/>
              </w:rPr>
              <w:t xml:space="preserve"> (turpmāk – Regula Nr.994/1998)</w:t>
            </w:r>
            <w:r>
              <w:rPr>
                <w:color w:val="000000"/>
              </w:rPr>
              <w:t>;</w:t>
            </w:r>
          </w:p>
          <w:p w:rsidR="00B12B07" w:rsidRDefault="00B12B07" w:rsidP="000D4C53">
            <w:pPr>
              <w:pStyle w:val="naiskr"/>
              <w:tabs>
                <w:tab w:val="left" w:pos="2628"/>
              </w:tabs>
              <w:spacing w:before="0" w:after="0"/>
              <w:jc w:val="both"/>
              <w:rPr>
                <w:color w:val="000000"/>
              </w:rPr>
            </w:pPr>
            <w:r>
              <w:rPr>
                <w:color w:val="000000"/>
              </w:rPr>
              <w:t>- Eiropas Komisijas 2004.gada 21.aprīļa Regula Nr.794/2004</w:t>
            </w:r>
            <w:r w:rsidR="00E13FCA">
              <w:rPr>
                <w:color w:val="000000"/>
              </w:rPr>
              <w:t>,</w:t>
            </w:r>
            <w:r w:rsidR="001A72BC">
              <w:rPr>
                <w:color w:val="000000"/>
              </w:rPr>
              <w:t xml:space="preserve"> </w:t>
            </w:r>
            <w:r w:rsidR="0025427F" w:rsidRPr="0025427F">
              <w:rPr>
                <w:color w:val="000000"/>
              </w:rPr>
              <w:t>ar ko īsteno Padomes Regulu (EK) Nr.659/1999, ar kuru nosaka sīki izstrādātus noteikumus E</w:t>
            </w:r>
            <w:r w:rsidR="00CC11C1">
              <w:rPr>
                <w:color w:val="000000"/>
              </w:rPr>
              <w:t xml:space="preserve">iropas Kopienas </w:t>
            </w:r>
            <w:r w:rsidR="00424ACD">
              <w:rPr>
                <w:color w:val="000000"/>
              </w:rPr>
              <w:t>l</w:t>
            </w:r>
            <w:r w:rsidR="0025427F" w:rsidRPr="0025427F">
              <w:rPr>
                <w:color w:val="000000"/>
              </w:rPr>
              <w:t>īguma</w:t>
            </w:r>
            <w:r w:rsidR="0025427F">
              <w:rPr>
                <w:color w:val="000000"/>
              </w:rPr>
              <w:t xml:space="preserve"> </w:t>
            </w:r>
            <w:r w:rsidR="0025427F" w:rsidRPr="0025427F">
              <w:rPr>
                <w:color w:val="000000"/>
              </w:rPr>
              <w:t>93.panta</w:t>
            </w:r>
            <w:r w:rsidR="0025427F">
              <w:rPr>
                <w:color w:val="000000"/>
              </w:rPr>
              <w:t xml:space="preserve"> </w:t>
            </w:r>
            <w:r w:rsidR="0025427F" w:rsidRPr="0025427F">
              <w:rPr>
                <w:color w:val="000000"/>
              </w:rPr>
              <w:t>piemērošanai</w:t>
            </w:r>
            <w:r w:rsidR="00FD0789">
              <w:rPr>
                <w:color w:val="000000"/>
              </w:rPr>
              <w:t xml:space="preserve"> </w:t>
            </w:r>
            <w:r w:rsidR="0025427F">
              <w:rPr>
                <w:color w:val="000000"/>
              </w:rPr>
              <w:t>(turpmāk – Regula Nr.794/2004)</w:t>
            </w:r>
            <w:r>
              <w:rPr>
                <w:color w:val="000000"/>
              </w:rPr>
              <w:t>;</w:t>
            </w:r>
          </w:p>
          <w:p w:rsidR="00B12B07" w:rsidRDefault="00B12B07" w:rsidP="000D4C53">
            <w:pPr>
              <w:pStyle w:val="naiskr"/>
              <w:tabs>
                <w:tab w:val="left" w:pos="2628"/>
              </w:tabs>
              <w:spacing w:before="0" w:after="0"/>
              <w:jc w:val="both"/>
              <w:rPr>
                <w:color w:val="000000"/>
              </w:rPr>
            </w:pPr>
            <w:r>
              <w:rPr>
                <w:color w:val="000000"/>
              </w:rPr>
              <w:t>- Eiropas Komisijas 2006.gada 16.novembra direktīva Nr.2006/111/EK</w:t>
            </w:r>
            <w:r w:rsidR="005D2E0E">
              <w:rPr>
                <w:color w:val="000000"/>
              </w:rPr>
              <w:t xml:space="preserve"> (turpmāk – Direktīva Nr.2006/111/EK)</w:t>
            </w:r>
            <w:r w:rsidR="006870F9">
              <w:rPr>
                <w:color w:val="000000"/>
              </w:rPr>
              <w:t xml:space="preserve">; </w:t>
            </w:r>
          </w:p>
          <w:p w:rsidR="006870F9" w:rsidRDefault="006870F9" w:rsidP="000D4C53">
            <w:pPr>
              <w:pStyle w:val="naiskr"/>
              <w:tabs>
                <w:tab w:val="left" w:pos="2628"/>
              </w:tabs>
              <w:spacing w:before="0" w:after="0"/>
              <w:jc w:val="both"/>
              <w:rPr>
                <w:color w:val="000000"/>
              </w:rPr>
            </w:pPr>
            <w:r>
              <w:rPr>
                <w:color w:val="000000"/>
              </w:rPr>
              <w:t xml:space="preserve">-  Eiropas Komisijas </w:t>
            </w:r>
            <w:r w:rsidRPr="006870F9">
              <w:rPr>
                <w:color w:val="000000"/>
              </w:rPr>
              <w:t>2006.gada 15.decembr</w:t>
            </w:r>
            <w:r>
              <w:rPr>
                <w:color w:val="000000"/>
              </w:rPr>
              <w:t>a</w:t>
            </w:r>
            <w:r w:rsidRPr="006870F9">
              <w:rPr>
                <w:color w:val="000000"/>
              </w:rPr>
              <w:t xml:space="preserve"> </w:t>
            </w:r>
            <w:r>
              <w:rPr>
                <w:color w:val="000000"/>
              </w:rPr>
              <w:t xml:space="preserve">Regula </w:t>
            </w:r>
            <w:r w:rsidRPr="006870F9">
              <w:rPr>
                <w:color w:val="000000"/>
              </w:rPr>
              <w:t>Nr.1998/2006</w:t>
            </w:r>
            <w:r>
              <w:rPr>
                <w:color w:val="000000"/>
              </w:rPr>
              <w:t xml:space="preserve"> </w:t>
            </w:r>
            <w:r w:rsidRPr="006870F9">
              <w:rPr>
                <w:color w:val="000000"/>
              </w:rPr>
              <w:t xml:space="preserve">par Līguma 87. un 88. panta piemērošanu </w:t>
            </w:r>
            <w:proofErr w:type="spellStart"/>
            <w:r w:rsidRPr="008235A1">
              <w:rPr>
                <w:i/>
                <w:color w:val="000000"/>
              </w:rPr>
              <w:t>de</w:t>
            </w:r>
            <w:proofErr w:type="spellEnd"/>
            <w:r w:rsidRPr="008235A1">
              <w:rPr>
                <w:i/>
                <w:color w:val="000000"/>
              </w:rPr>
              <w:t xml:space="preserve"> </w:t>
            </w:r>
            <w:proofErr w:type="spellStart"/>
            <w:r w:rsidRPr="008235A1">
              <w:rPr>
                <w:i/>
                <w:color w:val="000000"/>
              </w:rPr>
              <w:t>minimis</w:t>
            </w:r>
            <w:proofErr w:type="spellEnd"/>
            <w:r w:rsidRPr="006870F9">
              <w:rPr>
                <w:color w:val="000000"/>
              </w:rPr>
              <w:t xml:space="preserve"> atbalstam</w:t>
            </w:r>
            <w:r w:rsidR="00420F5D">
              <w:rPr>
                <w:color w:val="000000"/>
              </w:rPr>
              <w:t xml:space="preserve"> (turpmāk – Regula Nr.1998/2006)</w:t>
            </w:r>
            <w:r>
              <w:rPr>
                <w:color w:val="000000"/>
              </w:rPr>
              <w:t>;</w:t>
            </w:r>
          </w:p>
          <w:p w:rsidR="006870F9" w:rsidRDefault="006870F9" w:rsidP="00420F5D">
            <w:pPr>
              <w:pStyle w:val="naiskr"/>
              <w:tabs>
                <w:tab w:val="left" w:pos="2628"/>
              </w:tabs>
              <w:spacing w:before="0" w:after="0"/>
              <w:jc w:val="both"/>
              <w:rPr>
                <w:color w:val="000000"/>
              </w:rPr>
            </w:pPr>
            <w:r>
              <w:rPr>
                <w:color w:val="000000"/>
              </w:rPr>
              <w:t xml:space="preserve">- Eiropas Komisijas 2013.gada 18.decembra Regula </w:t>
            </w:r>
            <w:r w:rsidRPr="006870F9">
              <w:rPr>
                <w:color w:val="000000"/>
              </w:rPr>
              <w:t>Nr.1407/2013</w:t>
            </w:r>
            <w:r>
              <w:rPr>
                <w:color w:val="000000"/>
              </w:rPr>
              <w:t xml:space="preserve"> </w:t>
            </w:r>
            <w:r w:rsidRPr="006870F9">
              <w:rPr>
                <w:color w:val="000000"/>
              </w:rPr>
              <w:t xml:space="preserve">par Līguma par Eiropas Savienības darbību 107. un 108. panta piemērošanu </w:t>
            </w:r>
            <w:r w:rsidR="0049347A">
              <w:rPr>
                <w:color w:val="000000"/>
              </w:rPr>
              <w:br/>
            </w:r>
            <w:proofErr w:type="spellStart"/>
            <w:r w:rsidRPr="008235A1">
              <w:rPr>
                <w:i/>
                <w:color w:val="000000"/>
              </w:rPr>
              <w:t>de</w:t>
            </w:r>
            <w:proofErr w:type="spellEnd"/>
            <w:r w:rsidRPr="008235A1">
              <w:rPr>
                <w:i/>
                <w:color w:val="000000"/>
              </w:rPr>
              <w:t xml:space="preserve"> </w:t>
            </w:r>
            <w:proofErr w:type="spellStart"/>
            <w:r w:rsidRPr="008235A1">
              <w:rPr>
                <w:i/>
                <w:color w:val="000000"/>
              </w:rPr>
              <w:t>minimis</w:t>
            </w:r>
            <w:proofErr w:type="spellEnd"/>
            <w:r w:rsidRPr="006870F9">
              <w:rPr>
                <w:color w:val="000000"/>
              </w:rPr>
              <w:t xml:space="preserve"> atbalstam</w:t>
            </w:r>
            <w:r w:rsidR="00420F5D">
              <w:rPr>
                <w:color w:val="000000"/>
              </w:rPr>
              <w:t xml:space="preserve"> (turpmāk – Regula Nr.1407/2013)</w:t>
            </w:r>
            <w:r>
              <w:rPr>
                <w:color w:val="000000"/>
              </w:rPr>
              <w:t xml:space="preserve">. </w:t>
            </w:r>
          </w:p>
          <w:p w:rsidR="00BD726E" w:rsidRPr="00B3134B" w:rsidRDefault="00BD726E" w:rsidP="00420F5D">
            <w:pPr>
              <w:pStyle w:val="naiskr"/>
              <w:tabs>
                <w:tab w:val="left" w:pos="2628"/>
              </w:tabs>
              <w:spacing w:before="0" w:after="0"/>
              <w:jc w:val="both"/>
              <w:rPr>
                <w:color w:val="000000"/>
              </w:rPr>
            </w:pPr>
          </w:p>
        </w:tc>
      </w:tr>
      <w:tr w:rsidR="00A02406" w:rsidRPr="00C115AD" w:rsidTr="009D41A6">
        <w:tc>
          <w:tcPr>
            <w:tcW w:w="2245" w:type="dxa"/>
            <w:gridSpan w:val="2"/>
            <w:shd w:val="clear" w:color="auto" w:fill="auto"/>
          </w:tcPr>
          <w:p w:rsidR="00A02406" w:rsidRPr="00C115AD" w:rsidRDefault="00A02406" w:rsidP="004E7E27">
            <w:pPr>
              <w:jc w:val="center"/>
            </w:pPr>
            <w:r w:rsidRPr="00C115AD">
              <w:lastRenderedPageBreak/>
              <w:t>A</w:t>
            </w:r>
          </w:p>
        </w:tc>
        <w:tc>
          <w:tcPr>
            <w:tcW w:w="2015" w:type="dxa"/>
            <w:gridSpan w:val="2"/>
            <w:shd w:val="clear" w:color="auto" w:fill="auto"/>
          </w:tcPr>
          <w:p w:rsidR="00A02406" w:rsidRPr="00C115AD" w:rsidRDefault="00A02406" w:rsidP="004E7E27">
            <w:pPr>
              <w:jc w:val="center"/>
            </w:pPr>
            <w:r w:rsidRPr="00C115AD">
              <w:t>B</w:t>
            </w:r>
          </w:p>
        </w:tc>
        <w:tc>
          <w:tcPr>
            <w:tcW w:w="2611" w:type="dxa"/>
            <w:shd w:val="clear" w:color="auto" w:fill="auto"/>
          </w:tcPr>
          <w:p w:rsidR="00A02406" w:rsidRPr="00C115AD" w:rsidRDefault="00A02406" w:rsidP="004E7E27">
            <w:pPr>
              <w:jc w:val="center"/>
            </w:pPr>
            <w:r w:rsidRPr="00C115AD">
              <w:t>C</w:t>
            </w:r>
          </w:p>
        </w:tc>
        <w:tc>
          <w:tcPr>
            <w:tcW w:w="3023" w:type="dxa"/>
            <w:shd w:val="clear" w:color="auto" w:fill="auto"/>
          </w:tcPr>
          <w:p w:rsidR="00A02406" w:rsidRPr="00C115AD" w:rsidRDefault="00A02406" w:rsidP="004E7E27">
            <w:pPr>
              <w:jc w:val="center"/>
            </w:pPr>
            <w:r w:rsidRPr="00C115AD">
              <w:t>D</w:t>
            </w:r>
          </w:p>
        </w:tc>
      </w:tr>
      <w:tr w:rsidR="00A02406" w:rsidRPr="00C115AD" w:rsidTr="009D41A6">
        <w:tc>
          <w:tcPr>
            <w:tcW w:w="2245" w:type="dxa"/>
            <w:gridSpan w:val="2"/>
            <w:shd w:val="clear" w:color="auto" w:fill="auto"/>
          </w:tcPr>
          <w:p w:rsidR="00A02406" w:rsidRPr="00C115AD" w:rsidRDefault="00A02406" w:rsidP="004E7E27">
            <w:r w:rsidRPr="00C115AD">
              <w:t xml:space="preserve">Attiecīgā ES tiesību akta panta numurs (uzskaitot katru tiesību akta </w:t>
            </w:r>
            <w:r w:rsidRPr="00C115AD">
              <w:br/>
              <w:t>vienību – pantu, daļu, punktu, apakšpunktu)</w:t>
            </w:r>
          </w:p>
        </w:tc>
        <w:tc>
          <w:tcPr>
            <w:tcW w:w="2015" w:type="dxa"/>
            <w:gridSpan w:val="2"/>
            <w:shd w:val="clear" w:color="auto" w:fill="auto"/>
          </w:tcPr>
          <w:p w:rsidR="00A02406" w:rsidRPr="00C115AD" w:rsidRDefault="00A02406" w:rsidP="004E7E27">
            <w:r w:rsidRPr="00C115AD">
              <w:t>Projekta vienība, kas pārņem vai ievieš katru šīs tabulas A ailē minēto ES tiesību akta vienību, vai tiesību akts, kur attiecīgā ES tiesību akta vienība pārņemta vai ieviesta</w:t>
            </w:r>
          </w:p>
        </w:tc>
        <w:tc>
          <w:tcPr>
            <w:tcW w:w="2611" w:type="dxa"/>
            <w:shd w:val="clear" w:color="auto" w:fill="auto"/>
          </w:tcPr>
          <w:p w:rsidR="00A02406" w:rsidRPr="00C115AD" w:rsidRDefault="00A02406" w:rsidP="004E7E27">
            <w:pPr>
              <w:pStyle w:val="naiskr"/>
              <w:spacing w:before="0" w:after="0"/>
            </w:pPr>
            <w:r w:rsidRPr="00C115AD">
              <w:t>Informācija par to, vai šīs tabulas A ailē minētās ES tiesību akta vienības tiek pārņemtas vai ieviestas pilnībā vai daļēji.</w:t>
            </w:r>
          </w:p>
          <w:p w:rsidR="00A02406" w:rsidRPr="00C115AD" w:rsidRDefault="00A02406" w:rsidP="004E7E27">
            <w:pPr>
              <w:pStyle w:val="naiskr"/>
              <w:spacing w:before="0" w:after="0"/>
            </w:pPr>
            <w:r w:rsidRPr="00C115AD">
              <w:t>Ja attiecīgā ES tiesību akta vienība tiek pārņemta vai ieviesta daļēji, – sniedz attiecīgu skaidrojumu, kā arī precīzi norāda, kad un kādā veidā ES tiesību akta vienība tiks pārņemta vai ieviesta pilnībā.</w:t>
            </w:r>
          </w:p>
          <w:p w:rsidR="00A02406" w:rsidRPr="00C115AD" w:rsidRDefault="00A02406" w:rsidP="004E7E27">
            <w:r w:rsidRPr="00C115AD">
              <w:t>Norāda institūciju, kas ir atbildīga par šo saistību izpildi pilnībā</w:t>
            </w:r>
          </w:p>
        </w:tc>
        <w:tc>
          <w:tcPr>
            <w:tcW w:w="3023" w:type="dxa"/>
            <w:shd w:val="clear" w:color="auto" w:fill="auto"/>
          </w:tcPr>
          <w:p w:rsidR="00A02406" w:rsidRPr="00C115AD" w:rsidRDefault="00A02406" w:rsidP="004E7E27">
            <w:pPr>
              <w:pStyle w:val="naiskr"/>
              <w:spacing w:before="0" w:after="0"/>
            </w:pPr>
            <w:r w:rsidRPr="00C115AD">
              <w:t>Informācija par to, vai šīs tabulas B ailē minētās projekta vienības paredz stingrākas prasības nekā šīs tabulas A ailē minētās ES tiesību akta vienības.</w:t>
            </w:r>
          </w:p>
          <w:p w:rsidR="00A02406" w:rsidRPr="00C115AD" w:rsidRDefault="00A02406" w:rsidP="004E7E27">
            <w:pPr>
              <w:pStyle w:val="naiskr"/>
              <w:spacing w:before="0" w:after="0"/>
            </w:pPr>
            <w:r w:rsidRPr="00C115AD">
              <w:t xml:space="preserve">Ja projekts satur stingrākas prasības nekā attiecīgais ES tiesību </w:t>
            </w:r>
            <w:smartTag w:uri="schemas-tilde-lv/tildestengine" w:element="veidnes">
              <w:smartTagPr>
                <w:attr w:name="text" w:val="akts"/>
                <w:attr w:name="baseform" w:val="akts"/>
                <w:attr w:name="id" w:val="-1"/>
              </w:smartTagPr>
              <w:r w:rsidRPr="00C115AD">
                <w:t>akts</w:t>
              </w:r>
            </w:smartTag>
            <w:r w:rsidRPr="00C115AD">
              <w:t>, – norāda pamatojumu un samērīgumu.</w:t>
            </w:r>
          </w:p>
          <w:p w:rsidR="00A02406" w:rsidRPr="00C115AD" w:rsidRDefault="00A02406" w:rsidP="004E7E27">
            <w:r w:rsidRPr="00C115AD">
              <w:t>Norāda iespējamās alternatīvas (t.sk. alternatīvas, kas neparedz tiesiskā regulējuma izstrādi) – kādos gadījumos būtu iespējams izvairīties no stingrāku prasību noteikšanas, nekā paredzēts attiecīgajos ES tiesību aktos</w:t>
            </w:r>
          </w:p>
        </w:tc>
      </w:tr>
      <w:tr w:rsidR="00144C7E" w:rsidRPr="00C115AD" w:rsidTr="009D41A6">
        <w:tc>
          <w:tcPr>
            <w:tcW w:w="2245" w:type="dxa"/>
            <w:gridSpan w:val="2"/>
            <w:shd w:val="clear" w:color="auto" w:fill="auto"/>
          </w:tcPr>
          <w:p w:rsidR="00144C7E" w:rsidRPr="00C211E3" w:rsidRDefault="00144C7E" w:rsidP="00144C7E">
            <w:r w:rsidRPr="00C211E3">
              <w:rPr>
                <w:color w:val="000000"/>
              </w:rPr>
              <w:t>Regula Nr.1407/2013 3.panta 2.punkts</w:t>
            </w:r>
          </w:p>
        </w:tc>
        <w:tc>
          <w:tcPr>
            <w:tcW w:w="2015" w:type="dxa"/>
            <w:gridSpan w:val="2"/>
            <w:shd w:val="clear" w:color="auto" w:fill="auto"/>
          </w:tcPr>
          <w:p w:rsidR="00144C7E" w:rsidRPr="00C211E3" w:rsidRDefault="00144C7E" w:rsidP="00144C7E">
            <w:r w:rsidRPr="00C211E3">
              <w:t>Likumprojekta 1.panta otrās daļas 2.punkts</w:t>
            </w:r>
          </w:p>
        </w:tc>
        <w:tc>
          <w:tcPr>
            <w:tcW w:w="2611" w:type="dxa"/>
            <w:shd w:val="clear" w:color="auto" w:fill="auto"/>
          </w:tcPr>
          <w:p w:rsidR="00144C7E" w:rsidRDefault="00144C7E" w:rsidP="00144C7E">
            <w:pPr>
              <w:ind w:left="57"/>
              <w:rPr>
                <w:iCs/>
              </w:rPr>
            </w:pPr>
            <w:r w:rsidRPr="007614CA">
              <w:rPr>
                <w:iCs/>
              </w:rPr>
              <w:t xml:space="preserve">Tiesību norma </w:t>
            </w:r>
            <w:r w:rsidR="00E70E09">
              <w:rPr>
                <w:iCs/>
              </w:rPr>
              <w:t>ieviesta</w:t>
            </w:r>
            <w:r w:rsidR="00E70E09" w:rsidRPr="007614CA">
              <w:rPr>
                <w:iCs/>
              </w:rPr>
              <w:t xml:space="preserve"> </w:t>
            </w:r>
            <w:r w:rsidRPr="007614CA">
              <w:rPr>
                <w:iCs/>
              </w:rPr>
              <w:t>pilnībā.</w:t>
            </w:r>
          </w:p>
          <w:p w:rsidR="00144C7E" w:rsidRPr="00C115AD" w:rsidRDefault="00144C7E" w:rsidP="00144C7E">
            <w:pPr>
              <w:jc w:val="center"/>
              <w:rPr>
                <w:iCs/>
              </w:rPr>
            </w:pPr>
          </w:p>
        </w:tc>
        <w:tc>
          <w:tcPr>
            <w:tcW w:w="3023" w:type="dxa"/>
            <w:shd w:val="clear" w:color="auto" w:fill="auto"/>
          </w:tcPr>
          <w:p w:rsidR="00144C7E" w:rsidRPr="00C115AD" w:rsidRDefault="00144C7E" w:rsidP="00144C7E">
            <w:pPr>
              <w:jc w:val="center"/>
              <w:rPr>
                <w:iCs/>
              </w:rPr>
            </w:pPr>
            <w:r>
              <w:rPr>
                <w:spacing w:val="-2"/>
              </w:rPr>
              <w:t>Stingrākas prasības netiek  piemērotas.</w:t>
            </w:r>
          </w:p>
        </w:tc>
      </w:tr>
      <w:tr w:rsidR="00144C7E" w:rsidRPr="00C115AD" w:rsidTr="009D41A6">
        <w:tc>
          <w:tcPr>
            <w:tcW w:w="2245" w:type="dxa"/>
            <w:gridSpan w:val="2"/>
            <w:shd w:val="clear" w:color="auto" w:fill="auto"/>
          </w:tcPr>
          <w:p w:rsidR="00144C7E" w:rsidRPr="00C211E3" w:rsidRDefault="00144C7E" w:rsidP="00DF64F5">
            <w:r w:rsidRPr="00C211E3">
              <w:t>Direktīvas Nr.2006/111/EK 2.panta f) apakšpunkts</w:t>
            </w:r>
          </w:p>
        </w:tc>
        <w:tc>
          <w:tcPr>
            <w:tcW w:w="2015" w:type="dxa"/>
            <w:gridSpan w:val="2"/>
            <w:shd w:val="clear" w:color="auto" w:fill="auto"/>
          </w:tcPr>
          <w:p w:rsidR="00144C7E" w:rsidRPr="00C211E3" w:rsidRDefault="00144C7E" w:rsidP="00144C7E">
            <w:r w:rsidRPr="00C211E3">
              <w:t>Likumprojekta 1.panta otrās daļas 3.punkts</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C115AD" w:rsidRDefault="00144C7E" w:rsidP="00144C7E">
            <w:pPr>
              <w:jc w:val="center"/>
              <w:rPr>
                <w:iCs/>
              </w:rPr>
            </w:pPr>
            <w:r>
              <w:rPr>
                <w:spacing w:val="-2"/>
              </w:rPr>
              <w:t>Stingrākas prasības netiek  piemērotas.</w:t>
            </w:r>
          </w:p>
        </w:tc>
      </w:tr>
      <w:tr w:rsidR="00144C7E" w:rsidRPr="00C115AD" w:rsidTr="009D41A6">
        <w:tc>
          <w:tcPr>
            <w:tcW w:w="2245" w:type="dxa"/>
            <w:gridSpan w:val="2"/>
            <w:shd w:val="clear" w:color="auto" w:fill="auto"/>
          </w:tcPr>
          <w:p w:rsidR="00144C7E" w:rsidRPr="00C211E3" w:rsidRDefault="00144C7E" w:rsidP="00DF64F5">
            <w:r w:rsidRPr="00C211E3">
              <w:t>Direktīvas Nr.2006/111/EK 2.panta g) apakšpunkts</w:t>
            </w:r>
          </w:p>
        </w:tc>
        <w:tc>
          <w:tcPr>
            <w:tcW w:w="2015" w:type="dxa"/>
            <w:gridSpan w:val="2"/>
            <w:shd w:val="clear" w:color="auto" w:fill="auto"/>
          </w:tcPr>
          <w:p w:rsidR="00144C7E" w:rsidRPr="00C211E3" w:rsidRDefault="00144C7E" w:rsidP="00144C7E">
            <w:r w:rsidRPr="00C211E3">
              <w:t>Likumprojekta 1.panta otrās daļas 4.punkts</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C115AD" w:rsidRDefault="00144C7E" w:rsidP="00144C7E">
            <w:pPr>
              <w:jc w:val="center"/>
              <w:rPr>
                <w:iCs/>
              </w:rPr>
            </w:pPr>
            <w:r>
              <w:rPr>
                <w:spacing w:val="-2"/>
              </w:rPr>
              <w:t>Stingrākas prasības netiek  piemērotas.</w:t>
            </w:r>
          </w:p>
        </w:tc>
      </w:tr>
      <w:tr w:rsidR="00144C7E" w:rsidRPr="00C115AD" w:rsidTr="009D41A6">
        <w:tc>
          <w:tcPr>
            <w:tcW w:w="2245" w:type="dxa"/>
            <w:gridSpan w:val="2"/>
            <w:shd w:val="clear" w:color="auto" w:fill="auto"/>
          </w:tcPr>
          <w:p w:rsidR="00144C7E" w:rsidRPr="00C211E3" w:rsidRDefault="00144C7E" w:rsidP="00144C7E">
            <w:r w:rsidRPr="00C211E3">
              <w:rPr>
                <w:color w:val="000000"/>
              </w:rPr>
              <w:t>Regulas Nr.994/1998 3.panta 2.punkts</w:t>
            </w:r>
          </w:p>
        </w:tc>
        <w:tc>
          <w:tcPr>
            <w:tcW w:w="2015" w:type="dxa"/>
            <w:gridSpan w:val="2"/>
            <w:shd w:val="clear" w:color="auto" w:fill="auto"/>
          </w:tcPr>
          <w:p w:rsidR="00144C7E" w:rsidRPr="00C211E3" w:rsidRDefault="00144C7E" w:rsidP="00144C7E">
            <w:r w:rsidRPr="00C211E3">
              <w:t>Likumprojekta 10.pants</w:t>
            </w:r>
          </w:p>
        </w:tc>
        <w:tc>
          <w:tcPr>
            <w:tcW w:w="2611" w:type="dxa"/>
            <w:shd w:val="clear" w:color="auto" w:fill="auto"/>
          </w:tcPr>
          <w:p w:rsidR="00144C7E" w:rsidRDefault="00144C7E" w:rsidP="00144C7E">
            <w:pPr>
              <w:ind w:left="57"/>
              <w:rPr>
                <w:iCs/>
              </w:rPr>
            </w:pPr>
            <w:r w:rsidRPr="007614CA">
              <w:rPr>
                <w:iCs/>
              </w:rPr>
              <w:t xml:space="preserve">Tiesību norma </w:t>
            </w:r>
            <w:r w:rsidR="00E70E09">
              <w:rPr>
                <w:iCs/>
              </w:rPr>
              <w:t>ieviesta</w:t>
            </w:r>
            <w:r w:rsidR="00E70E09" w:rsidRPr="007614CA">
              <w:rPr>
                <w:iCs/>
              </w:rPr>
              <w:t xml:space="preserve"> </w:t>
            </w:r>
            <w:r w:rsidRPr="007614CA">
              <w:rPr>
                <w:iCs/>
              </w:rPr>
              <w:t>pilnībā.</w:t>
            </w:r>
          </w:p>
          <w:p w:rsidR="00144C7E" w:rsidRPr="00C115AD" w:rsidRDefault="00144C7E" w:rsidP="00144C7E">
            <w:pPr>
              <w:jc w:val="center"/>
              <w:rPr>
                <w:iCs/>
              </w:rPr>
            </w:pPr>
          </w:p>
        </w:tc>
        <w:tc>
          <w:tcPr>
            <w:tcW w:w="3023" w:type="dxa"/>
            <w:shd w:val="clear" w:color="auto" w:fill="auto"/>
          </w:tcPr>
          <w:p w:rsidR="00144C7E" w:rsidRPr="00C115AD" w:rsidRDefault="00144C7E" w:rsidP="00144C7E">
            <w:pPr>
              <w:jc w:val="center"/>
              <w:rPr>
                <w:iCs/>
              </w:rPr>
            </w:pPr>
            <w:r>
              <w:rPr>
                <w:spacing w:val="-2"/>
              </w:rPr>
              <w:t>Stingrākas prasības netiek  piemērotas.</w:t>
            </w:r>
          </w:p>
        </w:tc>
      </w:tr>
      <w:tr w:rsidR="00144C7E" w:rsidRPr="00C115AD" w:rsidTr="009D41A6">
        <w:tc>
          <w:tcPr>
            <w:tcW w:w="2245" w:type="dxa"/>
            <w:gridSpan w:val="2"/>
            <w:shd w:val="clear" w:color="auto" w:fill="auto"/>
          </w:tcPr>
          <w:p w:rsidR="00144C7E" w:rsidRPr="00C211E3" w:rsidRDefault="00144C7E" w:rsidP="00144C7E">
            <w:pPr>
              <w:rPr>
                <w:color w:val="000000"/>
              </w:rPr>
            </w:pPr>
            <w:r w:rsidRPr="00C211E3">
              <w:rPr>
                <w:color w:val="000000"/>
              </w:rPr>
              <w:lastRenderedPageBreak/>
              <w:t>Regulas Nr.659/1999 2.pants</w:t>
            </w:r>
          </w:p>
        </w:tc>
        <w:tc>
          <w:tcPr>
            <w:tcW w:w="2015" w:type="dxa"/>
            <w:gridSpan w:val="2"/>
            <w:shd w:val="clear" w:color="auto" w:fill="auto"/>
          </w:tcPr>
          <w:p w:rsidR="00144C7E" w:rsidRPr="00C211E3" w:rsidRDefault="00144C7E" w:rsidP="00144C7E">
            <w:r w:rsidRPr="00C211E3">
              <w:t>Likumprojekta 10.pants</w:t>
            </w:r>
          </w:p>
        </w:tc>
        <w:tc>
          <w:tcPr>
            <w:tcW w:w="2611" w:type="dxa"/>
            <w:shd w:val="clear" w:color="auto" w:fill="auto"/>
          </w:tcPr>
          <w:p w:rsidR="00144C7E" w:rsidRDefault="00144C7E" w:rsidP="00144C7E">
            <w:pPr>
              <w:ind w:left="57"/>
              <w:rPr>
                <w:iCs/>
              </w:rPr>
            </w:pPr>
            <w:r w:rsidRPr="007614CA">
              <w:rPr>
                <w:iCs/>
              </w:rPr>
              <w:t xml:space="preserve">Tiesību norma </w:t>
            </w:r>
            <w:r w:rsidR="00E70E09">
              <w:rPr>
                <w:iCs/>
              </w:rPr>
              <w:t>ieviesta</w:t>
            </w:r>
            <w:r w:rsidR="00E70E09" w:rsidRPr="007614CA">
              <w:rPr>
                <w:iCs/>
              </w:rPr>
              <w:t xml:space="preserve"> </w:t>
            </w:r>
            <w:r w:rsidRPr="007614CA">
              <w:rPr>
                <w:iCs/>
              </w:rPr>
              <w:t>pilnībā.</w:t>
            </w:r>
          </w:p>
          <w:p w:rsidR="00144C7E" w:rsidRPr="00C115AD" w:rsidRDefault="00144C7E" w:rsidP="00144C7E">
            <w:pPr>
              <w:jc w:val="center"/>
              <w:rPr>
                <w:iCs/>
              </w:rPr>
            </w:pPr>
          </w:p>
        </w:tc>
        <w:tc>
          <w:tcPr>
            <w:tcW w:w="3023" w:type="dxa"/>
            <w:shd w:val="clear" w:color="auto" w:fill="auto"/>
          </w:tcPr>
          <w:p w:rsidR="00144C7E" w:rsidRPr="00C115AD" w:rsidRDefault="00144C7E" w:rsidP="00144C7E">
            <w:pPr>
              <w:jc w:val="center"/>
              <w:rPr>
                <w:iCs/>
              </w:rPr>
            </w:pPr>
            <w:r>
              <w:rPr>
                <w:spacing w:val="-2"/>
              </w:rPr>
              <w:t>Stingrākas prasības netiek  piemērotas.</w:t>
            </w:r>
          </w:p>
        </w:tc>
      </w:tr>
      <w:tr w:rsidR="00144C7E" w:rsidRPr="0077463D" w:rsidTr="009D41A6">
        <w:tc>
          <w:tcPr>
            <w:tcW w:w="2245" w:type="dxa"/>
            <w:gridSpan w:val="2"/>
            <w:shd w:val="clear" w:color="auto" w:fill="auto"/>
          </w:tcPr>
          <w:p w:rsidR="00144C7E" w:rsidRPr="006C7182" w:rsidRDefault="00144C7E" w:rsidP="00DF64F5">
            <w:r w:rsidRPr="006C7182">
              <w:t>Direktīvas Nr.2006/111/EK 2.panta b) apakšpunkts</w:t>
            </w:r>
          </w:p>
        </w:tc>
        <w:tc>
          <w:tcPr>
            <w:tcW w:w="2015" w:type="dxa"/>
            <w:gridSpan w:val="2"/>
            <w:shd w:val="clear" w:color="auto" w:fill="auto"/>
          </w:tcPr>
          <w:p w:rsidR="00144C7E" w:rsidRPr="006C7182" w:rsidRDefault="00144C7E" w:rsidP="00144C7E">
            <w:r w:rsidRPr="006C7182">
              <w:t>Likumprojekta 13.panta pirmā daļa</w:t>
            </w:r>
          </w:p>
        </w:tc>
        <w:tc>
          <w:tcPr>
            <w:tcW w:w="2611" w:type="dxa"/>
            <w:shd w:val="clear" w:color="auto" w:fill="auto"/>
          </w:tcPr>
          <w:p w:rsidR="00144C7E" w:rsidRPr="006C7182" w:rsidRDefault="00144C7E" w:rsidP="00144C7E">
            <w:pPr>
              <w:ind w:left="57"/>
              <w:rPr>
                <w:iCs/>
              </w:rPr>
            </w:pPr>
            <w:r w:rsidRPr="006C7182">
              <w:rPr>
                <w:iCs/>
              </w:rPr>
              <w:t>Tiesību norma pārņemta pilnībā.</w:t>
            </w:r>
          </w:p>
          <w:p w:rsidR="00144C7E" w:rsidRPr="006C7182" w:rsidRDefault="00144C7E" w:rsidP="00144C7E">
            <w:pPr>
              <w:jc w:val="center"/>
              <w:rPr>
                <w:iCs/>
              </w:rPr>
            </w:pPr>
          </w:p>
        </w:tc>
        <w:tc>
          <w:tcPr>
            <w:tcW w:w="3023" w:type="dxa"/>
            <w:shd w:val="clear" w:color="auto" w:fill="auto"/>
          </w:tcPr>
          <w:p w:rsidR="00144C7E" w:rsidRPr="006C7182" w:rsidRDefault="00144C7E" w:rsidP="00144C7E">
            <w:pPr>
              <w:jc w:val="center"/>
              <w:rPr>
                <w:iCs/>
              </w:rPr>
            </w:pPr>
            <w:r w:rsidRPr="006C7182">
              <w:rPr>
                <w:spacing w:val="-2"/>
              </w:rPr>
              <w:t>Stingrākas prasības netiek  piemērotas.</w:t>
            </w:r>
          </w:p>
        </w:tc>
      </w:tr>
      <w:tr w:rsidR="00144C7E" w:rsidRPr="0077463D" w:rsidTr="009D41A6">
        <w:tc>
          <w:tcPr>
            <w:tcW w:w="2245" w:type="dxa"/>
            <w:gridSpan w:val="2"/>
            <w:shd w:val="clear" w:color="auto" w:fill="auto"/>
          </w:tcPr>
          <w:p w:rsidR="00144C7E" w:rsidRPr="006C7182" w:rsidRDefault="00144C7E" w:rsidP="00DF64F5">
            <w:r w:rsidRPr="006C7182">
              <w:t>Direktīvas Nr.2006/111/EK 8.panta 4. un 6.punkts</w:t>
            </w:r>
          </w:p>
        </w:tc>
        <w:tc>
          <w:tcPr>
            <w:tcW w:w="2015" w:type="dxa"/>
            <w:gridSpan w:val="2"/>
            <w:shd w:val="clear" w:color="auto" w:fill="auto"/>
          </w:tcPr>
          <w:p w:rsidR="00144C7E" w:rsidRPr="006C7182" w:rsidRDefault="00144C7E" w:rsidP="005D036F">
            <w:r w:rsidRPr="006C7182">
              <w:t xml:space="preserve">Likumprojekta </w:t>
            </w:r>
            <w:r w:rsidR="005D036F" w:rsidRPr="006C7182">
              <w:t>15</w:t>
            </w:r>
            <w:r w:rsidRPr="006C7182">
              <w:t xml:space="preserve">.panta </w:t>
            </w:r>
            <w:r w:rsidR="005D036F" w:rsidRPr="006C7182">
              <w:t>trešā daļa</w:t>
            </w:r>
          </w:p>
        </w:tc>
        <w:tc>
          <w:tcPr>
            <w:tcW w:w="2611" w:type="dxa"/>
            <w:shd w:val="clear" w:color="auto" w:fill="auto"/>
          </w:tcPr>
          <w:p w:rsidR="00144C7E" w:rsidRPr="006C7182" w:rsidRDefault="00144C7E" w:rsidP="00144C7E">
            <w:pPr>
              <w:ind w:left="57"/>
              <w:rPr>
                <w:iCs/>
              </w:rPr>
            </w:pPr>
            <w:r w:rsidRPr="006C7182">
              <w:rPr>
                <w:iCs/>
              </w:rPr>
              <w:t>Tiesību norma pārņemta pilnībā.</w:t>
            </w:r>
          </w:p>
          <w:p w:rsidR="00144C7E" w:rsidRPr="006C7182" w:rsidRDefault="00144C7E" w:rsidP="00144C7E">
            <w:pPr>
              <w:jc w:val="center"/>
              <w:rPr>
                <w:iCs/>
              </w:rPr>
            </w:pPr>
          </w:p>
        </w:tc>
        <w:tc>
          <w:tcPr>
            <w:tcW w:w="3023" w:type="dxa"/>
            <w:shd w:val="clear" w:color="auto" w:fill="auto"/>
          </w:tcPr>
          <w:p w:rsidR="00144C7E" w:rsidRPr="006C7182" w:rsidRDefault="00144C7E" w:rsidP="00144C7E">
            <w:pPr>
              <w:jc w:val="center"/>
              <w:rPr>
                <w:iCs/>
              </w:rPr>
            </w:pPr>
            <w:r w:rsidRPr="006C7182">
              <w:rPr>
                <w:spacing w:val="-2"/>
              </w:rPr>
              <w:t>Stingrākas prasības netiek  piemērotas.</w:t>
            </w:r>
          </w:p>
        </w:tc>
      </w:tr>
      <w:tr w:rsidR="00144C7E" w:rsidRPr="0077463D" w:rsidTr="009D41A6">
        <w:tc>
          <w:tcPr>
            <w:tcW w:w="2245" w:type="dxa"/>
            <w:gridSpan w:val="2"/>
            <w:shd w:val="clear" w:color="auto" w:fill="auto"/>
          </w:tcPr>
          <w:p w:rsidR="00144C7E" w:rsidRPr="0097312D" w:rsidRDefault="00144C7E" w:rsidP="00DF64F5">
            <w:r w:rsidRPr="0097312D">
              <w:t>Direktīvas Nr.2006/111/EK 2.panta d) apakšpunkts</w:t>
            </w:r>
          </w:p>
        </w:tc>
        <w:tc>
          <w:tcPr>
            <w:tcW w:w="2015" w:type="dxa"/>
            <w:gridSpan w:val="2"/>
            <w:shd w:val="clear" w:color="auto" w:fill="auto"/>
          </w:tcPr>
          <w:p w:rsidR="00144C7E" w:rsidRPr="0097312D" w:rsidRDefault="00144C7E" w:rsidP="00144C7E">
            <w:r w:rsidRPr="0097312D">
              <w:t>Likumprojekta 14.panta otrā 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97312D" w:rsidRDefault="00144C7E" w:rsidP="00DF64F5">
            <w:r w:rsidRPr="0097312D">
              <w:t>Direktīvas Nr.2006/111/EK 6.pants</w:t>
            </w:r>
          </w:p>
        </w:tc>
        <w:tc>
          <w:tcPr>
            <w:tcW w:w="2015" w:type="dxa"/>
            <w:gridSpan w:val="2"/>
            <w:shd w:val="clear" w:color="auto" w:fill="auto"/>
          </w:tcPr>
          <w:p w:rsidR="00144C7E" w:rsidRPr="0097312D" w:rsidRDefault="00144C7E" w:rsidP="00144C7E">
            <w:r w:rsidRPr="0097312D">
              <w:t>Likumprojekta 14.panta ceturtā 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7A6F1F" w:rsidRPr="0077463D" w:rsidRDefault="00144C7E" w:rsidP="007A6F1F">
            <w:pPr>
              <w:jc w:val="both"/>
              <w:rPr>
                <w:iCs/>
              </w:rPr>
            </w:pPr>
            <w:r w:rsidRPr="0077463D">
              <w:rPr>
                <w:spacing w:val="-2"/>
              </w:rPr>
              <w:t>Stingrākas prasības tiek  piemērotas</w:t>
            </w:r>
            <w:r w:rsidR="007A6F1F">
              <w:rPr>
                <w:spacing w:val="-2"/>
              </w:rPr>
              <w:t xml:space="preserve">, </w:t>
            </w:r>
            <w:r w:rsidR="007A6F1F">
              <w:rPr>
                <w:iCs/>
              </w:rPr>
              <w:t>i</w:t>
            </w:r>
            <w:r w:rsidR="007A6F1F" w:rsidRPr="007A6F1F">
              <w:rPr>
                <w:iCs/>
              </w:rPr>
              <w:t>evērojot Direktīvas 2006/111 6.pantā noteikto piecu gadu termiņu, vienlaikus ir jāņem vērā Eiropas Padomes 1999.gada 22.marta Regulas (EK) Nr.659/1999, ar ko nosaka sīki izstrādātus noteikumus EK līguma 93. panta piemērošanai, 15.pantā noteikto, ka uz Komisijas tiesībām atgūt atbalstu attiecas desmit gadu noilguma</w:t>
            </w:r>
            <w:r w:rsidR="007A6F1F">
              <w:rPr>
                <w:iCs/>
              </w:rPr>
              <w:t xml:space="preserve"> </w:t>
            </w:r>
            <w:r w:rsidR="007A6F1F" w:rsidRPr="007A6F1F">
              <w:rPr>
                <w:iCs/>
              </w:rPr>
              <w:t>periods. Līdz ar to likumprojektā tiek iekļauts desmit gadu noilguma termiņš.</w:t>
            </w:r>
          </w:p>
        </w:tc>
      </w:tr>
      <w:tr w:rsidR="00144C7E" w:rsidRPr="0077463D" w:rsidTr="009D41A6">
        <w:tc>
          <w:tcPr>
            <w:tcW w:w="2245" w:type="dxa"/>
            <w:gridSpan w:val="2"/>
            <w:shd w:val="clear" w:color="auto" w:fill="auto"/>
          </w:tcPr>
          <w:p w:rsidR="00144C7E" w:rsidRPr="0097312D" w:rsidRDefault="00144C7E" w:rsidP="00DF64F5">
            <w:r w:rsidRPr="0097312D">
              <w:t>Direktīvas Nr.2006/111/EK 3.pants</w:t>
            </w:r>
          </w:p>
        </w:tc>
        <w:tc>
          <w:tcPr>
            <w:tcW w:w="2015" w:type="dxa"/>
            <w:gridSpan w:val="2"/>
            <w:shd w:val="clear" w:color="auto" w:fill="auto"/>
          </w:tcPr>
          <w:p w:rsidR="00144C7E" w:rsidRPr="0097312D" w:rsidRDefault="00144C7E" w:rsidP="00144C7E">
            <w:r w:rsidRPr="0097312D">
              <w:t>Likumprojekta 14.panta piektā 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1F6BF8" w:rsidRDefault="00144C7E" w:rsidP="00DF64F5">
            <w:r w:rsidRPr="001F6BF8">
              <w:t>Direktīvas Nr.2006/111/EK 4.panta 1.punkts</w:t>
            </w:r>
          </w:p>
        </w:tc>
        <w:tc>
          <w:tcPr>
            <w:tcW w:w="2015" w:type="dxa"/>
            <w:gridSpan w:val="2"/>
            <w:shd w:val="clear" w:color="auto" w:fill="auto"/>
          </w:tcPr>
          <w:p w:rsidR="00144C7E" w:rsidRPr="001F6BF8" w:rsidRDefault="00144C7E" w:rsidP="00144C7E">
            <w:r w:rsidRPr="001F6BF8">
              <w:t>Likumprojekta 14.panta sestā 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spacing w:val="-2"/>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1F6BF8" w:rsidRDefault="00144C7E" w:rsidP="00DF64F5">
            <w:r w:rsidRPr="001F6BF8">
              <w:t>Direktīvas Nr.2006/111/EK 2.panta c) apakšpunkts</w:t>
            </w:r>
          </w:p>
        </w:tc>
        <w:tc>
          <w:tcPr>
            <w:tcW w:w="2015" w:type="dxa"/>
            <w:gridSpan w:val="2"/>
            <w:shd w:val="clear" w:color="auto" w:fill="auto"/>
          </w:tcPr>
          <w:p w:rsidR="00144C7E" w:rsidRPr="001F6BF8" w:rsidRDefault="00144C7E" w:rsidP="00144C7E">
            <w:r w:rsidRPr="001F6BF8">
              <w:t>Likumprojekta 15.panta pirmā 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spacing w:val="-2"/>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1F6BF8" w:rsidRDefault="00144C7E" w:rsidP="00DF64F5">
            <w:r w:rsidRPr="001F6BF8">
              <w:t xml:space="preserve">Direktīvas Nr.2006/111/EK 8.panta 2. - 4.punkts </w:t>
            </w:r>
          </w:p>
        </w:tc>
        <w:tc>
          <w:tcPr>
            <w:tcW w:w="2015" w:type="dxa"/>
            <w:gridSpan w:val="2"/>
            <w:shd w:val="clear" w:color="auto" w:fill="auto"/>
          </w:tcPr>
          <w:p w:rsidR="00144C7E" w:rsidRPr="001F6BF8" w:rsidRDefault="00144C7E" w:rsidP="00144C7E">
            <w:r w:rsidRPr="001F6BF8">
              <w:t>Li</w:t>
            </w:r>
            <w:r>
              <w:t>kumprojekta 15.panta otrā 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1F6BF8" w:rsidRDefault="00144C7E" w:rsidP="00DF64F5">
            <w:r w:rsidRPr="001F6BF8">
              <w:t>Direktīvas Nr.2006/111/EK 8.panta 5.punkts</w:t>
            </w:r>
          </w:p>
        </w:tc>
        <w:tc>
          <w:tcPr>
            <w:tcW w:w="2015" w:type="dxa"/>
            <w:gridSpan w:val="2"/>
            <w:shd w:val="clear" w:color="auto" w:fill="auto"/>
          </w:tcPr>
          <w:p w:rsidR="00144C7E" w:rsidRPr="001F6BF8" w:rsidRDefault="00144C7E" w:rsidP="00DD47BD">
            <w:r w:rsidRPr="001F6BF8">
              <w:t xml:space="preserve">Likumprojekta 15.panta </w:t>
            </w:r>
            <w:r w:rsidR="00DD47BD">
              <w:t>ceturtā</w:t>
            </w:r>
            <w:r w:rsidR="00DD47BD" w:rsidRPr="001F6BF8">
              <w:t xml:space="preserve"> </w:t>
            </w:r>
            <w:r w:rsidRPr="001F6BF8">
              <w:t>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6E3640" w:rsidRDefault="00144C7E" w:rsidP="00DF64F5">
            <w:r w:rsidRPr="006E3640">
              <w:lastRenderedPageBreak/>
              <w:t>Direktīvas Nr.2006/111 EK 8.panta 4.punkta 1.daļa</w:t>
            </w:r>
          </w:p>
        </w:tc>
        <w:tc>
          <w:tcPr>
            <w:tcW w:w="2015" w:type="dxa"/>
            <w:gridSpan w:val="2"/>
            <w:shd w:val="clear" w:color="auto" w:fill="auto"/>
          </w:tcPr>
          <w:p w:rsidR="00144C7E" w:rsidRPr="006E3640" w:rsidRDefault="00144C7E" w:rsidP="00DD47BD">
            <w:r w:rsidRPr="006E3640">
              <w:t xml:space="preserve">Likumprojekta 15.panta </w:t>
            </w:r>
            <w:r w:rsidR="00DD47BD">
              <w:t>piektās</w:t>
            </w:r>
            <w:r w:rsidR="00DD47BD" w:rsidRPr="006E3640">
              <w:t xml:space="preserve"> </w:t>
            </w:r>
            <w:r w:rsidRPr="006E3640">
              <w:t>daļas 1.punkts</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6E3640" w:rsidRDefault="00144C7E" w:rsidP="00DF64F5">
            <w:r w:rsidRPr="006E3640">
              <w:t>Direktīvas Nr.2006/111 EK 8.panta 2.punkta 2.daļa</w:t>
            </w:r>
          </w:p>
        </w:tc>
        <w:tc>
          <w:tcPr>
            <w:tcW w:w="2015" w:type="dxa"/>
            <w:gridSpan w:val="2"/>
            <w:shd w:val="clear" w:color="auto" w:fill="auto"/>
          </w:tcPr>
          <w:p w:rsidR="00144C7E" w:rsidRPr="006E3640" w:rsidRDefault="00144C7E" w:rsidP="00DD47BD">
            <w:r w:rsidRPr="006E3640">
              <w:t xml:space="preserve">Likumprojekta 15.panta </w:t>
            </w:r>
            <w:r w:rsidR="00DD47BD">
              <w:t>piektās</w:t>
            </w:r>
            <w:r w:rsidR="00DD47BD" w:rsidRPr="006E3640">
              <w:t xml:space="preserve"> </w:t>
            </w:r>
            <w:r w:rsidRPr="006E3640">
              <w:t>daļas 2.punkts</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EA41E3" w:rsidRDefault="00144C7E" w:rsidP="00DF64F5">
            <w:pPr>
              <w:rPr>
                <w:highlight w:val="green"/>
              </w:rPr>
            </w:pPr>
            <w:r w:rsidRPr="006E3640">
              <w:t xml:space="preserve">Direktīvas Nr.2006/111 EK 8.panta 4.punkta </w:t>
            </w:r>
            <w:r>
              <w:t>3</w:t>
            </w:r>
            <w:r w:rsidRPr="006E3640">
              <w:t>.daļa</w:t>
            </w:r>
          </w:p>
        </w:tc>
        <w:tc>
          <w:tcPr>
            <w:tcW w:w="2015" w:type="dxa"/>
            <w:gridSpan w:val="2"/>
            <w:shd w:val="clear" w:color="auto" w:fill="auto"/>
          </w:tcPr>
          <w:p w:rsidR="00144C7E" w:rsidRPr="006E3640" w:rsidRDefault="00144C7E" w:rsidP="00DD47BD">
            <w:r w:rsidRPr="006E3640">
              <w:t xml:space="preserve">Likumprojekta 15.panta </w:t>
            </w:r>
            <w:r w:rsidR="00DD47BD">
              <w:t>sestā</w:t>
            </w:r>
            <w:r w:rsidR="00DD47BD" w:rsidRPr="006E3640">
              <w:t xml:space="preserve"> </w:t>
            </w:r>
            <w:r w:rsidRPr="006E3640">
              <w:t>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144C7E" w:rsidRPr="0077463D" w:rsidTr="009D41A6">
        <w:tc>
          <w:tcPr>
            <w:tcW w:w="2245" w:type="dxa"/>
            <w:gridSpan w:val="2"/>
            <w:shd w:val="clear" w:color="auto" w:fill="auto"/>
          </w:tcPr>
          <w:p w:rsidR="00144C7E" w:rsidRPr="006C39E9" w:rsidRDefault="00144C7E" w:rsidP="00DF64F5">
            <w:r w:rsidRPr="006C39E9">
              <w:t>Direktīvas Nr.2006/111/EK 5.panta 1.punkts</w:t>
            </w:r>
          </w:p>
        </w:tc>
        <w:tc>
          <w:tcPr>
            <w:tcW w:w="2015" w:type="dxa"/>
            <w:gridSpan w:val="2"/>
            <w:shd w:val="clear" w:color="auto" w:fill="auto"/>
          </w:tcPr>
          <w:p w:rsidR="00144C7E" w:rsidRPr="006C39E9" w:rsidRDefault="00144C7E" w:rsidP="00144C7E">
            <w:r w:rsidRPr="006C39E9">
              <w:t>Likumprojekta 16.panta pirmā daļa</w:t>
            </w:r>
          </w:p>
        </w:tc>
        <w:tc>
          <w:tcPr>
            <w:tcW w:w="2611" w:type="dxa"/>
            <w:shd w:val="clear" w:color="auto" w:fill="auto"/>
          </w:tcPr>
          <w:p w:rsidR="00144C7E" w:rsidRDefault="00144C7E" w:rsidP="00144C7E">
            <w:pPr>
              <w:ind w:left="57"/>
              <w:rPr>
                <w:iCs/>
              </w:rPr>
            </w:pPr>
            <w:r w:rsidRPr="007614CA">
              <w:rPr>
                <w:iCs/>
              </w:rPr>
              <w:t xml:space="preserve">Tiesību norma </w:t>
            </w:r>
            <w:r>
              <w:rPr>
                <w:iCs/>
              </w:rPr>
              <w:t>pārņemta</w:t>
            </w:r>
            <w:r w:rsidRPr="007614CA">
              <w:rPr>
                <w:iCs/>
              </w:rPr>
              <w:t xml:space="preserve"> pilnībā.</w:t>
            </w:r>
          </w:p>
          <w:p w:rsidR="00144C7E" w:rsidRPr="00C115AD" w:rsidRDefault="00144C7E" w:rsidP="00144C7E">
            <w:pPr>
              <w:jc w:val="center"/>
              <w:rPr>
                <w:iCs/>
              </w:rPr>
            </w:pPr>
          </w:p>
        </w:tc>
        <w:tc>
          <w:tcPr>
            <w:tcW w:w="3023" w:type="dxa"/>
            <w:shd w:val="clear" w:color="auto" w:fill="auto"/>
          </w:tcPr>
          <w:p w:rsidR="00144C7E" w:rsidRPr="0077463D" w:rsidRDefault="00144C7E" w:rsidP="00144C7E">
            <w:pPr>
              <w:jc w:val="center"/>
              <w:rPr>
                <w:iCs/>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6C39E9" w:rsidRDefault="00AD5F79" w:rsidP="00AD5F79">
            <w:r w:rsidRPr="006C39E9">
              <w:t>Direktīvas Nr.2006/111/EK 5.panta 1.punkts</w:t>
            </w:r>
            <w:r>
              <w:t xml:space="preserve"> b) apakšpunkts</w:t>
            </w:r>
          </w:p>
        </w:tc>
        <w:tc>
          <w:tcPr>
            <w:tcW w:w="2015" w:type="dxa"/>
            <w:gridSpan w:val="2"/>
            <w:shd w:val="clear" w:color="auto" w:fill="auto"/>
          </w:tcPr>
          <w:p w:rsidR="00AD5F79" w:rsidRPr="006C39E9" w:rsidRDefault="00AD5F79" w:rsidP="00AD5F79">
            <w:r w:rsidRPr="006C39E9">
              <w:t>Likumprojekta 16.panta pirmā</w:t>
            </w:r>
            <w:r>
              <w:t>s</w:t>
            </w:r>
            <w:r w:rsidRPr="006C39E9">
              <w:t xml:space="preserve"> daļa</w:t>
            </w:r>
            <w:r>
              <w:t>s 4.punkts</w:t>
            </w:r>
          </w:p>
        </w:tc>
        <w:tc>
          <w:tcPr>
            <w:tcW w:w="2611" w:type="dxa"/>
            <w:shd w:val="clear" w:color="auto" w:fill="auto"/>
          </w:tcPr>
          <w:p w:rsidR="00AD5F79" w:rsidRDefault="00AD5F79" w:rsidP="00AD5F79">
            <w:pPr>
              <w:ind w:left="57"/>
              <w:rPr>
                <w:iCs/>
              </w:rPr>
            </w:pPr>
            <w:r w:rsidRPr="007614CA">
              <w:rPr>
                <w:iCs/>
              </w:rPr>
              <w:t xml:space="preserve">Tiesību norma </w:t>
            </w:r>
            <w:r>
              <w:rPr>
                <w:iCs/>
              </w:rPr>
              <w:t>pārņemta</w:t>
            </w:r>
            <w:r w:rsidRPr="007614CA">
              <w:rPr>
                <w:iCs/>
              </w:rPr>
              <w:t xml:space="preserve"> pilnībā.</w:t>
            </w:r>
          </w:p>
          <w:p w:rsidR="00AD5F79" w:rsidRPr="007614CA" w:rsidRDefault="00AD5F79" w:rsidP="00AD5F79">
            <w:pPr>
              <w:ind w:left="57"/>
              <w:rPr>
                <w:iCs/>
              </w:rPr>
            </w:pPr>
          </w:p>
        </w:tc>
        <w:tc>
          <w:tcPr>
            <w:tcW w:w="3023" w:type="dxa"/>
            <w:shd w:val="clear" w:color="auto" w:fill="auto"/>
          </w:tcPr>
          <w:p w:rsidR="00AD5F79" w:rsidRPr="0077463D" w:rsidRDefault="00AD5F79" w:rsidP="00AD5F79">
            <w:pPr>
              <w:jc w:val="center"/>
              <w:rPr>
                <w:spacing w:val="-2"/>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6C39E9" w:rsidRDefault="00AD5F79" w:rsidP="00AD5F79">
            <w:r w:rsidRPr="006C39E9">
              <w:t>Direktīvas Nr.2006/111/EK 5.panta 1.punkts</w:t>
            </w:r>
            <w:r>
              <w:t xml:space="preserve"> c) apakšpunkts</w:t>
            </w:r>
          </w:p>
        </w:tc>
        <w:tc>
          <w:tcPr>
            <w:tcW w:w="2015" w:type="dxa"/>
            <w:gridSpan w:val="2"/>
            <w:shd w:val="clear" w:color="auto" w:fill="auto"/>
          </w:tcPr>
          <w:p w:rsidR="00AD5F79" w:rsidRPr="006C39E9" w:rsidRDefault="00AD5F79" w:rsidP="00AD5F79">
            <w:r w:rsidRPr="006C39E9">
              <w:t>Likumprojekta 16.panta pirmā</w:t>
            </w:r>
            <w:r>
              <w:t>s</w:t>
            </w:r>
            <w:r w:rsidRPr="006C39E9">
              <w:t xml:space="preserve"> daļa</w:t>
            </w:r>
            <w:r>
              <w:t>s 3.punkts</w:t>
            </w:r>
          </w:p>
        </w:tc>
        <w:tc>
          <w:tcPr>
            <w:tcW w:w="2611" w:type="dxa"/>
            <w:shd w:val="clear" w:color="auto" w:fill="auto"/>
          </w:tcPr>
          <w:p w:rsidR="00AD5F79" w:rsidRDefault="00AD5F79" w:rsidP="00AD5F79">
            <w:pPr>
              <w:ind w:left="57"/>
              <w:rPr>
                <w:iCs/>
              </w:rPr>
            </w:pPr>
            <w:r w:rsidRPr="007614CA">
              <w:rPr>
                <w:iCs/>
              </w:rPr>
              <w:t xml:space="preserve">Tiesību norma </w:t>
            </w:r>
            <w:r>
              <w:rPr>
                <w:iCs/>
              </w:rPr>
              <w:t>pārņemta</w:t>
            </w:r>
            <w:r w:rsidRPr="007614CA">
              <w:rPr>
                <w:iCs/>
              </w:rPr>
              <w:t xml:space="preserve"> pilnībā.</w:t>
            </w:r>
          </w:p>
          <w:p w:rsidR="00AD5F79" w:rsidRPr="007614CA" w:rsidRDefault="00AD5F79" w:rsidP="00AD5F79">
            <w:pPr>
              <w:ind w:left="57"/>
              <w:rPr>
                <w:iCs/>
              </w:rPr>
            </w:pPr>
          </w:p>
        </w:tc>
        <w:tc>
          <w:tcPr>
            <w:tcW w:w="3023" w:type="dxa"/>
            <w:shd w:val="clear" w:color="auto" w:fill="auto"/>
          </w:tcPr>
          <w:p w:rsidR="00AD5F79" w:rsidRPr="0077463D" w:rsidRDefault="00AD5F79" w:rsidP="00AD5F79">
            <w:pPr>
              <w:jc w:val="center"/>
              <w:rPr>
                <w:spacing w:val="-2"/>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6C39E9" w:rsidRDefault="00AD5F79" w:rsidP="00AD5F79">
            <w:r w:rsidRPr="006C39E9">
              <w:t>Direktīvas Nr.2006/111/EK 5.panta 1.punkts</w:t>
            </w:r>
            <w:r>
              <w:t xml:space="preserve"> d) apakšpunkts</w:t>
            </w:r>
          </w:p>
        </w:tc>
        <w:tc>
          <w:tcPr>
            <w:tcW w:w="2015" w:type="dxa"/>
            <w:gridSpan w:val="2"/>
            <w:shd w:val="clear" w:color="auto" w:fill="auto"/>
          </w:tcPr>
          <w:p w:rsidR="00AD5F79" w:rsidRPr="006C39E9" w:rsidRDefault="00AD5F79" w:rsidP="00AD5F79">
            <w:r w:rsidRPr="006C39E9">
              <w:t>Likumprojekta 16.panta pirmā</w:t>
            </w:r>
            <w:r>
              <w:t>s</w:t>
            </w:r>
            <w:r w:rsidRPr="006C39E9">
              <w:t xml:space="preserve"> daļa</w:t>
            </w:r>
            <w:r>
              <w:t>s 1. un 2.punkts</w:t>
            </w:r>
          </w:p>
        </w:tc>
        <w:tc>
          <w:tcPr>
            <w:tcW w:w="2611" w:type="dxa"/>
            <w:shd w:val="clear" w:color="auto" w:fill="auto"/>
          </w:tcPr>
          <w:p w:rsidR="00AD5F79" w:rsidRDefault="00AD5F79" w:rsidP="00AD5F79">
            <w:pPr>
              <w:ind w:left="57"/>
              <w:rPr>
                <w:iCs/>
              </w:rPr>
            </w:pPr>
            <w:r w:rsidRPr="007614CA">
              <w:rPr>
                <w:iCs/>
              </w:rPr>
              <w:t xml:space="preserve">Tiesību norma </w:t>
            </w:r>
            <w:r>
              <w:rPr>
                <w:iCs/>
              </w:rPr>
              <w:t>pārņemta</w:t>
            </w:r>
            <w:r w:rsidRPr="007614CA">
              <w:rPr>
                <w:iCs/>
              </w:rPr>
              <w:t xml:space="preserve"> pilnībā.</w:t>
            </w:r>
          </w:p>
          <w:p w:rsidR="00AD5F79" w:rsidRPr="007614CA" w:rsidRDefault="00AD5F79" w:rsidP="00AD5F79">
            <w:pPr>
              <w:ind w:left="57"/>
              <w:rPr>
                <w:iCs/>
              </w:rPr>
            </w:pPr>
          </w:p>
        </w:tc>
        <w:tc>
          <w:tcPr>
            <w:tcW w:w="3023" w:type="dxa"/>
            <w:shd w:val="clear" w:color="auto" w:fill="auto"/>
          </w:tcPr>
          <w:p w:rsidR="00AD5F79" w:rsidRPr="0077463D" w:rsidRDefault="00AD5F79" w:rsidP="00AD5F79">
            <w:pPr>
              <w:jc w:val="center"/>
              <w:rPr>
                <w:spacing w:val="-2"/>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6C39E9" w:rsidRDefault="00AD5F79" w:rsidP="00AD5F79">
            <w:r w:rsidRPr="006C39E9">
              <w:t>Direktīvas Nr.2006/111/EK 5.panta 2.punkts</w:t>
            </w:r>
          </w:p>
        </w:tc>
        <w:tc>
          <w:tcPr>
            <w:tcW w:w="2015" w:type="dxa"/>
            <w:gridSpan w:val="2"/>
            <w:shd w:val="clear" w:color="auto" w:fill="auto"/>
          </w:tcPr>
          <w:p w:rsidR="00AD5F79" w:rsidRPr="006C39E9" w:rsidRDefault="00AD5F79" w:rsidP="00AD5F79">
            <w:r w:rsidRPr="006C39E9">
              <w:t>Likumprojekta 16.panta otrā daļa</w:t>
            </w:r>
          </w:p>
        </w:tc>
        <w:tc>
          <w:tcPr>
            <w:tcW w:w="2611" w:type="dxa"/>
            <w:shd w:val="clear" w:color="auto" w:fill="auto"/>
          </w:tcPr>
          <w:p w:rsidR="00AD5F79" w:rsidRDefault="00AD5F79" w:rsidP="00AD5F79">
            <w:pPr>
              <w:ind w:left="57"/>
              <w:rPr>
                <w:iCs/>
              </w:rPr>
            </w:pPr>
            <w:r w:rsidRPr="007614CA">
              <w:rPr>
                <w:iCs/>
              </w:rPr>
              <w:t xml:space="preserve">Tiesību norma </w:t>
            </w:r>
            <w:r>
              <w:rPr>
                <w:iCs/>
              </w:rPr>
              <w:t>pārņemta</w:t>
            </w:r>
            <w:r w:rsidRPr="007614CA">
              <w:rPr>
                <w:iCs/>
              </w:rPr>
              <w:t xml:space="preserve"> pilnībā.</w:t>
            </w:r>
          </w:p>
          <w:p w:rsidR="00AD5F79" w:rsidRPr="00C115AD" w:rsidRDefault="00AD5F79" w:rsidP="00AD5F79">
            <w:pPr>
              <w:jc w:val="center"/>
              <w:rPr>
                <w:iCs/>
              </w:rPr>
            </w:pPr>
          </w:p>
        </w:tc>
        <w:tc>
          <w:tcPr>
            <w:tcW w:w="3023" w:type="dxa"/>
            <w:shd w:val="clear" w:color="auto" w:fill="auto"/>
          </w:tcPr>
          <w:p w:rsidR="00AD5F79" w:rsidRPr="0077463D" w:rsidRDefault="00AD5F79" w:rsidP="00AD5F79">
            <w:pPr>
              <w:jc w:val="center"/>
              <w:rPr>
                <w:iCs/>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DE0E4D" w:rsidRDefault="00AD5F79" w:rsidP="00AD5F79">
            <w:r w:rsidRPr="00DE0E4D">
              <w:rPr>
                <w:color w:val="000000"/>
              </w:rPr>
              <w:t>Regulas Nr.659/1999 14.panta 1.punkts</w:t>
            </w:r>
          </w:p>
        </w:tc>
        <w:tc>
          <w:tcPr>
            <w:tcW w:w="2015" w:type="dxa"/>
            <w:gridSpan w:val="2"/>
            <w:shd w:val="clear" w:color="auto" w:fill="auto"/>
          </w:tcPr>
          <w:p w:rsidR="00AD5F79" w:rsidRPr="00DE0E4D" w:rsidRDefault="00AD5F79" w:rsidP="00AD5F79">
            <w:r w:rsidRPr="00DE0E4D">
              <w:t>Likumprojekta 17.panta pirmā daļa</w:t>
            </w:r>
          </w:p>
        </w:tc>
        <w:tc>
          <w:tcPr>
            <w:tcW w:w="2611" w:type="dxa"/>
            <w:shd w:val="clear" w:color="auto" w:fill="auto"/>
          </w:tcPr>
          <w:p w:rsidR="00AD5F79" w:rsidRDefault="00AD5F79" w:rsidP="00AD5F79">
            <w:pPr>
              <w:ind w:left="57"/>
              <w:rPr>
                <w:iCs/>
              </w:rPr>
            </w:pPr>
            <w:r w:rsidRPr="007614CA">
              <w:rPr>
                <w:iCs/>
              </w:rPr>
              <w:t xml:space="preserve">Tiesību norma </w:t>
            </w:r>
            <w:r w:rsidR="00E70E09">
              <w:rPr>
                <w:iCs/>
              </w:rPr>
              <w:t>ieviesta</w:t>
            </w:r>
            <w:r w:rsidR="00E70E09" w:rsidRPr="007614CA">
              <w:rPr>
                <w:iCs/>
              </w:rPr>
              <w:t xml:space="preserve"> </w:t>
            </w:r>
            <w:r w:rsidRPr="007614CA">
              <w:rPr>
                <w:iCs/>
              </w:rPr>
              <w:t>pilnībā.</w:t>
            </w:r>
          </w:p>
          <w:p w:rsidR="00AD5F79" w:rsidRPr="00C115AD" w:rsidRDefault="00AD5F79" w:rsidP="00AD5F79">
            <w:pPr>
              <w:jc w:val="center"/>
              <w:rPr>
                <w:iCs/>
              </w:rPr>
            </w:pPr>
          </w:p>
        </w:tc>
        <w:tc>
          <w:tcPr>
            <w:tcW w:w="3023" w:type="dxa"/>
            <w:shd w:val="clear" w:color="auto" w:fill="auto"/>
          </w:tcPr>
          <w:p w:rsidR="00AD5F79" w:rsidRPr="0077463D" w:rsidRDefault="00AD5F79" w:rsidP="00AD5F79">
            <w:pPr>
              <w:jc w:val="center"/>
              <w:rPr>
                <w:iCs/>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DE0E4D" w:rsidRDefault="00AD5F79" w:rsidP="00AD5F79">
            <w:r w:rsidRPr="00DE0E4D">
              <w:rPr>
                <w:color w:val="000000"/>
              </w:rPr>
              <w:t>Regulas Nr.659/1999 15.pants</w:t>
            </w:r>
          </w:p>
        </w:tc>
        <w:tc>
          <w:tcPr>
            <w:tcW w:w="2015" w:type="dxa"/>
            <w:gridSpan w:val="2"/>
            <w:shd w:val="clear" w:color="auto" w:fill="auto"/>
          </w:tcPr>
          <w:p w:rsidR="00AD5F79" w:rsidRPr="00DE0E4D" w:rsidRDefault="00AD5F79" w:rsidP="00AD5F79">
            <w:r w:rsidRPr="00DE0E4D">
              <w:t>L</w:t>
            </w:r>
            <w:r>
              <w:t>ikumprojekta 17.panta otrā daļa</w:t>
            </w:r>
          </w:p>
        </w:tc>
        <w:tc>
          <w:tcPr>
            <w:tcW w:w="2611" w:type="dxa"/>
            <w:shd w:val="clear" w:color="auto" w:fill="auto"/>
          </w:tcPr>
          <w:p w:rsidR="00AD5F79" w:rsidRDefault="00AD5F79" w:rsidP="00AD5F79">
            <w:pPr>
              <w:ind w:left="57"/>
              <w:rPr>
                <w:iCs/>
              </w:rPr>
            </w:pPr>
            <w:r w:rsidRPr="007614CA">
              <w:rPr>
                <w:iCs/>
              </w:rPr>
              <w:t xml:space="preserve">Tiesību norma </w:t>
            </w:r>
            <w:r w:rsidR="00E70E09">
              <w:rPr>
                <w:iCs/>
              </w:rPr>
              <w:t>ieviesta</w:t>
            </w:r>
            <w:r w:rsidR="00E70E09" w:rsidRPr="007614CA">
              <w:rPr>
                <w:iCs/>
              </w:rPr>
              <w:t xml:space="preserve"> </w:t>
            </w:r>
            <w:r w:rsidRPr="007614CA">
              <w:rPr>
                <w:iCs/>
              </w:rPr>
              <w:t>pilnībā.</w:t>
            </w:r>
          </w:p>
          <w:p w:rsidR="00AD5F79" w:rsidRPr="00C115AD" w:rsidRDefault="00AD5F79" w:rsidP="00AD5F79">
            <w:pPr>
              <w:jc w:val="center"/>
              <w:rPr>
                <w:iCs/>
              </w:rPr>
            </w:pPr>
          </w:p>
        </w:tc>
        <w:tc>
          <w:tcPr>
            <w:tcW w:w="3023" w:type="dxa"/>
            <w:shd w:val="clear" w:color="auto" w:fill="auto"/>
          </w:tcPr>
          <w:p w:rsidR="00AD5F79" w:rsidRPr="0077463D" w:rsidRDefault="00AD5F79" w:rsidP="00AD5F79">
            <w:pPr>
              <w:jc w:val="center"/>
              <w:rPr>
                <w:iCs/>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DE0E4D" w:rsidRDefault="00AD5F79" w:rsidP="00AD5F79">
            <w:r w:rsidRPr="00DE0E4D">
              <w:rPr>
                <w:color w:val="000000"/>
              </w:rPr>
              <w:t xml:space="preserve">Regulas Nr.659/1999 14.panta 2.punkts </w:t>
            </w:r>
          </w:p>
        </w:tc>
        <w:tc>
          <w:tcPr>
            <w:tcW w:w="2015" w:type="dxa"/>
            <w:gridSpan w:val="2"/>
            <w:shd w:val="clear" w:color="auto" w:fill="auto"/>
          </w:tcPr>
          <w:p w:rsidR="00AD5F79" w:rsidRPr="00DE0E4D" w:rsidRDefault="00AD5F79" w:rsidP="00AD5F79">
            <w:r w:rsidRPr="00DE0E4D">
              <w:t>Likumprojekta 18.panta pirmā daļa</w:t>
            </w:r>
          </w:p>
        </w:tc>
        <w:tc>
          <w:tcPr>
            <w:tcW w:w="2611" w:type="dxa"/>
            <w:shd w:val="clear" w:color="auto" w:fill="auto"/>
          </w:tcPr>
          <w:p w:rsidR="00AD5F79" w:rsidRDefault="00AD5F79" w:rsidP="00AD5F79">
            <w:pPr>
              <w:ind w:left="57"/>
              <w:rPr>
                <w:iCs/>
              </w:rPr>
            </w:pPr>
            <w:r w:rsidRPr="007614CA">
              <w:rPr>
                <w:iCs/>
              </w:rPr>
              <w:t xml:space="preserve">Tiesību norma </w:t>
            </w:r>
            <w:r w:rsidR="00E70E09">
              <w:rPr>
                <w:iCs/>
              </w:rPr>
              <w:t>ieviesta</w:t>
            </w:r>
            <w:r w:rsidR="00E70E09" w:rsidRPr="007614CA">
              <w:rPr>
                <w:iCs/>
              </w:rPr>
              <w:t xml:space="preserve"> </w:t>
            </w:r>
            <w:r w:rsidRPr="007614CA">
              <w:rPr>
                <w:iCs/>
              </w:rPr>
              <w:t>pilnībā.</w:t>
            </w:r>
          </w:p>
          <w:p w:rsidR="00AD5F79" w:rsidRPr="00C115AD" w:rsidRDefault="00AD5F79" w:rsidP="00AD5F79">
            <w:pPr>
              <w:jc w:val="center"/>
              <w:rPr>
                <w:iCs/>
              </w:rPr>
            </w:pPr>
          </w:p>
        </w:tc>
        <w:tc>
          <w:tcPr>
            <w:tcW w:w="3023" w:type="dxa"/>
            <w:shd w:val="clear" w:color="auto" w:fill="auto"/>
          </w:tcPr>
          <w:p w:rsidR="00AD5F79" w:rsidRPr="0077463D" w:rsidRDefault="00AD5F79" w:rsidP="00AD5F79">
            <w:pPr>
              <w:jc w:val="center"/>
              <w:rPr>
                <w:iCs/>
              </w:rPr>
            </w:pPr>
            <w:r w:rsidRPr="0077463D">
              <w:rPr>
                <w:spacing w:val="-2"/>
              </w:rPr>
              <w:t>Stingrākas prasības netiek  piemērotas.</w:t>
            </w:r>
          </w:p>
        </w:tc>
      </w:tr>
      <w:tr w:rsidR="00AD5F79" w:rsidRPr="0077463D" w:rsidTr="009D41A6">
        <w:tc>
          <w:tcPr>
            <w:tcW w:w="2245" w:type="dxa"/>
            <w:gridSpan w:val="2"/>
            <w:shd w:val="clear" w:color="auto" w:fill="auto"/>
          </w:tcPr>
          <w:p w:rsidR="00AD5F79" w:rsidRPr="00DE0E4D" w:rsidRDefault="00AD5F79" w:rsidP="00AD5F79">
            <w:pPr>
              <w:rPr>
                <w:color w:val="000000"/>
              </w:rPr>
            </w:pPr>
            <w:r w:rsidRPr="00DE0E4D">
              <w:rPr>
                <w:color w:val="000000"/>
              </w:rPr>
              <w:t>Regulas Nr.794/2004 11.pants</w:t>
            </w:r>
          </w:p>
        </w:tc>
        <w:tc>
          <w:tcPr>
            <w:tcW w:w="2015" w:type="dxa"/>
            <w:gridSpan w:val="2"/>
            <w:shd w:val="clear" w:color="auto" w:fill="auto"/>
          </w:tcPr>
          <w:p w:rsidR="00AD5F79" w:rsidRPr="00DE0E4D" w:rsidRDefault="00AD5F79" w:rsidP="00AD5F79">
            <w:r w:rsidRPr="00DE0E4D">
              <w:t>Likumprojekta 18.panta pirmā daļa</w:t>
            </w:r>
          </w:p>
        </w:tc>
        <w:tc>
          <w:tcPr>
            <w:tcW w:w="2611" w:type="dxa"/>
            <w:shd w:val="clear" w:color="auto" w:fill="auto"/>
          </w:tcPr>
          <w:p w:rsidR="00AD5F79" w:rsidRDefault="00AD5F79" w:rsidP="00AD5F79">
            <w:pPr>
              <w:ind w:left="57"/>
              <w:rPr>
                <w:iCs/>
              </w:rPr>
            </w:pPr>
            <w:r w:rsidRPr="007614CA">
              <w:rPr>
                <w:iCs/>
              </w:rPr>
              <w:t xml:space="preserve">Tiesību norma </w:t>
            </w:r>
            <w:r w:rsidR="00E70E09">
              <w:rPr>
                <w:iCs/>
              </w:rPr>
              <w:t>ieviesta</w:t>
            </w:r>
            <w:r w:rsidR="00E70E09" w:rsidRPr="007614CA">
              <w:rPr>
                <w:iCs/>
              </w:rPr>
              <w:t xml:space="preserve"> </w:t>
            </w:r>
            <w:r w:rsidRPr="007614CA">
              <w:rPr>
                <w:iCs/>
              </w:rPr>
              <w:t>pilnībā.</w:t>
            </w:r>
          </w:p>
          <w:p w:rsidR="00AD5F79" w:rsidRPr="00C115AD" w:rsidRDefault="00AD5F79" w:rsidP="00AD5F79">
            <w:pPr>
              <w:jc w:val="center"/>
              <w:rPr>
                <w:iCs/>
              </w:rPr>
            </w:pPr>
          </w:p>
        </w:tc>
        <w:tc>
          <w:tcPr>
            <w:tcW w:w="3023" w:type="dxa"/>
            <w:shd w:val="clear" w:color="auto" w:fill="auto"/>
          </w:tcPr>
          <w:p w:rsidR="00AD5F79" w:rsidRPr="0077463D" w:rsidRDefault="00AD5F79" w:rsidP="00AD5F79">
            <w:pPr>
              <w:jc w:val="center"/>
              <w:rPr>
                <w:spacing w:val="-2"/>
              </w:rPr>
            </w:pPr>
            <w:r w:rsidRPr="0077463D">
              <w:rPr>
                <w:spacing w:val="-2"/>
              </w:rPr>
              <w:t>Stingrākas prasības netiek  piemērotas.</w:t>
            </w:r>
          </w:p>
        </w:tc>
      </w:tr>
      <w:tr w:rsidR="00AD5F79" w:rsidRPr="00C115AD" w:rsidTr="009D41A6">
        <w:tc>
          <w:tcPr>
            <w:tcW w:w="4260" w:type="dxa"/>
            <w:gridSpan w:val="4"/>
            <w:shd w:val="clear" w:color="auto" w:fill="auto"/>
          </w:tcPr>
          <w:p w:rsidR="00AD5F79" w:rsidRPr="00C115AD" w:rsidRDefault="00AD5F79" w:rsidP="00AD5F79">
            <w:r w:rsidRPr="00C115AD">
              <w:t>Kā ir izmantota ES tiesību aktā paredzētā rīcības brīvība dalībvalstij pārņemt vai ieviest noteiktas ES tiesību akta normas?</w:t>
            </w:r>
          </w:p>
          <w:p w:rsidR="00AD5F79" w:rsidRPr="00C115AD" w:rsidRDefault="00AD5F79" w:rsidP="00AD5F79">
            <w:pPr>
              <w:rPr>
                <w:i/>
                <w:color w:val="FF0000"/>
              </w:rPr>
            </w:pPr>
            <w:r w:rsidRPr="00C115AD">
              <w:t>Kādēļ?</w:t>
            </w:r>
          </w:p>
        </w:tc>
        <w:tc>
          <w:tcPr>
            <w:tcW w:w="5634" w:type="dxa"/>
            <w:gridSpan w:val="2"/>
            <w:shd w:val="clear" w:color="auto" w:fill="auto"/>
          </w:tcPr>
          <w:p w:rsidR="00AD5F79" w:rsidRPr="00C115AD" w:rsidRDefault="00AD5F79" w:rsidP="00AD5F79">
            <w:pPr>
              <w:rPr>
                <w:color w:val="000000"/>
              </w:rPr>
            </w:pPr>
            <w:r w:rsidRPr="00C115AD">
              <w:rPr>
                <w:iCs/>
                <w:color w:val="000000"/>
              </w:rPr>
              <w:t>Noteikumu projekts šo jomu neskar.</w:t>
            </w:r>
          </w:p>
        </w:tc>
      </w:tr>
      <w:tr w:rsidR="00AD5F79" w:rsidRPr="00C115AD" w:rsidTr="009D41A6">
        <w:tc>
          <w:tcPr>
            <w:tcW w:w="4260" w:type="dxa"/>
            <w:gridSpan w:val="4"/>
            <w:shd w:val="clear" w:color="auto" w:fill="auto"/>
          </w:tcPr>
          <w:p w:rsidR="00AD5F79" w:rsidRPr="00C115AD" w:rsidRDefault="00AD5F79" w:rsidP="00AD5F79">
            <w:pPr>
              <w:rPr>
                <w:i/>
                <w:color w:val="FF0000"/>
              </w:rPr>
            </w:pPr>
            <w:r w:rsidRPr="00C115AD">
              <w:t xml:space="preserve">Saistības sniegt paziņojumu ES institūcijām un ES dalībvalstīm atbilstoši normatīvajiem aktiem, kas regulē informācijas sniegšanu par tehnisko </w:t>
            </w:r>
            <w:r w:rsidRPr="00C115AD">
              <w:lastRenderedPageBreak/>
              <w:t>noteikumu, valsts atbalsta piešķiršanas un finanšu noteikumu (attiecībā uz monetāro politiku) projektiem</w:t>
            </w:r>
          </w:p>
        </w:tc>
        <w:tc>
          <w:tcPr>
            <w:tcW w:w="5634" w:type="dxa"/>
            <w:gridSpan w:val="2"/>
            <w:shd w:val="clear" w:color="auto" w:fill="auto"/>
          </w:tcPr>
          <w:p w:rsidR="00AD5F79" w:rsidRPr="00C115AD" w:rsidRDefault="00AD5F79" w:rsidP="00AD5F79">
            <w:pPr>
              <w:rPr>
                <w:color w:val="000000"/>
              </w:rPr>
            </w:pPr>
            <w:r w:rsidRPr="00C115AD">
              <w:rPr>
                <w:iCs/>
                <w:color w:val="000000"/>
              </w:rPr>
              <w:lastRenderedPageBreak/>
              <w:t>Noteikumu projekts šo jomu neskar.</w:t>
            </w:r>
          </w:p>
        </w:tc>
      </w:tr>
      <w:tr w:rsidR="00AD5F79" w:rsidRPr="00C115AD" w:rsidTr="009D41A6">
        <w:tc>
          <w:tcPr>
            <w:tcW w:w="4260" w:type="dxa"/>
            <w:gridSpan w:val="4"/>
            <w:shd w:val="clear" w:color="auto" w:fill="auto"/>
          </w:tcPr>
          <w:p w:rsidR="00AD5F79" w:rsidRPr="00C115AD" w:rsidRDefault="00AD5F79" w:rsidP="00AD5F79">
            <w:pPr>
              <w:pStyle w:val="naiskr"/>
              <w:spacing w:before="0" w:after="0"/>
              <w:rPr>
                <w:i/>
                <w:color w:val="FF0000"/>
              </w:rPr>
            </w:pPr>
            <w:r w:rsidRPr="00C115AD">
              <w:lastRenderedPageBreak/>
              <w:t>Cita informācija</w:t>
            </w:r>
          </w:p>
        </w:tc>
        <w:tc>
          <w:tcPr>
            <w:tcW w:w="5634" w:type="dxa"/>
            <w:gridSpan w:val="2"/>
            <w:shd w:val="clear" w:color="auto" w:fill="auto"/>
          </w:tcPr>
          <w:p w:rsidR="00AD5F79" w:rsidRPr="00C115AD" w:rsidRDefault="00AD5F79" w:rsidP="00AD5F79">
            <w:pPr>
              <w:rPr>
                <w:color w:val="000000"/>
              </w:rPr>
            </w:pPr>
            <w:r w:rsidRPr="00C115AD">
              <w:rPr>
                <w:color w:val="000000"/>
              </w:rPr>
              <w:t>Nav.</w:t>
            </w:r>
          </w:p>
        </w:tc>
      </w:tr>
      <w:tr w:rsidR="00AD5F79" w:rsidRPr="00C115AD" w:rsidTr="00B60735">
        <w:tc>
          <w:tcPr>
            <w:tcW w:w="9894" w:type="dxa"/>
            <w:gridSpan w:val="6"/>
            <w:shd w:val="clear" w:color="auto" w:fill="auto"/>
          </w:tcPr>
          <w:p w:rsidR="00AD5F79" w:rsidRPr="00C115AD" w:rsidRDefault="00AD5F79" w:rsidP="00AD5F79">
            <w:pPr>
              <w:pStyle w:val="naisnod"/>
              <w:spacing w:before="0" w:after="0"/>
            </w:pPr>
            <w:r w:rsidRPr="00C115AD">
              <w:t xml:space="preserve">2.tabula </w:t>
            </w:r>
          </w:p>
          <w:p w:rsidR="00AD5F79" w:rsidRPr="00C115AD" w:rsidRDefault="00AD5F79" w:rsidP="00AD5F79">
            <w:pPr>
              <w:pStyle w:val="naisnod"/>
              <w:spacing w:before="0" w:after="0"/>
            </w:pPr>
            <w:r w:rsidRPr="00C115AD">
              <w:t>Ar tiesību akta projektu uzņemtās saistības, kas izriet no starptautiskajiem tiesību aktiem vai starptautiskas institūcijas vai organizācijas dokumentiem</w:t>
            </w:r>
          </w:p>
          <w:p w:rsidR="00AD5F79" w:rsidRPr="00C115AD" w:rsidRDefault="00AD5F79" w:rsidP="00AD5F79">
            <w:pPr>
              <w:jc w:val="center"/>
            </w:pPr>
            <w:r w:rsidRPr="00C115AD">
              <w:rPr>
                <w:b/>
              </w:rPr>
              <w:t>Pasākumi šo saistību izpildei</w:t>
            </w:r>
          </w:p>
        </w:tc>
      </w:tr>
      <w:tr w:rsidR="00AD5F79" w:rsidRPr="00C115AD" w:rsidTr="00B60735">
        <w:tc>
          <w:tcPr>
            <w:tcW w:w="9894" w:type="dxa"/>
            <w:gridSpan w:val="6"/>
            <w:shd w:val="clear" w:color="auto" w:fill="auto"/>
          </w:tcPr>
          <w:p w:rsidR="00AD5F79" w:rsidRPr="00B60735" w:rsidRDefault="00AD5F79" w:rsidP="00AD5F79">
            <w:pPr>
              <w:pStyle w:val="naisnod"/>
              <w:spacing w:before="0" w:after="0"/>
              <w:rPr>
                <w:b w:val="0"/>
              </w:rPr>
            </w:pPr>
            <w:r w:rsidRPr="00B60735">
              <w:rPr>
                <w:b w:val="0"/>
              </w:rPr>
              <w:t>Projekts šo jomu neskar.</w:t>
            </w:r>
          </w:p>
        </w:tc>
      </w:tr>
    </w:tbl>
    <w:p w:rsidR="00BD726E" w:rsidRDefault="00BD726E" w:rsidP="003B4F1E">
      <w:pPr>
        <w:spacing w:line="360" w:lineRule="auto"/>
      </w:pPr>
    </w:p>
    <w:tbl>
      <w:tblPr>
        <w:tblW w:w="9775" w:type="dxa"/>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775"/>
      </w:tblGrid>
      <w:tr w:rsidR="00A02406" w:rsidRPr="00F449FA" w:rsidTr="00B60735">
        <w:tc>
          <w:tcPr>
            <w:tcW w:w="9775" w:type="dxa"/>
            <w:tcBorders>
              <w:top w:val="single" w:sz="6" w:space="0" w:color="000000"/>
              <w:left w:val="single" w:sz="6" w:space="0" w:color="000000"/>
              <w:bottom w:val="outset" w:sz="6" w:space="0" w:color="000000"/>
              <w:right w:val="single" w:sz="6" w:space="0" w:color="000000"/>
            </w:tcBorders>
          </w:tcPr>
          <w:p w:rsidR="00A02406" w:rsidRPr="00F449FA" w:rsidRDefault="00A02406" w:rsidP="004E7E27">
            <w:pPr>
              <w:pStyle w:val="tvhtml1"/>
              <w:jc w:val="center"/>
              <w:rPr>
                <w:rFonts w:ascii="Times New Roman" w:hAnsi="Times New Roman"/>
                <w:sz w:val="24"/>
                <w:szCs w:val="24"/>
              </w:rPr>
            </w:pPr>
            <w:r w:rsidRPr="00F449FA">
              <w:rPr>
                <w:rFonts w:ascii="Times New Roman" w:hAnsi="Times New Roman"/>
                <w:b/>
                <w:bCs/>
                <w:sz w:val="24"/>
                <w:szCs w:val="24"/>
              </w:rPr>
              <w:t>VI. Sabiedrības līdzdalība un šīs līdzdalības rezultāti</w:t>
            </w:r>
          </w:p>
        </w:tc>
      </w:tr>
      <w:tr w:rsidR="00B60735" w:rsidRPr="00F449FA" w:rsidTr="00B60735">
        <w:tc>
          <w:tcPr>
            <w:tcW w:w="9775" w:type="dxa"/>
            <w:tcBorders>
              <w:top w:val="single" w:sz="6" w:space="0" w:color="000000"/>
              <w:left w:val="single" w:sz="6" w:space="0" w:color="000000"/>
              <w:bottom w:val="outset" w:sz="6" w:space="0" w:color="000000"/>
              <w:right w:val="single" w:sz="6" w:space="0" w:color="000000"/>
            </w:tcBorders>
          </w:tcPr>
          <w:p w:rsidR="00B60735" w:rsidRPr="002940DE" w:rsidRDefault="00B60735" w:rsidP="002940DE">
            <w:pPr>
              <w:pStyle w:val="tvhtml1"/>
              <w:jc w:val="center"/>
              <w:rPr>
                <w:rFonts w:ascii="Times New Roman" w:hAnsi="Times New Roman"/>
                <w:b/>
                <w:bCs/>
                <w:sz w:val="24"/>
                <w:szCs w:val="24"/>
              </w:rPr>
            </w:pPr>
            <w:r w:rsidRPr="002940DE">
              <w:rPr>
                <w:rFonts w:ascii="Times New Roman" w:hAnsi="Times New Roman"/>
                <w:sz w:val="24"/>
                <w:szCs w:val="24"/>
              </w:rPr>
              <w:t>Projekts šo jomu neskar</w:t>
            </w:r>
            <w:r w:rsidR="002940DE" w:rsidRPr="002940DE">
              <w:rPr>
                <w:rFonts w:ascii="Times New Roman" w:hAnsi="Times New Roman"/>
                <w:sz w:val="24"/>
                <w:szCs w:val="24"/>
              </w:rPr>
              <w:t>.</w:t>
            </w:r>
          </w:p>
        </w:tc>
      </w:tr>
    </w:tbl>
    <w:p w:rsidR="00BD726E" w:rsidRDefault="00BD726E" w:rsidP="003B4F1E">
      <w:pPr>
        <w:pStyle w:val="tvhtml"/>
        <w:spacing w:before="0" w:beforeAutospacing="0" w:after="0" w:afterAutospacing="0" w:line="360" w:lineRule="auto"/>
        <w:jc w:val="center"/>
        <w:rPr>
          <w:rFonts w:ascii="Times New Roman" w:hAnsi="Times New Roman"/>
          <w:i/>
          <w:iCs/>
          <w:sz w:val="24"/>
          <w:szCs w:val="24"/>
        </w:rPr>
      </w:pPr>
    </w:p>
    <w:tbl>
      <w:tblPr>
        <w:tblW w:w="981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3"/>
        <w:gridCol w:w="2619"/>
        <w:gridCol w:w="6949"/>
      </w:tblGrid>
      <w:tr w:rsidR="00A02406" w:rsidRPr="00F449FA" w:rsidTr="004E7E27">
        <w:trPr>
          <w:trHeight w:val="244"/>
        </w:trPr>
        <w:tc>
          <w:tcPr>
            <w:tcW w:w="9811" w:type="dxa"/>
            <w:gridSpan w:val="3"/>
            <w:tcBorders>
              <w:top w:val="outset" w:sz="6" w:space="0" w:color="000000"/>
              <w:bottom w:val="outset" w:sz="6" w:space="0" w:color="000000"/>
            </w:tcBorders>
          </w:tcPr>
          <w:p w:rsidR="00A02406" w:rsidRPr="00F449FA" w:rsidRDefault="00A02406" w:rsidP="004E7E27">
            <w:pPr>
              <w:jc w:val="center"/>
              <w:rPr>
                <w:b/>
                <w:bCs/>
                <w:color w:val="000000"/>
              </w:rPr>
            </w:pPr>
            <w:r w:rsidRPr="00F449FA">
              <w:rPr>
                <w:b/>
                <w:bCs/>
                <w:color w:val="000000"/>
              </w:rPr>
              <w:t>VII. Tiesību akta projekta izpildes nodrošināšana un tās ietekme uz institūcijām</w:t>
            </w:r>
          </w:p>
        </w:tc>
      </w:tr>
      <w:tr w:rsidR="00A02406" w:rsidRPr="00F449FA" w:rsidTr="004E7E27">
        <w:trPr>
          <w:trHeight w:val="431"/>
        </w:trPr>
        <w:tc>
          <w:tcPr>
            <w:tcW w:w="243" w:type="dxa"/>
            <w:tcBorders>
              <w:top w:val="outset" w:sz="6" w:space="0" w:color="000000"/>
              <w:bottom w:val="outset" w:sz="6" w:space="0" w:color="000000"/>
              <w:right w:val="outset" w:sz="6" w:space="0" w:color="000000"/>
            </w:tcBorders>
          </w:tcPr>
          <w:p w:rsidR="00A02406" w:rsidRPr="00F449FA" w:rsidRDefault="00A02406" w:rsidP="004E7E27">
            <w:pPr>
              <w:rPr>
                <w:color w:val="000000"/>
              </w:rPr>
            </w:pPr>
            <w:r w:rsidRPr="00F449FA">
              <w:rPr>
                <w:color w:val="000000"/>
              </w:rPr>
              <w:t>1.</w:t>
            </w:r>
          </w:p>
        </w:tc>
        <w:tc>
          <w:tcPr>
            <w:tcW w:w="2619" w:type="dxa"/>
            <w:tcBorders>
              <w:top w:val="outset" w:sz="6" w:space="0" w:color="000000"/>
              <w:left w:val="outset" w:sz="6" w:space="0" w:color="000000"/>
              <w:bottom w:val="outset" w:sz="6" w:space="0" w:color="000000"/>
              <w:right w:val="outset" w:sz="6" w:space="0" w:color="000000"/>
            </w:tcBorders>
          </w:tcPr>
          <w:p w:rsidR="00A02406" w:rsidRPr="00F449FA" w:rsidRDefault="00A02406" w:rsidP="004E7E27">
            <w:pPr>
              <w:rPr>
                <w:color w:val="000000"/>
              </w:rPr>
            </w:pPr>
            <w:r w:rsidRPr="00F449FA">
              <w:rPr>
                <w:color w:val="000000"/>
              </w:rPr>
              <w:t>Projekta izpildē iesaistītās institūcijas</w:t>
            </w:r>
          </w:p>
        </w:tc>
        <w:tc>
          <w:tcPr>
            <w:tcW w:w="6949" w:type="dxa"/>
            <w:tcBorders>
              <w:top w:val="outset" w:sz="6" w:space="0" w:color="000000"/>
              <w:left w:val="outset" w:sz="6" w:space="0" w:color="000000"/>
              <w:bottom w:val="outset" w:sz="6" w:space="0" w:color="000000"/>
            </w:tcBorders>
          </w:tcPr>
          <w:p w:rsidR="00A02406" w:rsidRPr="00F449FA" w:rsidRDefault="00A02406" w:rsidP="007E2211">
            <w:pPr>
              <w:tabs>
                <w:tab w:val="left" w:pos="1134"/>
                <w:tab w:val="left" w:pos="1701"/>
                <w:tab w:val="left" w:pos="2268"/>
                <w:tab w:val="left" w:pos="3969"/>
              </w:tabs>
              <w:jc w:val="both"/>
              <w:rPr>
                <w:color w:val="000000"/>
              </w:rPr>
            </w:pPr>
            <w:r w:rsidRPr="00F449FA">
              <w:rPr>
                <w:noProof/>
                <w:color w:val="000000"/>
              </w:rPr>
              <w:t>Likumprojekta izpild</w:t>
            </w:r>
            <w:r>
              <w:rPr>
                <w:noProof/>
                <w:color w:val="000000"/>
              </w:rPr>
              <w:t>i nodrošinās</w:t>
            </w:r>
            <w:r w:rsidR="00DD4450">
              <w:rPr>
                <w:noProof/>
                <w:color w:val="000000"/>
              </w:rPr>
              <w:t xml:space="preserve"> </w:t>
            </w:r>
            <w:r w:rsidR="002612E3">
              <w:rPr>
                <w:noProof/>
                <w:color w:val="000000"/>
              </w:rPr>
              <w:t xml:space="preserve">Finanšu ministrija, </w:t>
            </w:r>
            <w:r w:rsidR="000F3A7B">
              <w:rPr>
                <w:noProof/>
                <w:color w:val="000000"/>
              </w:rPr>
              <w:t xml:space="preserve">Ekonomikas ministrija </w:t>
            </w:r>
            <w:r w:rsidR="002612E3">
              <w:rPr>
                <w:noProof/>
                <w:color w:val="000000"/>
              </w:rPr>
              <w:t xml:space="preserve">Izglītības un zinātnes ministrija, Kultūras ministrija, Labklājības ministrija, Satiksmes ministrija, Iekšlietu ministrija, </w:t>
            </w:r>
            <w:r w:rsidR="002612E3" w:rsidRPr="002612E3">
              <w:rPr>
                <w:noProof/>
                <w:color w:val="000000"/>
              </w:rPr>
              <w:t>Vides aizsardzības u</w:t>
            </w:r>
            <w:r w:rsidR="002612E3">
              <w:rPr>
                <w:noProof/>
                <w:color w:val="000000"/>
              </w:rPr>
              <w:t>n reģionālās attīstības ministrija, Veselības ministrija, Zemkopības ministrija</w:t>
            </w:r>
            <w:r w:rsidR="006A3959">
              <w:rPr>
                <w:noProof/>
                <w:color w:val="000000"/>
              </w:rPr>
              <w:t xml:space="preserve">. </w:t>
            </w:r>
          </w:p>
        </w:tc>
      </w:tr>
      <w:tr w:rsidR="00A02406" w:rsidRPr="00F449FA" w:rsidTr="007E2211">
        <w:trPr>
          <w:trHeight w:val="562"/>
        </w:trPr>
        <w:tc>
          <w:tcPr>
            <w:tcW w:w="243" w:type="dxa"/>
            <w:tcBorders>
              <w:top w:val="outset" w:sz="6" w:space="0" w:color="000000"/>
              <w:bottom w:val="outset" w:sz="6" w:space="0" w:color="000000"/>
              <w:right w:val="outset" w:sz="6" w:space="0" w:color="000000"/>
            </w:tcBorders>
          </w:tcPr>
          <w:p w:rsidR="00A02406" w:rsidRPr="00F449FA" w:rsidRDefault="00A02406" w:rsidP="004E7E27">
            <w:pPr>
              <w:rPr>
                <w:color w:val="000000"/>
              </w:rPr>
            </w:pPr>
            <w:r w:rsidRPr="00F449FA">
              <w:rPr>
                <w:color w:val="000000"/>
              </w:rPr>
              <w:t>2.</w:t>
            </w:r>
          </w:p>
        </w:tc>
        <w:tc>
          <w:tcPr>
            <w:tcW w:w="2619" w:type="dxa"/>
            <w:tcBorders>
              <w:top w:val="outset" w:sz="6" w:space="0" w:color="000000"/>
              <w:left w:val="outset" w:sz="6" w:space="0" w:color="000000"/>
              <w:bottom w:val="outset" w:sz="6" w:space="0" w:color="000000"/>
              <w:right w:val="outset" w:sz="6" w:space="0" w:color="000000"/>
            </w:tcBorders>
          </w:tcPr>
          <w:p w:rsidR="00A02406" w:rsidRPr="00F449FA" w:rsidRDefault="00A02406" w:rsidP="004E7E27">
            <w:pPr>
              <w:rPr>
                <w:color w:val="000000"/>
              </w:rPr>
            </w:pPr>
            <w:r w:rsidRPr="00F449FA">
              <w:rPr>
                <w:color w:val="000000"/>
              </w:rPr>
              <w:t>Projekta izpildes ietekme uz pārvaldes funkcijām</w:t>
            </w:r>
          </w:p>
        </w:tc>
        <w:tc>
          <w:tcPr>
            <w:tcW w:w="6949" w:type="dxa"/>
            <w:tcBorders>
              <w:top w:val="outset" w:sz="6" w:space="0" w:color="000000"/>
              <w:left w:val="outset" w:sz="6" w:space="0" w:color="000000"/>
              <w:bottom w:val="outset" w:sz="6" w:space="0" w:color="000000"/>
            </w:tcBorders>
          </w:tcPr>
          <w:p w:rsidR="00E65BB0" w:rsidRDefault="00E65BB0" w:rsidP="00FB3D11">
            <w:pPr>
              <w:jc w:val="both"/>
              <w:rPr>
                <w:color w:val="000000"/>
              </w:rPr>
            </w:pPr>
            <w:r w:rsidRPr="00F449FA">
              <w:rPr>
                <w:color w:val="000000"/>
              </w:rPr>
              <w:t xml:space="preserve">Likumprojekts paredz </w:t>
            </w:r>
            <w:r>
              <w:rPr>
                <w:color w:val="000000"/>
              </w:rPr>
              <w:t xml:space="preserve">izmaiņas pārvaldes funkciju veikšanās, ko līdz šim Komercdarbības atbalsta kontroles likums uzlika par pienākumu Uzņēmumu reģistram, proti, </w:t>
            </w:r>
            <w:r w:rsidRPr="00342603">
              <w:rPr>
                <w:color w:val="000000"/>
              </w:rPr>
              <w:t>Uzņēmumu reģistrs katru gadu līdz 1.martam iesniedz</w:t>
            </w:r>
            <w:r>
              <w:rPr>
                <w:color w:val="000000"/>
              </w:rPr>
              <w:t>a</w:t>
            </w:r>
            <w:r w:rsidRPr="00342603">
              <w:rPr>
                <w:color w:val="000000"/>
              </w:rPr>
              <w:t xml:space="preserve"> Finanšu ministrijai informāciju par komercsabiedrībām</w:t>
            </w:r>
            <w:r>
              <w:rPr>
                <w:color w:val="000000"/>
              </w:rPr>
              <w:t>, kas atrodas v</w:t>
            </w:r>
            <w:r w:rsidRPr="00E95791">
              <w:t>alsts vai pašvaldības kontrolē</w:t>
            </w:r>
            <w:r w:rsidRPr="00342603">
              <w:rPr>
                <w:color w:val="000000"/>
              </w:rPr>
              <w:t>,</w:t>
            </w:r>
            <w:r>
              <w:rPr>
                <w:color w:val="000000"/>
              </w:rPr>
              <w:t xml:space="preserve"> un kuru </w:t>
            </w:r>
            <w:r w:rsidRPr="003D3124">
              <w:t>apgrozījums pēdējā saimnieciskajā</w:t>
            </w:r>
            <w:r>
              <w:t xml:space="preserve"> </w:t>
            </w:r>
            <w:r w:rsidRPr="003D3124">
              <w:t>gadā pārsniedzis 250 miljonus EUR</w:t>
            </w:r>
            <w:r>
              <w:t>, vienlaikus</w:t>
            </w:r>
            <w:r w:rsidRPr="00342603">
              <w:rPr>
                <w:color w:val="000000"/>
              </w:rPr>
              <w:t xml:space="preserve"> norād</w:t>
            </w:r>
            <w:r>
              <w:rPr>
                <w:color w:val="000000"/>
              </w:rPr>
              <w:t xml:space="preserve">ot </w:t>
            </w:r>
            <w:r w:rsidRPr="00342603">
              <w:rPr>
                <w:color w:val="000000"/>
              </w:rPr>
              <w:t>šo komercsabiedrību neto apgrozījumu, bet kredītiestādēm — bilances kopsummu.</w:t>
            </w:r>
          </w:p>
          <w:p w:rsidR="00E65BB0" w:rsidRPr="00F67135" w:rsidRDefault="00E65BB0" w:rsidP="00FB3D11">
            <w:pPr>
              <w:jc w:val="both"/>
            </w:pPr>
            <w:r w:rsidRPr="00F67135">
              <w:t xml:space="preserve">Izstrādājot likumprojektu “Komercdarbības atbalsta kontroles likums”, ņemot vērā </w:t>
            </w:r>
            <w:r>
              <w:rPr>
                <w:color w:val="000000"/>
              </w:rPr>
              <w:t xml:space="preserve">Uzņēmumu reģistra </w:t>
            </w:r>
            <w:r w:rsidRPr="00F67135">
              <w:t>izteikto viedokli</w:t>
            </w:r>
            <w:r>
              <w:t xml:space="preserve"> par to, ka tā </w:t>
            </w:r>
            <w:r w:rsidRPr="002A1590">
              <w:t xml:space="preserve">rīcībā nav </w:t>
            </w:r>
            <w:r>
              <w:t xml:space="preserve">pilnīgas </w:t>
            </w:r>
            <w:r w:rsidRPr="002A1590">
              <w:t xml:space="preserve">informācijas par valsts vai pašvaldības kontrolē esošām akciju sabiedrībām, jo Komerclikuma noteikumi neparedz iesniegt </w:t>
            </w:r>
            <w:r>
              <w:rPr>
                <w:color w:val="000000"/>
              </w:rPr>
              <w:t>Uzņēmumu reģistrā i</w:t>
            </w:r>
            <w:r w:rsidRPr="002A1590">
              <w:t>nformāciju par akciju sabiedrību akcionāriem un tiem piederošajām akcijām</w:t>
            </w:r>
            <w:r>
              <w:t xml:space="preserve">, </w:t>
            </w:r>
            <w:r w:rsidRPr="00F67135">
              <w:t>radās nepieciešamība pārskatīt minēto funkciju</w:t>
            </w:r>
            <w:r>
              <w:t xml:space="preserve">, apzinot, kādā apjomā ir pieejama nepieciešamā informācija Finanšu ministrijas padotībā esošajām iestādēm (Valsts ieņēmumu dienestam un Valsts kasei), un </w:t>
            </w:r>
            <w:r w:rsidRPr="00F67135">
              <w:t xml:space="preserve">tādējādi </w:t>
            </w:r>
            <w:r>
              <w:t>iz</w:t>
            </w:r>
            <w:r w:rsidRPr="00F67135">
              <w:t xml:space="preserve">lemjot, vai turpmāk to veiks </w:t>
            </w:r>
            <w:r>
              <w:rPr>
                <w:color w:val="000000"/>
              </w:rPr>
              <w:t xml:space="preserve">Uzņēmumu reģistrs </w:t>
            </w:r>
            <w:r w:rsidRPr="00F67135">
              <w:t xml:space="preserve">vai cita institūcija.  </w:t>
            </w:r>
          </w:p>
          <w:p w:rsidR="002E7869" w:rsidRPr="00C76B0F" w:rsidRDefault="00E65BB0">
            <w:pPr>
              <w:jc w:val="both"/>
              <w:rPr>
                <w:color w:val="000000"/>
              </w:rPr>
            </w:pPr>
            <w:r>
              <w:rPr>
                <w:color w:val="000000"/>
              </w:rPr>
              <w:t xml:space="preserve">Vienošanās procesa rezultātā likumprojekta ir paredzēts, ka turpmāk Finanšu ministrija katru gadu līdz </w:t>
            </w:r>
            <w:r w:rsidR="00D60340">
              <w:rPr>
                <w:color w:val="000000"/>
              </w:rPr>
              <w:t>31</w:t>
            </w:r>
            <w:r>
              <w:rPr>
                <w:color w:val="000000"/>
              </w:rPr>
              <w:t xml:space="preserve">.martam iesniegs Eiropas Komisijā minēto aktuālo informāciju, kas </w:t>
            </w:r>
            <w:r w:rsidRPr="00E82221">
              <w:rPr>
                <w:color w:val="000000"/>
              </w:rPr>
              <w:t xml:space="preserve">tiešā veidā izriet no Eiropas Komisijas </w:t>
            </w:r>
            <w:r w:rsidRPr="00E82221">
              <w:rPr>
                <w:rFonts w:eastAsia="Calibri"/>
                <w:bCs/>
              </w:rPr>
              <w:t xml:space="preserve">2006.gada 16.novembra </w:t>
            </w:r>
            <w:r w:rsidRPr="00E82221">
              <w:rPr>
                <w:color w:val="000000"/>
              </w:rPr>
              <w:t>direktīvas Nr.</w:t>
            </w:r>
            <w:r w:rsidRPr="00E82221">
              <w:rPr>
                <w:rFonts w:eastAsia="Calibri"/>
                <w:bCs/>
              </w:rPr>
              <w:t>2006/111/EK</w:t>
            </w:r>
            <w:r w:rsidRPr="00E82221">
              <w:rPr>
                <w:color w:val="000000"/>
              </w:rPr>
              <w:t xml:space="preserve">, </w:t>
            </w:r>
            <w:r>
              <w:rPr>
                <w:color w:val="000000"/>
              </w:rPr>
              <w:t xml:space="preserve">t.i., </w:t>
            </w:r>
            <w:r w:rsidRPr="00E82221">
              <w:rPr>
                <w:color w:val="000000"/>
              </w:rPr>
              <w:t xml:space="preserve">dalībvalsts informē Eiropas Komisiju par </w:t>
            </w:r>
            <w:r w:rsidRPr="00E82221">
              <w:rPr>
                <w:rFonts w:eastAsia="Calibri"/>
              </w:rPr>
              <w:t>visiem</w:t>
            </w:r>
            <w:r>
              <w:rPr>
                <w:rFonts w:eastAsia="Calibri"/>
              </w:rPr>
              <w:t xml:space="preserve"> </w:t>
            </w:r>
            <w:r w:rsidRPr="00E82221">
              <w:rPr>
                <w:rFonts w:eastAsia="Calibri"/>
              </w:rPr>
              <w:t>publiskiem uzņēmumiem, kuru apgrozījums pēdējā saimnieciskajā</w:t>
            </w:r>
            <w:r>
              <w:rPr>
                <w:rFonts w:eastAsia="Calibri"/>
              </w:rPr>
              <w:t xml:space="preserve"> </w:t>
            </w:r>
            <w:r w:rsidRPr="00E82221">
              <w:rPr>
                <w:rFonts w:eastAsia="Calibri"/>
              </w:rPr>
              <w:t>gadā pārsniedzis 250 miljonus EUR</w:t>
            </w:r>
            <w:r>
              <w:rPr>
                <w:rFonts w:eastAsia="Calibri"/>
              </w:rPr>
              <w:t xml:space="preserve">, </w:t>
            </w:r>
            <w:r w:rsidRPr="00342603">
              <w:rPr>
                <w:color w:val="000000"/>
              </w:rPr>
              <w:t>norād</w:t>
            </w:r>
            <w:r>
              <w:rPr>
                <w:color w:val="000000"/>
              </w:rPr>
              <w:t xml:space="preserve">ot </w:t>
            </w:r>
            <w:r w:rsidRPr="00342603">
              <w:rPr>
                <w:color w:val="000000"/>
              </w:rPr>
              <w:t>komercsabiedrību neto apgrozījumu, bet kredītiestādēm — bilances kopsummu.</w:t>
            </w:r>
            <w:r>
              <w:rPr>
                <w:color w:val="000000"/>
              </w:rPr>
              <w:t xml:space="preserve">  </w:t>
            </w:r>
          </w:p>
        </w:tc>
      </w:tr>
      <w:tr w:rsidR="00A02406" w:rsidRPr="00F449FA" w:rsidTr="004E7E27">
        <w:trPr>
          <w:trHeight w:val="384"/>
        </w:trPr>
        <w:tc>
          <w:tcPr>
            <w:tcW w:w="243" w:type="dxa"/>
            <w:tcBorders>
              <w:top w:val="outset" w:sz="6" w:space="0" w:color="000000"/>
              <w:bottom w:val="outset" w:sz="6" w:space="0" w:color="000000"/>
              <w:right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lastRenderedPageBreak/>
              <w:t>3.</w:t>
            </w:r>
          </w:p>
        </w:tc>
        <w:tc>
          <w:tcPr>
            <w:tcW w:w="2619" w:type="dxa"/>
            <w:tcBorders>
              <w:top w:val="outset" w:sz="6" w:space="0" w:color="000000"/>
              <w:left w:val="outset" w:sz="6" w:space="0" w:color="000000"/>
              <w:bottom w:val="outset" w:sz="6" w:space="0" w:color="000000"/>
              <w:right w:val="outset" w:sz="6" w:space="0" w:color="000000"/>
            </w:tcBorders>
          </w:tcPr>
          <w:p w:rsidR="00A02406" w:rsidRPr="00F449FA" w:rsidRDefault="00A02406" w:rsidP="004E7E27">
            <w:pPr>
              <w:rPr>
                <w:color w:val="000000"/>
              </w:rPr>
            </w:pPr>
            <w:r w:rsidRPr="00F449FA">
              <w:rPr>
                <w:color w:val="000000"/>
              </w:rPr>
              <w:t>Projekta izpildes ietekme uz pārvaldes institucionālo struktūru.</w:t>
            </w:r>
          </w:p>
          <w:p w:rsidR="00A02406" w:rsidRPr="00F449FA" w:rsidRDefault="00A02406" w:rsidP="004E7E27">
            <w:pPr>
              <w:rPr>
                <w:color w:val="000000"/>
              </w:rPr>
            </w:pPr>
            <w:r w:rsidRPr="00F449FA">
              <w:rPr>
                <w:color w:val="000000"/>
              </w:rPr>
              <w:t>Jaunu institūciju izveide</w:t>
            </w:r>
          </w:p>
        </w:tc>
        <w:tc>
          <w:tcPr>
            <w:tcW w:w="6949" w:type="dxa"/>
            <w:tcBorders>
              <w:top w:val="outset" w:sz="6" w:space="0" w:color="000000"/>
              <w:left w:val="outset" w:sz="6" w:space="0" w:color="000000"/>
              <w:bottom w:val="outset" w:sz="6" w:space="0" w:color="000000"/>
            </w:tcBorders>
          </w:tcPr>
          <w:p w:rsidR="00A02406" w:rsidRPr="00F449FA" w:rsidRDefault="00A02406" w:rsidP="004E7E27">
            <w:pPr>
              <w:jc w:val="both"/>
              <w:rPr>
                <w:color w:val="000000"/>
              </w:rPr>
            </w:pPr>
            <w:r w:rsidRPr="00F449FA">
              <w:rPr>
                <w:color w:val="000000"/>
              </w:rPr>
              <w:t>Likumprojekts  neparedz ietekmi uz pārvaldes institucionālo struktūru.</w:t>
            </w:r>
          </w:p>
          <w:p w:rsidR="00A02406" w:rsidRPr="00F449FA" w:rsidRDefault="00A02406" w:rsidP="004E7E27">
            <w:pPr>
              <w:jc w:val="both"/>
              <w:rPr>
                <w:color w:val="000000"/>
              </w:rPr>
            </w:pPr>
            <w:r w:rsidRPr="00F449FA">
              <w:rPr>
                <w:color w:val="000000"/>
              </w:rPr>
              <w:t>Jaunas institūcijas netiek paredzētas.</w:t>
            </w:r>
          </w:p>
        </w:tc>
      </w:tr>
      <w:tr w:rsidR="00A02406" w:rsidRPr="00F449FA" w:rsidTr="004E7E27">
        <w:trPr>
          <w:trHeight w:val="685"/>
        </w:trPr>
        <w:tc>
          <w:tcPr>
            <w:tcW w:w="243" w:type="dxa"/>
            <w:tcBorders>
              <w:top w:val="outset" w:sz="6" w:space="0" w:color="000000"/>
              <w:bottom w:val="outset" w:sz="6" w:space="0" w:color="000000"/>
              <w:right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t>4.</w:t>
            </w:r>
          </w:p>
        </w:tc>
        <w:tc>
          <w:tcPr>
            <w:tcW w:w="2619" w:type="dxa"/>
            <w:tcBorders>
              <w:top w:val="outset" w:sz="6" w:space="0" w:color="000000"/>
              <w:left w:val="outset" w:sz="6" w:space="0" w:color="000000"/>
              <w:bottom w:val="outset" w:sz="6" w:space="0" w:color="000000"/>
              <w:right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t>Projekta izpildes ietekme uz pārvaldes institucionālo struktūru.</w:t>
            </w:r>
          </w:p>
          <w:p w:rsidR="00A02406" w:rsidRPr="00F449FA" w:rsidRDefault="00A02406" w:rsidP="004E7E27">
            <w:pPr>
              <w:spacing w:before="100" w:beforeAutospacing="1" w:after="100" w:afterAutospacing="1"/>
              <w:rPr>
                <w:color w:val="000000"/>
              </w:rPr>
            </w:pPr>
            <w:r w:rsidRPr="00F449FA">
              <w:rPr>
                <w:color w:val="000000"/>
              </w:rPr>
              <w:t>Esošu institūciju likvidācija</w:t>
            </w:r>
          </w:p>
        </w:tc>
        <w:tc>
          <w:tcPr>
            <w:tcW w:w="6949" w:type="dxa"/>
            <w:tcBorders>
              <w:top w:val="outset" w:sz="6" w:space="0" w:color="000000"/>
              <w:left w:val="outset" w:sz="6" w:space="0" w:color="000000"/>
              <w:bottom w:val="outset" w:sz="6" w:space="0" w:color="000000"/>
            </w:tcBorders>
          </w:tcPr>
          <w:p w:rsidR="00A02406" w:rsidRPr="00F449FA" w:rsidRDefault="00A02406" w:rsidP="004E7E27">
            <w:pPr>
              <w:spacing w:before="100" w:beforeAutospacing="1" w:after="100" w:afterAutospacing="1"/>
              <w:jc w:val="both"/>
              <w:rPr>
                <w:color w:val="000000"/>
              </w:rPr>
            </w:pPr>
            <w:r w:rsidRPr="00F449FA">
              <w:rPr>
                <w:color w:val="000000"/>
              </w:rPr>
              <w:t>Likumprojekts  neparedz ietekmi uz pārvaldes institucionālo sistēmu.</w:t>
            </w:r>
          </w:p>
          <w:p w:rsidR="00A02406" w:rsidRPr="00F449FA" w:rsidRDefault="00A02406" w:rsidP="004E7E27">
            <w:pPr>
              <w:spacing w:before="100" w:beforeAutospacing="1" w:after="100" w:afterAutospacing="1"/>
              <w:jc w:val="both"/>
              <w:rPr>
                <w:color w:val="000000"/>
              </w:rPr>
            </w:pPr>
          </w:p>
          <w:p w:rsidR="00A02406" w:rsidRPr="00F449FA" w:rsidRDefault="00A02406" w:rsidP="004E7E27">
            <w:pPr>
              <w:spacing w:before="100" w:beforeAutospacing="1" w:after="100" w:afterAutospacing="1"/>
              <w:jc w:val="both"/>
              <w:rPr>
                <w:color w:val="000000"/>
              </w:rPr>
            </w:pPr>
            <w:r w:rsidRPr="00F449FA">
              <w:rPr>
                <w:color w:val="000000"/>
              </w:rPr>
              <w:t>Esošās institūcijas netiek likvidētas.</w:t>
            </w:r>
          </w:p>
        </w:tc>
      </w:tr>
      <w:tr w:rsidR="00A02406" w:rsidRPr="00F449FA" w:rsidTr="004E7E27">
        <w:trPr>
          <w:trHeight w:val="490"/>
        </w:trPr>
        <w:tc>
          <w:tcPr>
            <w:tcW w:w="243" w:type="dxa"/>
            <w:tcBorders>
              <w:top w:val="outset" w:sz="6" w:space="0" w:color="000000"/>
              <w:bottom w:val="outset" w:sz="6" w:space="0" w:color="000000"/>
              <w:right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t>5.</w:t>
            </w:r>
          </w:p>
        </w:tc>
        <w:tc>
          <w:tcPr>
            <w:tcW w:w="2619" w:type="dxa"/>
            <w:tcBorders>
              <w:top w:val="outset" w:sz="6" w:space="0" w:color="000000"/>
              <w:left w:val="outset" w:sz="6" w:space="0" w:color="000000"/>
              <w:bottom w:val="outset" w:sz="6" w:space="0" w:color="000000"/>
              <w:right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t>Projekta izpildes ietekme uz pārvaldes institucionālo struktūru.</w:t>
            </w:r>
          </w:p>
          <w:p w:rsidR="00A02406" w:rsidRPr="00F449FA" w:rsidRDefault="00A02406" w:rsidP="004E7E27">
            <w:pPr>
              <w:spacing w:before="100" w:beforeAutospacing="1" w:after="100" w:afterAutospacing="1"/>
              <w:rPr>
                <w:color w:val="000000"/>
              </w:rPr>
            </w:pPr>
            <w:r w:rsidRPr="00F449FA">
              <w:rPr>
                <w:color w:val="000000"/>
              </w:rPr>
              <w:t>Esošu institūciju reorganizācija</w:t>
            </w:r>
          </w:p>
        </w:tc>
        <w:tc>
          <w:tcPr>
            <w:tcW w:w="6949" w:type="dxa"/>
            <w:tcBorders>
              <w:top w:val="outset" w:sz="6" w:space="0" w:color="000000"/>
              <w:left w:val="outset" w:sz="6" w:space="0" w:color="000000"/>
              <w:bottom w:val="outset" w:sz="6" w:space="0" w:color="000000"/>
            </w:tcBorders>
          </w:tcPr>
          <w:p w:rsidR="00A02406" w:rsidRPr="00F449FA" w:rsidRDefault="00A02406" w:rsidP="004E7E27">
            <w:pPr>
              <w:spacing w:before="100" w:beforeAutospacing="1" w:after="100" w:afterAutospacing="1"/>
              <w:jc w:val="both"/>
              <w:rPr>
                <w:color w:val="000000"/>
              </w:rPr>
            </w:pPr>
            <w:r w:rsidRPr="00F449FA">
              <w:rPr>
                <w:color w:val="000000"/>
              </w:rPr>
              <w:t>Likumprojekts  neparedz ietekmi uz pārvaldes institucionālo struktūru.</w:t>
            </w:r>
          </w:p>
          <w:p w:rsidR="00A02406" w:rsidRPr="00F449FA" w:rsidRDefault="00A02406" w:rsidP="004E7E27">
            <w:pPr>
              <w:spacing w:before="100" w:beforeAutospacing="1" w:after="100" w:afterAutospacing="1"/>
              <w:jc w:val="both"/>
              <w:rPr>
                <w:color w:val="000000"/>
              </w:rPr>
            </w:pPr>
          </w:p>
          <w:p w:rsidR="00A02406" w:rsidRPr="00F449FA" w:rsidRDefault="00A02406" w:rsidP="004E7E27">
            <w:pPr>
              <w:spacing w:before="100" w:beforeAutospacing="1" w:after="100" w:afterAutospacing="1"/>
              <w:jc w:val="both"/>
              <w:rPr>
                <w:color w:val="000000"/>
              </w:rPr>
            </w:pPr>
            <w:r w:rsidRPr="00F449FA">
              <w:rPr>
                <w:color w:val="000000"/>
              </w:rPr>
              <w:t>Esošās institūcijas netiek reorganizētas.</w:t>
            </w:r>
          </w:p>
        </w:tc>
      </w:tr>
      <w:tr w:rsidR="00A02406" w:rsidRPr="00F449FA" w:rsidTr="004E7E27">
        <w:trPr>
          <w:trHeight w:val="50"/>
        </w:trPr>
        <w:tc>
          <w:tcPr>
            <w:tcW w:w="243" w:type="dxa"/>
            <w:tcBorders>
              <w:top w:val="outset" w:sz="6" w:space="0" w:color="000000"/>
              <w:bottom w:val="outset" w:sz="6" w:space="0" w:color="000000"/>
              <w:right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t>6.</w:t>
            </w:r>
          </w:p>
        </w:tc>
        <w:tc>
          <w:tcPr>
            <w:tcW w:w="2619" w:type="dxa"/>
            <w:tcBorders>
              <w:top w:val="outset" w:sz="6" w:space="0" w:color="000000"/>
              <w:left w:val="outset" w:sz="6" w:space="0" w:color="000000"/>
              <w:bottom w:val="outset" w:sz="6" w:space="0" w:color="000000"/>
              <w:right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t>Cita informācija</w:t>
            </w:r>
          </w:p>
        </w:tc>
        <w:tc>
          <w:tcPr>
            <w:tcW w:w="6949" w:type="dxa"/>
            <w:tcBorders>
              <w:top w:val="outset" w:sz="6" w:space="0" w:color="000000"/>
              <w:left w:val="outset" w:sz="6" w:space="0" w:color="000000"/>
              <w:bottom w:val="outset" w:sz="6" w:space="0" w:color="000000"/>
            </w:tcBorders>
          </w:tcPr>
          <w:p w:rsidR="00A02406" w:rsidRPr="00F449FA" w:rsidRDefault="00A02406" w:rsidP="004E7E27">
            <w:pPr>
              <w:spacing w:before="100" w:beforeAutospacing="1" w:after="100" w:afterAutospacing="1"/>
              <w:rPr>
                <w:color w:val="000000"/>
              </w:rPr>
            </w:pPr>
            <w:r w:rsidRPr="00F449FA">
              <w:rPr>
                <w:color w:val="000000"/>
              </w:rPr>
              <w:t>Nav</w:t>
            </w:r>
          </w:p>
        </w:tc>
      </w:tr>
    </w:tbl>
    <w:p w:rsidR="006516CC" w:rsidRPr="00F449FA" w:rsidRDefault="006516CC" w:rsidP="006516CC">
      <w:pPr>
        <w:tabs>
          <w:tab w:val="left" w:pos="5940"/>
        </w:tabs>
        <w:rPr>
          <w:color w:val="000000"/>
        </w:rPr>
      </w:pPr>
    </w:p>
    <w:p w:rsidR="005D2E0E" w:rsidRDefault="005D2E0E" w:rsidP="005D581A">
      <w:pPr>
        <w:tabs>
          <w:tab w:val="left" w:pos="6804"/>
        </w:tabs>
        <w:ind w:firstLine="709"/>
        <w:jc w:val="both"/>
        <w:rPr>
          <w:color w:val="000000"/>
        </w:rPr>
      </w:pPr>
    </w:p>
    <w:p w:rsidR="005D2E0E" w:rsidRDefault="005D2E0E" w:rsidP="005D581A">
      <w:pPr>
        <w:tabs>
          <w:tab w:val="left" w:pos="6804"/>
        </w:tabs>
        <w:ind w:firstLine="709"/>
        <w:jc w:val="both"/>
        <w:rPr>
          <w:color w:val="000000"/>
        </w:rPr>
      </w:pPr>
    </w:p>
    <w:p w:rsidR="005D581A" w:rsidRPr="00F449FA" w:rsidRDefault="005D581A" w:rsidP="005D581A">
      <w:pPr>
        <w:tabs>
          <w:tab w:val="left" w:pos="6804"/>
        </w:tabs>
        <w:ind w:firstLine="709"/>
        <w:jc w:val="both"/>
        <w:rPr>
          <w:color w:val="000000"/>
        </w:rPr>
      </w:pPr>
      <w:r>
        <w:rPr>
          <w:color w:val="000000"/>
        </w:rPr>
        <w:t xml:space="preserve">Finanšu ministrs </w:t>
      </w:r>
      <w:r>
        <w:rPr>
          <w:color w:val="000000"/>
        </w:rPr>
        <w:tab/>
      </w:r>
      <w:r>
        <w:rPr>
          <w:color w:val="000000"/>
        </w:rPr>
        <w:tab/>
        <w:t>Andris Vilks</w:t>
      </w:r>
    </w:p>
    <w:p w:rsidR="005D581A" w:rsidRDefault="005D581A" w:rsidP="005D581A">
      <w:pPr>
        <w:pStyle w:val="NormalWeb"/>
        <w:spacing w:before="0" w:beforeAutospacing="0" w:after="0" w:afterAutospacing="0"/>
        <w:jc w:val="both"/>
        <w:rPr>
          <w:color w:val="000000"/>
        </w:rPr>
      </w:pPr>
    </w:p>
    <w:p w:rsidR="00A5644A" w:rsidRDefault="00A5644A" w:rsidP="005D581A">
      <w:pPr>
        <w:pStyle w:val="NormalWeb"/>
        <w:spacing w:before="0" w:beforeAutospacing="0" w:after="0" w:afterAutospacing="0"/>
        <w:jc w:val="both"/>
        <w:rPr>
          <w:color w:val="000000"/>
        </w:rPr>
      </w:pPr>
    </w:p>
    <w:p w:rsidR="00DF252F" w:rsidRDefault="00DF252F" w:rsidP="005D581A">
      <w:pPr>
        <w:jc w:val="both"/>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4263CB">
        <w:rPr>
          <w:noProof/>
          <w:color w:val="000000"/>
          <w:sz w:val="20"/>
          <w:szCs w:val="20"/>
        </w:rPr>
        <w:t>0</w:t>
      </w:r>
      <w:r w:rsidR="004263CB">
        <w:rPr>
          <w:noProof/>
          <w:color w:val="000000"/>
          <w:sz w:val="20"/>
          <w:szCs w:val="20"/>
        </w:rPr>
        <w:t>5</w:t>
      </w:r>
      <w:r w:rsidR="004263CB">
        <w:rPr>
          <w:noProof/>
          <w:color w:val="000000"/>
          <w:sz w:val="20"/>
          <w:szCs w:val="20"/>
        </w:rPr>
        <w:t>.06.2014 1</w:t>
      </w:r>
      <w:r w:rsidR="004263CB">
        <w:rPr>
          <w:noProof/>
          <w:color w:val="000000"/>
          <w:sz w:val="20"/>
          <w:szCs w:val="20"/>
        </w:rPr>
        <w:t>4</w:t>
      </w:r>
      <w:r w:rsidR="004263CB">
        <w:rPr>
          <w:noProof/>
          <w:color w:val="000000"/>
          <w:sz w:val="20"/>
          <w:szCs w:val="20"/>
        </w:rPr>
        <w:t>:</w:t>
      </w:r>
      <w:r>
        <w:rPr>
          <w:color w:val="000000"/>
          <w:sz w:val="20"/>
          <w:szCs w:val="20"/>
        </w:rPr>
        <w:fldChar w:fldCharType="end"/>
      </w:r>
      <w:r w:rsidR="004263CB">
        <w:rPr>
          <w:color w:val="000000"/>
          <w:sz w:val="20"/>
          <w:szCs w:val="20"/>
        </w:rPr>
        <w:t>56</w:t>
      </w:r>
    </w:p>
    <w:p w:rsidR="005D581A" w:rsidRDefault="00E226C5" w:rsidP="005D581A">
      <w:pPr>
        <w:jc w:val="both"/>
        <w:rPr>
          <w:color w:val="000000"/>
          <w:sz w:val="20"/>
          <w:szCs w:val="20"/>
        </w:rPr>
      </w:pPr>
      <w:r>
        <w:rPr>
          <w:color w:val="000000"/>
          <w:sz w:val="20"/>
          <w:szCs w:val="20"/>
        </w:rPr>
        <w:t>2</w:t>
      </w:r>
      <w:r w:rsidR="00B64D1A">
        <w:rPr>
          <w:color w:val="000000"/>
          <w:sz w:val="20"/>
          <w:szCs w:val="20"/>
        </w:rPr>
        <w:t>533</w:t>
      </w:r>
      <w:bookmarkStart w:id="0" w:name="_GoBack"/>
      <w:bookmarkEnd w:id="0"/>
    </w:p>
    <w:p w:rsidR="003B4F1E" w:rsidRDefault="003B4F1E" w:rsidP="005D581A">
      <w:pPr>
        <w:jc w:val="both"/>
        <w:rPr>
          <w:color w:val="000000"/>
          <w:sz w:val="20"/>
          <w:szCs w:val="20"/>
        </w:rPr>
      </w:pPr>
    </w:p>
    <w:p w:rsidR="003B4F1E" w:rsidRDefault="003B4F1E" w:rsidP="005D581A">
      <w:pPr>
        <w:jc w:val="both"/>
        <w:rPr>
          <w:color w:val="000000"/>
          <w:sz w:val="20"/>
          <w:szCs w:val="20"/>
        </w:rPr>
      </w:pPr>
    </w:p>
    <w:p w:rsidR="005D581A" w:rsidRPr="00F21367" w:rsidRDefault="005D581A" w:rsidP="005D581A">
      <w:pPr>
        <w:pStyle w:val="NormalWeb"/>
        <w:spacing w:before="0" w:beforeAutospacing="0" w:after="0" w:afterAutospacing="0"/>
        <w:jc w:val="both"/>
        <w:rPr>
          <w:color w:val="000000"/>
          <w:sz w:val="20"/>
          <w:szCs w:val="20"/>
        </w:rPr>
      </w:pPr>
      <w:r w:rsidRPr="00F21367">
        <w:rPr>
          <w:color w:val="000000"/>
          <w:sz w:val="20"/>
          <w:szCs w:val="20"/>
        </w:rPr>
        <w:t>I.Lubāns,</w:t>
      </w:r>
    </w:p>
    <w:p w:rsidR="005D581A" w:rsidRPr="00F21367" w:rsidRDefault="005D581A" w:rsidP="005D581A">
      <w:pPr>
        <w:pStyle w:val="NormalWeb"/>
        <w:spacing w:before="0" w:beforeAutospacing="0" w:after="0" w:afterAutospacing="0"/>
        <w:jc w:val="both"/>
        <w:rPr>
          <w:color w:val="000000"/>
          <w:sz w:val="20"/>
          <w:szCs w:val="20"/>
        </w:rPr>
      </w:pPr>
      <w:r w:rsidRPr="00F21367">
        <w:rPr>
          <w:color w:val="000000"/>
          <w:sz w:val="20"/>
          <w:szCs w:val="20"/>
        </w:rPr>
        <w:t xml:space="preserve">67095481, </w:t>
      </w:r>
      <w:hyperlink r:id="rId10" w:history="1">
        <w:r w:rsidRPr="00F21367">
          <w:rPr>
            <w:rStyle w:val="Hyperlink"/>
            <w:sz w:val="20"/>
            <w:szCs w:val="20"/>
          </w:rPr>
          <w:t>imants.lubans@fm.gov.lv</w:t>
        </w:r>
      </w:hyperlink>
      <w:r w:rsidRPr="00F21367">
        <w:rPr>
          <w:color w:val="000000"/>
          <w:sz w:val="20"/>
          <w:szCs w:val="20"/>
        </w:rPr>
        <w:t xml:space="preserve"> </w:t>
      </w:r>
    </w:p>
    <w:p w:rsidR="005D581A" w:rsidRPr="00F21367" w:rsidRDefault="005D581A" w:rsidP="005D581A">
      <w:pPr>
        <w:rPr>
          <w:sz w:val="20"/>
          <w:szCs w:val="20"/>
        </w:rPr>
      </w:pPr>
      <w:r w:rsidRPr="00F21367">
        <w:rPr>
          <w:sz w:val="20"/>
          <w:szCs w:val="20"/>
        </w:rPr>
        <w:t>J.Kabanovs</w:t>
      </w:r>
    </w:p>
    <w:p w:rsidR="003B4F1E" w:rsidRPr="003B4F1E" w:rsidRDefault="005D581A" w:rsidP="003B4F1E">
      <w:r w:rsidRPr="00F21367">
        <w:rPr>
          <w:sz w:val="20"/>
          <w:szCs w:val="20"/>
        </w:rPr>
        <w:t xml:space="preserve">67095478, </w:t>
      </w:r>
      <w:hyperlink r:id="rId11" w:history="1">
        <w:r w:rsidRPr="00F21367">
          <w:rPr>
            <w:rStyle w:val="Hyperlink"/>
            <w:sz w:val="20"/>
            <w:szCs w:val="20"/>
          </w:rPr>
          <w:t>jurijs.kabanovs@fm.gov.lv</w:t>
        </w:r>
      </w:hyperlink>
      <w:r w:rsidRPr="00F21367">
        <w:rPr>
          <w:sz w:val="20"/>
          <w:szCs w:val="20"/>
        </w:rPr>
        <w:t xml:space="preserve"> </w:t>
      </w:r>
    </w:p>
    <w:sectPr w:rsidR="003B4F1E" w:rsidRPr="003B4F1E" w:rsidSect="00EE1D8C">
      <w:headerReference w:type="default" r:id="rId1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15" w:rsidRDefault="00597415" w:rsidP="006516CC">
      <w:r>
        <w:separator/>
      </w:r>
    </w:p>
  </w:endnote>
  <w:endnote w:type="continuationSeparator" w:id="0">
    <w:p w:rsidR="00597415" w:rsidRDefault="00597415" w:rsidP="0065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Nimbus Sans L">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1E" w:rsidRPr="003B4F1E" w:rsidRDefault="003B4F1E" w:rsidP="003B4F1E">
    <w:pPr>
      <w:pStyle w:val="Footer"/>
      <w:rPr>
        <w:sz w:val="20"/>
        <w:szCs w:val="20"/>
      </w:rPr>
    </w:pPr>
    <w:r w:rsidRPr="003B4F1E">
      <w:rPr>
        <w:sz w:val="20"/>
        <w:szCs w:val="20"/>
      </w:rPr>
      <w:t>FMAnot_</w:t>
    </w:r>
    <w:r w:rsidR="004308E3">
      <w:rPr>
        <w:sz w:val="20"/>
        <w:szCs w:val="20"/>
      </w:rPr>
      <w:t>0506</w:t>
    </w:r>
    <w:r w:rsidRPr="003B4F1E">
      <w:rPr>
        <w:sz w:val="20"/>
        <w:szCs w:val="20"/>
      </w:rPr>
      <w:t xml:space="preserve">14_KAKL </w:t>
    </w:r>
  </w:p>
  <w:p w:rsidR="003B4F1E" w:rsidRDefault="003B4F1E">
    <w:pPr>
      <w:pStyle w:val="Footer"/>
    </w:pPr>
  </w:p>
  <w:p w:rsidR="003B4F1E" w:rsidRDefault="003B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15" w:rsidRDefault="00597415" w:rsidP="006516CC">
      <w:r>
        <w:separator/>
      </w:r>
    </w:p>
  </w:footnote>
  <w:footnote w:type="continuationSeparator" w:id="0">
    <w:p w:rsidR="00597415" w:rsidRDefault="00597415" w:rsidP="0065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630709069"/>
      <w:docPartObj>
        <w:docPartGallery w:val="Page Numbers (Top of Page)"/>
        <w:docPartUnique/>
      </w:docPartObj>
    </w:sdtPr>
    <w:sdtEndPr>
      <w:rPr>
        <w:noProof/>
      </w:rPr>
    </w:sdtEndPr>
    <w:sdtContent>
      <w:p w:rsidR="00CA4ECE" w:rsidRPr="003B4F1E" w:rsidRDefault="00CA4ECE">
        <w:pPr>
          <w:pStyle w:val="Header"/>
          <w:jc w:val="center"/>
          <w:rPr>
            <w:sz w:val="28"/>
            <w:szCs w:val="28"/>
          </w:rPr>
        </w:pPr>
        <w:r w:rsidRPr="003B4F1E">
          <w:rPr>
            <w:sz w:val="28"/>
            <w:szCs w:val="28"/>
          </w:rPr>
          <w:fldChar w:fldCharType="begin"/>
        </w:r>
        <w:r w:rsidRPr="003B4F1E">
          <w:rPr>
            <w:sz w:val="28"/>
            <w:szCs w:val="28"/>
          </w:rPr>
          <w:instrText xml:space="preserve"> PAGE   \* MERGEFORMAT </w:instrText>
        </w:r>
        <w:r w:rsidRPr="003B4F1E">
          <w:rPr>
            <w:sz w:val="28"/>
            <w:szCs w:val="28"/>
          </w:rPr>
          <w:fldChar w:fldCharType="separate"/>
        </w:r>
        <w:r w:rsidR="004263CB">
          <w:rPr>
            <w:noProof/>
            <w:sz w:val="28"/>
            <w:szCs w:val="28"/>
          </w:rPr>
          <w:t>9</w:t>
        </w:r>
        <w:r w:rsidRPr="003B4F1E">
          <w:rPr>
            <w:noProof/>
            <w:sz w:val="28"/>
            <w:szCs w:val="28"/>
          </w:rPr>
          <w:fldChar w:fldCharType="end"/>
        </w:r>
      </w:p>
    </w:sdtContent>
  </w:sdt>
  <w:p w:rsidR="00CA4ECE" w:rsidRDefault="00CA4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6C96"/>
    <w:multiLevelType w:val="hybridMultilevel"/>
    <w:tmpl w:val="EF344B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A352DA"/>
    <w:multiLevelType w:val="hybridMultilevel"/>
    <w:tmpl w:val="13BA15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62334D"/>
    <w:multiLevelType w:val="hybridMultilevel"/>
    <w:tmpl w:val="9D288A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7BF02D5"/>
    <w:multiLevelType w:val="hybridMultilevel"/>
    <w:tmpl w:val="C13482EE"/>
    <w:lvl w:ilvl="0" w:tplc="CEB6D93E">
      <w:start w:val="201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CC"/>
    <w:rsid w:val="00005D31"/>
    <w:rsid w:val="000155B4"/>
    <w:rsid w:val="00020DB0"/>
    <w:rsid w:val="00022F6F"/>
    <w:rsid w:val="000252FA"/>
    <w:rsid w:val="00035105"/>
    <w:rsid w:val="00035D76"/>
    <w:rsid w:val="00047435"/>
    <w:rsid w:val="00056CDA"/>
    <w:rsid w:val="00056FAB"/>
    <w:rsid w:val="0005785D"/>
    <w:rsid w:val="000630C8"/>
    <w:rsid w:val="000668CB"/>
    <w:rsid w:val="000715DD"/>
    <w:rsid w:val="00071BDC"/>
    <w:rsid w:val="0008181B"/>
    <w:rsid w:val="000902D0"/>
    <w:rsid w:val="00092C1A"/>
    <w:rsid w:val="000B5616"/>
    <w:rsid w:val="000C1243"/>
    <w:rsid w:val="000D4C53"/>
    <w:rsid w:val="000E1E7D"/>
    <w:rsid w:val="000F3A7B"/>
    <w:rsid w:val="000F7BCF"/>
    <w:rsid w:val="00100C1E"/>
    <w:rsid w:val="00116F0E"/>
    <w:rsid w:val="00137296"/>
    <w:rsid w:val="001423F3"/>
    <w:rsid w:val="00142CFF"/>
    <w:rsid w:val="00144087"/>
    <w:rsid w:val="00144C7E"/>
    <w:rsid w:val="00150ABD"/>
    <w:rsid w:val="0017579F"/>
    <w:rsid w:val="00181D5E"/>
    <w:rsid w:val="00183030"/>
    <w:rsid w:val="001936AD"/>
    <w:rsid w:val="001A0FB6"/>
    <w:rsid w:val="001A72BC"/>
    <w:rsid w:val="001B081E"/>
    <w:rsid w:val="001B7B95"/>
    <w:rsid w:val="001C0CE6"/>
    <w:rsid w:val="001C2AB5"/>
    <w:rsid w:val="001D5F64"/>
    <w:rsid w:val="001D68C8"/>
    <w:rsid w:val="001F52C3"/>
    <w:rsid w:val="001F6BF8"/>
    <w:rsid w:val="0020452D"/>
    <w:rsid w:val="002208CD"/>
    <w:rsid w:val="00220A9C"/>
    <w:rsid w:val="00222317"/>
    <w:rsid w:val="00222961"/>
    <w:rsid w:val="00232C1F"/>
    <w:rsid w:val="00235546"/>
    <w:rsid w:val="00240168"/>
    <w:rsid w:val="0025427F"/>
    <w:rsid w:val="002612E3"/>
    <w:rsid w:val="00261B41"/>
    <w:rsid w:val="00266882"/>
    <w:rsid w:val="00266C0C"/>
    <w:rsid w:val="00283C1E"/>
    <w:rsid w:val="002940DE"/>
    <w:rsid w:val="002A55BD"/>
    <w:rsid w:val="002B7DDB"/>
    <w:rsid w:val="002C3B4E"/>
    <w:rsid w:val="002C5F44"/>
    <w:rsid w:val="002E0367"/>
    <w:rsid w:val="002E7869"/>
    <w:rsid w:val="002F106A"/>
    <w:rsid w:val="002F392D"/>
    <w:rsid w:val="002F48E1"/>
    <w:rsid w:val="003111A0"/>
    <w:rsid w:val="00311D52"/>
    <w:rsid w:val="003219E5"/>
    <w:rsid w:val="00323C07"/>
    <w:rsid w:val="00335758"/>
    <w:rsid w:val="0034533B"/>
    <w:rsid w:val="00345D99"/>
    <w:rsid w:val="003614C6"/>
    <w:rsid w:val="003633B2"/>
    <w:rsid w:val="00364E8F"/>
    <w:rsid w:val="00372615"/>
    <w:rsid w:val="00381AC3"/>
    <w:rsid w:val="00390EFC"/>
    <w:rsid w:val="00391505"/>
    <w:rsid w:val="00393029"/>
    <w:rsid w:val="00394197"/>
    <w:rsid w:val="003A1893"/>
    <w:rsid w:val="003A4255"/>
    <w:rsid w:val="003A488C"/>
    <w:rsid w:val="003A5124"/>
    <w:rsid w:val="003A5B79"/>
    <w:rsid w:val="003B4F1E"/>
    <w:rsid w:val="003B7159"/>
    <w:rsid w:val="003D47A4"/>
    <w:rsid w:val="003D513B"/>
    <w:rsid w:val="003F20DC"/>
    <w:rsid w:val="003F2D75"/>
    <w:rsid w:val="004052E0"/>
    <w:rsid w:val="00420F5D"/>
    <w:rsid w:val="00424ACD"/>
    <w:rsid w:val="004263CB"/>
    <w:rsid w:val="00427041"/>
    <w:rsid w:val="004308E3"/>
    <w:rsid w:val="00441EDD"/>
    <w:rsid w:val="00442809"/>
    <w:rsid w:val="00446622"/>
    <w:rsid w:val="004570B4"/>
    <w:rsid w:val="00457776"/>
    <w:rsid w:val="0048340E"/>
    <w:rsid w:val="00485FD9"/>
    <w:rsid w:val="0049337B"/>
    <w:rsid w:val="0049347A"/>
    <w:rsid w:val="0049529D"/>
    <w:rsid w:val="004A5E23"/>
    <w:rsid w:val="004B7DE2"/>
    <w:rsid w:val="004C06E4"/>
    <w:rsid w:val="004D6183"/>
    <w:rsid w:val="004D7E2C"/>
    <w:rsid w:val="004E38D2"/>
    <w:rsid w:val="004F74D1"/>
    <w:rsid w:val="00503A0D"/>
    <w:rsid w:val="00504896"/>
    <w:rsid w:val="005060DE"/>
    <w:rsid w:val="00506160"/>
    <w:rsid w:val="005234C4"/>
    <w:rsid w:val="005356E9"/>
    <w:rsid w:val="00536DEE"/>
    <w:rsid w:val="00537B3D"/>
    <w:rsid w:val="00547DF0"/>
    <w:rsid w:val="0056607A"/>
    <w:rsid w:val="0059135D"/>
    <w:rsid w:val="00596213"/>
    <w:rsid w:val="0059706D"/>
    <w:rsid w:val="00597415"/>
    <w:rsid w:val="005A3E1D"/>
    <w:rsid w:val="005B1A13"/>
    <w:rsid w:val="005C2A8A"/>
    <w:rsid w:val="005C6D59"/>
    <w:rsid w:val="005D036F"/>
    <w:rsid w:val="005D2E0E"/>
    <w:rsid w:val="005D581A"/>
    <w:rsid w:val="005E3FC8"/>
    <w:rsid w:val="005F3499"/>
    <w:rsid w:val="005F59C4"/>
    <w:rsid w:val="00613726"/>
    <w:rsid w:val="00630833"/>
    <w:rsid w:val="00642C32"/>
    <w:rsid w:val="006516CC"/>
    <w:rsid w:val="0065754C"/>
    <w:rsid w:val="0067019E"/>
    <w:rsid w:val="006748A3"/>
    <w:rsid w:val="00686577"/>
    <w:rsid w:val="006870F9"/>
    <w:rsid w:val="00691683"/>
    <w:rsid w:val="006A3959"/>
    <w:rsid w:val="006A406F"/>
    <w:rsid w:val="006A5B26"/>
    <w:rsid w:val="006B3E1A"/>
    <w:rsid w:val="006C3309"/>
    <w:rsid w:val="006C39E9"/>
    <w:rsid w:val="006C7182"/>
    <w:rsid w:val="006D00CE"/>
    <w:rsid w:val="006D5313"/>
    <w:rsid w:val="006E3640"/>
    <w:rsid w:val="006E47C5"/>
    <w:rsid w:val="006F292E"/>
    <w:rsid w:val="006F430C"/>
    <w:rsid w:val="006F47C1"/>
    <w:rsid w:val="006F6DFA"/>
    <w:rsid w:val="007145D9"/>
    <w:rsid w:val="007252FA"/>
    <w:rsid w:val="00732FD4"/>
    <w:rsid w:val="007377B3"/>
    <w:rsid w:val="00740C37"/>
    <w:rsid w:val="00744BDB"/>
    <w:rsid w:val="00773CCE"/>
    <w:rsid w:val="0077463D"/>
    <w:rsid w:val="00775E5A"/>
    <w:rsid w:val="0078758E"/>
    <w:rsid w:val="0079560A"/>
    <w:rsid w:val="007A6F1F"/>
    <w:rsid w:val="007B0870"/>
    <w:rsid w:val="007B5021"/>
    <w:rsid w:val="007D6EC2"/>
    <w:rsid w:val="007E2211"/>
    <w:rsid w:val="007E4B99"/>
    <w:rsid w:val="007F6246"/>
    <w:rsid w:val="007F6791"/>
    <w:rsid w:val="008002C8"/>
    <w:rsid w:val="00811590"/>
    <w:rsid w:val="008235A1"/>
    <w:rsid w:val="0082450E"/>
    <w:rsid w:val="008248A8"/>
    <w:rsid w:val="008434B1"/>
    <w:rsid w:val="008560DB"/>
    <w:rsid w:val="008849D4"/>
    <w:rsid w:val="0088606E"/>
    <w:rsid w:val="00886D31"/>
    <w:rsid w:val="00887BC0"/>
    <w:rsid w:val="008A522C"/>
    <w:rsid w:val="008B0142"/>
    <w:rsid w:val="008B44A7"/>
    <w:rsid w:val="008B61A7"/>
    <w:rsid w:val="008E5260"/>
    <w:rsid w:val="008F3324"/>
    <w:rsid w:val="00914E24"/>
    <w:rsid w:val="00923084"/>
    <w:rsid w:val="00935C1B"/>
    <w:rsid w:val="00953812"/>
    <w:rsid w:val="00961EC5"/>
    <w:rsid w:val="0097312D"/>
    <w:rsid w:val="0097561A"/>
    <w:rsid w:val="0098769F"/>
    <w:rsid w:val="00990489"/>
    <w:rsid w:val="00991A21"/>
    <w:rsid w:val="009A3231"/>
    <w:rsid w:val="009A4D8C"/>
    <w:rsid w:val="009B03D4"/>
    <w:rsid w:val="009B2E77"/>
    <w:rsid w:val="009C2F53"/>
    <w:rsid w:val="009C3431"/>
    <w:rsid w:val="009D04FF"/>
    <w:rsid w:val="009D41A6"/>
    <w:rsid w:val="009D421E"/>
    <w:rsid w:val="009E0A63"/>
    <w:rsid w:val="009E5F70"/>
    <w:rsid w:val="00A02406"/>
    <w:rsid w:val="00A17B45"/>
    <w:rsid w:val="00A22D5D"/>
    <w:rsid w:val="00A27C2B"/>
    <w:rsid w:val="00A334F3"/>
    <w:rsid w:val="00A34738"/>
    <w:rsid w:val="00A45B10"/>
    <w:rsid w:val="00A5644A"/>
    <w:rsid w:val="00A57206"/>
    <w:rsid w:val="00A61F60"/>
    <w:rsid w:val="00A73799"/>
    <w:rsid w:val="00A972DC"/>
    <w:rsid w:val="00A97DEE"/>
    <w:rsid w:val="00AA3314"/>
    <w:rsid w:val="00AB3752"/>
    <w:rsid w:val="00AB5551"/>
    <w:rsid w:val="00AB7D63"/>
    <w:rsid w:val="00AC3D1D"/>
    <w:rsid w:val="00AD5F79"/>
    <w:rsid w:val="00AE1001"/>
    <w:rsid w:val="00AF729E"/>
    <w:rsid w:val="00B0122C"/>
    <w:rsid w:val="00B12037"/>
    <w:rsid w:val="00B12B07"/>
    <w:rsid w:val="00B15803"/>
    <w:rsid w:val="00B3134B"/>
    <w:rsid w:val="00B4638C"/>
    <w:rsid w:val="00B505D4"/>
    <w:rsid w:val="00B57A64"/>
    <w:rsid w:val="00B60735"/>
    <w:rsid w:val="00B62090"/>
    <w:rsid w:val="00B64D1A"/>
    <w:rsid w:val="00B658DB"/>
    <w:rsid w:val="00B7054D"/>
    <w:rsid w:val="00B71BCE"/>
    <w:rsid w:val="00B76F2D"/>
    <w:rsid w:val="00B84A3C"/>
    <w:rsid w:val="00B86B3C"/>
    <w:rsid w:val="00BA3FD5"/>
    <w:rsid w:val="00BC6CA8"/>
    <w:rsid w:val="00BC78D1"/>
    <w:rsid w:val="00BD726E"/>
    <w:rsid w:val="00BE36E5"/>
    <w:rsid w:val="00BF1D77"/>
    <w:rsid w:val="00C11776"/>
    <w:rsid w:val="00C211E3"/>
    <w:rsid w:val="00C215C0"/>
    <w:rsid w:val="00C35DC9"/>
    <w:rsid w:val="00C36634"/>
    <w:rsid w:val="00C372C2"/>
    <w:rsid w:val="00C37DF3"/>
    <w:rsid w:val="00C4470C"/>
    <w:rsid w:val="00C476F0"/>
    <w:rsid w:val="00C527BB"/>
    <w:rsid w:val="00C52FBB"/>
    <w:rsid w:val="00C55893"/>
    <w:rsid w:val="00C56E18"/>
    <w:rsid w:val="00C60FA0"/>
    <w:rsid w:val="00C6178C"/>
    <w:rsid w:val="00C655FD"/>
    <w:rsid w:val="00C715E3"/>
    <w:rsid w:val="00C72783"/>
    <w:rsid w:val="00C76B0F"/>
    <w:rsid w:val="00C84134"/>
    <w:rsid w:val="00C9434B"/>
    <w:rsid w:val="00C94CDC"/>
    <w:rsid w:val="00CA12A6"/>
    <w:rsid w:val="00CA4ECE"/>
    <w:rsid w:val="00CA73C0"/>
    <w:rsid w:val="00CB0182"/>
    <w:rsid w:val="00CB6188"/>
    <w:rsid w:val="00CC11C1"/>
    <w:rsid w:val="00CC2CA3"/>
    <w:rsid w:val="00CC2EA3"/>
    <w:rsid w:val="00CC3645"/>
    <w:rsid w:val="00CC5B30"/>
    <w:rsid w:val="00CD3E67"/>
    <w:rsid w:val="00CD6D7F"/>
    <w:rsid w:val="00CE2F09"/>
    <w:rsid w:val="00CE6B2A"/>
    <w:rsid w:val="00CF0EA1"/>
    <w:rsid w:val="00CF624C"/>
    <w:rsid w:val="00D11378"/>
    <w:rsid w:val="00D12236"/>
    <w:rsid w:val="00D153DF"/>
    <w:rsid w:val="00D17159"/>
    <w:rsid w:val="00D17998"/>
    <w:rsid w:val="00D21E40"/>
    <w:rsid w:val="00D22E63"/>
    <w:rsid w:val="00D34A04"/>
    <w:rsid w:val="00D42A4A"/>
    <w:rsid w:val="00D44435"/>
    <w:rsid w:val="00D54753"/>
    <w:rsid w:val="00D60340"/>
    <w:rsid w:val="00D62C43"/>
    <w:rsid w:val="00D67343"/>
    <w:rsid w:val="00D82FC4"/>
    <w:rsid w:val="00D85A1A"/>
    <w:rsid w:val="00DA1FA2"/>
    <w:rsid w:val="00DB056B"/>
    <w:rsid w:val="00DD06E3"/>
    <w:rsid w:val="00DD2EBF"/>
    <w:rsid w:val="00DD4450"/>
    <w:rsid w:val="00DD47BD"/>
    <w:rsid w:val="00DE0E4D"/>
    <w:rsid w:val="00DF252F"/>
    <w:rsid w:val="00DF38C4"/>
    <w:rsid w:val="00DF64F5"/>
    <w:rsid w:val="00E010C7"/>
    <w:rsid w:val="00E02364"/>
    <w:rsid w:val="00E024F2"/>
    <w:rsid w:val="00E12B09"/>
    <w:rsid w:val="00E1371F"/>
    <w:rsid w:val="00E13FCA"/>
    <w:rsid w:val="00E226C5"/>
    <w:rsid w:val="00E330B8"/>
    <w:rsid w:val="00E33804"/>
    <w:rsid w:val="00E57406"/>
    <w:rsid w:val="00E65BB0"/>
    <w:rsid w:val="00E70E09"/>
    <w:rsid w:val="00E72442"/>
    <w:rsid w:val="00E82978"/>
    <w:rsid w:val="00E918B2"/>
    <w:rsid w:val="00E9239F"/>
    <w:rsid w:val="00E929B4"/>
    <w:rsid w:val="00E92D5C"/>
    <w:rsid w:val="00EA41E3"/>
    <w:rsid w:val="00EB32E4"/>
    <w:rsid w:val="00EB5159"/>
    <w:rsid w:val="00EB73A6"/>
    <w:rsid w:val="00ED15D4"/>
    <w:rsid w:val="00ED15D6"/>
    <w:rsid w:val="00ED6ECE"/>
    <w:rsid w:val="00EE05FE"/>
    <w:rsid w:val="00EE1D8C"/>
    <w:rsid w:val="00EF1BEE"/>
    <w:rsid w:val="00F02295"/>
    <w:rsid w:val="00F26639"/>
    <w:rsid w:val="00F3346F"/>
    <w:rsid w:val="00F34B9A"/>
    <w:rsid w:val="00F61FCA"/>
    <w:rsid w:val="00FB3D11"/>
    <w:rsid w:val="00FC53C8"/>
    <w:rsid w:val="00FD077C"/>
    <w:rsid w:val="00FD0789"/>
    <w:rsid w:val="00FD512C"/>
    <w:rsid w:val="00FE6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B2A73ED-7761-4D66-ABBC-70CE30ED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CC"/>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516CC"/>
    <w:pPr>
      <w:spacing w:before="100" w:beforeAutospacing="1" w:after="100" w:afterAutospacing="1"/>
    </w:pPr>
  </w:style>
  <w:style w:type="paragraph" w:styleId="ListParagraph">
    <w:name w:val="List Paragraph"/>
    <w:basedOn w:val="Normal"/>
    <w:uiPriority w:val="34"/>
    <w:qFormat/>
    <w:rsid w:val="006516CC"/>
    <w:pPr>
      <w:ind w:left="720"/>
      <w:contextualSpacing/>
    </w:pPr>
  </w:style>
  <w:style w:type="paragraph" w:styleId="FootnoteText">
    <w:name w:val="footnote text"/>
    <w:basedOn w:val="Normal"/>
    <w:link w:val="FootnoteTextChar"/>
    <w:uiPriority w:val="99"/>
    <w:semiHidden/>
    <w:rsid w:val="006516CC"/>
    <w:pPr>
      <w:ind w:left="720" w:hanging="720"/>
      <w:jc w:val="both"/>
    </w:pPr>
    <w:rPr>
      <w:sz w:val="20"/>
      <w:szCs w:val="20"/>
      <w:lang w:eastAsia="en-GB"/>
    </w:rPr>
  </w:style>
  <w:style w:type="character" w:customStyle="1" w:styleId="FootnoteTextChar">
    <w:name w:val="Footnote Text Char"/>
    <w:basedOn w:val="DefaultParagraphFont"/>
    <w:link w:val="FootnoteText"/>
    <w:uiPriority w:val="99"/>
    <w:semiHidden/>
    <w:rsid w:val="006516CC"/>
    <w:rPr>
      <w:rFonts w:eastAsia="Times New Roman" w:cs="Times New Roman"/>
      <w:sz w:val="20"/>
      <w:szCs w:val="20"/>
      <w:lang w:eastAsia="en-GB"/>
    </w:rPr>
  </w:style>
  <w:style w:type="character" w:customStyle="1" w:styleId="NormalWebChar">
    <w:name w:val="Normal (Web) Char"/>
    <w:link w:val="NormalWeb"/>
    <w:locked/>
    <w:rsid w:val="006516CC"/>
    <w:rPr>
      <w:rFonts w:eastAsia="Times New Roman" w:cs="Times New Roman"/>
      <w:szCs w:val="24"/>
      <w:lang w:eastAsia="lv-LV"/>
    </w:rPr>
  </w:style>
  <w:style w:type="paragraph" w:customStyle="1" w:styleId="tv2131">
    <w:name w:val="tv2131"/>
    <w:basedOn w:val="Normal"/>
    <w:uiPriority w:val="99"/>
    <w:rsid w:val="006516CC"/>
    <w:pPr>
      <w:spacing w:before="240" w:line="360" w:lineRule="auto"/>
      <w:ind w:firstLine="272"/>
      <w:jc w:val="both"/>
    </w:pPr>
    <w:rPr>
      <w:rFonts w:ascii="Verdana" w:hAnsi="Verdana"/>
      <w:sz w:val="16"/>
      <w:szCs w:val="16"/>
    </w:rPr>
  </w:style>
  <w:style w:type="paragraph" w:styleId="BodyText">
    <w:name w:val="Body Text"/>
    <w:basedOn w:val="Normal"/>
    <w:link w:val="BodyTextChar"/>
    <w:uiPriority w:val="99"/>
    <w:rsid w:val="006516CC"/>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6516CC"/>
    <w:rPr>
      <w:rFonts w:eastAsia="Nimbus Sans L" w:cs="Nimbus Sans L"/>
      <w:kern w:val="1"/>
      <w:sz w:val="28"/>
      <w:szCs w:val="24"/>
      <w:lang w:val="en-US" w:eastAsia="hi-IN" w:bidi="hi-IN"/>
    </w:rPr>
  </w:style>
  <w:style w:type="character" w:styleId="FootnoteReference">
    <w:name w:val="footnote reference"/>
    <w:uiPriority w:val="99"/>
    <w:semiHidden/>
    <w:unhideWhenUsed/>
    <w:rsid w:val="006516CC"/>
    <w:rPr>
      <w:vertAlign w:val="superscript"/>
    </w:rPr>
  </w:style>
  <w:style w:type="paragraph" w:customStyle="1" w:styleId="tvhtml">
    <w:name w:val="tv_html"/>
    <w:basedOn w:val="Normal"/>
    <w:rsid w:val="006516CC"/>
    <w:pPr>
      <w:spacing w:before="100" w:beforeAutospacing="1" w:after="100" w:afterAutospacing="1"/>
    </w:pPr>
    <w:rPr>
      <w:rFonts w:ascii="Verdana" w:hAnsi="Verdana"/>
      <w:sz w:val="16"/>
      <w:szCs w:val="16"/>
    </w:rPr>
  </w:style>
  <w:style w:type="paragraph" w:customStyle="1" w:styleId="tvhtml1">
    <w:name w:val="tv_html1"/>
    <w:basedOn w:val="Normal"/>
    <w:rsid w:val="006516CC"/>
    <w:pPr>
      <w:spacing w:before="100" w:beforeAutospacing="1" w:line="360" w:lineRule="auto"/>
    </w:pPr>
    <w:rPr>
      <w:rFonts w:ascii="Verdana" w:hAnsi="Verdana"/>
      <w:sz w:val="18"/>
      <w:szCs w:val="18"/>
    </w:rPr>
  </w:style>
  <w:style w:type="character" w:customStyle="1" w:styleId="st1">
    <w:name w:val="st1"/>
    <w:basedOn w:val="DefaultParagraphFont"/>
    <w:rsid w:val="006516CC"/>
  </w:style>
  <w:style w:type="paragraph" w:customStyle="1" w:styleId="naiskr">
    <w:name w:val="naiskr"/>
    <w:basedOn w:val="Normal"/>
    <w:rsid w:val="00A02406"/>
    <w:pPr>
      <w:spacing w:before="75" w:after="75"/>
    </w:pPr>
  </w:style>
  <w:style w:type="paragraph" w:styleId="CommentText">
    <w:name w:val="annotation text"/>
    <w:basedOn w:val="Normal"/>
    <w:link w:val="CommentTextChar"/>
    <w:rsid w:val="00A02406"/>
    <w:rPr>
      <w:sz w:val="20"/>
      <w:szCs w:val="20"/>
    </w:rPr>
  </w:style>
  <w:style w:type="character" w:customStyle="1" w:styleId="CommentTextChar">
    <w:name w:val="Comment Text Char"/>
    <w:basedOn w:val="DefaultParagraphFont"/>
    <w:link w:val="CommentText"/>
    <w:rsid w:val="00A02406"/>
    <w:rPr>
      <w:rFonts w:eastAsia="Times New Roman" w:cs="Times New Roman"/>
      <w:sz w:val="20"/>
      <w:szCs w:val="20"/>
      <w:lang w:eastAsia="lv-LV"/>
    </w:rPr>
  </w:style>
  <w:style w:type="paragraph" w:customStyle="1" w:styleId="naisnod">
    <w:name w:val="naisnod"/>
    <w:basedOn w:val="Normal"/>
    <w:rsid w:val="00A02406"/>
    <w:pPr>
      <w:spacing w:before="150" w:after="150"/>
      <w:jc w:val="center"/>
    </w:pPr>
    <w:rPr>
      <w:b/>
      <w:bCs/>
    </w:rPr>
  </w:style>
  <w:style w:type="character" w:styleId="Strong">
    <w:name w:val="Strong"/>
    <w:basedOn w:val="DefaultParagraphFont"/>
    <w:uiPriority w:val="22"/>
    <w:qFormat/>
    <w:rsid w:val="00B3134B"/>
    <w:rPr>
      <w:b/>
      <w:bCs/>
    </w:rPr>
  </w:style>
  <w:style w:type="paragraph" w:styleId="BalloonText">
    <w:name w:val="Balloon Text"/>
    <w:basedOn w:val="Normal"/>
    <w:link w:val="BalloonTextChar"/>
    <w:uiPriority w:val="99"/>
    <w:semiHidden/>
    <w:unhideWhenUsed/>
    <w:rsid w:val="004E3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D2"/>
    <w:rPr>
      <w:rFonts w:ascii="Segoe UI" w:eastAsia="Times New Roman" w:hAnsi="Segoe UI" w:cs="Segoe UI"/>
      <w:sz w:val="18"/>
      <w:szCs w:val="18"/>
      <w:lang w:eastAsia="lv-LV"/>
    </w:rPr>
  </w:style>
  <w:style w:type="character" w:styleId="Hyperlink">
    <w:name w:val="Hyperlink"/>
    <w:basedOn w:val="DefaultParagraphFont"/>
    <w:uiPriority w:val="99"/>
    <w:unhideWhenUsed/>
    <w:rsid w:val="005D581A"/>
    <w:rPr>
      <w:color w:val="0563C1" w:themeColor="hyperlink"/>
      <w:u w:val="single"/>
    </w:rPr>
  </w:style>
  <w:style w:type="character" w:styleId="CommentReference">
    <w:name w:val="annotation reference"/>
    <w:basedOn w:val="DefaultParagraphFont"/>
    <w:uiPriority w:val="99"/>
    <w:semiHidden/>
    <w:unhideWhenUsed/>
    <w:rsid w:val="00335758"/>
    <w:rPr>
      <w:sz w:val="16"/>
      <w:szCs w:val="16"/>
    </w:rPr>
  </w:style>
  <w:style w:type="paragraph" w:styleId="CommentSubject">
    <w:name w:val="annotation subject"/>
    <w:basedOn w:val="CommentText"/>
    <w:next w:val="CommentText"/>
    <w:link w:val="CommentSubjectChar"/>
    <w:uiPriority w:val="99"/>
    <w:semiHidden/>
    <w:unhideWhenUsed/>
    <w:rsid w:val="00335758"/>
    <w:rPr>
      <w:b/>
      <w:bCs/>
    </w:rPr>
  </w:style>
  <w:style w:type="character" w:customStyle="1" w:styleId="CommentSubjectChar">
    <w:name w:val="Comment Subject Char"/>
    <w:basedOn w:val="CommentTextChar"/>
    <w:link w:val="CommentSubject"/>
    <w:uiPriority w:val="99"/>
    <w:semiHidden/>
    <w:rsid w:val="00335758"/>
    <w:rPr>
      <w:rFonts w:eastAsia="Times New Roman" w:cs="Times New Roman"/>
      <w:b/>
      <w:bCs/>
      <w:sz w:val="20"/>
      <w:szCs w:val="20"/>
      <w:lang w:eastAsia="lv-LV"/>
    </w:rPr>
  </w:style>
  <w:style w:type="paragraph" w:styleId="Header">
    <w:name w:val="header"/>
    <w:basedOn w:val="Normal"/>
    <w:link w:val="HeaderChar"/>
    <w:uiPriority w:val="99"/>
    <w:unhideWhenUsed/>
    <w:rsid w:val="00CA4ECE"/>
    <w:pPr>
      <w:tabs>
        <w:tab w:val="center" w:pos="4153"/>
        <w:tab w:val="right" w:pos="8306"/>
      </w:tabs>
    </w:pPr>
  </w:style>
  <w:style w:type="character" w:customStyle="1" w:styleId="HeaderChar">
    <w:name w:val="Header Char"/>
    <w:basedOn w:val="DefaultParagraphFont"/>
    <w:link w:val="Header"/>
    <w:uiPriority w:val="99"/>
    <w:rsid w:val="00CA4ECE"/>
    <w:rPr>
      <w:rFonts w:eastAsia="Times New Roman" w:cs="Times New Roman"/>
      <w:szCs w:val="24"/>
      <w:lang w:eastAsia="lv-LV"/>
    </w:rPr>
  </w:style>
  <w:style w:type="paragraph" w:styleId="Footer">
    <w:name w:val="footer"/>
    <w:basedOn w:val="Normal"/>
    <w:link w:val="FooterChar"/>
    <w:uiPriority w:val="99"/>
    <w:unhideWhenUsed/>
    <w:rsid w:val="00CA4ECE"/>
    <w:pPr>
      <w:tabs>
        <w:tab w:val="center" w:pos="4153"/>
        <w:tab w:val="right" w:pos="8306"/>
      </w:tabs>
    </w:pPr>
  </w:style>
  <w:style w:type="character" w:customStyle="1" w:styleId="FooterChar">
    <w:name w:val="Footer Char"/>
    <w:basedOn w:val="DefaultParagraphFont"/>
    <w:link w:val="Footer"/>
    <w:uiPriority w:val="99"/>
    <w:rsid w:val="00CA4ECE"/>
    <w:rPr>
      <w:rFonts w:eastAsia="Times New Roman" w:cs="Times New Roman"/>
      <w:szCs w:val="24"/>
      <w:lang w:eastAsia="lv-LV"/>
    </w:rPr>
  </w:style>
  <w:style w:type="paragraph" w:customStyle="1" w:styleId="naisc">
    <w:name w:val="naisc"/>
    <w:basedOn w:val="Normal"/>
    <w:rsid w:val="00A972DC"/>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18:0017:01: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js.kabanovs@f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ants.lubans@fm.gov.lv" TargetMode="External"/><Relationship Id="rId4" Type="http://schemas.openxmlformats.org/officeDocument/2006/relationships/settings" Target="settings.xml"/><Relationship Id="rId9" Type="http://schemas.openxmlformats.org/officeDocument/2006/relationships/hyperlink" Target="http://eur-lex.europa.eu/LexUriServ/LexUriServ.do?uri=CELEX:61990CJ0041: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DBAC-1866-4421-A328-83FA54CC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13642</Words>
  <Characters>7777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"Komercdarbības atbalsta kontroles likums"</dc:title>
  <dc:subject>Anotācija</dc:subject>
  <dc:creator>Imants Lubāns</dc:creator>
  <cp:keywords/>
  <dc:description>67095481, imants.lubans@fm.gov.lv </dc:description>
  <cp:lastModifiedBy>Liene Strēlniece</cp:lastModifiedBy>
  <cp:revision>6</cp:revision>
  <cp:lastPrinted>2014-06-05T10:57:00Z</cp:lastPrinted>
  <dcterms:created xsi:type="dcterms:W3CDTF">2014-06-05T10:51:00Z</dcterms:created>
  <dcterms:modified xsi:type="dcterms:W3CDTF">2014-06-06T08:08:00Z</dcterms:modified>
</cp:coreProperties>
</file>