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9D" w:rsidRPr="0012086B" w:rsidRDefault="00D87D9D" w:rsidP="00D87D9D">
      <w:pPr>
        <w:ind w:firstLine="567"/>
        <w:jc w:val="center"/>
        <w:rPr>
          <w:b/>
          <w:lang w:val="lv-LV"/>
        </w:rPr>
      </w:pPr>
      <w:proofErr w:type="spellStart"/>
      <w:r w:rsidRPr="0012086B">
        <w:rPr>
          <w:b/>
          <w:bCs/>
          <w:lang w:val="en-US"/>
        </w:rPr>
        <w:t>Ministru</w:t>
      </w:r>
      <w:proofErr w:type="spellEnd"/>
      <w:r w:rsidRPr="0012086B">
        <w:rPr>
          <w:b/>
          <w:bCs/>
          <w:lang w:val="en-US"/>
        </w:rPr>
        <w:t xml:space="preserve"> </w:t>
      </w:r>
      <w:proofErr w:type="spellStart"/>
      <w:r w:rsidRPr="0012086B">
        <w:rPr>
          <w:b/>
          <w:bCs/>
          <w:lang w:val="en-US"/>
        </w:rPr>
        <w:t>kabineta</w:t>
      </w:r>
      <w:proofErr w:type="spellEnd"/>
      <w:r w:rsidRPr="0012086B">
        <w:rPr>
          <w:b/>
          <w:bCs/>
          <w:lang w:val="en-US"/>
        </w:rPr>
        <w:t xml:space="preserve"> </w:t>
      </w:r>
      <w:proofErr w:type="spellStart"/>
      <w:r w:rsidRPr="0012086B">
        <w:rPr>
          <w:b/>
          <w:bCs/>
          <w:lang w:val="en-US"/>
        </w:rPr>
        <w:t>noteikumu</w:t>
      </w:r>
      <w:proofErr w:type="spellEnd"/>
      <w:r w:rsidRPr="0012086B">
        <w:rPr>
          <w:b/>
          <w:bCs/>
          <w:lang w:val="en-US"/>
        </w:rPr>
        <w:t xml:space="preserve"> </w:t>
      </w:r>
      <w:proofErr w:type="spellStart"/>
      <w:r w:rsidRPr="0012086B">
        <w:rPr>
          <w:b/>
          <w:bCs/>
          <w:lang w:val="en-US"/>
        </w:rPr>
        <w:t>projekt</w:t>
      </w:r>
      <w:proofErr w:type="spellEnd"/>
      <w:r w:rsidRPr="0012086B">
        <w:rPr>
          <w:b/>
          <w:bCs/>
          <w:lang w:val="lv-LV"/>
        </w:rPr>
        <w:t>a</w:t>
      </w:r>
      <w:r w:rsidRPr="0012086B">
        <w:rPr>
          <w:b/>
          <w:bCs/>
          <w:lang w:val="en-US"/>
        </w:rPr>
        <w:t xml:space="preserve"> </w:t>
      </w:r>
      <w:r w:rsidRPr="0012086B">
        <w:rPr>
          <w:b/>
          <w:lang w:val="en-US"/>
        </w:rPr>
        <w:t xml:space="preserve">„ </w:t>
      </w:r>
      <w:r w:rsidRPr="0012086B">
        <w:rPr>
          <w:b/>
          <w:bCs/>
          <w:lang w:eastAsia="lv-LV"/>
        </w:rPr>
        <w:t xml:space="preserve">Grozījumi Ministru kabineta 2006.gada 4.jūlija noteikumos nr.556 „Likuma "Par uzņēmumu ienākuma nodokli" normu </w:t>
      </w:r>
      <w:r w:rsidRPr="0012086B">
        <w:rPr>
          <w:b/>
          <w:bCs/>
          <w:lang w:val="lv-LV" w:eastAsia="lv-LV"/>
        </w:rPr>
        <w:t>p</w:t>
      </w:r>
      <w:r w:rsidRPr="0012086B">
        <w:rPr>
          <w:b/>
          <w:bCs/>
          <w:lang w:eastAsia="lv-LV"/>
        </w:rPr>
        <w:t>iemērošanas noteikumi”</w:t>
      </w:r>
      <w:r w:rsidRPr="0012086B">
        <w:rPr>
          <w:b/>
          <w:lang w:val="lv-LV"/>
        </w:rPr>
        <w:t xml:space="preserve">”  </w:t>
      </w:r>
      <w:r w:rsidRPr="0012086B">
        <w:rPr>
          <w:b/>
          <w:bCs/>
          <w:lang w:val="lv-LV"/>
        </w:rPr>
        <w:t>sākotnējās ietekmes novērtējuma ziņojums (anotācija)</w:t>
      </w: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
        <w:gridCol w:w="1848"/>
        <w:gridCol w:w="7005"/>
      </w:tblGrid>
      <w:tr w:rsidR="0012086B" w:rsidRPr="0012086B" w:rsidTr="00E4538B">
        <w:tc>
          <w:tcPr>
            <w:tcW w:w="5000" w:type="pct"/>
            <w:gridSpan w:val="3"/>
            <w:tcBorders>
              <w:top w:val="single" w:sz="6" w:space="0" w:color="auto"/>
              <w:left w:val="single" w:sz="6" w:space="0" w:color="auto"/>
              <w:bottom w:val="outset" w:sz="6" w:space="0" w:color="000000"/>
              <w:right w:val="single" w:sz="6" w:space="0" w:color="auto"/>
            </w:tcBorders>
            <w:vAlign w:val="center"/>
          </w:tcPr>
          <w:p w:rsidR="00D87D9D" w:rsidRPr="0012086B" w:rsidRDefault="00D87D9D" w:rsidP="00E4538B">
            <w:pPr>
              <w:spacing w:before="100" w:beforeAutospacing="1" w:after="100" w:afterAutospacing="1"/>
              <w:jc w:val="both"/>
              <w:rPr>
                <w:b/>
                <w:bCs/>
                <w:lang w:val="en-US"/>
              </w:rPr>
            </w:pPr>
            <w:r w:rsidRPr="0012086B">
              <w:rPr>
                <w:b/>
                <w:bCs/>
                <w:lang w:val="en-US"/>
              </w:rPr>
              <w:t xml:space="preserve">I. </w:t>
            </w:r>
            <w:proofErr w:type="spellStart"/>
            <w:r w:rsidRPr="0012086B">
              <w:rPr>
                <w:b/>
                <w:bCs/>
                <w:lang w:val="en-US"/>
              </w:rPr>
              <w:t>Tiesību</w:t>
            </w:r>
            <w:proofErr w:type="spellEnd"/>
            <w:r w:rsidRPr="0012086B">
              <w:rPr>
                <w:b/>
                <w:bCs/>
                <w:lang w:val="en-US"/>
              </w:rPr>
              <w:t xml:space="preserve"> </w:t>
            </w:r>
            <w:proofErr w:type="spellStart"/>
            <w:r w:rsidRPr="0012086B">
              <w:rPr>
                <w:b/>
                <w:bCs/>
                <w:lang w:val="en-US"/>
              </w:rPr>
              <w:t>akta</w:t>
            </w:r>
            <w:proofErr w:type="spellEnd"/>
            <w:r w:rsidRPr="0012086B">
              <w:rPr>
                <w:b/>
                <w:bCs/>
                <w:lang w:val="en-US"/>
              </w:rPr>
              <w:t xml:space="preserve"> </w:t>
            </w:r>
            <w:proofErr w:type="spellStart"/>
            <w:r w:rsidRPr="0012086B">
              <w:rPr>
                <w:b/>
                <w:bCs/>
                <w:lang w:val="en-US"/>
              </w:rPr>
              <w:t>projekta</w:t>
            </w:r>
            <w:proofErr w:type="spellEnd"/>
            <w:r w:rsidRPr="0012086B">
              <w:rPr>
                <w:b/>
                <w:bCs/>
                <w:lang w:val="en-US"/>
              </w:rPr>
              <w:t xml:space="preserve"> </w:t>
            </w:r>
            <w:proofErr w:type="spellStart"/>
            <w:r w:rsidRPr="0012086B">
              <w:rPr>
                <w:b/>
                <w:bCs/>
                <w:lang w:val="en-US"/>
              </w:rPr>
              <w:t>izstrādes</w:t>
            </w:r>
            <w:proofErr w:type="spellEnd"/>
            <w:r w:rsidRPr="0012086B">
              <w:rPr>
                <w:b/>
                <w:bCs/>
                <w:lang w:val="en-US"/>
              </w:rPr>
              <w:t xml:space="preserve"> </w:t>
            </w:r>
            <w:proofErr w:type="spellStart"/>
            <w:r w:rsidRPr="0012086B">
              <w:rPr>
                <w:b/>
                <w:bCs/>
                <w:lang w:val="en-US"/>
              </w:rPr>
              <w:t>nepieciešamība</w:t>
            </w:r>
            <w:proofErr w:type="spellEnd"/>
          </w:p>
        </w:tc>
      </w:tr>
      <w:tr w:rsidR="0012086B" w:rsidRPr="0012086B" w:rsidTr="00E4538B">
        <w:tc>
          <w:tcPr>
            <w:tcW w:w="15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1.</w:t>
            </w:r>
          </w:p>
        </w:tc>
        <w:tc>
          <w:tcPr>
            <w:tcW w:w="101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Pamatojums</w:t>
            </w:r>
          </w:p>
        </w:tc>
        <w:tc>
          <w:tcPr>
            <w:tcW w:w="383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jc w:val="both"/>
            </w:pPr>
            <w:r w:rsidRPr="0012086B">
              <w:rPr>
                <w:lang w:val="lv-LV" w:eastAsia="lv-LV"/>
              </w:rPr>
              <w:t>Ministru kabineta n</w:t>
            </w:r>
            <w:r w:rsidRPr="0012086B">
              <w:rPr>
                <w:lang w:eastAsia="lv-LV"/>
              </w:rPr>
              <w:t xml:space="preserve">oteikumu projekts </w:t>
            </w:r>
            <w:r w:rsidRPr="0012086B">
              <w:t>„</w:t>
            </w:r>
            <w:r w:rsidRPr="0012086B">
              <w:rPr>
                <w:lang w:val="lv-LV"/>
              </w:rPr>
              <w:t>Grozījumi</w:t>
            </w:r>
            <w:r w:rsidRPr="0012086B">
              <w:rPr>
                <w:bCs/>
                <w:lang w:eastAsia="lv-LV"/>
              </w:rPr>
              <w:t xml:space="preserve"> Ministru kabineta 2006.gada 4.jūlija noteikum</w:t>
            </w:r>
            <w:proofErr w:type="spellStart"/>
            <w:r w:rsidRPr="0012086B">
              <w:rPr>
                <w:bCs/>
                <w:lang w:val="lv-LV" w:eastAsia="lv-LV"/>
              </w:rPr>
              <w:t>os</w:t>
            </w:r>
            <w:proofErr w:type="spellEnd"/>
            <w:r w:rsidRPr="0012086B">
              <w:rPr>
                <w:bCs/>
                <w:lang w:eastAsia="lv-LV"/>
              </w:rPr>
              <w:t xml:space="preserve"> nr.556 „Likuma "Par uzņēmumu ienākuma nodokli" normu piemērošanas noteikumi”</w:t>
            </w:r>
            <w:r w:rsidRPr="0012086B">
              <w:t>”</w:t>
            </w:r>
            <w:r w:rsidRPr="0012086B">
              <w:rPr>
                <w:lang w:val="lv-LV"/>
              </w:rPr>
              <w:t xml:space="preserve"> </w:t>
            </w:r>
            <w:r w:rsidRPr="0012086B">
              <w:t>(turpmāk – noteikumu projekts) izstrādāts ņemot vērā grozījumus likumā „Par uzņēmumu ienākuma nodokli”.</w:t>
            </w:r>
            <w:bookmarkStart w:id="0" w:name="OLE_LINK1"/>
            <w:bookmarkStart w:id="1" w:name="OLE_LINK2"/>
            <w:r w:rsidRPr="0012086B">
              <w:t xml:space="preserve"> Noteikumu projekta </w:t>
            </w:r>
            <w:bookmarkEnd w:id="0"/>
            <w:bookmarkEnd w:id="1"/>
            <w:r w:rsidRPr="0012086B">
              <w:t xml:space="preserve"> izstrādes nepieciešamību nosaka likuma „Par uzņēmumu ienākuma nodokli” </w:t>
            </w:r>
            <w:r w:rsidRPr="0012086B">
              <w:rPr>
                <w:lang w:val="en-US"/>
              </w:rPr>
              <w:t>(</w:t>
            </w:r>
            <w:proofErr w:type="spellStart"/>
            <w:r w:rsidRPr="0012086B">
              <w:rPr>
                <w:lang w:val="en-US"/>
              </w:rPr>
              <w:t>turpmāk</w:t>
            </w:r>
            <w:proofErr w:type="spellEnd"/>
            <w:r w:rsidRPr="0012086B">
              <w:rPr>
                <w:lang w:val="en-US"/>
              </w:rPr>
              <w:t xml:space="preserve"> – </w:t>
            </w:r>
            <w:proofErr w:type="spellStart"/>
            <w:r w:rsidRPr="0012086B">
              <w:rPr>
                <w:lang w:val="en-US"/>
              </w:rPr>
              <w:t>likums</w:t>
            </w:r>
            <w:proofErr w:type="spellEnd"/>
            <w:r w:rsidRPr="0012086B">
              <w:rPr>
                <w:lang w:val="en-US"/>
              </w:rPr>
              <w:t>) 3.panta 4.</w:t>
            </w:r>
            <w:r w:rsidRPr="0012086B">
              <w:rPr>
                <w:vertAlign w:val="superscript"/>
                <w:lang w:val="en-US"/>
              </w:rPr>
              <w:t>8</w:t>
            </w:r>
            <w:r w:rsidRPr="0012086B">
              <w:rPr>
                <w:lang w:val="en-US"/>
              </w:rPr>
              <w:t xml:space="preserve">daļa, 22.panta </w:t>
            </w:r>
            <w:proofErr w:type="spellStart"/>
            <w:r w:rsidRPr="0012086B">
              <w:rPr>
                <w:lang w:val="en-US"/>
              </w:rPr>
              <w:t>trīspadsmitā</w:t>
            </w:r>
            <w:proofErr w:type="spellEnd"/>
            <w:r w:rsidRPr="0012086B">
              <w:rPr>
                <w:lang w:val="en-US"/>
              </w:rPr>
              <w:t xml:space="preserve"> </w:t>
            </w:r>
            <w:proofErr w:type="spellStart"/>
            <w:r w:rsidRPr="0012086B">
              <w:rPr>
                <w:lang w:val="en-US"/>
              </w:rPr>
              <w:t>daļa</w:t>
            </w:r>
            <w:proofErr w:type="spellEnd"/>
            <w:r w:rsidRPr="0012086B">
              <w:rPr>
                <w:lang w:val="en-US"/>
              </w:rPr>
              <w:t xml:space="preserve"> un 27.panta 11.punktā </w:t>
            </w:r>
            <w:r w:rsidRPr="0012086B">
              <w:t xml:space="preserve">dotais deleģējums, </w:t>
            </w:r>
            <w:r w:rsidRPr="0012086B">
              <w:rPr>
                <w:lang w:val="lv-LV"/>
              </w:rPr>
              <w:t xml:space="preserve">saskaņā ar kuru Ministru kabinets nosaka kārtību, kādā nerezidents veic nodokļa pārrēķinu par ieturēto nodokli no ieņēmumiem no Latvijā esoša nekustamā īpašuma atsavināšanas, nodokļa pārskata veidlapu, kā arī nosaka kārtību, kādā Valsts ieņēmumu dienests izskata nerezidenta iesniegto pārskatu un pieņem lēmumu par pārmaksātā nodokļa atmaksu. </w:t>
            </w:r>
            <w:r w:rsidR="00F15561" w:rsidRPr="0012086B">
              <w:t>Ievērojot juridisko tehniku, papildus tiek veikti precizējumi attiecībā uz citām noteikumu normām, lai novērstu to neatbilstību grozītajām likuma normām.</w:t>
            </w:r>
          </w:p>
        </w:tc>
      </w:tr>
      <w:tr w:rsidR="0012086B" w:rsidRPr="0012086B" w:rsidTr="00E4538B">
        <w:tc>
          <w:tcPr>
            <w:tcW w:w="15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2.</w:t>
            </w:r>
          </w:p>
        </w:tc>
        <w:tc>
          <w:tcPr>
            <w:tcW w:w="101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tabs>
                <w:tab w:val="left" w:pos="170"/>
              </w:tabs>
              <w:spacing w:before="0" w:after="0"/>
            </w:pPr>
            <w:r w:rsidRPr="0012086B">
              <w:t xml:space="preserve">Pašreizējā situācija un problēmas, kuru risināšanai tiesību akta projekts izstrādāts, tiesiskā regulējuma mērķis un būtība </w:t>
            </w:r>
          </w:p>
          <w:p w:rsidR="00D87D9D" w:rsidRPr="0012086B" w:rsidRDefault="00D87D9D" w:rsidP="00E4538B">
            <w:pPr>
              <w:spacing w:before="100" w:beforeAutospacing="1" w:after="100" w:afterAutospacing="1"/>
              <w:jc w:val="both"/>
            </w:pPr>
          </w:p>
        </w:tc>
        <w:tc>
          <w:tcPr>
            <w:tcW w:w="383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DefaultParagraphFont1"/>
              <w:contextualSpacing/>
              <w:jc w:val="both"/>
              <w:rPr>
                <w:rFonts w:ascii="Times New Roman" w:hAnsi="Times New Roman"/>
                <w:sz w:val="24"/>
                <w:szCs w:val="24"/>
              </w:rPr>
            </w:pPr>
            <w:r w:rsidRPr="0012086B">
              <w:rPr>
                <w:rFonts w:ascii="Times New Roman" w:hAnsi="Times New Roman"/>
                <w:sz w:val="24"/>
                <w:szCs w:val="24"/>
              </w:rPr>
              <w:t xml:space="preserve">Likuma 3.panta ceturtās daļas 7.punkta normas paredz ieturēt uzņēmumu ienākuma nodokli no nerezidentam izmaksātās atlīdzības par Latvijā esoša nekustamā īpašuma atsavināšanu piemērojot  uzņēmumu ienākuma nodokļa likmi 2% no visas atlīdzības summas. Ņemot vērā Eiropas Komisijas norādījumus, tika veikti grozījumi likumā, kas paredz, ka sākot ar 2014.gadu nerezidenti var iesniegt uzņēmumu ienākuma nodokļa pārrēķinu par ienākumu, kas gūts no nekustamā īpašuma atsavināšanas Latvijā, ar tiesībām atskaitīt izdevumus, piemērojot 15% nodokļa likmi. Likuma normas paredz deleģēt Ministru kabinetam izstrādāt kārtību kādā tiek veikts nodokļa pārrēķins un kārtību kādā Valsts ieņēmumu dienests pieņem lēmumu par pārmaksātā nodokļa atmaksu. Tā kā šī kārtība ir saistoša jau ar 2014.gadu, tad steidzami ir nepieciešams veikt grozījumus </w:t>
            </w:r>
            <w:r w:rsidRPr="0012086B">
              <w:rPr>
                <w:rFonts w:ascii="Times New Roman" w:hAnsi="Times New Roman"/>
                <w:bCs/>
                <w:sz w:val="24"/>
                <w:szCs w:val="24"/>
                <w:lang w:eastAsia="lv-LV"/>
              </w:rPr>
              <w:t>Ministru kabineta 2006.gada 4.jūlija noteikumos nr.556 „Likuma "Par uzņēmumu ienākuma nodokli" normu piemērošanas noteikumi”</w:t>
            </w:r>
            <w:r w:rsidRPr="0012086B">
              <w:rPr>
                <w:rFonts w:ascii="Times New Roman" w:hAnsi="Times New Roman"/>
                <w:sz w:val="24"/>
                <w:szCs w:val="24"/>
              </w:rPr>
              <w:t>” (turpmāk – noteikumi).</w:t>
            </w:r>
          </w:p>
          <w:p w:rsidR="00D87D9D" w:rsidRPr="0012086B" w:rsidRDefault="00D87D9D" w:rsidP="00E4538B">
            <w:pPr>
              <w:tabs>
                <w:tab w:val="left" w:pos="241"/>
              </w:tabs>
              <w:contextualSpacing/>
              <w:jc w:val="both"/>
              <w:rPr>
                <w:lang w:val="lv-LV"/>
              </w:rPr>
            </w:pPr>
            <w:r w:rsidRPr="0012086B">
              <w:rPr>
                <w:lang w:val="lv-LV"/>
              </w:rPr>
              <w:t>Ņ</w:t>
            </w:r>
            <w:r w:rsidRPr="0012086B">
              <w:t>emot vērā arī citus grozījumus</w:t>
            </w:r>
            <w:r w:rsidRPr="0012086B">
              <w:rPr>
                <w:lang w:val="lv-LV"/>
              </w:rPr>
              <w:t xml:space="preserve">, kas veikti </w:t>
            </w:r>
            <w:r w:rsidRPr="0012086B">
              <w:t>likumā</w:t>
            </w:r>
            <w:r w:rsidRPr="0012086B">
              <w:rPr>
                <w:lang w:val="lv-LV"/>
              </w:rPr>
              <w:t xml:space="preserve"> 2013.gadā,</w:t>
            </w:r>
            <w:r w:rsidRPr="0012086B">
              <w:t xml:space="preserve"> atbilstoši ti</w:t>
            </w:r>
            <w:r w:rsidRPr="0012086B">
              <w:rPr>
                <w:lang w:val="lv-LV"/>
              </w:rPr>
              <w:t>e</w:t>
            </w:r>
            <w:r w:rsidRPr="0012086B">
              <w:t xml:space="preserve">k precizētas arī </w:t>
            </w:r>
            <w:r w:rsidRPr="0012086B">
              <w:rPr>
                <w:lang w:val="lv-LV"/>
              </w:rPr>
              <w:t xml:space="preserve">citas noteikumu </w:t>
            </w:r>
            <w:r w:rsidRPr="0012086B">
              <w:t>normas</w:t>
            </w:r>
            <w:r w:rsidRPr="0012086B">
              <w:rPr>
                <w:lang w:val="lv-LV"/>
              </w:rPr>
              <w:t>, kuras piemērojamas jau sākot ar 2014.gada 1.janvāri, proti:</w:t>
            </w:r>
          </w:p>
          <w:p w:rsidR="00D87D9D" w:rsidRPr="0012086B" w:rsidRDefault="00D87D9D" w:rsidP="00E4538B">
            <w:pPr>
              <w:pStyle w:val="ListParagraph"/>
              <w:numPr>
                <w:ilvl w:val="0"/>
                <w:numId w:val="1"/>
              </w:numPr>
              <w:tabs>
                <w:tab w:val="left" w:pos="241"/>
              </w:tabs>
              <w:ind w:left="0" w:firstLine="0"/>
              <w:jc w:val="both"/>
              <w:rPr>
                <w:lang w:val="lv-LV"/>
              </w:rPr>
            </w:pPr>
            <w:r w:rsidRPr="0012086B">
              <w:rPr>
                <w:lang w:val="lv-LV"/>
              </w:rPr>
              <w:t>tiek izslēgts likuma normu, kuras zaudējušas spēku, skaidrojums;</w:t>
            </w:r>
          </w:p>
          <w:p w:rsidR="00D87D9D" w:rsidRPr="0012086B" w:rsidRDefault="00D87D9D" w:rsidP="00E4538B">
            <w:pPr>
              <w:pStyle w:val="ListParagraph"/>
              <w:numPr>
                <w:ilvl w:val="0"/>
                <w:numId w:val="1"/>
              </w:numPr>
              <w:tabs>
                <w:tab w:val="left" w:pos="241"/>
              </w:tabs>
              <w:ind w:left="0" w:firstLine="0"/>
              <w:jc w:val="both"/>
              <w:rPr>
                <w:lang w:val="lv-LV"/>
              </w:rPr>
            </w:pPr>
            <w:r w:rsidRPr="0012086B">
              <w:rPr>
                <w:lang w:val="lv-LV"/>
              </w:rPr>
              <w:t>ņemot vērā, ka, sākot ar 2014.gada 1.janvāri ar uzņēmumu ienākuma nodokli tiek aplikti tikai  tie maksājumi par intelektuālo īpašumu, kas tiek izmaksāti</w:t>
            </w:r>
            <w:r w:rsidRPr="0012086B">
              <w:t xml:space="preserve"> personai, kas atrodas, ir izveidota vai nodibināta zemu nodokļu vai beznodokļu valstī vai teritorijā</w:t>
            </w:r>
            <w:r w:rsidRPr="0012086B">
              <w:rPr>
                <w:lang w:val="lv-LV"/>
              </w:rPr>
              <w:t xml:space="preserve">, tad attiecīgi skaidrojumam par šo normu tiek mainītas atsauces uz attiecīgajām likuma definīcijas normām; </w:t>
            </w:r>
          </w:p>
          <w:p w:rsidR="00D87D9D" w:rsidRPr="0012086B" w:rsidRDefault="00D87D9D" w:rsidP="00E4538B">
            <w:pPr>
              <w:pStyle w:val="ListParagraph"/>
              <w:numPr>
                <w:ilvl w:val="0"/>
                <w:numId w:val="1"/>
              </w:numPr>
              <w:tabs>
                <w:tab w:val="left" w:pos="241"/>
              </w:tabs>
              <w:ind w:left="0" w:firstLine="0"/>
              <w:jc w:val="both"/>
              <w:rPr>
                <w:lang w:val="lv-LV"/>
              </w:rPr>
            </w:pPr>
            <w:r w:rsidRPr="0012086B">
              <w:rPr>
                <w:lang w:val="lv-LV"/>
              </w:rPr>
              <w:t>tiek iekļauts skaidrojums, ka uzņēmuma ienākuma nodokļa apliekamais ienākums tiek palielināts par tām ārkārtas dividendēm, kuras ir iekļautas peļņas vai zaudējumu aprēķina izdevumu posteņos. Minētā situācija var izveidoties tad, ja periodā, par kuru tiek aprēķinātas ārkārtas dividendes kapitālsabiedrībai ir peļņa, savukārt pārskata gada kopējais rezultāts tomēr ir zaudējumi. Tādējādi, ārkārtas dividendēs izmaksātā summa ir jāiekļauj izdevumos, par kuriem jāpalielina ar uzņēmumu ienākuma nodokli apliekamais ienākums;</w:t>
            </w:r>
          </w:p>
          <w:p w:rsidR="00D87D9D" w:rsidRPr="0012086B" w:rsidRDefault="00D87D9D" w:rsidP="00E4538B">
            <w:pPr>
              <w:pStyle w:val="ListParagraph"/>
              <w:numPr>
                <w:ilvl w:val="0"/>
                <w:numId w:val="1"/>
              </w:numPr>
              <w:tabs>
                <w:tab w:val="left" w:pos="241"/>
              </w:tabs>
              <w:ind w:left="0" w:firstLine="0"/>
              <w:jc w:val="both"/>
              <w:rPr>
                <w:lang w:val="lv-LV"/>
              </w:rPr>
            </w:pPr>
            <w:r w:rsidRPr="0012086B">
              <w:rPr>
                <w:lang w:val="lv-LV"/>
              </w:rPr>
              <w:lastRenderedPageBreak/>
              <w:t>tiek precizēts skaidrojums attiecībā uz likuma 16.panta tiesību normām, kas paredz Valsts ieņēmumu dienestā iesniegt ne tikai attiecīgās valsts nodokļu administrācijas apstiprinājumu par nodokļa nomaksu, bet noteiktos gadījumos arī paša nerezidenta apstiprinājumu;</w:t>
            </w:r>
          </w:p>
          <w:p w:rsidR="000F011A" w:rsidRPr="0012086B" w:rsidRDefault="00D87D9D" w:rsidP="00DD2E3E">
            <w:pPr>
              <w:pStyle w:val="ListParagraph"/>
              <w:numPr>
                <w:ilvl w:val="0"/>
                <w:numId w:val="1"/>
              </w:numPr>
              <w:tabs>
                <w:tab w:val="left" w:pos="241"/>
              </w:tabs>
              <w:ind w:left="0" w:firstLine="0"/>
              <w:jc w:val="both"/>
            </w:pPr>
            <w:r w:rsidRPr="0012086B">
              <w:rPr>
                <w:lang w:val="lv-LV"/>
              </w:rPr>
              <w:t>tā kā mežsaimniecības pakalpojumu kooperatīvajām sabiedrībām, kas atbilst noteiktajiem atbilstības kritērijiem, tiek noteikts atvieglots uzņēmumu ienākuma nodokļa režīms, kā arī lauksaimniecības pakalpojumu kooperatīvo sabiedrību un mežsaimniecības pakalpojumu kooperatīvo sabiedrību, kas atbilst noteiktajiem atbilstības kritērijiem,  izdevumi, kas nav saistīti ar saimniecisko darbību ir uzskatāmi par šo sabiedrību biedriem sadalīto pārpalikuma daļu, tad attiecīgi tiek precizētas noteikumu normas.</w:t>
            </w:r>
          </w:p>
        </w:tc>
      </w:tr>
      <w:tr w:rsidR="0012086B" w:rsidRPr="0012086B" w:rsidTr="00E4538B">
        <w:tc>
          <w:tcPr>
            <w:tcW w:w="15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lastRenderedPageBreak/>
              <w:t>3.</w:t>
            </w:r>
          </w:p>
        </w:tc>
        <w:tc>
          <w:tcPr>
            <w:tcW w:w="101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rPr>
                <w:sz w:val="26"/>
                <w:szCs w:val="26"/>
              </w:rPr>
            </w:pPr>
            <w:r w:rsidRPr="0012086B">
              <w:rPr>
                <w:sz w:val="26"/>
                <w:szCs w:val="26"/>
              </w:rPr>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en-US"/>
              </w:rPr>
            </w:pPr>
            <w:r w:rsidRPr="0012086B">
              <w:rPr>
                <w:lang w:val="en-US"/>
              </w:rPr>
              <w:t xml:space="preserve">Nav. </w:t>
            </w:r>
          </w:p>
        </w:tc>
      </w:tr>
      <w:tr w:rsidR="0012086B" w:rsidRPr="0012086B" w:rsidTr="00E4538B">
        <w:tc>
          <w:tcPr>
            <w:tcW w:w="15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en-US"/>
              </w:rPr>
            </w:pPr>
            <w:r w:rsidRPr="0012086B">
              <w:rPr>
                <w:lang w:val="en-US"/>
              </w:rPr>
              <w:t>4.</w:t>
            </w:r>
          </w:p>
        </w:tc>
        <w:tc>
          <w:tcPr>
            <w:tcW w:w="101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rPr>
                <w:sz w:val="26"/>
                <w:szCs w:val="26"/>
              </w:rPr>
            </w:pPr>
            <w:r w:rsidRPr="0012086B">
              <w:rPr>
                <w:sz w:val="26"/>
                <w:szCs w:val="26"/>
              </w:rPr>
              <w:t>Cita informācija</w:t>
            </w:r>
          </w:p>
        </w:tc>
        <w:tc>
          <w:tcPr>
            <w:tcW w:w="383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jc w:val="both"/>
              <w:rPr>
                <w:lang w:val="lv-LV"/>
              </w:rPr>
            </w:pPr>
            <w:r w:rsidRPr="0012086B">
              <w:rPr>
                <w:lang w:val="lv-LV"/>
              </w:rPr>
              <w:t>Nav.</w:t>
            </w:r>
          </w:p>
        </w:tc>
      </w:tr>
    </w:tbl>
    <w:p w:rsidR="00D87D9D" w:rsidRPr="0012086B" w:rsidRDefault="00D87D9D" w:rsidP="00D87D9D">
      <w:pPr>
        <w:jc w:val="both"/>
        <w:rPr>
          <w:sz w:val="36"/>
          <w:szCs w:val="36"/>
          <w:lang w:val="en-US"/>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432"/>
      </w:tblGrid>
      <w:tr w:rsidR="0012086B" w:rsidRPr="0012086B" w:rsidTr="00E4538B">
        <w:tc>
          <w:tcPr>
            <w:tcW w:w="5000" w:type="pct"/>
            <w:gridSpan w:val="3"/>
            <w:tcBorders>
              <w:top w:val="single" w:sz="6" w:space="0" w:color="auto"/>
              <w:left w:val="single" w:sz="6" w:space="0" w:color="auto"/>
              <w:bottom w:val="outset" w:sz="6" w:space="0" w:color="000000"/>
              <w:right w:val="single" w:sz="6" w:space="0" w:color="auto"/>
            </w:tcBorders>
            <w:vAlign w:val="center"/>
          </w:tcPr>
          <w:p w:rsidR="00D87D9D" w:rsidRPr="0012086B" w:rsidRDefault="00D87D9D" w:rsidP="00E4538B">
            <w:pPr>
              <w:spacing w:before="100" w:beforeAutospacing="1" w:after="100" w:afterAutospacing="1"/>
              <w:rPr>
                <w:b/>
                <w:bCs/>
                <w:lang w:val="en-US"/>
              </w:rPr>
            </w:pPr>
            <w:r w:rsidRPr="0012086B">
              <w:rPr>
                <w:b/>
                <w:bCs/>
                <w:lang w:val="en-US"/>
              </w:rPr>
              <w:t xml:space="preserve">II. </w:t>
            </w:r>
            <w:r w:rsidRPr="0012086B">
              <w:rPr>
                <w:b/>
              </w:rPr>
              <w:t>Tiesību akta projekta ietekme uz sabiedrību, tautsaimniecības attīstību un administratīvo slogu</w:t>
            </w:r>
          </w:p>
        </w:tc>
      </w:tr>
      <w:tr w:rsidR="0012086B" w:rsidRPr="0012086B" w:rsidTr="00E4538B">
        <w:tc>
          <w:tcPr>
            <w:tcW w:w="25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1.</w:t>
            </w:r>
          </w:p>
        </w:tc>
        <w:tc>
          <w:tcPr>
            <w:tcW w:w="2318"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pPr>
            <w:r w:rsidRPr="0012086B">
              <w:t xml:space="preserve">Sabiedrības </w:t>
            </w:r>
            <w:proofErr w:type="spellStart"/>
            <w:r w:rsidRPr="0012086B">
              <w:t>mērķgrupas</w:t>
            </w:r>
            <w:proofErr w:type="spellEnd"/>
            <w:r w:rsidRPr="0012086B">
              <w:t>, kuras tiesiskais regulējums ietekmē vai varētu ietekmēt</w:t>
            </w:r>
          </w:p>
        </w:tc>
        <w:tc>
          <w:tcPr>
            <w:tcW w:w="242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tabs>
                <w:tab w:val="left" w:pos="927"/>
                <w:tab w:val="left" w:pos="3222"/>
              </w:tabs>
              <w:jc w:val="both"/>
              <w:rPr>
                <w:lang w:val="lv-LV"/>
              </w:rPr>
            </w:pPr>
            <w:r w:rsidRPr="0012086B">
              <w:rPr>
                <w:lang w:val="lv-LV"/>
              </w:rPr>
              <w:t xml:space="preserve">Nerezidenti, kas atsavinājuši Latvijā esošu nekustamo īpašumu un vēlas veikt nodokļa pārrēķinu, kā arī citi uzņēmumu ienākuma nodokļa maksātāji. </w:t>
            </w:r>
          </w:p>
        </w:tc>
      </w:tr>
      <w:tr w:rsidR="0012086B" w:rsidRPr="0012086B" w:rsidTr="00E4538B">
        <w:tc>
          <w:tcPr>
            <w:tcW w:w="25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2.</w:t>
            </w:r>
          </w:p>
        </w:tc>
        <w:tc>
          <w:tcPr>
            <w:tcW w:w="2318"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pPr>
            <w:r w:rsidRPr="0012086B">
              <w:t>Tiesiskā regulējuma ietekme uz tautsaimniecību un administratīvo slogu</w:t>
            </w:r>
          </w:p>
        </w:tc>
        <w:tc>
          <w:tcPr>
            <w:tcW w:w="242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proofErr w:type="spellStart"/>
            <w:r w:rsidRPr="0012086B">
              <w:rPr>
                <w:lang w:val="en-US"/>
              </w:rPr>
              <w:t>Nav</w:t>
            </w:r>
            <w:proofErr w:type="spellEnd"/>
            <w:r w:rsidRPr="0012086B">
              <w:t xml:space="preserve"> </w:t>
            </w:r>
            <w:proofErr w:type="spellStart"/>
            <w:r w:rsidRPr="0012086B">
              <w:rPr>
                <w:lang w:val="en-US"/>
              </w:rPr>
              <w:t>attiecin</w:t>
            </w:r>
            <w:proofErr w:type="spellEnd"/>
            <w:r w:rsidRPr="0012086B">
              <w:t>ā</w:t>
            </w:r>
            <w:proofErr w:type="spellStart"/>
            <w:r w:rsidRPr="0012086B">
              <w:rPr>
                <w:lang w:val="en-US"/>
              </w:rPr>
              <w:t>ms</w:t>
            </w:r>
            <w:proofErr w:type="spellEnd"/>
            <w:r w:rsidRPr="0012086B">
              <w:t>.</w:t>
            </w:r>
          </w:p>
        </w:tc>
      </w:tr>
      <w:tr w:rsidR="0012086B" w:rsidRPr="0012086B" w:rsidTr="00E4538B">
        <w:tc>
          <w:tcPr>
            <w:tcW w:w="25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3.</w:t>
            </w:r>
          </w:p>
        </w:tc>
        <w:tc>
          <w:tcPr>
            <w:tcW w:w="2318"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pPr>
            <w:r w:rsidRPr="0012086B">
              <w:t>Administratīvo izmaksu monetārs novērtējums</w:t>
            </w:r>
          </w:p>
        </w:tc>
        <w:tc>
          <w:tcPr>
            <w:tcW w:w="242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lv-LV"/>
              </w:rPr>
            </w:pPr>
            <w:r w:rsidRPr="0012086B">
              <w:rPr>
                <w:lang w:val="lv-LV"/>
              </w:rPr>
              <w:t xml:space="preserve">Ņemot vērā, ka nodokļa pārrēķins ir labvēlīgs nodokļa maksātājam – nerezidentam, un ņemot vērā, ka šāda kārtība ir atrunāta arī attiecībā uz iedzīvotāju ienākuma nodokli, kur šo kārtību nerezidenti pārsvarā neizmanto, tad tiek prognozēts, ka nodokļa pārrēķina veidlapu izmantos neliels skaits nerezidentu. Līdz ar to tiek paredzēts, ka Valsts ieņēmumu dienestā šis pārskats tiks iesniegts tikai papīra vai elektroniskā (skanētā) veidā (netiks iesniegts EDS) un finansiālā ietekme, īstenojot šo pasākumu, nebūs. </w:t>
            </w:r>
          </w:p>
        </w:tc>
      </w:tr>
      <w:tr w:rsidR="0012086B" w:rsidRPr="0012086B" w:rsidTr="00E4538B">
        <w:tc>
          <w:tcPr>
            <w:tcW w:w="25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4.</w:t>
            </w:r>
          </w:p>
        </w:tc>
        <w:tc>
          <w:tcPr>
            <w:tcW w:w="2318"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kr"/>
              <w:spacing w:before="0" w:after="0"/>
            </w:pPr>
            <w:r w:rsidRPr="0012086B">
              <w:t>Cita informācija</w:t>
            </w:r>
          </w:p>
        </w:tc>
        <w:tc>
          <w:tcPr>
            <w:tcW w:w="242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lv-LV"/>
              </w:rPr>
            </w:pPr>
            <w:r w:rsidRPr="0012086B">
              <w:rPr>
                <w:lang w:val="lv-LV"/>
              </w:rPr>
              <w:t>Nav attiecināms.</w:t>
            </w:r>
          </w:p>
        </w:tc>
      </w:tr>
    </w:tbl>
    <w:p w:rsidR="00D87D9D" w:rsidRPr="0012086B" w:rsidRDefault="00D87D9D" w:rsidP="00D87D9D">
      <w:pPr>
        <w:rPr>
          <w:sz w:val="28"/>
          <w:szCs w:val="28"/>
          <w:lang w:val="lv-LV"/>
        </w:rPr>
      </w:pPr>
    </w:p>
    <w:p w:rsidR="00D87D9D" w:rsidRDefault="00D87D9D" w:rsidP="00D87D9D">
      <w:pPr>
        <w:rPr>
          <w:lang w:val="lv-LV"/>
        </w:rPr>
      </w:pPr>
      <w:r w:rsidRPr="0012086B">
        <w:rPr>
          <w:lang w:val="lv-LV"/>
        </w:rPr>
        <w:t xml:space="preserve">Anotācijas III., IV., V. un VI. sadaļa </w:t>
      </w:r>
      <w:r w:rsidRPr="0012086B">
        <w:t>uz noteikumu projektu nav attiecināma</w:t>
      </w:r>
      <w:r w:rsidRPr="0012086B">
        <w:rPr>
          <w:lang w:val="lv-LV"/>
        </w:rPr>
        <w:t>.</w:t>
      </w:r>
    </w:p>
    <w:p w:rsidR="0012086B" w:rsidRPr="0012086B" w:rsidRDefault="0012086B" w:rsidP="00D87D9D">
      <w:pPr>
        <w:rPr>
          <w:sz w:val="28"/>
          <w:szCs w:val="28"/>
          <w:lang w:val="lv-LV"/>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1"/>
        <w:gridCol w:w="4428"/>
        <w:gridCol w:w="4386"/>
      </w:tblGrid>
      <w:tr w:rsidR="0012086B" w:rsidRPr="0012086B" w:rsidTr="00E4538B">
        <w:tc>
          <w:tcPr>
            <w:tcW w:w="0" w:type="auto"/>
            <w:gridSpan w:val="3"/>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b/>
                <w:bCs/>
                <w:lang w:val="lv-LV"/>
              </w:rPr>
            </w:pPr>
            <w:r w:rsidRPr="0012086B">
              <w:rPr>
                <w:b/>
                <w:bCs/>
                <w:lang w:val="lv-LV"/>
              </w:rPr>
              <w:t>VII. Tiesību akta projekta izpildes nodrošināšana un tās ietekme uz institūcijām</w:t>
            </w:r>
          </w:p>
        </w:tc>
      </w:tr>
      <w:tr w:rsidR="0012086B" w:rsidRPr="0012086B" w:rsidTr="00E4538B">
        <w:tc>
          <w:tcPr>
            <w:tcW w:w="0" w:type="auto"/>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1.</w:t>
            </w:r>
          </w:p>
        </w:tc>
        <w:tc>
          <w:tcPr>
            <w:tcW w:w="244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Projekta izpildē iesaistītās institūcijas</w:t>
            </w:r>
          </w:p>
        </w:tc>
        <w:tc>
          <w:tcPr>
            <w:tcW w:w="242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en-US"/>
              </w:rPr>
            </w:pPr>
            <w:proofErr w:type="spellStart"/>
            <w:r w:rsidRPr="0012086B">
              <w:rPr>
                <w:lang w:val="en-US"/>
              </w:rPr>
              <w:t>Valsts</w:t>
            </w:r>
            <w:proofErr w:type="spellEnd"/>
            <w:r w:rsidRPr="0012086B">
              <w:rPr>
                <w:lang w:val="en-US"/>
              </w:rPr>
              <w:t xml:space="preserve"> </w:t>
            </w:r>
            <w:proofErr w:type="spellStart"/>
            <w:r w:rsidRPr="0012086B">
              <w:rPr>
                <w:lang w:val="en-US"/>
              </w:rPr>
              <w:t>ieņēmumu</w:t>
            </w:r>
            <w:proofErr w:type="spellEnd"/>
            <w:r w:rsidRPr="0012086B">
              <w:rPr>
                <w:lang w:val="en-US"/>
              </w:rPr>
              <w:t xml:space="preserve"> </w:t>
            </w:r>
            <w:proofErr w:type="spellStart"/>
            <w:r w:rsidRPr="0012086B">
              <w:rPr>
                <w:lang w:val="en-US"/>
              </w:rPr>
              <w:t>dienests</w:t>
            </w:r>
            <w:proofErr w:type="spellEnd"/>
            <w:r w:rsidRPr="0012086B">
              <w:rPr>
                <w:lang w:val="en-US"/>
              </w:rPr>
              <w:t>.</w:t>
            </w:r>
          </w:p>
        </w:tc>
      </w:tr>
      <w:tr w:rsidR="0012086B" w:rsidRPr="0012086B" w:rsidTr="00E4538B">
        <w:tc>
          <w:tcPr>
            <w:tcW w:w="0" w:type="auto"/>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t>2.</w:t>
            </w:r>
          </w:p>
        </w:tc>
        <w:tc>
          <w:tcPr>
            <w:tcW w:w="244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en-US"/>
              </w:rPr>
            </w:pPr>
            <w:proofErr w:type="spellStart"/>
            <w:r w:rsidRPr="0012086B">
              <w:rPr>
                <w:lang w:val="en-US"/>
              </w:rPr>
              <w:t>Projekta</w:t>
            </w:r>
            <w:proofErr w:type="spellEnd"/>
            <w:r w:rsidRPr="0012086B">
              <w:rPr>
                <w:lang w:val="en-US"/>
              </w:rPr>
              <w:t xml:space="preserve"> </w:t>
            </w:r>
            <w:proofErr w:type="spellStart"/>
            <w:r w:rsidRPr="0012086B">
              <w:rPr>
                <w:lang w:val="en-US"/>
              </w:rPr>
              <w:t>izpildes</w:t>
            </w:r>
            <w:proofErr w:type="spellEnd"/>
            <w:r w:rsidRPr="0012086B">
              <w:rPr>
                <w:lang w:val="en-US"/>
              </w:rPr>
              <w:t xml:space="preserve"> </w:t>
            </w:r>
            <w:proofErr w:type="spellStart"/>
            <w:r w:rsidRPr="0012086B">
              <w:rPr>
                <w:lang w:val="en-US"/>
              </w:rPr>
              <w:t>ietekme</w:t>
            </w:r>
            <w:proofErr w:type="spellEnd"/>
            <w:r w:rsidRPr="0012086B">
              <w:rPr>
                <w:lang w:val="en-US"/>
              </w:rPr>
              <w:t xml:space="preserve"> </w:t>
            </w:r>
            <w:proofErr w:type="spellStart"/>
            <w:r w:rsidRPr="0012086B">
              <w:rPr>
                <w:lang w:val="en-US"/>
              </w:rPr>
              <w:t>uz</w:t>
            </w:r>
            <w:proofErr w:type="spellEnd"/>
            <w:r w:rsidRPr="0012086B">
              <w:rPr>
                <w:lang w:val="en-US"/>
              </w:rPr>
              <w:t xml:space="preserve"> </w:t>
            </w:r>
            <w:proofErr w:type="spellStart"/>
            <w:r w:rsidRPr="0012086B">
              <w:rPr>
                <w:lang w:val="en-US"/>
              </w:rPr>
              <w:t>pārvaldes</w:t>
            </w:r>
            <w:proofErr w:type="spellEnd"/>
            <w:r w:rsidRPr="0012086B">
              <w:rPr>
                <w:lang w:val="en-US"/>
              </w:rPr>
              <w:t xml:space="preserve"> </w:t>
            </w:r>
            <w:proofErr w:type="spellStart"/>
            <w:r w:rsidRPr="0012086B">
              <w:rPr>
                <w:lang w:val="en-US"/>
              </w:rPr>
              <w:t>funkcijām</w:t>
            </w:r>
            <w:proofErr w:type="spellEnd"/>
          </w:p>
        </w:tc>
        <w:tc>
          <w:tcPr>
            <w:tcW w:w="242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rPr>
                <w:lang w:val="en-US"/>
              </w:rPr>
            </w:pPr>
            <w:proofErr w:type="spellStart"/>
            <w:r w:rsidRPr="0012086B">
              <w:rPr>
                <w:lang w:val="en-US"/>
              </w:rPr>
              <w:t>Nav</w:t>
            </w:r>
            <w:proofErr w:type="spellEnd"/>
            <w:r w:rsidRPr="0012086B">
              <w:rPr>
                <w:lang w:val="en-US"/>
              </w:rPr>
              <w:t xml:space="preserve"> </w:t>
            </w:r>
            <w:proofErr w:type="spellStart"/>
            <w:r w:rsidRPr="0012086B">
              <w:rPr>
                <w:lang w:val="en-US"/>
              </w:rPr>
              <w:t>attiecināms</w:t>
            </w:r>
            <w:proofErr w:type="spellEnd"/>
            <w:r w:rsidRPr="0012086B">
              <w:rPr>
                <w:lang w:val="en-US"/>
              </w:rPr>
              <w:t xml:space="preserve">. </w:t>
            </w:r>
          </w:p>
        </w:tc>
      </w:tr>
      <w:tr w:rsidR="0012086B" w:rsidRPr="0012086B" w:rsidTr="00E4538B">
        <w:tc>
          <w:tcPr>
            <w:tcW w:w="0" w:type="auto"/>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r w:rsidRPr="0012086B">
              <w:lastRenderedPageBreak/>
              <w:t>3.</w:t>
            </w:r>
          </w:p>
        </w:tc>
        <w:tc>
          <w:tcPr>
            <w:tcW w:w="2446"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pStyle w:val="naisf"/>
              <w:spacing w:before="0" w:after="0"/>
              <w:ind w:left="57" w:right="57" w:firstLine="0"/>
              <w:jc w:val="left"/>
            </w:pPr>
            <w:r w:rsidRPr="0012086B">
              <w:t>Projekta izpildes ietekme uz pārvaldes institucionālo struktūru.</w:t>
            </w:r>
          </w:p>
          <w:p w:rsidR="00D87D9D" w:rsidRPr="0012086B" w:rsidRDefault="00D87D9D" w:rsidP="00E4538B">
            <w:pPr>
              <w:spacing w:before="100" w:beforeAutospacing="1" w:after="100" w:afterAutospacing="1"/>
              <w:jc w:val="both"/>
            </w:pPr>
            <w:r w:rsidRPr="0012086B">
              <w:t>Jaunu institūciju izveide, esošu institūciju likvidācija vai reorganizācija, to ietekme uz institūcijas cilvēkresursiem</w:t>
            </w:r>
          </w:p>
        </w:tc>
        <w:tc>
          <w:tcPr>
            <w:tcW w:w="2422" w:type="pct"/>
            <w:tcBorders>
              <w:top w:val="outset" w:sz="6" w:space="0" w:color="000000"/>
              <w:left w:val="outset" w:sz="6" w:space="0" w:color="000000"/>
              <w:bottom w:val="outset" w:sz="6" w:space="0" w:color="000000"/>
              <w:right w:val="outset" w:sz="6" w:space="0" w:color="000000"/>
            </w:tcBorders>
          </w:tcPr>
          <w:p w:rsidR="00D87D9D" w:rsidRPr="0012086B" w:rsidRDefault="00D87D9D" w:rsidP="00E4538B">
            <w:pPr>
              <w:spacing w:before="100" w:beforeAutospacing="1" w:after="100" w:afterAutospacing="1"/>
              <w:jc w:val="both"/>
            </w:pPr>
            <w:proofErr w:type="spellStart"/>
            <w:r w:rsidRPr="0012086B">
              <w:rPr>
                <w:lang w:val="en-US"/>
              </w:rPr>
              <w:t>Nav</w:t>
            </w:r>
            <w:proofErr w:type="spellEnd"/>
            <w:r w:rsidRPr="0012086B">
              <w:rPr>
                <w:lang w:val="en-US"/>
              </w:rPr>
              <w:t xml:space="preserve"> </w:t>
            </w:r>
            <w:proofErr w:type="spellStart"/>
            <w:r w:rsidRPr="0012086B">
              <w:rPr>
                <w:lang w:val="en-US"/>
              </w:rPr>
              <w:t>attiecināms</w:t>
            </w:r>
            <w:proofErr w:type="spellEnd"/>
            <w:r w:rsidRPr="0012086B">
              <w:rPr>
                <w:lang w:val="en-US"/>
              </w:rPr>
              <w:t>.</w:t>
            </w:r>
          </w:p>
        </w:tc>
      </w:tr>
      <w:tr w:rsidR="0012086B" w:rsidRPr="0012086B" w:rsidTr="00E4538B">
        <w:tc>
          <w:tcPr>
            <w:tcW w:w="0" w:type="auto"/>
            <w:tcBorders>
              <w:top w:val="outset" w:sz="6" w:space="0" w:color="000000"/>
              <w:left w:val="outset" w:sz="6" w:space="0" w:color="000000"/>
              <w:bottom w:val="single" w:sz="4" w:space="0" w:color="auto"/>
              <w:right w:val="outset" w:sz="6" w:space="0" w:color="000000"/>
            </w:tcBorders>
          </w:tcPr>
          <w:p w:rsidR="00D87D9D" w:rsidRPr="0012086B" w:rsidRDefault="00D87D9D" w:rsidP="00E4538B">
            <w:pPr>
              <w:spacing w:before="100" w:beforeAutospacing="1" w:after="100" w:afterAutospacing="1"/>
              <w:jc w:val="both"/>
            </w:pPr>
            <w:r w:rsidRPr="0012086B">
              <w:rPr>
                <w:lang w:val="lv-LV"/>
              </w:rPr>
              <w:t>4</w:t>
            </w:r>
            <w:r w:rsidRPr="0012086B">
              <w:t>.</w:t>
            </w:r>
          </w:p>
        </w:tc>
        <w:tc>
          <w:tcPr>
            <w:tcW w:w="2446" w:type="pct"/>
            <w:tcBorders>
              <w:top w:val="outset" w:sz="6" w:space="0" w:color="000000"/>
              <w:left w:val="outset" w:sz="6" w:space="0" w:color="000000"/>
              <w:bottom w:val="single" w:sz="4" w:space="0" w:color="auto"/>
              <w:right w:val="outset" w:sz="6" w:space="0" w:color="000000"/>
            </w:tcBorders>
          </w:tcPr>
          <w:p w:rsidR="00D87D9D" w:rsidRPr="0012086B" w:rsidRDefault="00D87D9D" w:rsidP="00E4538B">
            <w:pPr>
              <w:spacing w:before="100" w:beforeAutospacing="1" w:after="100" w:afterAutospacing="1"/>
              <w:jc w:val="both"/>
            </w:pPr>
            <w:r w:rsidRPr="0012086B">
              <w:t>Cita informācija</w:t>
            </w:r>
          </w:p>
        </w:tc>
        <w:tc>
          <w:tcPr>
            <w:tcW w:w="2422" w:type="pct"/>
            <w:tcBorders>
              <w:top w:val="outset" w:sz="6" w:space="0" w:color="000000"/>
              <w:left w:val="outset" w:sz="6" w:space="0" w:color="000000"/>
              <w:bottom w:val="single" w:sz="4" w:space="0" w:color="auto"/>
              <w:right w:val="outset" w:sz="6" w:space="0" w:color="000000"/>
            </w:tcBorders>
          </w:tcPr>
          <w:p w:rsidR="00D87D9D" w:rsidRPr="0012086B" w:rsidRDefault="00D87D9D" w:rsidP="00E4538B">
            <w:pPr>
              <w:spacing w:before="100" w:beforeAutospacing="1" w:after="100" w:afterAutospacing="1"/>
              <w:jc w:val="both"/>
              <w:rPr>
                <w:lang w:val="lv-LV"/>
              </w:rPr>
            </w:pPr>
            <w:r w:rsidRPr="0012086B">
              <w:rPr>
                <w:lang w:val="lv-LV"/>
              </w:rPr>
              <w:t>Nav.</w:t>
            </w:r>
          </w:p>
        </w:tc>
      </w:tr>
    </w:tbl>
    <w:p w:rsidR="00D87D9D" w:rsidRPr="0012086B" w:rsidRDefault="00D87D9D" w:rsidP="00D87D9D">
      <w:pPr>
        <w:jc w:val="both"/>
        <w:rPr>
          <w:lang w:val="en-US"/>
        </w:rPr>
      </w:pPr>
    </w:p>
    <w:p w:rsidR="00D87D9D" w:rsidRPr="0012086B" w:rsidRDefault="00D87D9D" w:rsidP="00D87D9D">
      <w:pPr>
        <w:ind w:firstLine="708"/>
        <w:rPr>
          <w:lang w:val="en-US"/>
        </w:rPr>
      </w:pPr>
    </w:p>
    <w:p w:rsidR="00D87D9D" w:rsidRPr="0012086B" w:rsidRDefault="00D87D9D" w:rsidP="00D87D9D">
      <w:pPr>
        <w:ind w:firstLine="708"/>
        <w:rPr>
          <w:lang w:val="en-US"/>
        </w:rPr>
      </w:pPr>
    </w:p>
    <w:p w:rsidR="00D87D9D" w:rsidRPr="0012086B" w:rsidRDefault="00D87D9D" w:rsidP="00D87D9D">
      <w:pPr>
        <w:ind w:firstLine="708"/>
        <w:rPr>
          <w:lang w:val="en-US"/>
        </w:rPr>
      </w:pPr>
    </w:p>
    <w:p w:rsidR="00D87D9D" w:rsidRPr="0012086B" w:rsidRDefault="00D87D9D" w:rsidP="00D87D9D">
      <w:pPr>
        <w:ind w:firstLine="708"/>
        <w:rPr>
          <w:lang w:val="en-US"/>
        </w:rPr>
      </w:pPr>
      <w:proofErr w:type="spellStart"/>
      <w:r w:rsidRPr="0012086B">
        <w:rPr>
          <w:lang w:val="en-US"/>
        </w:rPr>
        <w:t>Finanšu</w:t>
      </w:r>
      <w:proofErr w:type="spellEnd"/>
      <w:r w:rsidRPr="0012086B">
        <w:rPr>
          <w:lang w:val="en-US"/>
        </w:rPr>
        <w:t xml:space="preserve"> </w:t>
      </w:r>
      <w:proofErr w:type="spellStart"/>
      <w:r w:rsidRPr="0012086B">
        <w:rPr>
          <w:lang w:val="en-US"/>
        </w:rPr>
        <w:t>ministrs</w:t>
      </w:r>
      <w:proofErr w:type="spellEnd"/>
      <w:r w:rsidRPr="0012086B">
        <w:rPr>
          <w:lang w:val="en-US"/>
        </w:rPr>
        <w:t xml:space="preserve">                                                                           </w:t>
      </w:r>
      <w:proofErr w:type="spellStart"/>
      <w:r w:rsidRPr="0012086B">
        <w:rPr>
          <w:lang w:val="en-US"/>
        </w:rPr>
        <w:t>A.Vilks</w:t>
      </w:r>
      <w:proofErr w:type="spellEnd"/>
    </w:p>
    <w:p w:rsidR="00D87D9D" w:rsidRPr="0012086B" w:rsidRDefault="00D87D9D" w:rsidP="00D87D9D">
      <w:pPr>
        <w:rPr>
          <w:sz w:val="20"/>
        </w:rPr>
      </w:pPr>
      <w:r w:rsidRPr="0012086B">
        <w:rPr>
          <w:sz w:val="28"/>
          <w:szCs w:val="28"/>
          <w:lang w:val="en-US"/>
        </w:rPr>
        <w:t xml:space="preserve">  </w:t>
      </w: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bookmarkStart w:id="2" w:name="_GoBack"/>
    </w:p>
    <w:bookmarkEnd w:id="2"/>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Default="00D87D9D" w:rsidP="00D87D9D">
      <w:pPr>
        <w:pStyle w:val="Footer"/>
        <w:rPr>
          <w:sz w:val="20"/>
        </w:rPr>
      </w:pPr>
    </w:p>
    <w:p w:rsidR="00FA2E52" w:rsidRDefault="00FA2E52" w:rsidP="00D87D9D">
      <w:pPr>
        <w:pStyle w:val="Footer"/>
        <w:rPr>
          <w:sz w:val="20"/>
        </w:rPr>
      </w:pPr>
    </w:p>
    <w:p w:rsidR="00FA2E52" w:rsidRDefault="00FA2E52" w:rsidP="00D87D9D">
      <w:pPr>
        <w:pStyle w:val="Footer"/>
        <w:rPr>
          <w:sz w:val="20"/>
        </w:rPr>
      </w:pPr>
    </w:p>
    <w:p w:rsidR="00FA2E52" w:rsidRPr="0012086B" w:rsidRDefault="00FA2E52" w:rsidP="00D87D9D">
      <w:pPr>
        <w:pStyle w:val="Footer"/>
        <w:rPr>
          <w:sz w:val="20"/>
        </w:rPr>
      </w:pPr>
    </w:p>
    <w:p w:rsidR="00D87D9D" w:rsidRPr="0012086B" w:rsidRDefault="00D87D9D" w:rsidP="00D87D9D">
      <w:pPr>
        <w:pStyle w:val="Footer"/>
        <w:rPr>
          <w:sz w:val="20"/>
        </w:rPr>
      </w:pPr>
    </w:p>
    <w:p w:rsidR="00D87D9D" w:rsidRPr="0012086B" w:rsidRDefault="00D87D9D" w:rsidP="00D87D9D">
      <w:pPr>
        <w:pStyle w:val="Footer"/>
        <w:rPr>
          <w:sz w:val="20"/>
        </w:rPr>
      </w:pPr>
    </w:p>
    <w:p w:rsidR="00D87D9D" w:rsidRPr="0012086B" w:rsidRDefault="0012086B" w:rsidP="00D87D9D">
      <w:pPr>
        <w:pStyle w:val="Footer"/>
        <w:rPr>
          <w:sz w:val="20"/>
        </w:rPr>
      </w:pPr>
      <w:r>
        <w:rPr>
          <w:sz w:val="20"/>
        </w:rPr>
        <w:t>06</w:t>
      </w:r>
      <w:r w:rsidR="00D87D9D" w:rsidRPr="0012086B">
        <w:rPr>
          <w:sz w:val="20"/>
        </w:rPr>
        <w:t>.0</w:t>
      </w:r>
      <w:r>
        <w:rPr>
          <w:sz w:val="20"/>
        </w:rPr>
        <w:t>3</w:t>
      </w:r>
      <w:r w:rsidR="00D87D9D" w:rsidRPr="0012086B">
        <w:rPr>
          <w:sz w:val="20"/>
        </w:rPr>
        <w:t>.2014.</w:t>
      </w:r>
    </w:p>
    <w:p w:rsidR="00D87D9D" w:rsidRPr="0012086B" w:rsidRDefault="00D87D9D" w:rsidP="00D87D9D">
      <w:pPr>
        <w:pStyle w:val="Footer"/>
        <w:rPr>
          <w:sz w:val="20"/>
        </w:rPr>
      </w:pPr>
      <w:r w:rsidRPr="0012086B">
        <w:rPr>
          <w:sz w:val="20"/>
        </w:rPr>
        <w:fldChar w:fldCharType="begin"/>
      </w:r>
      <w:r w:rsidRPr="0012086B">
        <w:rPr>
          <w:sz w:val="20"/>
        </w:rPr>
        <w:instrText xml:space="preserve"> NUMWORDS  \* MERGEFORMAT </w:instrText>
      </w:r>
      <w:r w:rsidRPr="0012086B">
        <w:rPr>
          <w:sz w:val="20"/>
        </w:rPr>
        <w:fldChar w:fldCharType="separate"/>
      </w:r>
      <w:r w:rsidR="00FA2E52">
        <w:rPr>
          <w:noProof/>
          <w:sz w:val="20"/>
        </w:rPr>
        <w:t>749</w:t>
      </w:r>
      <w:r w:rsidRPr="0012086B">
        <w:rPr>
          <w:sz w:val="20"/>
        </w:rPr>
        <w:fldChar w:fldCharType="end"/>
      </w:r>
    </w:p>
    <w:p w:rsidR="00D87D9D" w:rsidRPr="0012086B" w:rsidRDefault="00D87D9D" w:rsidP="00D87D9D">
      <w:pPr>
        <w:pStyle w:val="Footer"/>
        <w:rPr>
          <w:sz w:val="20"/>
        </w:rPr>
      </w:pPr>
      <w:r w:rsidRPr="0012086B">
        <w:rPr>
          <w:sz w:val="20"/>
        </w:rPr>
        <w:t>Mačivka, 67095630</w:t>
      </w:r>
    </w:p>
    <w:p w:rsidR="00D87D9D" w:rsidRPr="0012086B" w:rsidRDefault="00851425" w:rsidP="00D87D9D">
      <w:pPr>
        <w:pStyle w:val="Footer"/>
      </w:pPr>
      <w:hyperlink r:id="rId7" w:history="1">
        <w:r w:rsidR="00D87D9D" w:rsidRPr="0012086B">
          <w:rPr>
            <w:rStyle w:val="Hyperlink"/>
            <w:rFonts w:ascii="RimTimes" w:hAnsi="RimTimes"/>
            <w:color w:val="auto"/>
            <w:sz w:val="20"/>
          </w:rPr>
          <w:t>Sandra.Macivka@fm.gov.lv</w:t>
        </w:r>
      </w:hyperlink>
    </w:p>
    <w:p w:rsidR="000223E9" w:rsidRPr="0012086B" w:rsidRDefault="000223E9"/>
    <w:sectPr w:rsidR="000223E9" w:rsidRPr="0012086B" w:rsidSect="00472686">
      <w:headerReference w:type="even" r:id="rId8"/>
      <w:headerReference w:type="default" r:id="rId9"/>
      <w:footerReference w:type="default" r:id="rId10"/>
      <w:footerReference w:type="first" r:id="rId11"/>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6B" w:rsidRDefault="0012086B" w:rsidP="0012086B">
      <w:r>
        <w:separator/>
      </w:r>
    </w:p>
  </w:endnote>
  <w:endnote w:type="continuationSeparator" w:id="0">
    <w:p w:rsidR="0012086B" w:rsidRDefault="0012086B" w:rsidP="0012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2C" w:rsidRPr="00260D2C" w:rsidRDefault="0012086B" w:rsidP="00260D2C">
    <w:pPr>
      <w:jc w:val="both"/>
      <w:rPr>
        <w:sz w:val="16"/>
        <w:szCs w:val="16"/>
        <w:lang w:val="lv-LV" w:eastAsia="lv-LV"/>
      </w:rPr>
    </w:pPr>
    <w:r w:rsidRPr="00260D2C">
      <w:rPr>
        <w:rFonts w:eastAsiaTheme="minorHAnsi" w:cstheme="minorBidi"/>
        <w:sz w:val="28"/>
        <w:szCs w:val="22"/>
        <w:lang w:val="lv-LV" w:eastAsia="en-US"/>
      </w:rPr>
      <w:fldChar w:fldCharType="begin"/>
    </w:r>
    <w:r w:rsidRPr="00260D2C">
      <w:rPr>
        <w:rFonts w:eastAsiaTheme="minorHAnsi" w:cstheme="minorBidi"/>
        <w:sz w:val="28"/>
        <w:szCs w:val="22"/>
        <w:lang w:val="lv-LV" w:eastAsia="en-US"/>
      </w:rPr>
      <w:instrText xml:space="preserve"> FILENAME   \* MERGEFORMAT </w:instrText>
    </w:r>
    <w:r w:rsidRPr="00260D2C">
      <w:rPr>
        <w:rFonts w:eastAsiaTheme="minorHAnsi" w:cstheme="minorBidi"/>
        <w:sz w:val="28"/>
        <w:szCs w:val="22"/>
        <w:lang w:val="lv-LV" w:eastAsia="en-US"/>
      </w:rPr>
      <w:fldChar w:fldCharType="separate"/>
    </w:r>
    <w:r w:rsidR="00FA2E52" w:rsidRPr="00FA2E52">
      <w:rPr>
        <w:rFonts w:eastAsiaTheme="minorHAnsi" w:cstheme="minorBidi"/>
        <w:noProof/>
        <w:sz w:val="16"/>
        <w:szCs w:val="16"/>
        <w:lang w:val="lv-LV" w:eastAsia="en-US"/>
      </w:rPr>
      <w:t>FMAnot_060314_UIN556</w:t>
    </w:r>
    <w:r w:rsidRPr="00260D2C">
      <w:rPr>
        <w:rFonts w:eastAsiaTheme="minorHAnsi" w:cstheme="minorBidi"/>
        <w:noProof/>
        <w:sz w:val="16"/>
        <w:szCs w:val="16"/>
        <w:lang w:val="lv-LV" w:eastAsia="en-US"/>
      </w:rPr>
      <w:fldChar w:fldCharType="end"/>
    </w:r>
    <w:r w:rsidRPr="00260D2C">
      <w:rPr>
        <w:rFonts w:eastAsiaTheme="minorHAnsi" w:cstheme="minorBidi"/>
        <w:sz w:val="16"/>
        <w:szCs w:val="16"/>
        <w:lang w:val="lv-LV" w:eastAsia="en-US"/>
      </w:rPr>
      <w:t>; Noteikumu projekt</w:t>
    </w:r>
    <w:r>
      <w:rPr>
        <w:rFonts w:eastAsiaTheme="minorHAnsi" w:cstheme="minorBidi"/>
        <w:sz w:val="16"/>
        <w:szCs w:val="16"/>
        <w:lang w:val="lv-LV" w:eastAsia="en-US"/>
      </w:rPr>
      <w:t>a</w:t>
    </w:r>
    <w:r w:rsidRPr="00260D2C">
      <w:rPr>
        <w:rFonts w:eastAsiaTheme="minorHAnsi" w:cstheme="minorBidi"/>
        <w:sz w:val="16"/>
        <w:szCs w:val="16"/>
        <w:lang w:val="lv-LV" w:eastAsia="en-US"/>
      </w:rPr>
      <w:t xml:space="preserve"> “Grozījumi </w:t>
    </w:r>
    <w:r w:rsidRPr="00260D2C">
      <w:rPr>
        <w:bCs/>
        <w:sz w:val="16"/>
        <w:szCs w:val="16"/>
        <w:lang w:val="lv-LV" w:eastAsia="lv-LV"/>
      </w:rPr>
      <w:t>Ministru kabineta 2006.gada 4.jūlija noteikumos Nr.556 „Likuma "Par uzņēmumu ienākuma nodokli" normu piemērošanas noteikumi””</w:t>
    </w:r>
    <w:r>
      <w:rPr>
        <w:bCs/>
        <w:sz w:val="16"/>
        <w:szCs w:val="16"/>
        <w:lang w:val="lv-LV" w:eastAsia="lv-LV"/>
      </w:rPr>
      <w:t xml:space="preserve"> anotācija</w:t>
    </w:r>
  </w:p>
  <w:p w:rsidR="001B7E55" w:rsidRPr="00260D2C" w:rsidRDefault="00851425" w:rsidP="00260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E3" w:rsidRPr="00260D2C" w:rsidRDefault="0012086B" w:rsidP="000479E3">
    <w:pPr>
      <w:jc w:val="both"/>
      <w:rPr>
        <w:sz w:val="16"/>
        <w:szCs w:val="16"/>
        <w:lang w:val="lv-LV" w:eastAsia="lv-LV"/>
      </w:rPr>
    </w:pPr>
    <w:r w:rsidRPr="00260D2C">
      <w:rPr>
        <w:rFonts w:eastAsiaTheme="minorHAnsi" w:cstheme="minorBidi"/>
        <w:sz w:val="28"/>
        <w:szCs w:val="22"/>
        <w:lang w:val="lv-LV" w:eastAsia="en-US"/>
      </w:rPr>
      <w:fldChar w:fldCharType="begin"/>
    </w:r>
    <w:r w:rsidRPr="00260D2C">
      <w:rPr>
        <w:rFonts w:eastAsiaTheme="minorHAnsi" w:cstheme="minorBidi"/>
        <w:sz w:val="28"/>
        <w:szCs w:val="22"/>
        <w:lang w:val="lv-LV" w:eastAsia="en-US"/>
      </w:rPr>
      <w:instrText xml:space="preserve"> FILENAME   \* MERGEFORMAT </w:instrText>
    </w:r>
    <w:r w:rsidRPr="00260D2C">
      <w:rPr>
        <w:rFonts w:eastAsiaTheme="minorHAnsi" w:cstheme="minorBidi"/>
        <w:sz w:val="28"/>
        <w:szCs w:val="22"/>
        <w:lang w:val="lv-LV" w:eastAsia="en-US"/>
      </w:rPr>
      <w:fldChar w:fldCharType="separate"/>
    </w:r>
    <w:r w:rsidR="00FA2E52" w:rsidRPr="00FA2E52">
      <w:rPr>
        <w:rFonts w:eastAsiaTheme="minorHAnsi" w:cstheme="minorBidi"/>
        <w:noProof/>
        <w:sz w:val="16"/>
        <w:szCs w:val="16"/>
        <w:lang w:val="lv-LV" w:eastAsia="en-US"/>
      </w:rPr>
      <w:t>FMAnot_060314_UIN556</w:t>
    </w:r>
    <w:r w:rsidRPr="00260D2C">
      <w:rPr>
        <w:rFonts w:eastAsiaTheme="minorHAnsi" w:cstheme="minorBidi"/>
        <w:noProof/>
        <w:sz w:val="16"/>
        <w:szCs w:val="16"/>
        <w:lang w:val="lv-LV" w:eastAsia="en-US"/>
      </w:rPr>
      <w:fldChar w:fldCharType="end"/>
    </w:r>
    <w:r w:rsidRPr="00260D2C">
      <w:rPr>
        <w:rFonts w:eastAsiaTheme="minorHAnsi" w:cstheme="minorBidi"/>
        <w:sz w:val="16"/>
        <w:szCs w:val="16"/>
        <w:lang w:val="lv-LV" w:eastAsia="en-US"/>
      </w:rPr>
      <w:t>; Noteikumu projekt</w:t>
    </w:r>
    <w:r>
      <w:rPr>
        <w:rFonts w:eastAsiaTheme="minorHAnsi" w:cstheme="minorBidi"/>
        <w:sz w:val="16"/>
        <w:szCs w:val="16"/>
        <w:lang w:val="lv-LV" w:eastAsia="en-US"/>
      </w:rPr>
      <w:t>a</w:t>
    </w:r>
    <w:r w:rsidRPr="00260D2C">
      <w:rPr>
        <w:rFonts w:eastAsiaTheme="minorHAnsi" w:cstheme="minorBidi"/>
        <w:sz w:val="16"/>
        <w:szCs w:val="16"/>
        <w:lang w:val="lv-LV" w:eastAsia="en-US"/>
      </w:rPr>
      <w:t xml:space="preserve"> “Grozījumi </w:t>
    </w:r>
    <w:r w:rsidRPr="00260D2C">
      <w:rPr>
        <w:bCs/>
        <w:sz w:val="16"/>
        <w:szCs w:val="16"/>
        <w:lang w:val="lv-LV" w:eastAsia="lv-LV"/>
      </w:rPr>
      <w:t>Ministru kabineta 2006.gada 4.jūlija noteikumos Nr.556 „Likuma "Par uzņēmumu ienākuma nodokli" normu piemērošanas noteikumi””</w:t>
    </w:r>
    <w:r>
      <w:rPr>
        <w:bCs/>
        <w:sz w:val="16"/>
        <w:szCs w:val="16"/>
        <w:lang w:val="lv-LV" w:eastAsia="lv-LV"/>
      </w:rPr>
      <w:t xml:space="preserve"> anotācija</w:t>
    </w:r>
  </w:p>
  <w:p w:rsidR="001B7E55" w:rsidRPr="000479E3" w:rsidRDefault="00851425" w:rsidP="0004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6B" w:rsidRDefault="0012086B" w:rsidP="0012086B">
      <w:r>
        <w:separator/>
      </w:r>
    </w:p>
  </w:footnote>
  <w:footnote w:type="continuationSeparator" w:id="0">
    <w:p w:rsidR="0012086B" w:rsidRDefault="0012086B" w:rsidP="0012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90" w:rsidRDefault="0012086B"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C90" w:rsidRDefault="0085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09252"/>
      <w:docPartObj>
        <w:docPartGallery w:val="Page Numbers (Top of Page)"/>
        <w:docPartUnique/>
      </w:docPartObj>
    </w:sdtPr>
    <w:sdtEndPr>
      <w:rPr>
        <w:noProof/>
      </w:rPr>
    </w:sdtEndPr>
    <w:sdtContent>
      <w:p w:rsidR="00745C5B" w:rsidRDefault="0012086B">
        <w:pPr>
          <w:pStyle w:val="Header"/>
          <w:jc w:val="center"/>
        </w:pPr>
        <w:r>
          <w:fldChar w:fldCharType="begin"/>
        </w:r>
        <w:r>
          <w:instrText xml:space="preserve"> PAGE   \* MERGEFORMAT </w:instrText>
        </w:r>
        <w:r>
          <w:fldChar w:fldCharType="separate"/>
        </w:r>
        <w:r w:rsidR="00851425">
          <w:rPr>
            <w:noProof/>
          </w:rPr>
          <w:t>2</w:t>
        </w:r>
        <w:r>
          <w:rPr>
            <w:noProof/>
          </w:rPr>
          <w:fldChar w:fldCharType="end"/>
        </w:r>
      </w:p>
    </w:sdtContent>
  </w:sdt>
  <w:p w:rsidR="00F42C90" w:rsidRDefault="00851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1998"/>
    <w:multiLevelType w:val="hybridMultilevel"/>
    <w:tmpl w:val="B74C908C"/>
    <w:lvl w:ilvl="0" w:tplc="893A15E8">
      <w:start w:val="1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9D"/>
    <w:rsid w:val="000223E9"/>
    <w:rsid w:val="000F011A"/>
    <w:rsid w:val="0012086B"/>
    <w:rsid w:val="00851425"/>
    <w:rsid w:val="00CA5A28"/>
    <w:rsid w:val="00D87D9D"/>
    <w:rsid w:val="00DD2E3E"/>
    <w:rsid w:val="00F15561"/>
    <w:rsid w:val="00FA2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AD3B-D7F4-4045-B2C0-39895602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9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D9D"/>
    <w:pPr>
      <w:tabs>
        <w:tab w:val="center" w:pos="4677"/>
        <w:tab w:val="right" w:pos="9355"/>
      </w:tabs>
    </w:pPr>
  </w:style>
  <w:style w:type="character" w:customStyle="1" w:styleId="HeaderChar">
    <w:name w:val="Header Char"/>
    <w:basedOn w:val="DefaultParagraphFont"/>
    <w:link w:val="Header"/>
    <w:uiPriority w:val="99"/>
    <w:rsid w:val="00D87D9D"/>
    <w:rPr>
      <w:rFonts w:ascii="Times New Roman" w:eastAsia="Times New Roman" w:hAnsi="Times New Roman" w:cs="Times New Roman"/>
      <w:sz w:val="24"/>
      <w:szCs w:val="24"/>
      <w:lang w:val="ru-RU" w:eastAsia="ru-RU"/>
    </w:rPr>
  </w:style>
  <w:style w:type="character" w:styleId="PageNumber">
    <w:name w:val="page number"/>
    <w:basedOn w:val="DefaultParagraphFont"/>
    <w:rsid w:val="00D87D9D"/>
  </w:style>
  <w:style w:type="character" w:styleId="Hyperlink">
    <w:name w:val="Hyperlink"/>
    <w:basedOn w:val="DefaultParagraphFont"/>
    <w:uiPriority w:val="99"/>
    <w:rsid w:val="00D87D9D"/>
    <w:rPr>
      <w:color w:val="0000FF"/>
      <w:u w:val="single"/>
    </w:rPr>
  </w:style>
  <w:style w:type="paragraph" w:styleId="Footer">
    <w:name w:val="footer"/>
    <w:basedOn w:val="Normal"/>
    <w:link w:val="FooterChar"/>
    <w:rsid w:val="00D87D9D"/>
    <w:pPr>
      <w:tabs>
        <w:tab w:val="center" w:pos="4153"/>
        <w:tab w:val="right" w:pos="8306"/>
      </w:tabs>
    </w:pPr>
    <w:rPr>
      <w:lang w:val="lv-LV" w:eastAsia="lv-LV"/>
    </w:rPr>
  </w:style>
  <w:style w:type="character" w:customStyle="1" w:styleId="FooterChar">
    <w:name w:val="Footer Char"/>
    <w:basedOn w:val="DefaultParagraphFont"/>
    <w:link w:val="Footer"/>
    <w:rsid w:val="00D87D9D"/>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D87D9D"/>
    <w:rPr>
      <w:rFonts w:ascii="CG Times (W1)" w:hAnsi="CG Times (W1)"/>
      <w:sz w:val="20"/>
      <w:szCs w:val="20"/>
      <w:lang w:val="lv-LV" w:eastAsia="en-US"/>
    </w:rPr>
  </w:style>
  <w:style w:type="paragraph" w:customStyle="1" w:styleId="naisf">
    <w:name w:val="naisf"/>
    <w:basedOn w:val="Normal"/>
    <w:rsid w:val="00D87D9D"/>
    <w:pPr>
      <w:spacing w:before="75" w:after="75"/>
      <w:ind w:firstLine="375"/>
      <w:jc w:val="both"/>
    </w:pPr>
    <w:rPr>
      <w:lang w:val="lv-LV" w:eastAsia="lv-LV"/>
    </w:rPr>
  </w:style>
  <w:style w:type="paragraph" w:customStyle="1" w:styleId="naiskr">
    <w:name w:val="naiskr"/>
    <w:basedOn w:val="Normal"/>
    <w:rsid w:val="00D87D9D"/>
    <w:pPr>
      <w:spacing w:before="75" w:after="75"/>
    </w:pPr>
    <w:rPr>
      <w:lang w:val="lv-LV" w:eastAsia="lv-LV"/>
    </w:rPr>
  </w:style>
  <w:style w:type="paragraph" w:styleId="ListParagraph">
    <w:name w:val="List Paragraph"/>
    <w:basedOn w:val="Normal"/>
    <w:uiPriority w:val="34"/>
    <w:qFormat/>
    <w:rsid w:val="00D87D9D"/>
    <w:pPr>
      <w:ind w:left="720"/>
      <w:contextualSpacing/>
    </w:pPr>
  </w:style>
  <w:style w:type="paragraph" w:styleId="BodyTextIndent">
    <w:name w:val="Body Text Indent"/>
    <w:basedOn w:val="Normal"/>
    <w:link w:val="BodyTextIndentChar"/>
    <w:uiPriority w:val="99"/>
    <w:unhideWhenUsed/>
    <w:rsid w:val="000F011A"/>
    <w:pPr>
      <w:spacing w:after="120" w:line="276" w:lineRule="auto"/>
      <w:ind w:left="283"/>
    </w:pPr>
    <w:rPr>
      <w:rFonts w:ascii="Calibri" w:eastAsia="Calibri" w:hAnsi="Calibri"/>
      <w:sz w:val="22"/>
      <w:szCs w:val="22"/>
      <w:lang w:val="lv-LV" w:eastAsia="en-US"/>
    </w:rPr>
  </w:style>
  <w:style w:type="character" w:customStyle="1" w:styleId="BodyTextIndentChar">
    <w:name w:val="Body Text Indent Char"/>
    <w:basedOn w:val="DefaultParagraphFont"/>
    <w:link w:val="BodyTextIndent"/>
    <w:uiPriority w:val="99"/>
    <w:rsid w:val="000F011A"/>
    <w:rPr>
      <w:rFonts w:ascii="Calibri" w:eastAsia="Calibri" w:hAnsi="Calibri" w:cs="Times New Roman"/>
    </w:rPr>
  </w:style>
  <w:style w:type="paragraph" w:styleId="BalloonText">
    <w:name w:val="Balloon Text"/>
    <w:basedOn w:val="Normal"/>
    <w:link w:val="BalloonTextChar"/>
    <w:uiPriority w:val="99"/>
    <w:semiHidden/>
    <w:unhideWhenUsed/>
    <w:rsid w:val="0012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6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738</Words>
  <Characters>5444</Characters>
  <Application>Microsoft Office Word</Application>
  <DocSecurity>0</DocSecurity>
  <Lines>155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2006.gada 4.jūlija noteikumos Nr.556 „Likuma "Par uzņēmumu ienākuma nodokli" normu piemērošanas noteikumi”” anotācija</dc:title>
  <dc:subject>Noteikumu projekta anotācija Noteikumiem Nr.556</dc:subject>
  <dc:creator>Sandra Mačivka</dc:creator>
  <cp:keywords/>
  <dc:description>Mačivka, 67095630
Sandra.Macivka@fm.gov.lv</dc:description>
  <cp:lastModifiedBy>Sandra Mačivka</cp:lastModifiedBy>
  <cp:revision>6</cp:revision>
  <cp:lastPrinted>2014-03-07T11:40:00Z</cp:lastPrinted>
  <dcterms:created xsi:type="dcterms:W3CDTF">2014-03-06T13:14:00Z</dcterms:created>
  <dcterms:modified xsi:type="dcterms:W3CDTF">2014-03-12T08:52:00Z</dcterms:modified>
</cp:coreProperties>
</file>