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3CBC7" w14:textId="79429B1D" w:rsidR="00E173D4" w:rsidRPr="006607BF" w:rsidRDefault="00E173D4" w:rsidP="00E173D4">
      <w:pPr>
        <w:pStyle w:val="naislab"/>
        <w:jc w:val="center"/>
        <w:outlineLvl w:val="0"/>
        <w:rPr>
          <w:b/>
        </w:rPr>
      </w:pPr>
      <w:r w:rsidRPr="006607BF">
        <w:rPr>
          <w:b/>
        </w:rPr>
        <w:t>Ministru kabineta noteikumu projekta „</w:t>
      </w:r>
      <w:r w:rsidRPr="006607BF">
        <w:rPr>
          <w:b/>
          <w:bCs/>
        </w:rPr>
        <w:t>Grozīju</w:t>
      </w:r>
      <w:r w:rsidR="00A540BC">
        <w:rPr>
          <w:b/>
          <w:bCs/>
        </w:rPr>
        <w:t xml:space="preserve">ms Ministru kabineta 2010.gada </w:t>
      </w:r>
      <w:r w:rsidRPr="006607BF">
        <w:rPr>
          <w:b/>
          <w:bCs/>
        </w:rPr>
        <w:t>8.jūnija noteikumos Nr.523 „Noteikumi par darbības programmas „Cilvēkresursi un nodarbinātība” papildinājuma 1.5.3.1.aktivitāti „Speciālistu piesaiste plānošanas reģioniem, pilsētām un novadiem</w:t>
      </w:r>
      <w:r w:rsidRPr="006607BF">
        <w:rPr>
          <w:b/>
        </w:rPr>
        <w:t>” sākotnējās ietekmes izvērtējums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6607BF" w14:paraId="27B84CEF" w14:textId="77777777" w:rsidTr="001E645F">
        <w:trPr>
          <w:trHeight w:val="419"/>
        </w:trPr>
        <w:tc>
          <w:tcPr>
            <w:tcW w:w="5000" w:type="pct"/>
            <w:gridSpan w:val="3"/>
            <w:vAlign w:val="center"/>
          </w:tcPr>
          <w:p w14:paraId="6C9192C4" w14:textId="77777777" w:rsidR="00CC1A56" w:rsidRPr="006607BF" w:rsidRDefault="00CC1A56" w:rsidP="007D385B">
            <w:pPr>
              <w:pStyle w:val="naisnod"/>
              <w:spacing w:before="0" w:beforeAutospacing="0" w:after="0" w:afterAutospacing="0"/>
              <w:ind w:left="57" w:right="57"/>
              <w:jc w:val="center"/>
              <w:rPr>
                <w:b/>
              </w:rPr>
            </w:pPr>
            <w:r w:rsidRPr="006607BF">
              <w:rPr>
                <w:b/>
              </w:rPr>
              <w:t>I. Tiesību akta projekta izstrādes nepieciešamība</w:t>
            </w:r>
          </w:p>
        </w:tc>
      </w:tr>
      <w:tr w:rsidR="00CC1A56" w:rsidRPr="006607BF" w14:paraId="0DD7D498" w14:textId="77777777" w:rsidTr="001E645F">
        <w:trPr>
          <w:trHeight w:val="415"/>
        </w:trPr>
        <w:tc>
          <w:tcPr>
            <w:tcW w:w="227" w:type="pct"/>
          </w:tcPr>
          <w:p w14:paraId="646C3DAC" w14:textId="77777777" w:rsidR="00CC1A56" w:rsidRPr="006607BF" w:rsidRDefault="00CC1A56" w:rsidP="007D385B">
            <w:pPr>
              <w:pStyle w:val="naiskr"/>
              <w:spacing w:before="0" w:beforeAutospacing="0" w:after="0" w:afterAutospacing="0"/>
              <w:ind w:left="57" w:right="57"/>
              <w:jc w:val="center"/>
            </w:pPr>
            <w:r w:rsidRPr="006607BF">
              <w:t>1.</w:t>
            </w:r>
          </w:p>
        </w:tc>
        <w:tc>
          <w:tcPr>
            <w:tcW w:w="1566" w:type="pct"/>
          </w:tcPr>
          <w:p w14:paraId="2786C8F3" w14:textId="77777777" w:rsidR="00CC1A56" w:rsidRPr="006607BF" w:rsidRDefault="00CC1A56" w:rsidP="007D385B">
            <w:pPr>
              <w:pStyle w:val="naiskr"/>
              <w:spacing w:before="0" w:beforeAutospacing="0" w:after="0" w:afterAutospacing="0"/>
              <w:ind w:left="57" w:right="57"/>
            </w:pPr>
            <w:r w:rsidRPr="006607BF">
              <w:t>Pamatojums</w:t>
            </w:r>
          </w:p>
        </w:tc>
        <w:tc>
          <w:tcPr>
            <w:tcW w:w="3207" w:type="pct"/>
          </w:tcPr>
          <w:p w14:paraId="20EF6E8F" w14:textId="2C10D371" w:rsidR="00E173D4" w:rsidRPr="006607BF" w:rsidRDefault="00E173D4" w:rsidP="00E173D4">
            <w:pPr>
              <w:ind w:left="243"/>
              <w:jc w:val="both"/>
              <w:rPr>
                <w:rFonts w:ascii="Times New Roman" w:hAnsi="Times New Roman" w:cs="Times New Roman"/>
                <w:iCs/>
                <w:sz w:val="24"/>
                <w:szCs w:val="24"/>
              </w:rPr>
            </w:pPr>
            <w:r w:rsidRPr="006607BF">
              <w:rPr>
                <w:rFonts w:ascii="Times New Roman" w:hAnsi="Times New Roman" w:cs="Times New Roman"/>
                <w:iCs/>
                <w:sz w:val="24"/>
                <w:szCs w:val="24"/>
              </w:rPr>
              <w:t xml:space="preserve">Ministru kabineta noteikumu projekta </w:t>
            </w:r>
            <w:r w:rsidRPr="006607BF">
              <w:rPr>
                <w:rFonts w:ascii="Times New Roman" w:hAnsi="Times New Roman" w:cs="Times New Roman"/>
                <w:sz w:val="24"/>
                <w:szCs w:val="24"/>
              </w:rPr>
              <w:t xml:space="preserve"> „</w:t>
            </w:r>
            <w:r w:rsidRPr="006607BF">
              <w:rPr>
                <w:rFonts w:ascii="Times New Roman" w:hAnsi="Times New Roman" w:cs="Times New Roman"/>
                <w:iCs/>
                <w:sz w:val="24"/>
                <w:szCs w:val="24"/>
              </w:rPr>
              <w:t>Grozīju</w:t>
            </w:r>
            <w:r w:rsidR="00573C52">
              <w:rPr>
                <w:rFonts w:ascii="Times New Roman" w:hAnsi="Times New Roman" w:cs="Times New Roman"/>
                <w:iCs/>
                <w:sz w:val="24"/>
                <w:szCs w:val="24"/>
              </w:rPr>
              <w:t xml:space="preserve">mi Ministru kabineta 2010.gada </w:t>
            </w:r>
            <w:r w:rsidRPr="006607BF">
              <w:rPr>
                <w:rFonts w:ascii="Times New Roman" w:hAnsi="Times New Roman" w:cs="Times New Roman"/>
                <w:iCs/>
                <w:sz w:val="24"/>
                <w:szCs w:val="24"/>
              </w:rPr>
              <w:t>8.jūnija noteikumos Nr.523 „Noteikumi par darbības programmas „Cilvēkresursi un nodarbinātība” papildinājuma 1.5.3.1.aktivitāti „Speciālistu piesaiste plānošanas reģioniem, pilsētām un novadiem”</w:t>
            </w:r>
            <w:r w:rsidRPr="006607BF">
              <w:rPr>
                <w:rFonts w:ascii="Times New Roman" w:hAnsi="Times New Roman" w:cs="Times New Roman"/>
                <w:i/>
                <w:iCs/>
                <w:sz w:val="24"/>
                <w:szCs w:val="24"/>
              </w:rPr>
              <w:t xml:space="preserve"> </w:t>
            </w:r>
            <w:r w:rsidRPr="006607BF">
              <w:rPr>
                <w:rFonts w:ascii="Times New Roman" w:hAnsi="Times New Roman" w:cs="Times New Roman"/>
                <w:iCs/>
                <w:sz w:val="24"/>
                <w:szCs w:val="24"/>
              </w:rPr>
              <w:t>(turpmāk – MK noteikumu projekts)</w:t>
            </w:r>
            <w:r w:rsidRPr="006607BF">
              <w:rPr>
                <w:rFonts w:ascii="Times New Roman" w:hAnsi="Times New Roman" w:cs="Times New Roman"/>
                <w:i/>
                <w:iCs/>
                <w:sz w:val="24"/>
                <w:szCs w:val="24"/>
              </w:rPr>
              <w:t xml:space="preserve"> </w:t>
            </w:r>
            <w:r w:rsidRPr="006607BF">
              <w:rPr>
                <w:rFonts w:ascii="Times New Roman" w:hAnsi="Times New Roman" w:cs="Times New Roman"/>
                <w:iCs/>
                <w:sz w:val="24"/>
                <w:szCs w:val="24"/>
              </w:rPr>
              <w:t>izstrādes pamatojums:</w:t>
            </w:r>
          </w:p>
          <w:p w14:paraId="1D1DB4F4" w14:textId="1A03568B" w:rsidR="00927DBB" w:rsidRDefault="00E173D4" w:rsidP="00927DBB">
            <w:pPr>
              <w:numPr>
                <w:ilvl w:val="0"/>
                <w:numId w:val="15"/>
              </w:numPr>
              <w:spacing w:after="0" w:line="240" w:lineRule="auto"/>
              <w:jc w:val="both"/>
              <w:rPr>
                <w:rFonts w:ascii="Times New Roman" w:hAnsi="Times New Roman" w:cs="Times New Roman"/>
                <w:iCs/>
                <w:sz w:val="24"/>
                <w:szCs w:val="24"/>
              </w:rPr>
            </w:pPr>
            <w:r w:rsidRPr="006607BF">
              <w:rPr>
                <w:rFonts w:ascii="Times New Roman" w:hAnsi="Times New Roman" w:cs="Times New Roman"/>
                <w:iCs/>
                <w:sz w:val="24"/>
                <w:szCs w:val="24"/>
              </w:rPr>
              <w:t>Ministru kabineta 2013. gada 20. augusta sēdē (prot. Nr.45, 97.§) tika konceptuāli atbalstīts papildu Eiropas Savienības (turpmāk – ES) finansējuma piešķīrums 1.5.1.1.1. apakšaktivitātes „Atbalsts strukturālo reformu īstenošanai un analītisko spēju stiprināšanai valsts pārvaldē” Valsts kancelejas projektam „Atbalsts strukturālo reformu ieviešanai valsts pārvaldē” Valsts kontroles kapacitātes celšanai un  revīzijas procesu attīstības pilnveidošanai (grozījumi 24.11.2009.  MK noteiku</w:t>
            </w:r>
            <w:r w:rsidR="00A540BC">
              <w:rPr>
                <w:rFonts w:ascii="Times New Roman" w:hAnsi="Times New Roman" w:cs="Times New Roman"/>
                <w:iCs/>
                <w:sz w:val="24"/>
                <w:szCs w:val="24"/>
              </w:rPr>
              <w:t>mos Nr.1358  stājušies spēkā 2013.</w:t>
            </w:r>
            <w:r w:rsidRPr="006607BF">
              <w:rPr>
                <w:rFonts w:ascii="Times New Roman" w:hAnsi="Times New Roman" w:cs="Times New Roman"/>
                <w:iCs/>
                <w:sz w:val="24"/>
                <w:szCs w:val="24"/>
              </w:rPr>
              <w:t>gada 11. novembrī, palielinot 1.5.1.1.1. apakšaktivitātes kopējo pieejamo finansējumu).</w:t>
            </w:r>
          </w:p>
          <w:p w14:paraId="604625CA" w14:textId="17B3C830" w:rsidR="00CC1A56" w:rsidRPr="00927DBB" w:rsidRDefault="00E173D4" w:rsidP="00927DBB">
            <w:pPr>
              <w:numPr>
                <w:ilvl w:val="0"/>
                <w:numId w:val="15"/>
              </w:numPr>
              <w:spacing w:after="0" w:line="240" w:lineRule="auto"/>
              <w:jc w:val="both"/>
              <w:rPr>
                <w:rFonts w:ascii="Times New Roman" w:hAnsi="Times New Roman" w:cs="Times New Roman"/>
                <w:iCs/>
                <w:sz w:val="24"/>
                <w:szCs w:val="24"/>
              </w:rPr>
            </w:pPr>
            <w:r w:rsidRPr="00927DBB">
              <w:rPr>
                <w:rFonts w:ascii="Times New Roman" w:hAnsi="Times New Roman" w:cs="Times New Roman"/>
                <w:bCs/>
                <w:sz w:val="24"/>
                <w:szCs w:val="24"/>
              </w:rPr>
              <w:t xml:space="preserve">2013. gada 12.septembra </w:t>
            </w:r>
            <w:r w:rsidRPr="00927DBB">
              <w:rPr>
                <w:rFonts w:ascii="Times New Roman" w:hAnsi="Times New Roman" w:cs="Times New Roman"/>
                <w:sz w:val="24"/>
                <w:szCs w:val="24"/>
              </w:rPr>
              <w:t xml:space="preserve">Koalīcijas partneru darba grupas par ES struktūrfondu un Kohēzijas fonda jautājumiem sēdē tika konceptuāli atbalstīts </w:t>
            </w:r>
            <w:r w:rsidRPr="00927DBB">
              <w:rPr>
                <w:rFonts w:ascii="Times New Roman" w:hAnsi="Times New Roman" w:cs="Times New Roman"/>
                <w:iCs/>
                <w:sz w:val="24"/>
                <w:szCs w:val="24"/>
              </w:rPr>
              <w:t>priekšlikums par finansējuma pārdali uz 1.5.1.1.1. apakšaktivitāti 111 698 EUR apmērā no Vides aizsardzības un reģionālās attīstības ministrijas (turpmāk – VARAM) pārziņā esošās 1.5.3.1.aktivitātes "Speciālistu piesaiste plānošanas reģioniem, pilsētām un novadiem" finansējuma atlikuma.</w:t>
            </w:r>
          </w:p>
          <w:p w14:paraId="0FFC66C4" w14:textId="44ADFAA5" w:rsidR="00E173D4" w:rsidRPr="006607BF" w:rsidRDefault="00E173D4" w:rsidP="00E173D4">
            <w:pPr>
              <w:pStyle w:val="naiskr"/>
              <w:spacing w:before="0" w:after="0"/>
              <w:ind w:right="81"/>
              <w:jc w:val="both"/>
            </w:pPr>
            <w:r w:rsidRPr="006607BF">
              <w:t xml:space="preserve">MK noteikumu projekta mērķis ir nodrošināt Ministru </w:t>
            </w:r>
            <w:r w:rsidR="00A540BC">
              <w:t>kabineta noteikumu par 1.5.3.1.</w:t>
            </w:r>
            <w:r w:rsidRPr="006607BF">
              <w:t>aktivitātes īstenošanu atbilstību plānošanas dokumentiem (DP „Cilvēkresursi un nodarbinātība” un DP „Cilvēkresursi un nodarbinātība” pap</w:t>
            </w:r>
            <w:r w:rsidR="00A540BC">
              <w:t>ildinājumam). MK noteikumos Nr.</w:t>
            </w:r>
            <w:r w:rsidRPr="006607BF">
              <w:t>523 tiek precizēts  aktivitātes pieejamais Eiropas Sociālā fonda finansējums.</w:t>
            </w:r>
          </w:p>
          <w:p w14:paraId="78D7E778" w14:textId="6175678A" w:rsidR="00E173D4" w:rsidRPr="00A540BC" w:rsidRDefault="00E173D4" w:rsidP="00A540BC">
            <w:pPr>
              <w:spacing w:after="0" w:line="240" w:lineRule="auto"/>
              <w:ind w:left="57" w:right="57"/>
              <w:jc w:val="both"/>
              <w:rPr>
                <w:rFonts w:ascii="Times New Roman" w:hAnsi="Times New Roman" w:cs="Times New Roman"/>
                <w:iCs/>
                <w:sz w:val="24"/>
                <w:szCs w:val="24"/>
              </w:rPr>
            </w:pPr>
            <w:r w:rsidRPr="006607BF">
              <w:rPr>
                <w:rFonts w:ascii="Times New Roman" w:hAnsi="Times New Roman" w:cs="Times New Roman"/>
                <w:sz w:val="24"/>
                <w:szCs w:val="24"/>
              </w:rPr>
              <w:t xml:space="preserve">Lai sasniegtu mērķi, Ministru kabineta noteikumu projekts paredz samazināt aktivitātei pieejamo kopējo attiecināmo finansējumu, nosakot to 3 506 867 </w:t>
            </w:r>
            <w:r w:rsidRPr="006607BF">
              <w:rPr>
                <w:rFonts w:ascii="Times New Roman" w:hAnsi="Times New Roman" w:cs="Times New Roman"/>
                <w:i/>
                <w:sz w:val="24"/>
                <w:szCs w:val="24"/>
              </w:rPr>
              <w:t>euro</w:t>
            </w:r>
            <w:r w:rsidRPr="006607BF">
              <w:rPr>
                <w:rFonts w:ascii="Times New Roman" w:hAnsi="Times New Roman" w:cs="Times New Roman"/>
                <w:sz w:val="24"/>
                <w:szCs w:val="24"/>
              </w:rPr>
              <w:t xml:space="preserve"> apmērā (no 3 618 565 EUR samazinot uz 3 506 867 EUR).</w:t>
            </w:r>
          </w:p>
        </w:tc>
      </w:tr>
      <w:tr w:rsidR="00CC1A56" w:rsidRPr="006607BF" w14:paraId="30C4854B" w14:textId="77777777" w:rsidTr="001E645F">
        <w:trPr>
          <w:trHeight w:val="472"/>
        </w:trPr>
        <w:tc>
          <w:tcPr>
            <w:tcW w:w="227" w:type="pct"/>
          </w:tcPr>
          <w:p w14:paraId="2C037135" w14:textId="77777777" w:rsidR="00CC1A56" w:rsidRPr="006607BF" w:rsidRDefault="00CC1A56" w:rsidP="007D385B">
            <w:pPr>
              <w:pStyle w:val="naiskr"/>
              <w:spacing w:before="0" w:beforeAutospacing="0" w:after="0" w:afterAutospacing="0"/>
              <w:ind w:left="57" w:right="57"/>
              <w:jc w:val="center"/>
            </w:pPr>
            <w:r w:rsidRPr="006607BF">
              <w:t>2.</w:t>
            </w:r>
          </w:p>
        </w:tc>
        <w:tc>
          <w:tcPr>
            <w:tcW w:w="1566" w:type="pct"/>
          </w:tcPr>
          <w:p w14:paraId="1B1ADB9E" w14:textId="77777777" w:rsidR="00CC1A56" w:rsidRPr="006607BF" w:rsidRDefault="00CC1A56" w:rsidP="007D385B">
            <w:pPr>
              <w:pStyle w:val="naiskr"/>
              <w:tabs>
                <w:tab w:val="left" w:pos="170"/>
              </w:tabs>
              <w:spacing w:before="0" w:beforeAutospacing="0" w:after="0" w:afterAutospacing="0"/>
              <w:ind w:left="57" w:right="57"/>
            </w:pPr>
            <w:r w:rsidRPr="006607BF">
              <w:t xml:space="preserve">Pašreizējā situācija un problēmas, kuru risināšanai tiesību akta projekts </w:t>
            </w:r>
            <w:r w:rsidRPr="006607BF">
              <w:lastRenderedPageBreak/>
              <w:t>izstrādāts, tiesiskā regulējuma mērķis un būtība</w:t>
            </w:r>
          </w:p>
        </w:tc>
        <w:tc>
          <w:tcPr>
            <w:tcW w:w="3207" w:type="pct"/>
          </w:tcPr>
          <w:p w14:paraId="43A87605" w14:textId="3614D7D3" w:rsidR="00402608" w:rsidRPr="006607BF" w:rsidRDefault="00E173D4" w:rsidP="00E173D4">
            <w:pPr>
              <w:spacing w:after="0" w:line="240" w:lineRule="auto"/>
              <w:jc w:val="both"/>
              <w:rPr>
                <w:rFonts w:ascii="Times New Roman" w:hAnsi="Times New Roman" w:cs="Times New Roman"/>
                <w:bCs/>
                <w:sz w:val="24"/>
                <w:szCs w:val="24"/>
              </w:rPr>
            </w:pPr>
            <w:r w:rsidRPr="006607BF">
              <w:rPr>
                <w:rFonts w:ascii="Times New Roman" w:hAnsi="Times New Roman" w:cs="Times New Roman"/>
                <w:sz w:val="24"/>
                <w:szCs w:val="24"/>
              </w:rPr>
              <w:lastRenderedPageBreak/>
              <w:t xml:space="preserve">Ņemot vērā, ka grozījumi </w:t>
            </w:r>
            <w:r w:rsidRPr="006607BF">
              <w:rPr>
                <w:rFonts w:ascii="Times New Roman" w:hAnsi="Times New Roman" w:cs="Times New Roman"/>
                <w:iCs/>
                <w:sz w:val="24"/>
                <w:szCs w:val="24"/>
              </w:rPr>
              <w:t xml:space="preserve">MK 24.11.2009. noteikumos </w:t>
            </w:r>
            <w:r w:rsidR="00A540BC">
              <w:rPr>
                <w:rFonts w:ascii="Times New Roman" w:hAnsi="Times New Roman" w:cs="Times New Roman"/>
                <w:iCs/>
                <w:sz w:val="24"/>
                <w:szCs w:val="24"/>
              </w:rPr>
              <w:t>Nr. 1358  stājušies spēkā 2013.gada 11.novembrī, palielinot 1.5.1.1.1.</w:t>
            </w:r>
            <w:r w:rsidRPr="006607BF">
              <w:rPr>
                <w:rFonts w:ascii="Times New Roman" w:hAnsi="Times New Roman" w:cs="Times New Roman"/>
                <w:iCs/>
                <w:sz w:val="24"/>
                <w:szCs w:val="24"/>
              </w:rPr>
              <w:t xml:space="preserve">apakšaktivitātes kopējo pieejamo finansējumu, </w:t>
            </w:r>
            <w:r w:rsidRPr="006607BF">
              <w:rPr>
                <w:rFonts w:ascii="Times New Roman" w:hAnsi="Times New Roman" w:cs="Times New Roman"/>
                <w:iCs/>
                <w:sz w:val="24"/>
                <w:szCs w:val="24"/>
              </w:rPr>
              <w:lastRenderedPageBreak/>
              <w:t>nepieciešams veikt atbilstošus grozījumus MK 2010.gada 8.jūnija noteikumos Nr.523, lai nodrošinātu iepriekšminēto MK noteikumu atbilstību DPP „Cilvēkresuri un nodarbinātība”.</w:t>
            </w:r>
          </w:p>
        </w:tc>
      </w:tr>
      <w:tr w:rsidR="00CC1A56" w:rsidRPr="006607BF" w14:paraId="3C3A93E2" w14:textId="77777777" w:rsidTr="001E645F">
        <w:trPr>
          <w:trHeight w:val="476"/>
        </w:trPr>
        <w:tc>
          <w:tcPr>
            <w:tcW w:w="227" w:type="pct"/>
          </w:tcPr>
          <w:p w14:paraId="7E3A622A" w14:textId="77777777" w:rsidR="00CC1A56" w:rsidRPr="006607BF" w:rsidRDefault="00CC1A56" w:rsidP="007D385B">
            <w:pPr>
              <w:pStyle w:val="naiskr"/>
              <w:spacing w:before="0" w:beforeAutospacing="0" w:after="0" w:afterAutospacing="0"/>
              <w:ind w:left="57" w:right="57"/>
              <w:jc w:val="center"/>
            </w:pPr>
            <w:r w:rsidRPr="006607BF">
              <w:lastRenderedPageBreak/>
              <w:t>3.</w:t>
            </w:r>
          </w:p>
        </w:tc>
        <w:tc>
          <w:tcPr>
            <w:tcW w:w="1566" w:type="pct"/>
          </w:tcPr>
          <w:p w14:paraId="20D4CFE2" w14:textId="77777777" w:rsidR="00CC1A56" w:rsidRPr="006607BF" w:rsidRDefault="00CC1A56" w:rsidP="007D385B">
            <w:pPr>
              <w:pStyle w:val="naiskr"/>
              <w:spacing w:before="0" w:beforeAutospacing="0" w:after="0" w:afterAutospacing="0"/>
              <w:ind w:left="57" w:right="57"/>
            </w:pPr>
            <w:r w:rsidRPr="006607BF">
              <w:t>Projekta izstrādē iesaistītās institūcijas</w:t>
            </w:r>
          </w:p>
        </w:tc>
        <w:tc>
          <w:tcPr>
            <w:tcW w:w="3207" w:type="pct"/>
          </w:tcPr>
          <w:p w14:paraId="1F37D6DD" w14:textId="77777777" w:rsidR="00CC1A56" w:rsidRPr="006607BF" w:rsidRDefault="00621FDF" w:rsidP="00A540BC">
            <w:pPr>
              <w:spacing w:after="0" w:line="240" w:lineRule="auto"/>
              <w:ind w:right="57"/>
              <w:jc w:val="both"/>
              <w:rPr>
                <w:rFonts w:ascii="Times New Roman" w:hAnsi="Times New Roman" w:cs="Times New Roman"/>
                <w:b/>
                <w:sz w:val="24"/>
                <w:szCs w:val="24"/>
              </w:rPr>
            </w:pPr>
            <w:r w:rsidRPr="006607BF">
              <w:rPr>
                <w:rFonts w:ascii="Times New Roman" w:eastAsia="Times New Roman" w:hAnsi="Times New Roman" w:cs="Times New Roman"/>
                <w:sz w:val="24"/>
                <w:szCs w:val="24"/>
                <w:lang w:eastAsia="lv-LV"/>
              </w:rPr>
              <w:t>Finanšu ministrija un Vides aizsardzības un reģionālās attīstības ministrija</w:t>
            </w:r>
          </w:p>
        </w:tc>
      </w:tr>
      <w:tr w:rsidR="00CC1A56" w:rsidRPr="006607BF" w14:paraId="6A696731" w14:textId="77777777" w:rsidTr="001E645F">
        <w:tc>
          <w:tcPr>
            <w:tcW w:w="227" w:type="pct"/>
          </w:tcPr>
          <w:p w14:paraId="2E481666" w14:textId="77777777" w:rsidR="00CC1A56" w:rsidRPr="006607BF" w:rsidRDefault="00CC1A56" w:rsidP="007D385B">
            <w:pPr>
              <w:pStyle w:val="naiskr"/>
              <w:spacing w:before="0" w:beforeAutospacing="0" w:after="0" w:afterAutospacing="0"/>
              <w:ind w:left="57" w:right="57"/>
              <w:jc w:val="center"/>
            </w:pPr>
            <w:r w:rsidRPr="006607BF">
              <w:t>4.</w:t>
            </w:r>
          </w:p>
        </w:tc>
        <w:tc>
          <w:tcPr>
            <w:tcW w:w="1566" w:type="pct"/>
          </w:tcPr>
          <w:p w14:paraId="1E9023F8" w14:textId="77777777" w:rsidR="00CC1A56" w:rsidRPr="006607BF" w:rsidRDefault="00CC1A56" w:rsidP="007D385B">
            <w:pPr>
              <w:pStyle w:val="naiskr"/>
              <w:spacing w:before="0" w:beforeAutospacing="0" w:after="0" w:afterAutospacing="0"/>
              <w:ind w:left="57" w:right="57"/>
            </w:pPr>
            <w:r w:rsidRPr="006607BF">
              <w:t>Cita informācija</w:t>
            </w:r>
          </w:p>
        </w:tc>
        <w:tc>
          <w:tcPr>
            <w:tcW w:w="3207" w:type="pct"/>
          </w:tcPr>
          <w:p w14:paraId="1AC09D90" w14:textId="77777777" w:rsidR="00CC1A56" w:rsidRPr="006607BF" w:rsidRDefault="004863B9" w:rsidP="00DE0F62">
            <w:pPr>
              <w:pStyle w:val="naiskr"/>
              <w:spacing w:before="0" w:beforeAutospacing="0" w:after="0" w:afterAutospacing="0"/>
              <w:ind w:left="142" w:right="57"/>
              <w:jc w:val="both"/>
            </w:pPr>
            <w:r w:rsidRPr="006607BF">
              <w:rPr>
                <w:color w:val="000000"/>
              </w:rPr>
              <w:t>Nav.</w:t>
            </w:r>
          </w:p>
        </w:tc>
      </w:tr>
    </w:tbl>
    <w:p w14:paraId="67F1BAC7" w14:textId="77777777" w:rsidR="00E173D4" w:rsidRPr="006607BF" w:rsidRDefault="00E173D4" w:rsidP="00CC1A56">
      <w:pPr>
        <w:spacing w:after="0" w:line="240" w:lineRule="auto"/>
        <w:rPr>
          <w:rFonts w:ascii="Times New Roman" w:hAnsi="Times New Roman" w:cs="Times New Roman"/>
          <w:sz w:val="24"/>
          <w:szCs w:val="24"/>
        </w:rPr>
      </w:pPr>
    </w:p>
    <w:tbl>
      <w:tblPr>
        <w:tblW w:w="5245" w:type="pct"/>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3053"/>
        <w:gridCol w:w="5884"/>
      </w:tblGrid>
      <w:tr w:rsidR="00621FDF" w:rsidRPr="006607BF" w14:paraId="5B825234" w14:textId="77777777" w:rsidTr="00EC6A02">
        <w:tc>
          <w:tcPr>
            <w:tcW w:w="5000" w:type="pct"/>
            <w:gridSpan w:val="3"/>
            <w:tcBorders>
              <w:top w:val="single" w:sz="6" w:space="0" w:color="auto"/>
              <w:left w:val="single" w:sz="6" w:space="0" w:color="auto"/>
              <w:bottom w:val="outset" w:sz="6" w:space="0" w:color="auto"/>
              <w:right w:val="single" w:sz="6" w:space="0" w:color="auto"/>
            </w:tcBorders>
          </w:tcPr>
          <w:p w14:paraId="43A63D16" w14:textId="77777777" w:rsidR="00621FDF" w:rsidRPr="006607BF" w:rsidRDefault="00621FDF" w:rsidP="00F4308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607BF">
              <w:rPr>
                <w:rFonts w:ascii="Times New Roman" w:eastAsia="Times New Roman" w:hAnsi="Times New Roman" w:cs="Times New Roman"/>
                <w:b/>
                <w:bCs/>
                <w:sz w:val="24"/>
                <w:szCs w:val="24"/>
                <w:lang w:eastAsia="lv-LV"/>
              </w:rPr>
              <w:t>IV. Tiesību akta projekta ietekme uz spēkā esošo tiesību normu sistēmu</w:t>
            </w:r>
          </w:p>
        </w:tc>
      </w:tr>
      <w:tr w:rsidR="00621FDF" w:rsidRPr="006607BF" w14:paraId="4EE891FF" w14:textId="77777777" w:rsidTr="00EC6A02">
        <w:tc>
          <w:tcPr>
            <w:tcW w:w="296" w:type="pct"/>
            <w:tcBorders>
              <w:top w:val="outset" w:sz="6" w:space="0" w:color="auto"/>
              <w:left w:val="outset" w:sz="6" w:space="0" w:color="auto"/>
              <w:bottom w:val="outset" w:sz="6" w:space="0" w:color="auto"/>
              <w:right w:val="outset" w:sz="6" w:space="0" w:color="auto"/>
            </w:tcBorders>
          </w:tcPr>
          <w:p w14:paraId="31986D3B" w14:textId="77777777" w:rsidR="00621FDF" w:rsidRPr="006607BF" w:rsidRDefault="00621FDF" w:rsidP="00EC6A02">
            <w:pPr>
              <w:spacing w:before="100" w:beforeAutospacing="1" w:after="100" w:afterAutospacing="1" w:line="240" w:lineRule="auto"/>
              <w:ind w:left="-222"/>
              <w:rPr>
                <w:rFonts w:ascii="Times New Roman" w:eastAsia="Times New Roman" w:hAnsi="Times New Roman" w:cs="Times New Roman"/>
                <w:sz w:val="24"/>
                <w:szCs w:val="24"/>
                <w:lang w:eastAsia="lv-LV"/>
              </w:rPr>
            </w:pPr>
            <w:r w:rsidRPr="006607BF">
              <w:rPr>
                <w:rFonts w:ascii="Times New Roman" w:eastAsia="Times New Roman" w:hAnsi="Times New Roman" w:cs="Times New Roman"/>
                <w:sz w:val="24"/>
                <w:szCs w:val="24"/>
                <w:lang w:eastAsia="lv-LV"/>
              </w:rPr>
              <w:t>1.</w:t>
            </w:r>
          </w:p>
        </w:tc>
        <w:tc>
          <w:tcPr>
            <w:tcW w:w="1607" w:type="pct"/>
            <w:tcBorders>
              <w:top w:val="outset" w:sz="6" w:space="0" w:color="auto"/>
              <w:left w:val="outset" w:sz="6" w:space="0" w:color="auto"/>
              <w:bottom w:val="outset" w:sz="6" w:space="0" w:color="auto"/>
              <w:right w:val="outset" w:sz="6" w:space="0" w:color="auto"/>
            </w:tcBorders>
          </w:tcPr>
          <w:p w14:paraId="3FA35031" w14:textId="77777777" w:rsidR="00621FDF" w:rsidRPr="006607BF" w:rsidRDefault="00621FDF" w:rsidP="00F43080">
            <w:pPr>
              <w:spacing w:before="100" w:beforeAutospacing="1" w:after="100" w:afterAutospacing="1" w:line="240" w:lineRule="auto"/>
              <w:rPr>
                <w:rFonts w:ascii="Times New Roman" w:eastAsia="Times New Roman" w:hAnsi="Times New Roman" w:cs="Times New Roman"/>
                <w:sz w:val="24"/>
                <w:szCs w:val="24"/>
                <w:lang w:eastAsia="lv-LV"/>
              </w:rPr>
            </w:pPr>
            <w:r w:rsidRPr="006607BF">
              <w:rPr>
                <w:rFonts w:ascii="Times New Roman" w:eastAsia="Times New Roman" w:hAnsi="Times New Roman" w:cs="Times New Roman"/>
                <w:sz w:val="24"/>
                <w:szCs w:val="24"/>
                <w:lang w:eastAsia="lv-LV"/>
              </w:rPr>
              <w:t>Nepieciešamie saistītie tiesību aktu projekti</w:t>
            </w:r>
          </w:p>
        </w:tc>
        <w:tc>
          <w:tcPr>
            <w:tcW w:w="3097" w:type="pct"/>
            <w:tcBorders>
              <w:top w:val="outset" w:sz="6" w:space="0" w:color="auto"/>
              <w:left w:val="outset" w:sz="6" w:space="0" w:color="auto"/>
              <w:bottom w:val="outset" w:sz="6" w:space="0" w:color="auto"/>
              <w:right w:val="outset" w:sz="6" w:space="0" w:color="auto"/>
            </w:tcBorders>
          </w:tcPr>
          <w:p w14:paraId="05DE5764" w14:textId="77777777" w:rsidR="00CA6A56" w:rsidRPr="006607BF" w:rsidRDefault="00621FDF" w:rsidP="00CA6A56">
            <w:pPr>
              <w:tabs>
                <w:tab w:val="left" w:pos="396"/>
              </w:tabs>
              <w:autoSpaceDE w:val="0"/>
              <w:autoSpaceDN w:val="0"/>
              <w:adjustRightInd w:val="0"/>
              <w:spacing w:before="60" w:after="60"/>
              <w:jc w:val="both"/>
              <w:rPr>
                <w:rFonts w:ascii="Times New Roman" w:hAnsi="Times New Roman" w:cs="Times New Roman"/>
                <w:sz w:val="24"/>
                <w:szCs w:val="24"/>
              </w:rPr>
            </w:pPr>
            <w:r w:rsidRPr="006607BF">
              <w:rPr>
                <w:rFonts w:ascii="Times New Roman" w:eastAsia="Times New Roman" w:hAnsi="Times New Roman" w:cs="Times New Roman"/>
                <w:sz w:val="24"/>
                <w:szCs w:val="24"/>
                <w:lang w:eastAsia="lv-LV"/>
              </w:rPr>
              <w:t xml:space="preserve"> </w:t>
            </w:r>
            <w:r w:rsidR="00CA6A56" w:rsidRPr="006607BF">
              <w:rPr>
                <w:rFonts w:ascii="Times New Roman" w:hAnsi="Times New Roman" w:cs="Times New Roman"/>
                <w:sz w:val="24"/>
                <w:szCs w:val="24"/>
              </w:rPr>
              <w:t>MK noteikumu projekts rada nepieciešamību veikt atbilstošus grozījumus:</w:t>
            </w:r>
          </w:p>
          <w:p w14:paraId="3DCB5D89" w14:textId="77777777" w:rsidR="00CA6A56" w:rsidRPr="006607BF" w:rsidRDefault="00CA6A56" w:rsidP="00CA6A56">
            <w:pPr>
              <w:numPr>
                <w:ilvl w:val="0"/>
                <w:numId w:val="16"/>
              </w:numPr>
              <w:tabs>
                <w:tab w:val="left" w:pos="396"/>
              </w:tabs>
              <w:autoSpaceDE w:val="0"/>
              <w:autoSpaceDN w:val="0"/>
              <w:adjustRightInd w:val="0"/>
              <w:spacing w:before="60" w:after="60" w:line="240" w:lineRule="auto"/>
              <w:ind w:left="-28" w:firstLine="0"/>
              <w:jc w:val="both"/>
              <w:rPr>
                <w:rFonts w:ascii="Times New Roman" w:hAnsi="Times New Roman" w:cs="Times New Roman"/>
                <w:sz w:val="24"/>
                <w:szCs w:val="24"/>
              </w:rPr>
            </w:pPr>
            <w:r w:rsidRPr="006607BF">
              <w:rPr>
                <w:rFonts w:ascii="Times New Roman" w:hAnsi="Times New Roman" w:cs="Times New Roman"/>
                <w:sz w:val="24"/>
                <w:szCs w:val="24"/>
              </w:rPr>
              <w:t>Darbības programmas „Cilvēkresursi un nodarbinātība” papildinājumā, paredzot 1.5. pasākuma ietvaros kopējā attiecināmā publiskā finansējuma apmēra pārdali starp aktivitātēm/apakšaktivitātēm 418 018 EUR apmērā.</w:t>
            </w:r>
          </w:p>
          <w:p w14:paraId="3DD0322D" w14:textId="77777777" w:rsidR="00CA6A56" w:rsidRPr="006607BF" w:rsidRDefault="00CA6A56" w:rsidP="00CA6A56">
            <w:pPr>
              <w:numPr>
                <w:ilvl w:val="0"/>
                <w:numId w:val="16"/>
              </w:numPr>
              <w:tabs>
                <w:tab w:val="left" w:pos="396"/>
              </w:tabs>
              <w:autoSpaceDE w:val="0"/>
              <w:autoSpaceDN w:val="0"/>
              <w:adjustRightInd w:val="0"/>
              <w:spacing w:before="60" w:after="60" w:line="240" w:lineRule="auto"/>
              <w:ind w:left="-28" w:firstLine="0"/>
              <w:jc w:val="both"/>
              <w:rPr>
                <w:rFonts w:ascii="Times New Roman" w:hAnsi="Times New Roman" w:cs="Times New Roman"/>
                <w:sz w:val="24"/>
                <w:szCs w:val="24"/>
              </w:rPr>
            </w:pPr>
            <w:r w:rsidRPr="006607BF">
              <w:rPr>
                <w:rFonts w:ascii="Times New Roman" w:hAnsi="Times New Roman" w:cs="Times New Roman"/>
                <w:sz w:val="24"/>
                <w:szCs w:val="24"/>
              </w:rPr>
              <w:t>Ministru kabineta 2010.gada 8.jūnija noteikumu Nr.522 „Noteikumi par darbības programmas „Cilvēkresursi un nodarbinātība” papildinājuma 1.5.3.2.aktivitātes „Plānošanas reģionu un vietējo pašvaldību attīstības plānošanas kapacitātes paaugstināšana” kopējā attiecināmā finansējuma precizēšanu, nosakot to 3 227 488 EUR apmērā.</w:t>
            </w:r>
          </w:p>
          <w:p w14:paraId="7721C747" w14:textId="77777777" w:rsidR="00CA6A56" w:rsidRPr="006607BF" w:rsidRDefault="00CA6A56" w:rsidP="00CA6A56">
            <w:pPr>
              <w:numPr>
                <w:ilvl w:val="0"/>
                <w:numId w:val="16"/>
              </w:numPr>
              <w:tabs>
                <w:tab w:val="left" w:pos="396"/>
              </w:tabs>
              <w:autoSpaceDE w:val="0"/>
              <w:autoSpaceDN w:val="0"/>
              <w:adjustRightInd w:val="0"/>
              <w:spacing w:before="60" w:after="60" w:line="240" w:lineRule="auto"/>
              <w:ind w:left="-28" w:firstLine="0"/>
              <w:jc w:val="both"/>
              <w:rPr>
                <w:rFonts w:ascii="Times New Roman" w:hAnsi="Times New Roman" w:cs="Times New Roman"/>
                <w:sz w:val="24"/>
                <w:szCs w:val="24"/>
              </w:rPr>
            </w:pPr>
            <w:r w:rsidRPr="006607BF">
              <w:rPr>
                <w:rFonts w:ascii="Times New Roman" w:hAnsi="Times New Roman" w:cs="Times New Roman"/>
                <w:sz w:val="24"/>
                <w:szCs w:val="24"/>
              </w:rPr>
              <w:t>Par iepriekšminēto tiesību aktu projektu izstrādi (Darbības programmu „Cilvēkresursi un nodarbinātība” un Ministru kabineta 2010.gada 8.jūnija noteikumi Nr.522) ir atbildīga Finanšu ministrija.</w:t>
            </w:r>
          </w:p>
          <w:p w14:paraId="2AA31EFD" w14:textId="55AAE065" w:rsidR="00621FDF" w:rsidRPr="006607BF" w:rsidRDefault="00CA6A56" w:rsidP="00CA6A56">
            <w:pPr>
              <w:tabs>
                <w:tab w:val="left" w:pos="396"/>
              </w:tabs>
              <w:autoSpaceDE w:val="0"/>
              <w:autoSpaceDN w:val="0"/>
              <w:adjustRightInd w:val="0"/>
              <w:spacing w:before="60" w:after="60" w:line="240" w:lineRule="auto"/>
              <w:ind w:left="-28"/>
              <w:jc w:val="both"/>
              <w:rPr>
                <w:rFonts w:ascii="Times New Roman" w:eastAsia="Times New Roman" w:hAnsi="Times New Roman" w:cs="Times New Roman"/>
                <w:sz w:val="24"/>
                <w:szCs w:val="24"/>
                <w:lang w:eastAsia="lv-LV"/>
              </w:rPr>
            </w:pPr>
            <w:r w:rsidRPr="006607BF">
              <w:rPr>
                <w:rFonts w:ascii="Times New Roman" w:hAnsi="Times New Roman" w:cs="Times New Roman"/>
                <w:sz w:val="24"/>
                <w:szCs w:val="24"/>
              </w:rPr>
              <w:t>Grozījumi Ministru kabineta 2010.gada 8. jūnija noteikumos Nr.522 „</w:t>
            </w:r>
            <w:r w:rsidRPr="006607BF">
              <w:rPr>
                <w:rFonts w:ascii="Times New Roman" w:hAnsi="Times New Roman" w:cs="Times New Roman"/>
                <w:bCs/>
                <w:sz w:val="24"/>
                <w:szCs w:val="24"/>
              </w:rPr>
              <w:t>Noteikumi par darbības programmas „Cilvēkresursi un nodarbinātība” papildinājuma 1.5.3.2.aktivitāti „Plānošanas reģionu un vietējo pašvaldību attīstības plānošanas kapacitātes paaugstināšana</w:t>
            </w:r>
            <w:r w:rsidRPr="006607BF">
              <w:rPr>
                <w:rFonts w:ascii="Times New Roman" w:hAnsi="Times New Roman" w:cs="Times New Roman"/>
                <w:sz w:val="24"/>
                <w:szCs w:val="24"/>
              </w:rPr>
              <w:t>”</w:t>
            </w:r>
            <w:r w:rsidRPr="006607BF">
              <w:rPr>
                <w:rFonts w:ascii="Times New Roman" w:hAnsi="Times New Roman" w:cs="Times New Roman"/>
                <w:b/>
                <w:sz w:val="24"/>
                <w:szCs w:val="24"/>
              </w:rPr>
              <w:t xml:space="preserve"> </w:t>
            </w:r>
            <w:r w:rsidR="00A540BC">
              <w:rPr>
                <w:rFonts w:ascii="Times New Roman" w:hAnsi="Times New Roman" w:cs="Times New Roman"/>
                <w:sz w:val="24"/>
                <w:szCs w:val="24"/>
              </w:rPr>
              <w:t>un Nr.</w:t>
            </w:r>
            <w:r w:rsidRPr="006607BF">
              <w:rPr>
                <w:rFonts w:ascii="Times New Roman" w:hAnsi="Times New Roman" w:cs="Times New Roman"/>
                <w:sz w:val="24"/>
                <w:szCs w:val="24"/>
              </w:rPr>
              <w:t>523 „Noteikumi par darbības programmas „Cilvēkresursi un nodarbinātība” papildinājuma 1.5.3.1.aktivitāti „Speciālistu piesasite plānošanas reģioniem, pilsētām un novadiem” tiks virzīts apstiprināšanai Ministru kabineta sēdē vienlaikus ar izstrādātajiem grozījumiem darbības programmas „Cilvēkresursi un nodarbinātība” papildinājumā.</w:t>
            </w:r>
          </w:p>
        </w:tc>
      </w:tr>
      <w:tr w:rsidR="00621FDF" w:rsidRPr="006607BF" w14:paraId="0B68747B" w14:textId="77777777" w:rsidTr="00CA6A56">
        <w:trPr>
          <w:trHeight w:val="370"/>
        </w:trPr>
        <w:tc>
          <w:tcPr>
            <w:tcW w:w="296" w:type="pct"/>
            <w:tcBorders>
              <w:top w:val="outset" w:sz="6" w:space="0" w:color="auto"/>
              <w:left w:val="outset" w:sz="6" w:space="0" w:color="auto"/>
              <w:bottom w:val="outset" w:sz="6" w:space="0" w:color="auto"/>
              <w:right w:val="outset" w:sz="6" w:space="0" w:color="auto"/>
            </w:tcBorders>
          </w:tcPr>
          <w:p w14:paraId="4B35C56B" w14:textId="77777777" w:rsidR="00621FDF" w:rsidRPr="006607BF" w:rsidRDefault="00621FDF" w:rsidP="00F43080">
            <w:pPr>
              <w:spacing w:before="100" w:beforeAutospacing="1" w:after="100" w:afterAutospacing="1" w:line="240" w:lineRule="auto"/>
              <w:rPr>
                <w:rFonts w:ascii="Times New Roman" w:eastAsia="Times New Roman" w:hAnsi="Times New Roman" w:cs="Times New Roman"/>
                <w:sz w:val="24"/>
                <w:szCs w:val="24"/>
                <w:lang w:eastAsia="lv-LV"/>
              </w:rPr>
            </w:pPr>
            <w:r w:rsidRPr="006607BF">
              <w:rPr>
                <w:rFonts w:ascii="Times New Roman" w:eastAsia="Times New Roman" w:hAnsi="Times New Roman" w:cs="Times New Roman"/>
                <w:sz w:val="24"/>
                <w:szCs w:val="24"/>
                <w:lang w:eastAsia="lv-LV"/>
              </w:rPr>
              <w:t>2.</w:t>
            </w:r>
          </w:p>
        </w:tc>
        <w:tc>
          <w:tcPr>
            <w:tcW w:w="1607" w:type="pct"/>
            <w:tcBorders>
              <w:top w:val="outset" w:sz="6" w:space="0" w:color="auto"/>
              <w:left w:val="outset" w:sz="6" w:space="0" w:color="auto"/>
              <w:bottom w:val="outset" w:sz="6" w:space="0" w:color="auto"/>
              <w:right w:val="outset" w:sz="6" w:space="0" w:color="auto"/>
            </w:tcBorders>
          </w:tcPr>
          <w:p w14:paraId="68E37548" w14:textId="77777777" w:rsidR="00621FDF" w:rsidRPr="006607BF" w:rsidRDefault="00621FDF" w:rsidP="00F43080">
            <w:pPr>
              <w:spacing w:before="100" w:beforeAutospacing="1" w:after="100" w:afterAutospacing="1" w:line="240" w:lineRule="auto"/>
              <w:rPr>
                <w:rFonts w:ascii="Times New Roman" w:eastAsia="Times New Roman" w:hAnsi="Times New Roman" w:cs="Times New Roman"/>
                <w:sz w:val="24"/>
                <w:szCs w:val="24"/>
                <w:lang w:eastAsia="lv-LV"/>
              </w:rPr>
            </w:pPr>
            <w:r w:rsidRPr="006607BF">
              <w:rPr>
                <w:rFonts w:ascii="Times New Roman" w:eastAsia="Times New Roman" w:hAnsi="Times New Roman" w:cs="Times New Roman"/>
                <w:sz w:val="24"/>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tcPr>
          <w:p w14:paraId="79173C12" w14:textId="37669411" w:rsidR="00CA0620" w:rsidRPr="006607BF" w:rsidRDefault="00CA6A56" w:rsidP="00943691">
            <w:pPr>
              <w:tabs>
                <w:tab w:val="left" w:pos="396"/>
              </w:tabs>
              <w:autoSpaceDE w:val="0"/>
              <w:autoSpaceDN w:val="0"/>
              <w:adjustRightInd w:val="0"/>
              <w:spacing w:before="60" w:after="60" w:line="240" w:lineRule="auto"/>
              <w:ind w:left="-28"/>
              <w:jc w:val="both"/>
              <w:rPr>
                <w:rFonts w:ascii="Times New Roman" w:hAnsi="Times New Roman" w:cs="Times New Roman"/>
                <w:bCs/>
                <w:sz w:val="24"/>
                <w:szCs w:val="24"/>
              </w:rPr>
            </w:pPr>
            <w:r w:rsidRPr="006607BF">
              <w:rPr>
                <w:rFonts w:ascii="Times New Roman" w:hAnsi="Times New Roman" w:cs="Times New Roman"/>
                <w:bCs/>
                <w:sz w:val="24"/>
                <w:szCs w:val="24"/>
              </w:rPr>
              <w:t>Nav.</w:t>
            </w:r>
          </w:p>
        </w:tc>
      </w:tr>
    </w:tbl>
    <w:p w14:paraId="7A4E1D52" w14:textId="77777777" w:rsidR="00CC1A56" w:rsidRPr="006607BF" w:rsidRDefault="00CC1A56"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E8455F" w:rsidRPr="006607BF" w14:paraId="0A101577" w14:textId="77777777" w:rsidTr="00A311AB">
        <w:trPr>
          <w:trHeight w:val="421"/>
          <w:jc w:val="center"/>
        </w:trPr>
        <w:tc>
          <w:tcPr>
            <w:tcW w:w="9524" w:type="dxa"/>
            <w:gridSpan w:val="3"/>
            <w:vAlign w:val="center"/>
          </w:tcPr>
          <w:p w14:paraId="1147C9A9" w14:textId="77777777" w:rsidR="00E8455F" w:rsidRPr="006607BF" w:rsidRDefault="00E8455F" w:rsidP="00E8455F">
            <w:pPr>
              <w:spacing w:after="0" w:line="240" w:lineRule="auto"/>
              <w:ind w:left="57" w:right="57"/>
              <w:jc w:val="center"/>
              <w:rPr>
                <w:rFonts w:ascii="Times New Roman" w:eastAsia="Times New Roman" w:hAnsi="Times New Roman" w:cs="Times New Roman"/>
                <w:sz w:val="24"/>
                <w:szCs w:val="24"/>
                <w:lang w:eastAsia="lv-LV"/>
              </w:rPr>
            </w:pPr>
            <w:r w:rsidRPr="006607BF">
              <w:rPr>
                <w:rFonts w:ascii="Times New Roman" w:eastAsia="Times New Roman" w:hAnsi="Times New Roman" w:cs="Times New Roman"/>
                <w:b/>
                <w:sz w:val="24"/>
                <w:szCs w:val="24"/>
                <w:lang w:eastAsia="lv-LV"/>
              </w:rPr>
              <w:t>VI. Sabiedrības līdzdalība un komunikācijas aktivitātes</w:t>
            </w:r>
          </w:p>
        </w:tc>
      </w:tr>
      <w:tr w:rsidR="00E8455F" w:rsidRPr="006607BF" w14:paraId="700067FC" w14:textId="77777777" w:rsidTr="00A311AB">
        <w:trPr>
          <w:trHeight w:val="553"/>
          <w:jc w:val="center"/>
        </w:trPr>
        <w:tc>
          <w:tcPr>
            <w:tcW w:w="476" w:type="dxa"/>
          </w:tcPr>
          <w:p w14:paraId="26142B22" w14:textId="77777777" w:rsidR="00E8455F" w:rsidRPr="006607BF" w:rsidRDefault="00E8455F" w:rsidP="00E8455F">
            <w:pPr>
              <w:spacing w:after="0" w:line="240" w:lineRule="auto"/>
              <w:ind w:left="57" w:right="57"/>
              <w:jc w:val="both"/>
              <w:rPr>
                <w:rFonts w:ascii="Times New Roman" w:hAnsi="Times New Roman" w:cs="Times New Roman"/>
                <w:bCs/>
                <w:sz w:val="24"/>
                <w:szCs w:val="24"/>
              </w:rPr>
            </w:pPr>
            <w:r w:rsidRPr="006607BF">
              <w:rPr>
                <w:rFonts w:ascii="Times New Roman" w:hAnsi="Times New Roman" w:cs="Times New Roman"/>
                <w:bCs/>
                <w:sz w:val="24"/>
                <w:szCs w:val="24"/>
              </w:rPr>
              <w:t>1.</w:t>
            </w:r>
          </w:p>
        </w:tc>
        <w:tc>
          <w:tcPr>
            <w:tcW w:w="2842" w:type="dxa"/>
          </w:tcPr>
          <w:p w14:paraId="6EC773F7" w14:textId="77777777" w:rsidR="00E8455F" w:rsidRPr="006607BF" w:rsidRDefault="00E8455F" w:rsidP="00E8455F">
            <w:pPr>
              <w:tabs>
                <w:tab w:val="left" w:pos="170"/>
              </w:tabs>
              <w:spacing w:after="0" w:line="240" w:lineRule="auto"/>
              <w:ind w:left="57" w:right="57"/>
              <w:rPr>
                <w:rFonts w:ascii="Times New Roman" w:hAnsi="Times New Roman" w:cs="Times New Roman"/>
                <w:sz w:val="24"/>
                <w:szCs w:val="24"/>
                <w:lang w:eastAsia="lv-LV"/>
              </w:rPr>
            </w:pPr>
            <w:r w:rsidRPr="006607BF">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74B8C8E8" w14:textId="4CBA5192" w:rsidR="00E8455F" w:rsidRPr="006607BF" w:rsidRDefault="00CA6A56" w:rsidP="00A540BC">
            <w:pPr>
              <w:shd w:val="clear" w:color="auto" w:fill="FFFFFF"/>
              <w:spacing w:after="0" w:line="240" w:lineRule="auto"/>
              <w:ind w:right="83"/>
              <w:jc w:val="both"/>
              <w:rPr>
                <w:rFonts w:ascii="Times New Roman" w:hAnsi="Times New Roman" w:cs="Times New Roman"/>
                <w:sz w:val="24"/>
                <w:szCs w:val="24"/>
                <w:lang w:eastAsia="lv-LV"/>
              </w:rPr>
            </w:pPr>
            <w:bookmarkStart w:id="0" w:name="p61"/>
            <w:bookmarkEnd w:id="0"/>
            <w:r w:rsidRPr="006607BF">
              <w:rPr>
                <w:rFonts w:ascii="Times New Roman" w:hAnsi="Times New Roman" w:cs="Times New Roman"/>
                <w:sz w:val="24"/>
                <w:szCs w:val="24"/>
              </w:rPr>
              <w:t>MK noteikumu projekts attiecas tikai uz valsts pārvaldes institūcijām,  līdz ar to sabiedrības līdzdalība nebija nepieciešama.</w:t>
            </w:r>
          </w:p>
        </w:tc>
      </w:tr>
      <w:tr w:rsidR="00E8455F" w:rsidRPr="006607BF" w14:paraId="0DB303E4" w14:textId="77777777" w:rsidTr="00A311AB">
        <w:trPr>
          <w:trHeight w:val="339"/>
          <w:jc w:val="center"/>
        </w:trPr>
        <w:tc>
          <w:tcPr>
            <w:tcW w:w="476" w:type="dxa"/>
          </w:tcPr>
          <w:p w14:paraId="5AA22A8D" w14:textId="77777777" w:rsidR="00E8455F" w:rsidRPr="006607BF" w:rsidRDefault="00E8455F" w:rsidP="00E8455F">
            <w:pPr>
              <w:spacing w:after="0" w:line="240" w:lineRule="auto"/>
              <w:ind w:left="57" w:right="57"/>
              <w:jc w:val="both"/>
              <w:rPr>
                <w:rFonts w:ascii="Times New Roman" w:hAnsi="Times New Roman" w:cs="Times New Roman"/>
                <w:bCs/>
                <w:sz w:val="24"/>
                <w:szCs w:val="24"/>
              </w:rPr>
            </w:pPr>
            <w:r w:rsidRPr="006607BF">
              <w:rPr>
                <w:rFonts w:ascii="Times New Roman" w:hAnsi="Times New Roman" w:cs="Times New Roman"/>
                <w:bCs/>
                <w:sz w:val="24"/>
                <w:szCs w:val="24"/>
              </w:rPr>
              <w:t>2.</w:t>
            </w:r>
          </w:p>
        </w:tc>
        <w:tc>
          <w:tcPr>
            <w:tcW w:w="2842" w:type="dxa"/>
          </w:tcPr>
          <w:p w14:paraId="1A4754BE" w14:textId="77777777" w:rsidR="00E8455F" w:rsidRPr="006607BF" w:rsidRDefault="00E8455F" w:rsidP="00E8455F">
            <w:pPr>
              <w:spacing w:after="0" w:line="240" w:lineRule="auto"/>
              <w:ind w:left="57" w:right="57"/>
              <w:rPr>
                <w:rFonts w:ascii="Times New Roman" w:hAnsi="Times New Roman" w:cs="Times New Roman"/>
                <w:sz w:val="24"/>
                <w:szCs w:val="24"/>
                <w:lang w:eastAsia="lv-LV"/>
              </w:rPr>
            </w:pPr>
            <w:r w:rsidRPr="006607BF">
              <w:rPr>
                <w:rFonts w:ascii="Times New Roman" w:hAnsi="Times New Roman" w:cs="Times New Roman"/>
                <w:sz w:val="24"/>
                <w:szCs w:val="24"/>
                <w:lang w:eastAsia="lv-LV"/>
              </w:rPr>
              <w:t>Sabiedrības līdzdalība projekta izstrādē</w:t>
            </w:r>
          </w:p>
        </w:tc>
        <w:tc>
          <w:tcPr>
            <w:tcW w:w="6206" w:type="dxa"/>
          </w:tcPr>
          <w:p w14:paraId="3D8AB79E" w14:textId="77777777" w:rsidR="00E8455F" w:rsidRPr="006607BF" w:rsidRDefault="00E8455F" w:rsidP="00A540BC">
            <w:pPr>
              <w:shd w:val="clear" w:color="auto" w:fill="FFFFFF"/>
              <w:spacing w:after="0" w:line="240" w:lineRule="auto"/>
              <w:jc w:val="both"/>
              <w:rPr>
                <w:rFonts w:ascii="Times New Roman" w:hAnsi="Times New Roman" w:cs="Times New Roman"/>
                <w:sz w:val="24"/>
                <w:szCs w:val="24"/>
                <w:lang w:eastAsia="lv-LV"/>
              </w:rPr>
            </w:pPr>
            <w:bookmarkStart w:id="1" w:name="p62"/>
            <w:bookmarkEnd w:id="1"/>
            <w:r w:rsidRPr="006607BF">
              <w:rPr>
                <w:rFonts w:ascii="Times New Roman" w:hAnsi="Times New Roman" w:cs="Times New Roman"/>
                <w:sz w:val="24"/>
                <w:szCs w:val="24"/>
              </w:rPr>
              <w:t>MK noteikumu projekts šo jomu neskar.</w:t>
            </w:r>
          </w:p>
        </w:tc>
      </w:tr>
      <w:tr w:rsidR="00E8455F" w:rsidRPr="006607BF" w14:paraId="05522F9F" w14:textId="77777777" w:rsidTr="00A311AB">
        <w:trPr>
          <w:trHeight w:val="476"/>
          <w:jc w:val="center"/>
        </w:trPr>
        <w:tc>
          <w:tcPr>
            <w:tcW w:w="476" w:type="dxa"/>
          </w:tcPr>
          <w:p w14:paraId="27A8ECFD" w14:textId="77777777" w:rsidR="00E8455F" w:rsidRPr="006607BF" w:rsidRDefault="00E8455F" w:rsidP="00E8455F">
            <w:pPr>
              <w:spacing w:after="0" w:line="240" w:lineRule="auto"/>
              <w:ind w:left="57" w:right="57"/>
              <w:jc w:val="both"/>
              <w:rPr>
                <w:rFonts w:ascii="Times New Roman" w:hAnsi="Times New Roman" w:cs="Times New Roman"/>
                <w:bCs/>
                <w:sz w:val="24"/>
                <w:szCs w:val="24"/>
              </w:rPr>
            </w:pPr>
            <w:r w:rsidRPr="006607BF">
              <w:rPr>
                <w:rFonts w:ascii="Times New Roman" w:hAnsi="Times New Roman" w:cs="Times New Roman"/>
                <w:bCs/>
                <w:sz w:val="24"/>
                <w:szCs w:val="24"/>
              </w:rPr>
              <w:t>3.</w:t>
            </w:r>
          </w:p>
        </w:tc>
        <w:tc>
          <w:tcPr>
            <w:tcW w:w="2842" w:type="dxa"/>
          </w:tcPr>
          <w:p w14:paraId="1698715E" w14:textId="77777777" w:rsidR="00E8455F" w:rsidRPr="006607BF" w:rsidRDefault="00E8455F" w:rsidP="00E8455F">
            <w:pPr>
              <w:spacing w:after="0" w:line="240" w:lineRule="auto"/>
              <w:ind w:left="57" w:right="57"/>
              <w:rPr>
                <w:rFonts w:ascii="Times New Roman" w:hAnsi="Times New Roman" w:cs="Times New Roman"/>
                <w:sz w:val="24"/>
                <w:szCs w:val="24"/>
                <w:lang w:eastAsia="lv-LV"/>
              </w:rPr>
            </w:pPr>
            <w:r w:rsidRPr="006607BF">
              <w:rPr>
                <w:rFonts w:ascii="Times New Roman" w:hAnsi="Times New Roman" w:cs="Times New Roman"/>
                <w:sz w:val="24"/>
                <w:szCs w:val="24"/>
                <w:lang w:eastAsia="lv-LV"/>
              </w:rPr>
              <w:t>Sabiedrības līdzdalības rezultāti</w:t>
            </w:r>
          </w:p>
        </w:tc>
        <w:tc>
          <w:tcPr>
            <w:tcW w:w="6206" w:type="dxa"/>
          </w:tcPr>
          <w:p w14:paraId="7141D340" w14:textId="77777777" w:rsidR="00E8455F" w:rsidRPr="006607BF" w:rsidRDefault="00E8455F" w:rsidP="00A540BC">
            <w:pPr>
              <w:shd w:val="clear" w:color="auto" w:fill="FFFFFF"/>
              <w:spacing w:after="0" w:line="240" w:lineRule="auto"/>
              <w:jc w:val="both"/>
              <w:rPr>
                <w:rFonts w:ascii="Times New Roman" w:hAnsi="Times New Roman" w:cs="Times New Roman"/>
                <w:sz w:val="24"/>
                <w:szCs w:val="24"/>
                <w:lang w:eastAsia="lv-LV"/>
              </w:rPr>
            </w:pPr>
            <w:r w:rsidRPr="006607BF">
              <w:rPr>
                <w:rFonts w:ascii="Times New Roman" w:hAnsi="Times New Roman" w:cs="Times New Roman"/>
                <w:sz w:val="24"/>
                <w:szCs w:val="24"/>
              </w:rPr>
              <w:t>MK noteikumu projekts šo jomu neskar.</w:t>
            </w:r>
          </w:p>
        </w:tc>
      </w:tr>
      <w:tr w:rsidR="00E8455F" w:rsidRPr="006607BF" w14:paraId="5AFFB48B" w14:textId="77777777" w:rsidTr="00A311AB">
        <w:trPr>
          <w:trHeight w:val="329"/>
          <w:jc w:val="center"/>
        </w:trPr>
        <w:tc>
          <w:tcPr>
            <w:tcW w:w="476" w:type="dxa"/>
          </w:tcPr>
          <w:p w14:paraId="3CF9937F" w14:textId="77777777" w:rsidR="00E8455F" w:rsidRPr="006607BF" w:rsidRDefault="00E8455F" w:rsidP="00E8455F">
            <w:pPr>
              <w:spacing w:after="0" w:line="240" w:lineRule="auto"/>
              <w:ind w:left="57" w:right="57"/>
              <w:jc w:val="both"/>
              <w:rPr>
                <w:rFonts w:ascii="Times New Roman" w:hAnsi="Times New Roman" w:cs="Times New Roman"/>
                <w:bCs/>
                <w:sz w:val="24"/>
                <w:szCs w:val="24"/>
              </w:rPr>
            </w:pPr>
            <w:r w:rsidRPr="006607BF">
              <w:rPr>
                <w:rFonts w:ascii="Times New Roman" w:hAnsi="Times New Roman" w:cs="Times New Roman"/>
                <w:bCs/>
                <w:sz w:val="24"/>
                <w:szCs w:val="24"/>
              </w:rPr>
              <w:lastRenderedPageBreak/>
              <w:t>4.</w:t>
            </w:r>
          </w:p>
        </w:tc>
        <w:tc>
          <w:tcPr>
            <w:tcW w:w="2842" w:type="dxa"/>
          </w:tcPr>
          <w:p w14:paraId="4D9C3379" w14:textId="77777777" w:rsidR="00E8455F" w:rsidRPr="006607BF" w:rsidRDefault="00E8455F" w:rsidP="00E8455F">
            <w:pPr>
              <w:spacing w:after="0" w:line="240" w:lineRule="auto"/>
              <w:ind w:left="57" w:right="57"/>
              <w:rPr>
                <w:rFonts w:ascii="Times New Roman" w:hAnsi="Times New Roman" w:cs="Times New Roman"/>
                <w:sz w:val="24"/>
                <w:szCs w:val="24"/>
                <w:lang w:eastAsia="lv-LV"/>
              </w:rPr>
            </w:pPr>
            <w:r w:rsidRPr="006607BF">
              <w:rPr>
                <w:rFonts w:ascii="Times New Roman" w:hAnsi="Times New Roman" w:cs="Times New Roman"/>
                <w:sz w:val="24"/>
                <w:szCs w:val="24"/>
                <w:lang w:eastAsia="lv-LV"/>
              </w:rPr>
              <w:t>Cita informācija</w:t>
            </w:r>
          </w:p>
        </w:tc>
        <w:tc>
          <w:tcPr>
            <w:tcW w:w="6206" w:type="dxa"/>
          </w:tcPr>
          <w:p w14:paraId="7C6F759B" w14:textId="163E9F26" w:rsidR="00E8455F" w:rsidRPr="006607BF" w:rsidRDefault="00CA6A56" w:rsidP="00CA6A56">
            <w:pPr>
              <w:pStyle w:val="BodyText2"/>
              <w:tabs>
                <w:tab w:val="left" w:pos="426"/>
              </w:tabs>
              <w:ind w:left="426"/>
              <w:rPr>
                <w:sz w:val="24"/>
              </w:rPr>
            </w:pPr>
            <w:r w:rsidRPr="006607BF">
              <w:rPr>
                <w:sz w:val="24"/>
              </w:rPr>
              <w:t>Nav.</w:t>
            </w:r>
          </w:p>
        </w:tc>
      </w:tr>
    </w:tbl>
    <w:p w14:paraId="7BCA0C53" w14:textId="77777777" w:rsidR="00E8455F" w:rsidRPr="006607BF" w:rsidRDefault="00E8455F"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607BF" w14:paraId="0AF320A5" w14:textId="77777777" w:rsidTr="007D385B">
        <w:trPr>
          <w:trHeight w:val="381"/>
          <w:jc w:val="center"/>
        </w:trPr>
        <w:tc>
          <w:tcPr>
            <w:tcW w:w="9518" w:type="dxa"/>
            <w:gridSpan w:val="3"/>
            <w:vAlign w:val="center"/>
          </w:tcPr>
          <w:p w14:paraId="21C7D996" w14:textId="77777777" w:rsidR="00CC1A56" w:rsidRPr="006607BF" w:rsidRDefault="00CC1A56" w:rsidP="007D385B">
            <w:pPr>
              <w:pStyle w:val="naisnod"/>
              <w:spacing w:before="0" w:beforeAutospacing="0" w:after="0" w:afterAutospacing="0"/>
              <w:ind w:left="57" w:right="57"/>
              <w:jc w:val="center"/>
            </w:pPr>
            <w:r w:rsidRPr="006607BF">
              <w:rPr>
                <w:b/>
              </w:rPr>
              <w:t>VII. Tiesību akta projekta izpildes nodrošināšana un tās ietekme uz institūcijām</w:t>
            </w:r>
          </w:p>
        </w:tc>
      </w:tr>
      <w:tr w:rsidR="00CC1A56" w:rsidRPr="006607BF" w14:paraId="7143538C" w14:textId="77777777" w:rsidTr="00582523">
        <w:trPr>
          <w:trHeight w:val="427"/>
          <w:jc w:val="center"/>
        </w:trPr>
        <w:tc>
          <w:tcPr>
            <w:tcW w:w="437" w:type="dxa"/>
          </w:tcPr>
          <w:p w14:paraId="2C38028E" w14:textId="77777777" w:rsidR="00CC1A56" w:rsidRPr="006607BF" w:rsidRDefault="00CC1A56" w:rsidP="007D385B">
            <w:pPr>
              <w:pStyle w:val="naisnod"/>
              <w:spacing w:before="0" w:beforeAutospacing="0" w:after="0" w:afterAutospacing="0"/>
              <w:ind w:left="57" w:right="57"/>
              <w:jc w:val="both"/>
            </w:pPr>
            <w:r w:rsidRPr="006607BF">
              <w:t>1.</w:t>
            </w:r>
          </w:p>
        </w:tc>
        <w:tc>
          <w:tcPr>
            <w:tcW w:w="2960" w:type="dxa"/>
          </w:tcPr>
          <w:p w14:paraId="7BC6C64B" w14:textId="77777777" w:rsidR="00CC1A56" w:rsidRPr="006607BF" w:rsidRDefault="00CC1A56" w:rsidP="007D385B">
            <w:pPr>
              <w:pStyle w:val="naisf"/>
              <w:spacing w:before="0" w:beforeAutospacing="0" w:after="0" w:afterAutospacing="0"/>
              <w:ind w:left="57" w:right="57"/>
            </w:pPr>
            <w:r w:rsidRPr="006607BF">
              <w:t>Projekta izpildē iesaistītās institūcijas</w:t>
            </w:r>
          </w:p>
        </w:tc>
        <w:tc>
          <w:tcPr>
            <w:tcW w:w="6121" w:type="dxa"/>
          </w:tcPr>
          <w:p w14:paraId="32B8A94A" w14:textId="4D338827" w:rsidR="00CA0620" w:rsidRPr="006607BF" w:rsidRDefault="001D54A0" w:rsidP="00621FDF">
            <w:pPr>
              <w:shd w:val="clear" w:color="auto" w:fill="FFFFFF"/>
              <w:spacing w:after="0" w:line="240" w:lineRule="auto"/>
              <w:jc w:val="both"/>
              <w:rPr>
                <w:rFonts w:ascii="Times New Roman" w:eastAsia="Times New Roman" w:hAnsi="Times New Roman" w:cs="Times New Roman"/>
                <w:sz w:val="24"/>
                <w:szCs w:val="24"/>
                <w:lang w:eastAsia="lv-LV"/>
              </w:rPr>
            </w:pPr>
            <w:bookmarkStart w:id="2" w:name="p66"/>
            <w:bookmarkStart w:id="3" w:name="p67"/>
            <w:bookmarkStart w:id="4" w:name="p68"/>
            <w:bookmarkStart w:id="5" w:name="p69"/>
            <w:bookmarkEnd w:id="2"/>
            <w:bookmarkEnd w:id="3"/>
            <w:bookmarkEnd w:id="4"/>
            <w:bookmarkEnd w:id="5"/>
            <w:r w:rsidRPr="006607BF">
              <w:rPr>
                <w:rFonts w:ascii="Times New Roman" w:hAnsi="Times New Roman" w:cs="Times New Roman"/>
                <w:sz w:val="24"/>
                <w:szCs w:val="24"/>
              </w:rPr>
              <w:t>Finanšu ministrija, Vides aizsardzības un reģionālās attīstības ministrija.</w:t>
            </w:r>
          </w:p>
        </w:tc>
      </w:tr>
      <w:tr w:rsidR="00CC1A56" w:rsidRPr="006607BF" w14:paraId="381AE931" w14:textId="77777777" w:rsidTr="00582523">
        <w:trPr>
          <w:trHeight w:val="463"/>
          <w:jc w:val="center"/>
        </w:trPr>
        <w:tc>
          <w:tcPr>
            <w:tcW w:w="437" w:type="dxa"/>
          </w:tcPr>
          <w:p w14:paraId="3EE90FA1" w14:textId="77777777" w:rsidR="00CC1A56" w:rsidRPr="006607BF" w:rsidRDefault="00CC1A56" w:rsidP="007D385B">
            <w:pPr>
              <w:pStyle w:val="naisnod"/>
              <w:spacing w:before="0" w:beforeAutospacing="0" w:after="0" w:afterAutospacing="0"/>
              <w:ind w:left="57" w:right="57"/>
              <w:jc w:val="both"/>
            </w:pPr>
            <w:r w:rsidRPr="006607BF">
              <w:t>2.</w:t>
            </w:r>
          </w:p>
        </w:tc>
        <w:tc>
          <w:tcPr>
            <w:tcW w:w="2960" w:type="dxa"/>
          </w:tcPr>
          <w:p w14:paraId="0E097160" w14:textId="77777777" w:rsidR="00CC1A56" w:rsidRPr="006607BF" w:rsidRDefault="00CC1A56" w:rsidP="007D385B">
            <w:pPr>
              <w:pStyle w:val="naisf"/>
              <w:spacing w:before="0" w:beforeAutospacing="0" w:after="0" w:afterAutospacing="0"/>
              <w:ind w:left="57" w:right="57"/>
            </w:pPr>
            <w:r w:rsidRPr="006607BF">
              <w:t>Projekta izpildes ietekme uz pār</w:t>
            </w:r>
            <w:r w:rsidRPr="006607BF">
              <w:softHyphen/>
              <w:t>valdes funkcijām un institucionālo struktūru.</w:t>
            </w:r>
          </w:p>
          <w:p w14:paraId="1B4F3A35" w14:textId="77777777" w:rsidR="00CC1A56" w:rsidRPr="006607BF" w:rsidRDefault="00CC1A56" w:rsidP="007D385B">
            <w:pPr>
              <w:pStyle w:val="naisf"/>
              <w:spacing w:before="0" w:beforeAutospacing="0" w:after="0" w:afterAutospacing="0"/>
              <w:ind w:left="57" w:right="57"/>
            </w:pPr>
            <w:r w:rsidRPr="006607BF">
              <w:t>Jaunu institūciju izveide, esošu institūciju likvidācija vai reorga</w:t>
            </w:r>
            <w:r w:rsidRPr="006607BF">
              <w:softHyphen/>
              <w:t>nizācija, to ietekme uz institūcijas cilvēkresursiem</w:t>
            </w:r>
          </w:p>
        </w:tc>
        <w:tc>
          <w:tcPr>
            <w:tcW w:w="6121" w:type="dxa"/>
          </w:tcPr>
          <w:p w14:paraId="4978BDEC" w14:textId="77777777" w:rsidR="00CC1A56" w:rsidRPr="006607BF" w:rsidRDefault="00232033" w:rsidP="00E214A4">
            <w:pPr>
              <w:shd w:val="clear" w:color="auto" w:fill="FFFFFF"/>
              <w:spacing w:after="0" w:line="240" w:lineRule="auto"/>
              <w:jc w:val="both"/>
              <w:rPr>
                <w:rFonts w:ascii="Times New Roman" w:hAnsi="Times New Roman" w:cs="Times New Roman"/>
                <w:sz w:val="24"/>
                <w:szCs w:val="24"/>
                <w:lang w:eastAsia="lv-LV"/>
              </w:rPr>
            </w:pPr>
            <w:r w:rsidRPr="006607BF">
              <w:rPr>
                <w:rFonts w:ascii="Times New Roman" w:hAnsi="Times New Roman" w:cs="Times New Roman"/>
                <w:sz w:val="24"/>
                <w:szCs w:val="24"/>
              </w:rPr>
              <w:t xml:space="preserve">MK </w:t>
            </w:r>
            <w:r w:rsidR="00E214A4" w:rsidRPr="006607BF">
              <w:rPr>
                <w:rFonts w:ascii="Times New Roman" w:hAnsi="Times New Roman" w:cs="Times New Roman"/>
                <w:sz w:val="24"/>
                <w:szCs w:val="24"/>
              </w:rPr>
              <w:t>noteikumu</w:t>
            </w:r>
            <w:r w:rsidRPr="006607BF">
              <w:rPr>
                <w:rFonts w:ascii="Times New Roman" w:hAnsi="Times New Roman" w:cs="Times New Roman"/>
                <w:sz w:val="24"/>
                <w:szCs w:val="24"/>
              </w:rPr>
              <w:t xml:space="preserve"> projekts šo jomu neskar.</w:t>
            </w:r>
          </w:p>
        </w:tc>
      </w:tr>
      <w:tr w:rsidR="00CC1A56" w:rsidRPr="006607BF" w14:paraId="5CC18B25" w14:textId="77777777" w:rsidTr="00582523">
        <w:trPr>
          <w:trHeight w:val="297"/>
          <w:jc w:val="center"/>
        </w:trPr>
        <w:tc>
          <w:tcPr>
            <w:tcW w:w="437" w:type="dxa"/>
            <w:tcBorders>
              <w:top w:val="single" w:sz="4" w:space="0" w:color="auto"/>
              <w:left w:val="single" w:sz="4" w:space="0" w:color="auto"/>
              <w:bottom w:val="single" w:sz="4" w:space="0" w:color="auto"/>
              <w:right w:val="single" w:sz="4" w:space="0" w:color="auto"/>
            </w:tcBorders>
          </w:tcPr>
          <w:p w14:paraId="7B70CA33" w14:textId="77777777" w:rsidR="00CC1A56" w:rsidRPr="006607BF" w:rsidRDefault="00CC1A56" w:rsidP="007D385B">
            <w:pPr>
              <w:pStyle w:val="naisnod"/>
              <w:spacing w:before="0" w:beforeAutospacing="0" w:after="0" w:afterAutospacing="0"/>
              <w:ind w:left="57" w:right="57"/>
              <w:jc w:val="both"/>
            </w:pPr>
            <w:r w:rsidRPr="006607BF">
              <w:t>3.</w:t>
            </w:r>
          </w:p>
        </w:tc>
        <w:tc>
          <w:tcPr>
            <w:tcW w:w="2960" w:type="dxa"/>
            <w:tcBorders>
              <w:top w:val="single" w:sz="4" w:space="0" w:color="auto"/>
              <w:left w:val="single" w:sz="4" w:space="0" w:color="auto"/>
              <w:bottom w:val="single" w:sz="4" w:space="0" w:color="auto"/>
              <w:right w:val="single" w:sz="4" w:space="0" w:color="auto"/>
            </w:tcBorders>
          </w:tcPr>
          <w:p w14:paraId="3109F8B8" w14:textId="77777777" w:rsidR="00CC1A56" w:rsidRPr="006607BF" w:rsidRDefault="00CC1A56" w:rsidP="007D385B">
            <w:pPr>
              <w:pStyle w:val="naisf"/>
              <w:spacing w:before="0" w:beforeAutospacing="0" w:after="0" w:afterAutospacing="0"/>
              <w:ind w:left="57" w:right="57"/>
            </w:pPr>
            <w:r w:rsidRPr="006607BF">
              <w:t>Cita informācija</w:t>
            </w:r>
          </w:p>
        </w:tc>
        <w:tc>
          <w:tcPr>
            <w:tcW w:w="6121" w:type="dxa"/>
            <w:tcBorders>
              <w:top w:val="single" w:sz="4" w:space="0" w:color="auto"/>
              <w:left w:val="single" w:sz="4" w:space="0" w:color="auto"/>
              <w:bottom w:val="single" w:sz="4" w:space="0" w:color="auto"/>
              <w:right w:val="single" w:sz="4" w:space="0" w:color="auto"/>
            </w:tcBorders>
          </w:tcPr>
          <w:p w14:paraId="66977DCA" w14:textId="2DEDD87B" w:rsidR="00CA0620" w:rsidRPr="006607BF" w:rsidRDefault="00232033" w:rsidP="00571779">
            <w:pPr>
              <w:spacing w:after="0" w:line="240" w:lineRule="auto"/>
              <w:ind w:left="57" w:right="57"/>
              <w:jc w:val="both"/>
              <w:rPr>
                <w:rFonts w:ascii="Times New Roman" w:hAnsi="Times New Roman" w:cs="Times New Roman"/>
                <w:sz w:val="24"/>
                <w:szCs w:val="24"/>
              </w:rPr>
            </w:pPr>
            <w:r w:rsidRPr="006607BF">
              <w:rPr>
                <w:rFonts w:ascii="Times New Roman" w:hAnsi="Times New Roman" w:cs="Times New Roman"/>
                <w:sz w:val="24"/>
                <w:szCs w:val="24"/>
              </w:rPr>
              <w:t>Nav.</w:t>
            </w:r>
          </w:p>
        </w:tc>
      </w:tr>
    </w:tbl>
    <w:p w14:paraId="0803DF57" w14:textId="7B3E1548" w:rsidR="00843389" w:rsidRPr="006607BF" w:rsidRDefault="00843389" w:rsidP="00582523">
      <w:pPr>
        <w:spacing w:before="120" w:after="0" w:line="240" w:lineRule="auto"/>
        <w:jc w:val="center"/>
        <w:rPr>
          <w:rFonts w:ascii="Times New Roman" w:hAnsi="Times New Roman" w:cs="Times New Roman"/>
          <w:sz w:val="24"/>
          <w:szCs w:val="24"/>
        </w:rPr>
      </w:pPr>
      <w:r w:rsidRPr="006607BF">
        <w:rPr>
          <w:rFonts w:ascii="Times New Roman" w:hAnsi="Times New Roman" w:cs="Times New Roman"/>
          <w:sz w:val="24"/>
          <w:szCs w:val="24"/>
        </w:rPr>
        <w:t xml:space="preserve">Anotācijas </w:t>
      </w:r>
      <w:r w:rsidR="00D43E4C" w:rsidRPr="006607BF">
        <w:rPr>
          <w:rFonts w:ascii="Times New Roman" w:hAnsi="Times New Roman" w:cs="Times New Roman"/>
          <w:sz w:val="24"/>
          <w:szCs w:val="24"/>
        </w:rPr>
        <w:t xml:space="preserve">II, </w:t>
      </w:r>
      <w:r w:rsidR="00E9050F" w:rsidRPr="006607BF">
        <w:rPr>
          <w:rFonts w:ascii="Times New Roman" w:hAnsi="Times New Roman" w:cs="Times New Roman"/>
          <w:sz w:val="24"/>
          <w:szCs w:val="24"/>
        </w:rPr>
        <w:t>III</w:t>
      </w:r>
      <w:r w:rsidR="005D1946" w:rsidRPr="006607BF">
        <w:rPr>
          <w:rFonts w:ascii="Times New Roman" w:hAnsi="Times New Roman" w:cs="Times New Roman"/>
          <w:sz w:val="24"/>
          <w:szCs w:val="24"/>
        </w:rPr>
        <w:t xml:space="preserve">, </w:t>
      </w:r>
      <w:r w:rsidRPr="006607BF">
        <w:rPr>
          <w:rFonts w:ascii="Times New Roman" w:hAnsi="Times New Roman" w:cs="Times New Roman"/>
          <w:sz w:val="24"/>
          <w:szCs w:val="24"/>
        </w:rPr>
        <w:t xml:space="preserve">V sadaļa – MK </w:t>
      </w:r>
      <w:r w:rsidR="00563A4C">
        <w:rPr>
          <w:rFonts w:ascii="Times New Roman" w:hAnsi="Times New Roman" w:cs="Times New Roman"/>
          <w:sz w:val="24"/>
          <w:szCs w:val="24"/>
        </w:rPr>
        <w:t xml:space="preserve">noteikumu </w:t>
      </w:r>
      <w:r w:rsidRPr="006607BF">
        <w:rPr>
          <w:rFonts w:ascii="Times New Roman" w:hAnsi="Times New Roman" w:cs="Times New Roman"/>
          <w:sz w:val="24"/>
          <w:szCs w:val="24"/>
        </w:rPr>
        <w:t>projekts šo jomu neskar.</w:t>
      </w:r>
    </w:p>
    <w:p w14:paraId="4BFCA49F" w14:textId="77777777" w:rsidR="00D473ED" w:rsidRDefault="00D473ED" w:rsidP="00843389">
      <w:pPr>
        <w:spacing w:after="0" w:line="240" w:lineRule="auto"/>
        <w:rPr>
          <w:rFonts w:ascii="Times New Roman" w:hAnsi="Times New Roman" w:cs="Times New Roman"/>
          <w:sz w:val="24"/>
          <w:szCs w:val="24"/>
        </w:rPr>
      </w:pPr>
    </w:p>
    <w:p w14:paraId="17C354F5" w14:textId="77777777" w:rsidR="00563A4C" w:rsidRPr="006607BF" w:rsidRDefault="00563A4C" w:rsidP="00843389">
      <w:pPr>
        <w:spacing w:after="0" w:line="240" w:lineRule="auto"/>
        <w:rPr>
          <w:rFonts w:ascii="Times New Roman" w:hAnsi="Times New Roman" w:cs="Times New Roman"/>
          <w:sz w:val="24"/>
          <w:szCs w:val="24"/>
        </w:rPr>
      </w:pPr>
    </w:p>
    <w:p w14:paraId="1CBEB879" w14:textId="0C4382F2" w:rsidR="000F4CB8" w:rsidRPr="006607BF" w:rsidRDefault="00EE558F" w:rsidP="00D74F18">
      <w:pPr>
        <w:tabs>
          <w:tab w:val="left" w:pos="7938"/>
        </w:tabs>
        <w:spacing w:after="0" w:line="240" w:lineRule="auto"/>
        <w:rPr>
          <w:rFonts w:ascii="Times New Roman" w:hAnsi="Times New Roman" w:cs="Times New Roman"/>
          <w:sz w:val="24"/>
          <w:szCs w:val="24"/>
        </w:rPr>
      </w:pPr>
      <w:r w:rsidRPr="006607BF">
        <w:rPr>
          <w:rFonts w:ascii="Times New Roman" w:hAnsi="Times New Roman" w:cs="Times New Roman"/>
          <w:sz w:val="24"/>
          <w:szCs w:val="24"/>
        </w:rPr>
        <w:t>Finanšu</w:t>
      </w:r>
      <w:r w:rsidR="00FF6C21" w:rsidRPr="006607BF">
        <w:rPr>
          <w:rFonts w:ascii="Times New Roman" w:hAnsi="Times New Roman" w:cs="Times New Roman"/>
          <w:sz w:val="24"/>
          <w:szCs w:val="24"/>
        </w:rPr>
        <w:t xml:space="preserve"> ministrs</w:t>
      </w:r>
      <w:r w:rsidR="00D473ED" w:rsidRPr="006607BF">
        <w:rPr>
          <w:rFonts w:ascii="Times New Roman" w:hAnsi="Times New Roman" w:cs="Times New Roman"/>
          <w:sz w:val="24"/>
          <w:szCs w:val="24"/>
        </w:rPr>
        <w:tab/>
      </w:r>
      <w:r w:rsidRPr="006607BF">
        <w:rPr>
          <w:rFonts w:ascii="Times New Roman" w:hAnsi="Times New Roman" w:cs="Times New Roman"/>
          <w:sz w:val="24"/>
          <w:szCs w:val="24"/>
        </w:rPr>
        <w:t>A.Vilks</w:t>
      </w:r>
    </w:p>
    <w:p w14:paraId="176F59D6" w14:textId="77777777" w:rsidR="00A540BC" w:rsidRDefault="00A540BC" w:rsidP="000F4CB8">
      <w:pPr>
        <w:spacing w:after="0" w:line="240" w:lineRule="auto"/>
        <w:jc w:val="both"/>
        <w:rPr>
          <w:rFonts w:ascii="Times New Roman" w:hAnsi="Times New Roman" w:cs="Times New Roman"/>
          <w:sz w:val="24"/>
          <w:szCs w:val="24"/>
        </w:rPr>
      </w:pPr>
    </w:p>
    <w:p w14:paraId="25D623BC" w14:textId="77777777" w:rsidR="00A540BC" w:rsidRDefault="00A540BC" w:rsidP="000F4CB8">
      <w:pPr>
        <w:spacing w:after="0" w:line="240" w:lineRule="auto"/>
        <w:jc w:val="both"/>
        <w:rPr>
          <w:rFonts w:ascii="Times New Roman" w:hAnsi="Times New Roman" w:cs="Times New Roman"/>
          <w:sz w:val="24"/>
          <w:szCs w:val="24"/>
        </w:rPr>
      </w:pPr>
    </w:p>
    <w:p w14:paraId="5BB7CDBA" w14:textId="39CD76BB" w:rsidR="000F4CB8" w:rsidRPr="00A540BC" w:rsidRDefault="00A540BC" w:rsidP="000F4CB8">
      <w:pPr>
        <w:spacing w:after="0" w:line="240" w:lineRule="auto"/>
        <w:jc w:val="both"/>
        <w:rPr>
          <w:rFonts w:ascii="Times New Roman" w:hAnsi="Times New Roman" w:cs="Times New Roman"/>
          <w:sz w:val="20"/>
          <w:szCs w:val="20"/>
        </w:rPr>
      </w:pPr>
      <w:bookmarkStart w:id="6" w:name="_GoBack"/>
      <w:bookmarkEnd w:id="6"/>
      <w:r>
        <w:rPr>
          <w:rFonts w:ascii="Times New Roman" w:hAnsi="Times New Roman" w:cs="Times New Roman"/>
          <w:sz w:val="20"/>
          <w:szCs w:val="20"/>
        </w:rPr>
        <w:t>21.03.</w:t>
      </w:r>
      <w:r w:rsidR="000F4CB8" w:rsidRPr="00A540BC">
        <w:rPr>
          <w:rFonts w:ascii="Times New Roman" w:hAnsi="Times New Roman" w:cs="Times New Roman"/>
          <w:sz w:val="20"/>
          <w:szCs w:val="20"/>
        </w:rPr>
        <w:t>14</w:t>
      </w:r>
      <w:r>
        <w:rPr>
          <w:rFonts w:ascii="Times New Roman" w:hAnsi="Times New Roman" w:cs="Times New Roman"/>
          <w:sz w:val="20"/>
          <w:szCs w:val="20"/>
        </w:rPr>
        <w:t xml:space="preserve"> 11</w:t>
      </w:r>
      <w:r w:rsidR="000F4CB8" w:rsidRPr="00A540BC">
        <w:rPr>
          <w:rFonts w:ascii="Times New Roman" w:hAnsi="Times New Roman" w:cs="Times New Roman"/>
          <w:sz w:val="20"/>
          <w:szCs w:val="20"/>
        </w:rPr>
        <w:t>:</w:t>
      </w:r>
      <w:r>
        <w:rPr>
          <w:rFonts w:ascii="Times New Roman" w:hAnsi="Times New Roman" w:cs="Times New Roman"/>
          <w:sz w:val="20"/>
          <w:szCs w:val="20"/>
        </w:rPr>
        <w:t>24</w:t>
      </w:r>
    </w:p>
    <w:p w14:paraId="355C3542" w14:textId="24BE5B6D" w:rsidR="000F4CB8" w:rsidRPr="00A540BC" w:rsidRDefault="00A540BC" w:rsidP="000F4CB8">
      <w:pPr>
        <w:spacing w:after="0" w:line="240" w:lineRule="auto"/>
        <w:rPr>
          <w:rFonts w:ascii="Times New Roman" w:hAnsi="Times New Roman" w:cs="Times New Roman"/>
          <w:sz w:val="20"/>
          <w:szCs w:val="20"/>
        </w:rPr>
      </w:pPr>
      <w:r>
        <w:rPr>
          <w:rFonts w:ascii="Times New Roman" w:hAnsi="Times New Roman" w:cs="Times New Roman"/>
          <w:sz w:val="20"/>
          <w:szCs w:val="20"/>
        </w:rPr>
        <w:t>634</w:t>
      </w:r>
    </w:p>
    <w:p w14:paraId="2D73F2E7" w14:textId="77777777" w:rsidR="000F4CB8" w:rsidRPr="00A540BC" w:rsidRDefault="000F4CB8" w:rsidP="000F4CB8">
      <w:pPr>
        <w:spacing w:after="0" w:line="240" w:lineRule="auto"/>
        <w:rPr>
          <w:rFonts w:ascii="Times New Roman" w:hAnsi="Times New Roman" w:cs="Times New Roman"/>
          <w:sz w:val="20"/>
          <w:szCs w:val="20"/>
        </w:rPr>
      </w:pPr>
      <w:r w:rsidRPr="00A540BC">
        <w:rPr>
          <w:rFonts w:ascii="Times New Roman" w:hAnsi="Times New Roman" w:cs="Times New Roman"/>
          <w:sz w:val="20"/>
          <w:szCs w:val="20"/>
        </w:rPr>
        <w:t>E.Zandbergs</w:t>
      </w:r>
    </w:p>
    <w:p w14:paraId="543A5E29" w14:textId="77777777" w:rsidR="000F4CB8" w:rsidRPr="00A540BC" w:rsidRDefault="000F4CB8" w:rsidP="000F4CB8">
      <w:pPr>
        <w:spacing w:after="0" w:line="240" w:lineRule="auto"/>
        <w:rPr>
          <w:rFonts w:ascii="Times New Roman" w:hAnsi="Times New Roman" w:cs="Times New Roman"/>
          <w:sz w:val="20"/>
          <w:szCs w:val="20"/>
        </w:rPr>
      </w:pPr>
      <w:r w:rsidRPr="00A540BC">
        <w:rPr>
          <w:rFonts w:ascii="Times New Roman" w:hAnsi="Times New Roman" w:cs="Times New Roman"/>
          <w:sz w:val="20"/>
          <w:szCs w:val="20"/>
        </w:rPr>
        <w:t xml:space="preserve">67095532, Edgars.Zandbergs@fm.gov.lv  </w:t>
      </w:r>
    </w:p>
    <w:p w14:paraId="0FD68453" w14:textId="4E308B7E" w:rsidR="00D473ED" w:rsidRPr="00A540BC" w:rsidRDefault="00D473ED" w:rsidP="000F4CB8">
      <w:pPr>
        <w:spacing w:after="0" w:line="240" w:lineRule="auto"/>
        <w:rPr>
          <w:rFonts w:ascii="Times New Roman" w:hAnsi="Times New Roman" w:cs="Times New Roman"/>
          <w:sz w:val="20"/>
          <w:szCs w:val="20"/>
        </w:rPr>
      </w:pPr>
    </w:p>
    <w:p w14:paraId="33143710" w14:textId="77777777" w:rsidR="006607BF" w:rsidRPr="006607BF" w:rsidRDefault="006607BF">
      <w:pPr>
        <w:spacing w:after="0" w:line="240" w:lineRule="auto"/>
        <w:rPr>
          <w:rFonts w:ascii="Times New Roman" w:hAnsi="Times New Roman" w:cs="Times New Roman"/>
          <w:sz w:val="24"/>
          <w:szCs w:val="24"/>
        </w:rPr>
      </w:pPr>
    </w:p>
    <w:sectPr w:rsidR="006607BF" w:rsidRPr="006607BF" w:rsidSect="004336D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B101" w14:textId="77777777" w:rsidR="00AE2BFC" w:rsidRDefault="00AE2BFC" w:rsidP="006D6C82">
      <w:pPr>
        <w:spacing w:after="0" w:line="240" w:lineRule="auto"/>
      </w:pPr>
      <w:r>
        <w:separator/>
      </w:r>
    </w:p>
  </w:endnote>
  <w:endnote w:type="continuationSeparator" w:id="0">
    <w:p w14:paraId="5DE848F2" w14:textId="77777777" w:rsidR="00AE2BFC" w:rsidRDefault="00AE2BFC"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817E" w14:textId="77777777" w:rsidR="008F22B5" w:rsidRPr="000E353C" w:rsidRDefault="008F22B5" w:rsidP="008F22B5">
    <w:pPr>
      <w:pStyle w:val="Footer"/>
      <w:jc w:val="both"/>
      <w:rPr>
        <w:rFonts w:ascii="Times New Roman" w:hAnsi="Times New Roman" w:cs="Times New Roman"/>
        <w:sz w:val="16"/>
        <w:szCs w:val="16"/>
      </w:rPr>
    </w:pPr>
    <w:r w:rsidRPr="000E353C">
      <w:rPr>
        <w:rFonts w:ascii="Times New Roman" w:hAnsi="Times New Roman" w:cs="Times New Roman"/>
        <w:sz w:val="16"/>
        <w:szCs w:val="16"/>
      </w:rPr>
      <w:t>FMAnot_070314_523; Ministru kabineta noteikumu projekta „Grozījums Ministru kabineta 2010.gada 8.jūnija noteikumos Nr.523 „Noteikumi par darbības programmas „Cilvēkresursi un nodarbinātība” papildinājuma 1.5.3.1.aktivitāti „Speciālistu piesasite plānošanas reģioniem, pilsētām un novadiem” sākotnējās ietekmes izvērtējums (anotācija)</w:t>
    </w:r>
  </w:p>
  <w:p w14:paraId="46B1C79C" w14:textId="228C6B3A" w:rsidR="00AE2BFC" w:rsidRPr="008F22B5" w:rsidRDefault="00AE2BFC" w:rsidP="008F2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CA641" w14:textId="77777777" w:rsidR="008F22B5" w:rsidRPr="000E353C" w:rsidRDefault="008F22B5" w:rsidP="008F22B5">
    <w:pPr>
      <w:pStyle w:val="Footer"/>
      <w:jc w:val="both"/>
      <w:rPr>
        <w:rFonts w:ascii="Times New Roman" w:hAnsi="Times New Roman" w:cs="Times New Roman"/>
        <w:sz w:val="16"/>
        <w:szCs w:val="16"/>
      </w:rPr>
    </w:pPr>
    <w:r w:rsidRPr="000E353C">
      <w:rPr>
        <w:rFonts w:ascii="Times New Roman" w:hAnsi="Times New Roman" w:cs="Times New Roman"/>
        <w:sz w:val="16"/>
        <w:szCs w:val="16"/>
      </w:rPr>
      <w:t>FMAnot_070314_523; Ministru kabineta noteikumu projekta „Grozījums Ministru kabineta 2010.gada 8.jūnija noteikumos Nr.523 „Noteikumi par darbības programmas „Cilvēkresursi un nodarbinātība” papildinājuma 1.5.3.1.aktivitāti „Speciālistu piesasite plānošanas reģioniem, pilsētām un novadiem” sākotnējās ietekmes izvērtējums (anotācija)</w:t>
    </w:r>
  </w:p>
  <w:p w14:paraId="155CA21F" w14:textId="3EF2A40D" w:rsidR="00AE2BFC" w:rsidRPr="008F22B5" w:rsidRDefault="00AE2BFC" w:rsidP="008F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0C1B" w14:textId="77777777" w:rsidR="00AE2BFC" w:rsidRDefault="00AE2BFC" w:rsidP="006D6C82">
      <w:pPr>
        <w:spacing w:after="0" w:line="240" w:lineRule="auto"/>
      </w:pPr>
      <w:r>
        <w:separator/>
      </w:r>
    </w:p>
  </w:footnote>
  <w:footnote w:type="continuationSeparator" w:id="0">
    <w:p w14:paraId="0388CA88" w14:textId="77777777" w:rsidR="00AE2BFC" w:rsidRDefault="00AE2BFC"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366D7392" w14:textId="77777777" w:rsidR="00AE2BFC" w:rsidRDefault="00AE2BFC">
        <w:pPr>
          <w:pStyle w:val="Header"/>
          <w:jc w:val="center"/>
        </w:pPr>
        <w:r>
          <w:fldChar w:fldCharType="begin"/>
        </w:r>
        <w:r>
          <w:instrText xml:space="preserve"> PAGE   \* MERGEFORMAT </w:instrText>
        </w:r>
        <w:r>
          <w:fldChar w:fldCharType="separate"/>
        </w:r>
        <w:r w:rsidR="00A540BC">
          <w:rPr>
            <w:noProof/>
          </w:rPr>
          <w:t>2</w:t>
        </w:r>
        <w:r>
          <w:rPr>
            <w:noProof/>
          </w:rPr>
          <w:fldChar w:fldCharType="end"/>
        </w:r>
      </w:p>
    </w:sdtContent>
  </w:sdt>
  <w:p w14:paraId="1FF78075" w14:textId="77777777" w:rsidR="00AE2BFC" w:rsidRDefault="00AE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D25088"/>
    <w:multiLevelType w:val="hybridMultilevel"/>
    <w:tmpl w:val="DEECA89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826961"/>
    <w:multiLevelType w:val="hybridMultilevel"/>
    <w:tmpl w:val="AE2ECF7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59957FBD"/>
    <w:multiLevelType w:val="hybridMultilevel"/>
    <w:tmpl w:val="858E3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1">
    <w:nsid w:val="64350725"/>
    <w:multiLevelType w:val="hybridMultilevel"/>
    <w:tmpl w:val="C45C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5">
    <w:nsid w:val="740F40EC"/>
    <w:multiLevelType w:val="hybridMultilevel"/>
    <w:tmpl w:val="5A943D2A"/>
    <w:lvl w:ilvl="0" w:tplc="D4BA95FC">
      <w:start w:val="1"/>
      <w:numFmt w:val="decimal"/>
      <w:lvlText w:val="%1."/>
      <w:lvlJc w:val="left"/>
      <w:pPr>
        <w:tabs>
          <w:tab w:val="num" w:pos="502"/>
        </w:tabs>
        <w:ind w:left="502" w:hanging="360"/>
      </w:pPr>
      <w:rPr>
        <w:rFonts w:hint="default"/>
      </w:rPr>
    </w:lvl>
    <w:lvl w:ilvl="1" w:tplc="04260019">
      <w:start w:val="1"/>
      <w:numFmt w:val="lowerLetter"/>
      <w:lvlText w:val="%2."/>
      <w:lvlJc w:val="left"/>
      <w:pPr>
        <w:tabs>
          <w:tab w:val="num" w:pos="1222"/>
        </w:tabs>
        <w:ind w:left="1222" w:hanging="360"/>
      </w:p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num w:numId="1">
    <w:abstractNumId w:val="3"/>
  </w:num>
  <w:num w:numId="2">
    <w:abstractNumId w:val="2"/>
  </w:num>
  <w:num w:numId="3">
    <w:abstractNumId w:val="6"/>
  </w:num>
  <w:num w:numId="4">
    <w:abstractNumId w:val="14"/>
  </w:num>
  <w:num w:numId="5">
    <w:abstractNumId w:val="10"/>
  </w:num>
  <w:num w:numId="6">
    <w:abstractNumId w:val="1"/>
  </w:num>
  <w:num w:numId="7">
    <w:abstractNumId w:val="13"/>
  </w:num>
  <w:num w:numId="8">
    <w:abstractNumId w:val="8"/>
  </w:num>
  <w:num w:numId="9">
    <w:abstractNumId w:val="0"/>
  </w:num>
  <w:num w:numId="10">
    <w:abstractNumId w:val="7"/>
  </w:num>
  <w:num w:numId="11">
    <w:abstractNumId w:val="12"/>
  </w:num>
  <w:num w:numId="12">
    <w:abstractNumId w:val="9"/>
  </w:num>
  <w:num w:numId="13">
    <w:abstractNumId w:val="4"/>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160BE"/>
    <w:rsid w:val="00026FF1"/>
    <w:rsid w:val="00032C72"/>
    <w:rsid w:val="000459D0"/>
    <w:rsid w:val="000559C4"/>
    <w:rsid w:val="00065E19"/>
    <w:rsid w:val="000A1134"/>
    <w:rsid w:val="000A1ABE"/>
    <w:rsid w:val="000A50F4"/>
    <w:rsid w:val="000A556B"/>
    <w:rsid w:val="000A69BD"/>
    <w:rsid w:val="000C0932"/>
    <w:rsid w:val="000C6DA7"/>
    <w:rsid w:val="000E353C"/>
    <w:rsid w:val="000F2C5F"/>
    <w:rsid w:val="000F4CB8"/>
    <w:rsid w:val="00102210"/>
    <w:rsid w:val="00111FE6"/>
    <w:rsid w:val="001144D9"/>
    <w:rsid w:val="0011756F"/>
    <w:rsid w:val="001212D4"/>
    <w:rsid w:val="00134CB8"/>
    <w:rsid w:val="00140CF3"/>
    <w:rsid w:val="00157640"/>
    <w:rsid w:val="0016361D"/>
    <w:rsid w:val="00166E6E"/>
    <w:rsid w:val="00167190"/>
    <w:rsid w:val="001679C6"/>
    <w:rsid w:val="00175F56"/>
    <w:rsid w:val="00176916"/>
    <w:rsid w:val="001851CA"/>
    <w:rsid w:val="0018780A"/>
    <w:rsid w:val="001A19A7"/>
    <w:rsid w:val="001B1214"/>
    <w:rsid w:val="001C7D4E"/>
    <w:rsid w:val="001D54A0"/>
    <w:rsid w:val="001D5DAD"/>
    <w:rsid w:val="001D7874"/>
    <w:rsid w:val="001E645F"/>
    <w:rsid w:val="002123C9"/>
    <w:rsid w:val="002141C0"/>
    <w:rsid w:val="00232033"/>
    <w:rsid w:val="00246978"/>
    <w:rsid w:val="00260F04"/>
    <w:rsid w:val="0026710C"/>
    <w:rsid w:val="00277744"/>
    <w:rsid w:val="002874DE"/>
    <w:rsid w:val="002A161A"/>
    <w:rsid w:val="002B0D05"/>
    <w:rsid w:val="002C7854"/>
    <w:rsid w:val="002C7E51"/>
    <w:rsid w:val="002D1F05"/>
    <w:rsid w:val="002D1F3D"/>
    <w:rsid w:val="002D2016"/>
    <w:rsid w:val="002F2310"/>
    <w:rsid w:val="00302A7F"/>
    <w:rsid w:val="00303FFC"/>
    <w:rsid w:val="00304567"/>
    <w:rsid w:val="00320A19"/>
    <w:rsid w:val="00321D39"/>
    <w:rsid w:val="003324E8"/>
    <w:rsid w:val="00336B3A"/>
    <w:rsid w:val="00341250"/>
    <w:rsid w:val="003423A6"/>
    <w:rsid w:val="00345771"/>
    <w:rsid w:val="0035641C"/>
    <w:rsid w:val="00365B8E"/>
    <w:rsid w:val="003753B8"/>
    <w:rsid w:val="0038217F"/>
    <w:rsid w:val="00382C79"/>
    <w:rsid w:val="0038403E"/>
    <w:rsid w:val="003919EB"/>
    <w:rsid w:val="00393677"/>
    <w:rsid w:val="00393692"/>
    <w:rsid w:val="003A3A21"/>
    <w:rsid w:val="003A77B7"/>
    <w:rsid w:val="003B0FBE"/>
    <w:rsid w:val="003B16BD"/>
    <w:rsid w:val="003C60CC"/>
    <w:rsid w:val="003D58F4"/>
    <w:rsid w:val="003D7FCC"/>
    <w:rsid w:val="003E5B8D"/>
    <w:rsid w:val="004001DB"/>
    <w:rsid w:val="00402608"/>
    <w:rsid w:val="00427EFE"/>
    <w:rsid w:val="0043187B"/>
    <w:rsid w:val="004336DC"/>
    <w:rsid w:val="00445A9C"/>
    <w:rsid w:val="00456C94"/>
    <w:rsid w:val="00470125"/>
    <w:rsid w:val="0048204B"/>
    <w:rsid w:val="004863B9"/>
    <w:rsid w:val="004A0562"/>
    <w:rsid w:val="004A19F0"/>
    <w:rsid w:val="004A4EA6"/>
    <w:rsid w:val="004B4BC8"/>
    <w:rsid w:val="004B6F34"/>
    <w:rsid w:val="004C0127"/>
    <w:rsid w:val="004C55C1"/>
    <w:rsid w:val="004D24D9"/>
    <w:rsid w:val="004D2900"/>
    <w:rsid w:val="004D4A4C"/>
    <w:rsid w:val="004D654A"/>
    <w:rsid w:val="004E4A21"/>
    <w:rsid w:val="004F1BD2"/>
    <w:rsid w:val="005007A2"/>
    <w:rsid w:val="0050327A"/>
    <w:rsid w:val="00514C83"/>
    <w:rsid w:val="00514DDD"/>
    <w:rsid w:val="00527322"/>
    <w:rsid w:val="005346EE"/>
    <w:rsid w:val="00534C8B"/>
    <w:rsid w:val="0055242A"/>
    <w:rsid w:val="005550F6"/>
    <w:rsid w:val="005574A3"/>
    <w:rsid w:val="005616C0"/>
    <w:rsid w:val="0056256F"/>
    <w:rsid w:val="00563A4C"/>
    <w:rsid w:val="00571779"/>
    <w:rsid w:val="00571FAE"/>
    <w:rsid w:val="005734C2"/>
    <w:rsid w:val="00573C52"/>
    <w:rsid w:val="00582523"/>
    <w:rsid w:val="005913E4"/>
    <w:rsid w:val="005954DC"/>
    <w:rsid w:val="005A0CD8"/>
    <w:rsid w:val="005A22C3"/>
    <w:rsid w:val="005B104F"/>
    <w:rsid w:val="005B5BD2"/>
    <w:rsid w:val="005C718F"/>
    <w:rsid w:val="005D1946"/>
    <w:rsid w:val="005E122C"/>
    <w:rsid w:val="005E23EE"/>
    <w:rsid w:val="005E263C"/>
    <w:rsid w:val="005F403C"/>
    <w:rsid w:val="00621FDF"/>
    <w:rsid w:val="00627F1F"/>
    <w:rsid w:val="00654303"/>
    <w:rsid w:val="00657273"/>
    <w:rsid w:val="006607BF"/>
    <w:rsid w:val="006673B6"/>
    <w:rsid w:val="0066746B"/>
    <w:rsid w:val="006760D4"/>
    <w:rsid w:val="00682E06"/>
    <w:rsid w:val="006952F4"/>
    <w:rsid w:val="0069651C"/>
    <w:rsid w:val="00696D84"/>
    <w:rsid w:val="006B1DFB"/>
    <w:rsid w:val="006B616F"/>
    <w:rsid w:val="006B7133"/>
    <w:rsid w:val="006D344B"/>
    <w:rsid w:val="006D573E"/>
    <w:rsid w:val="006D6C82"/>
    <w:rsid w:val="006E169E"/>
    <w:rsid w:val="006E3024"/>
    <w:rsid w:val="006E311B"/>
    <w:rsid w:val="006E3A94"/>
    <w:rsid w:val="006F615E"/>
    <w:rsid w:val="006F6735"/>
    <w:rsid w:val="007032FF"/>
    <w:rsid w:val="00724D4A"/>
    <w:rsid w:val="00752513"/>
    <w:rsid w:val="00766797"/>
    <w:rsid w:val="0077161A"/>
    <w:rsid w:val="00781141"/>
    <w:rsid w:val="007831DA"/>
    <w:rsid w:val="007847C8"/>
    <w:rsid w:val="00786082"/>
    <w:rsid w:val="00787A81"/>
    <w:rsid w:val="00791E4E"/>
    <w:rsid w:val="00793254"/>
    <w:rsid w:val="00797BB6"/>
    <w:rsid w:val="007A25A7"/>
    <w:rsid w:val="007D0852"/>
    <w:rsid w:val="007D385B"/>
    <w:rsid w:val="007F44BF"/>
    <w:rsid w:val="007F57E5"/>
    <w:rsid w:val="00835248"/>
    <w:rsid w:val="00843389"/>
    <w:rsid w:val="008477DE"/>
    <w:rsid w:val="008504B9"/>
    <w:rsid w:val="00857C5B"/>
    <w:rsid w:val="00870319"/>
    <w:rsid w:val="008716F5"/>
    <w:rsid w:val="00874FAD"/>
    <w:rsid w:val="0088200C"/>
    <w:rsid w:val="00887FD0"/>
    <w:rsid w:val="00891D72"/>
    <w:rsid w:val="00893F8B"/>
    <w:rsid w:val="008A10C7"/>
    <w:rsid w:val="008F1B27"/>
    <w:rsid w:val="008F22B5"/>
    <w:rsid w:val="00927DBB"/>
    <w:rsid w:val="0093520F"/>
    <w:rsid w:val="0094080C"/>
    <w:rsid w:val="00943691"/>
    <w:rsid w:val="009468C6"/>
    <w:rsid w:val="00952489"/>
    <w:rsid w:val="00955DF2"/>
    <w:rsid w:val="00962BF1"/>
    <w:rsid w:val="00966468"/>
    <w:rsid w:val="009665F6"/>
    <w:rsid w:val="00975BC8"/>
    <w:rsid w:val="009945CD"/>
    <w:rsid w:val="009A5F8B"/>
    <w:rsid w:val="009B252C"/>
    <w:rsid w:val="009B5EDB"/>
    <w:rsid w:val="009C39B5"/>
    <w:rsid w:val="009C5386"/>
    <w:rsid w:val="009C53F6"/>
    <w:rsid w:val="009D5616"/>
    <w:rsid w:val="009F37C9"/>
    <w:rsid w:val="009F3C67"/>
    <w:rsid w:val="00A07162"/>
    <w:rsid w:val="00A2026B"/>
    <w:rsid w:val="00A33379"/>
    <w:rsid w:val="00A347F0"/>
    <w:rsid w:val="00A52794"/>
    <w:rsid w:val="00A540BC"/>
    <w:rsid w:val="00A65744"/>
    <w:rsid w:val="00A66CCD"/>
    <w:rsid w:val="00A74718"/>
    <w:rsid w:val="00A94DAE"/>
    <w:rsid w:val="00AA68B8"/>
    <w:rsid w:val="00AB23D6"/>
    <w:rsid w:val="00AC0FA8"/>
    <w:rsid w:val="00AE2BFC"/>
    <w:rsid w:val="00AE79EF"/>
    <w:rsid w:val="00AF5F89"/>
    <w:rsid w:val="00B00F6C"/>
    <w:rsid w:val="00B04CCD"/>
    <w:rsid w:val="00B105FC"/>
    <w:rsid w:val="00B13677"/>
    <w:rsid w:val="00B321EE"/>
    <w:rsid w:val="00B42FA5"/>
    <w:rsid w:val="00B46053"/>
    <w:rsid w:val="00B46D66"/>
    <w:rsid w:val="00B607D2"/>
    <w:rsid w:val="00B80868"/>
    <w:rsid w:val="00B84BDB"/>
    <w:rsid w:val="00B90D82"/>
    <w:rsid w:val="00B96576"/>
    <w:rsid w:val="00BB25EE"/>
    <w:rsid w:val="00BB35A6"/>
    <w:rsid w:val="00BB3EAD"/>
    <w:rsid w:val="00BC1631"/>
    <w:rsid w:val="00BD76EA"/>
    <w:rsid w:val="00BF07F2"/>
    <w:rsid w:val="00BF1C90"/>
    <w:rsid w:val="00C06341"/>
    <w:rsid w:val="00C20F59"/>
    <w:rsid w:val="00C43430"/>
    <w:rsid w:val="00C4386B"/>
    <w:rsid w:val="00C44595"/>
    <w:rsid w:val="00C51095"/>
    <w:rsid w:val="00C54170"/>
    <w:rsid w:val="00C541BC"/>
    <w:rsid w:val="00C63E56"/>
    <w:rsid w:val="00C80769"/>
    <w:rsid w:val="00C81D30"/>
    <w:rsid w:val="00C845E5"/>
    <w:rsid w:val="00C96C17"/>
    <w:rsid w:val="00CA0620"/>
    <w:rsid w:val="00CA43BD"/>
    <w:rsid w:val="00CA6A56"/>
    <w:rsid w:val="00CA74AB"/>
    <w:rsid w:val="00CB0881"/>
    <w:rsid w:val="00CC1A56"/>
    <w:rsid w:val="00D01828"/>
    <w:rsid w:val="00D0364B"/>
    <w:rsid w:val="00D10304"/>
    <w:rsid w:val="00D1177A"/>
    <w:rsid w:val="00D31E04"/>
    <w:rsid w:val="00D3275C"/>
    <w:rsid w:val="00D404FE"/>
    <w:rsid w:val="00D43E4C"/>
    <w:rsid w:val="00D473ED"/>
    <w:rsid w:val="00D5194B"/>
    <w:rsid w:val="00D53B1F"/>
    <w:rsid w:val="00D61CB4"/>
    <w:rsid w:val="00D70D59"/>
    <w:rsid w:val="00D74F18"/>
    <w:rsid w:val="00D81398"/>
    <w:rsid w:val="00DB42EE"/>
    <w:rsid w:val="00DC6F56"/>
    <w:rsid w:val="00DD0E18"/>
    <w:rsid w:val="00DD3888"/>
    <w:rsid w:val="00DE0F62"/>
    <w:rsid w:val="00DF04EA"/>
    <w:rsid w:val="00E047E3"/>
    <w:rsid w:val="00E173D4"/>
    <w:rsid w:val="00E214A4"/>
    <w:rsid w:val="00E2764C"/>
    <w:rsid w:val="00E74162"/>
    <w:rsid w:val="00E80A96"/>
    <w:rsid w:val="00E8455F"/>
    <w:rsid w:val="00E9050F"/>
    <w:rsid w:val="00EB3B4E"/>
    <w:rsid w:val="00EC3F2B"/>
    <w:rsid w:val="00EC6A02"/>
    <w:rsid w:val="00ED3E88"/>
    <w:rsid w:val="00ED4855"/>
    <w:rsid w:val="00ED56D4"/>
    <w:rsid w:val="00ED63AA"/>
    <w:rsid w:val="00EE3E73"/>
    <w:rsid w:val="00EE558F"/>
    <w:rsid w:val="00EF5FAB"/>
    <w:rsid w:val="00F00CD5"/>
    <w:rsid w:val="00F03866"/>
    <w:rsid w:val="00F07BB7"/>
    <w:rsid w:val="00F11F5B"/>
    <w:rsid w:val="00F12B1E"/>
    <w:rsid w:val="00F15C0D"/>
    <w:rsid w:val="00F16D63"/>
    <w:rsid w:val="00F16FBB"/>
    <w:rsid w:val="00F23F1D"/>
    <w:rsid w:val="00F24852"/>
    <w:rsid w:val="00F26330"/>
    <w:rsid w:val="00F325A9"/>
    <w:rsid w:val="00F64FA5"/>
    <w:rsid w:val="00F66D21"/>
    <w:rsid w:val="00F74844"/>
    <w:rsid w:val="00F83D76"/>
    <w:rsid w:val="00F86EBE"/>
    <w:rsid w:val="00F91C43"/>
    <w:rsid w:val="00FB5790"/>
    <w:rsid w:val="00FB6677"/>
    <w:rsid w:val="00FB750A"/>
    <w:rsid w:val="00FC6CF7"/>
    <w:rsid w:val="00FD4AFC"/>
    <w:rsid w:val="00FE25D4"/>
    <w:rsid w:val="00FE6183"/>
    <w:rsid w:val="00FF6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3E82B26"/>
  <w15:docId w15:val="{34145662-102B-43D5-81B1-44F5A42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99"/>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F86EB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F86EBE"/>
    <w:rPr>
      <w:rFonts w:ascii="Times New Roman" w:eastAsia="Times New Roman" w:hAnsi="Times New Roman" w:cs="Times New Roman"/>
      <w:sz w:val="28"/>
      <w:szCs w:val="24"/>
    </w:rPr>
  </w:style>
  <w:style w:type="paragraph" w:customStyle="1" w:styleId="naislab">
    <w:name w:val="naislab"/>
    <w:basedOn w:val="Normal"/>
    <w:rsid w:val="00E173D4"/>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5BBC-576F-4484-9F5F-3A3C39AC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3535</Words>
  <Characters>2015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Ministru kabineta 2011.gada 12.aprīļa noteikumos Nr.292 „Noteikumi par darbības programmas „Cilvēkresursi un nodarbinātība” papildinājuma 1.4.1.2.4.apakšaktivitātes „Sociālās rehabilitācijas un institūcijām alternatīvu sociālās aprūpes pakalpoju</vt:lpstr>
    </vt:vector>
  </TitlesOfParts>
  <Company>lm</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dc:title>
  <dc:subject>Anotācija</dc:subject>
  <dc:creator>Dace Zvaigzne</dc:creator>
  <cp:keywords/>
  <dc:description>Dace Zvaigzne, dace.zvaigzne@lm.gov.lv_x000d_
t.67021660</dc:description>
  <cp:lastModifiedBy>Zane Logina</cp:lastModifiedBy>
  <cp:revision>127</cp:revision>
  <cp:lastPrinted>2014-03-20T09:19:00Z</cp:lastPrinted>
  <dcterms:created xsi:type="dcterms:W3CDTF">2014-03-20T08:38:00Z</dcterms:created>
  <dcterms:modified xsi:type="dcterms:W3CDTF">2014-03-21T09:24:00Z</dcterms:modified>
</cp:coreProperties>
</file>