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264CC" w14:textId="2815D3F6" w:rsidR="00CC1A56" w:rsidRPr="00102210" w:rsidRDefault="00621FDF" w:rsidP="00102210">
      <w:pPr>
        <w:spacing w:after="0" w:line="240" w:lineRule="auto"/>
        <w:jc w:val="center"/>
        <w:outlineLvl w:val="3"/>
        <w:rPr>
          <w:rFonts w:ascii="Times New Roman" w:eastAsia="Times New Roman" w:hAnsi="Times New Roman" w:cs="Times New Roman"/>
          <w:b/>
          <w:bCs/>
          <w:sz w:val="24"/>
          <w:szCs w:val="24"/>
          <w:lang w:eastAsia="lv-LV"/>
        </w:rPr>
      </w:pPr>
      <w:bookmarkStart w:id="0" w:name="OLE_LINK1"/>
      <w:bookmarkStart w:id="1" w:name="OLE_LINK2"/>
      <w:r w:rsidRPr="00E047E3">
        <w:rPr>
          <w:rFonts w:ascii="Times New Roman" w:eastAsia="Times New Roman" w:hAnsi="Times New Roman" w:cs="Times New Roman"/>
          <w:b/>
          <w:bCs/>
          <w:sz w:val="24"/>
          <w:szCs w:val="24"/>
          <w:lang w:eastAsia="lv-LV"/>
        </w:rPr>
        <w:t>Ministru kabineta rīkojuma projekta „Grozījumi darbības programmas „Cilvēkresursi un nodarbinātība” papildinājumā” sākotnējās ietekmes novērtējuma ziņojums (anotācija)</w:t>
      </w:r>
      <w:bookmarkStart w:id="2" w:name="_GoBack"/>
      <w:bookmarkEnd w:id="0"/>
      <w:bookmarkEnd w:id="1"/>
      <w:bookmarkEnd w:id="2"/>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E047E3" w14:paraId="27B84CEF" w14:textId="77777777" w:rsidTr="001E645F">
        <w:trPr>
          <w:trHeight w:val="419"/>
        </w:trPr>
        <w:tc>
          <w:tcPr>
            <w:tcW w:w="5000" w:type="pct"/>
            <w:gridSpan w:val="3"/>
            <w:vAlign w:val="center"/>
          </w:tcPr>
          <w:p w14:paraId="6C9192C4" w14:textId="77777777" w:rsidR="00CC1A56" w:rsidRPr="00E047E3" w:rsidRDefault="00CC1A56" w:rsidP="007D385B">
            <w:pPr>
              <w:pStyle w:val="naisnod"/>
              <w:spacing w:before="0" w:beforeAutospacing="0" w:after="0" w:afterAutospacing="0"/>
              <w:ind w:left="57" w:right="57"/>
              <w:jc w:val="center"/>
              <w:rPr>
                <w:b/>
              </w:rPr>
            </w:pPr>
            <w:r w:rsidRPr="00E047E3">
              <w:rPr>
                <w:b/>
              </w:rPr>
              <w:t>I. Tiesību akta projekta izstrādes nepieciešamība</w:t>
            </w:r>
          </w:p>
        </w:tc>
      </w:tr>
      <w:tr w:rsidR="00CC1A56" w:rsidRPr="00E047E3" w14:paraId="0DD7D498" w14:textId="77777777" w:rsidTr="001E645F">
        <w:trPr>
          <w:trHeight w:val="415"/>
        </w:trPr>
        <w:tc>
          <w:tcPr>
            <w:tcW w:w="227" w:type="pct"/>
          </w:tcPr>
          <w:p w14:paraId="646C3DAC" w14:textId="77777777" w:rsidR="00CC1A56" w:rsidRPr="00E047E3" w:rsidRDefault="00CC1A56" w:rsidP="007D385B">
            <w:pPr>
              <w:pStyle w:val="naiskr"/>
              <w:spacing w:before="0" w:beforeAutospacing="0" w:after="0" w:afterAutospacing="0"/>
              <w:ind w:left="57" w:right="57"/>
              <w:jc w:val="center"/>
            </w:pPr>
            <w:r w:rsidRPr="00E047E3">
              <w:t>1.</w:t>
            </w:r>
          </w:p>
        </w:tc>
        <w:tc>
          <w:tcPr>
            <w:tcW w:w="1566" w:type="pct"/>
          </w:tcPr>
          <w:p w14:paraId="2786C8F3" w14:textId="77777777" w:rsidR="00CC1A56" w:rsidRPr="00E047E3" w:rsidRDefault="00CC1A56" w:rsidP="007D385B">
            <w:pPr>
              <w:pStyle w:val="naiskr"/>
              <w:spacing w:before="0" w:beforeAutospacing="0" w:after="0" w:afterAutospacing="0"/>
              <w:ind w:left="57" w:right="57"/>
            </w:pPr>
            <w:r w:rsidRPr="00E047E3">
              <w:t>Pamatojums</w:t>
            </w:r>
          </w:p>
        </w:tc>
        <w:tc>
          <w:tcPr>
            <w:tcW w:w="3207" w:type="pct"/>
          </w:tcPr>
          <w:p w14:paraId="78D7E778" w14:textId="0907F3C4" w:rsidR="00CC1A56" w:rsidRPr="00E047E3" w:rsidRDefault="00621FDF" w:rsidP="00E047E3">
            <w:pPr>
              <w:spacing w:after="0" w:line="240" w:lineRule="auto"/>
              <w:ind w:left="57" w:right="57"/>
              <w:jc w:val="both"/>
              <w:rPr>
                <w:rFonts w:ascii="Times New Roman" w:hAnsi="Times New Roman" w:cs="Times New Roman"/>
                <w:sz w:val="24"/>
                <w:szCs w:val="24"/>
                <w:shd w:val="clear" w:color="auto" w:fill="FFFFFF"/>
              </w:rPr>
            </w:pPr>
            <w:r w:rsidRPr="00E047E3">
              <w:rPr>
                <w:rFonts w:ascii="Times New Roman" w:eastAsia="Times New Roman" w:hAnsi="Times New Roman" w:cs="Times New Roman"/>
                <w:bCs/>
                <w:sz w:val="24"/>
                <w:szCs w:val="24"/>
                <w:lang w:eastAsia="lv-LV"/>
              </w:rPr>
              <w:t>Ministru kabineta rīkojuma projekts „</w:t>
            </w:r>
            <w:r w:rsidRPr="00E047E3">
              <w:rPr>
                <w:rFonts w:ascii="Times New Roman" w:hAnsi="Times New Roman" w:cs="Times New Roman"/>
                <w:sz w:val="24"/>
                <w:szCs w:val="24"/>
              </w:rPr>
              <w:t>Grozījumi darbības programmas „Cilvēkresursi un nodarbinātība” papildinājumā” (turpmāk – rīkojuma projekts) ir izstrādāts saskaņā ar Ministru kabineta 2007.gada 26.jūnija noteikumu Nr.419 „Kārtība, kādā Eiropas Savienības struktūrfondu un Kohēzijas fonda vadībā iesaistītās institūcijas nodrošina plānošanas dokumentu sagatavošanu un šo fondu ieviešanu” 9.punktu, kas paredz, ka vadošā iestāde sadarbībā ar Eiropas Savienības struktūrfondu vadībā iesaistītajām institūcijām izstrādā un iesniedz apstiprināšanai Ministru kabinetā darbības programmas papildinājumu, bet attiecīgā atbildīgā iestāde darbības programmas papildinājuma grozījumus.</w:t>
            </w:r>
            <w:r w:rsidR="005D1946" w:rsidRPr="00E047E3">
              <w:rPr>
                <w:rFonts w:ascii="Times New Roman" w:hAnsi="Times New Roman" w:cs="Times New Roman"/>
                <w:sz w:val="24"/>
                <w:szCs w:val="24"/>
              </w:rPr>
              <w:t xml:space="preserve"> </w:t>
            </w:r>
          </w:p>
        </w:tc>
      </w:tr>
      <w:tr w:rsidR="00CC1A56" w:rsidRPr="00E047E3" w14:paraId="30C4854B" w14:textId="77777777" w:rsidTr="001E645F">
        <w:trPr>
          <w:trHeight w:val="472"/>
        </w:trPr>
        <w:tc>
          <w:tcPr>
            <w:tcW w:w="227" w:type="pct"/>
          </w:tcPr>
          <w:p w14:paraId="2C037135" w14:textId="77777777" w:rsidR="00CC1A56" w:rsidRPr="00E047E3" w:rsidRDefault="00CC1A56" w:rsidP="007D385B">
            <w:pPr>
              <w:pStyle w:val="naiskr"/>
              <w:spacing w:before="0" w:beforeAutospacing="0" w:after="0" w:afterAutospacing="0"/>
              <w:ind w:left="57" w:right="57"/>
              <w:jc w:val="center"/>
            </w:pPr>
            <w:r w:rsidRPr="00E047E3">
              <w:t>2.</w:t>
            </w:r>
          </w:p>
        </w:tc>
        <w:tc>
          <w:tcPr>
            <w:tcW w:w="1566" w:type="pct"/>
          </w:tcPr>
          <w:p w14:paraId="1B1ADB9E" w14:textId="77777777" w:rsidR="00CC1A56" w:rsidRPr="00E047E3" w:rsidRDefault="00CC1A56" w:rsidP="007D385B">
            <w:pPr>
              <w:pStyle w:val="naiskr"/>
              <w:tabs>
                <w:tab w:val="left" w:pos="170"/>
              </w:tabs>
              <w:spacing w:before="0" w:beforeAutospacing="0" w:after="0" w:afterAutospacing="0"/>
              <w:ind w:left="57" w:right="57"/>
            </w:pPr>
            <w:r w:rsidRPr="00E047E3">
              <w:t>Pašreizējā situācija un problēmas, kuru risināšanai tiesību akta projekts izstrādāts, tiesiskā regulējuma mērķis un būtība</w:t>
            </w:r>
          </w:p>
        </w:tc>
        <w:tc>
          <w:tcPr>
            <w:tcW w:w="3207" w:type="pct"/>
          </w:tcPr>
          <w:p w14:paraId="7067FC4F"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sz w:val="24"/>
                <w:szCs w:val="24"/>
              </w:rPr>
            </w:pPr>
            <w:r w:rsidRPr="00E047E3">
              <w:rPr>
                <w:rFonts w:ascii="Times New Roman" w:hAnsi="Times New Roman" w:cs="Times New Roman"/>
                <w:sz w:val="24"/>
                <w:szCs w:val="24"/>
              </w:rPr>
              <w:t xml:space="preserve">Atbilstoši Koalīcijas partneru darba grupas 2013.gada 12.septembra sēdes protokola 11.punktā noteiktajam konceptuāli atbalstīts finansējuma piešķīrums            418 018 </w:t>
            </w:r>
            <w:r w:rsidRPr="00E047E3">
              <w:rPr>
                <w:rFonts w:ascii="Times New Roman" w:hAnsi="Times New Roman" w:cs="Times New Roman"/>
                <w:i/>
                <w:sz w:val="24"/>
                <w:szCs w:val="24"/>
              </w:rPr>
              <w:t>euro</w:t>
            </w:r>
            <w:r w:rsidRPr="00E047E3">
              <w:rPr>
                <w:rFonts w:ascii="Times New Roman" w:hAnsi="Times New Roman" w:cs="Times New Roman"/>
                <w:sz w:val="24"/>
                <w:szCs w:val="24"/>
              </w:rPr>
              <w:t xml:space="preserve"> (293 785 LVL) apmērā Finanšu ministrijas (turpmāk – FM) pārziņā esošajai 1.5.1.1.1.apakšaktivitātei  „Atbalsts strukturālo reformu īstenošanai un analītisko spēju stiprināšanai valsts pārvaldē”  (turpmāk–   1.5.1.1.1.apakšaktivitāte) Valsts kancelejas projekta „Atbalsts strukturālo reformu ieviešanai valsts pārvaldē” īstenošanai 2014. un 2015.gadā, no minētās summas atbalstot finansējumu 270 345 </w:t>
            </w:r>
            <w:r w:rsidRPr="00E047E3">
              <w:rPr>
                <w:rFonts w:ascii="Times New Roman" w:hAnsi="Times New Roman" w:cs="Times New Roman"/>
                <w:i/>
                <w:sz w:val="24"/>
                <w:szCs w:val="24"/>
              </w:rPr>
              <w:t>euro</w:t>
            </w:r>
            <w:r w:rsidRPr="00E047E3">
              <w:rPr>
                <w:rFonts w:ascii="Times New Roman" w:hAnsi="Times New Roman" w:cs="Times New Roman"/>
                <w:sz w:val="24"/>
                <w:szCs w:val="24"/>
              </w:rPr>
              <w:t xml:space="preserve"> (190 000 LVL) apmērā Valsts kontroles kapacitātes celšanas pasākumu īstenošanai un 147 673 </w:t>
            </w:r>
            <w:r w:rsidRPr="00E047E3">
              <w:rPr>
                <w:rFonts w:ascii="Times New Roman" w:hAnsi="Times New Roman" w:cs="Times New Roman"/>
                <w:i/>
                <w:sz w:val="24"/>
                <w:szCs w:val="24"/>
              </w:rPr>
              <w:t>euro</w:t>
            </w:r>
            <w:r w:rsidRPr="00E047E3">
              <w:rPr>
                <w:rFonts w:ascii="Times New Roman" w:hAnsi="Times New Roman" w:cs="Times New Roman"/>
                <w:sz w:val="24"/>
                <w:szCs w:val="24"/>
              </w:rPr>
              <w:t xml:space="preserve"> (103 785 LVL) projekta administrēšanas nodrošināšanu un veselības obligātās apdrošināšanas koncepcijas ieviešanai.</w:t>
            </w:r>
          </w:p>
          <w:p w14:paraId="60476094"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bCs/>
                <w:sz w:val="24"/>
                <w:szCs w:val="24"/>
              </w:rPr>
            </w:pPr>
            <w:r w:rsidRPr="00E047E3">
              <w:rPr>
                <w:rFonts w:ascii="Times New Roman" w:hAnsi="Times New Roman" w:cs="Times New Roman"/>
                <w:bCs/>
                <w:sz w:val="24"/>
                <w:szCs w:val="24"/>
              </w:rPr>
              <w:t xml:space="preserve">Ņemot </w:t>
            </w:r>
            <w:r w:rsidRPr="00E047E3">
              <w:rPr>
                <w:rFonts w:ascii="Times New Roman" w:hAnsi="Times New Roman" w:cs="Times New Roman"/>
                <w:sz w:val="24"/>
                <w:szCs w:val="24"/>
              </w:rPr>
              <w:t xml:space="preserve">vērā augstāk minēto, lai nodrošinātu Koalīcijas partneru darba grupas 2013.gada </w:t>
            </w:r>
            <w:r w:rsidRPr="00E047E3">
              <w:rPr>
                <w:rFonts w:ascii="Times New Roman" w:hAnsi="Times New Roman" w:cs="Times New Roman"/>
                <w:bCs/>
                <w:sz w:val="24"/>
                <w:szCs w:val="24"/>
              </w:rPr>
              <w:t>12.septembra sēdes protokola 11.punkta izpildi, nepieciešams veikt pieejamā finansējuma pārdali, veicot atbilstošus grozījumus darbības programmas „Cilvēkresursi un nodarbinātība” papildinājuma (turpmāk – 1.DPP) finanšu plānos.</w:t>
            </w:r>
          </w:p>
          <w:p w14:paraId="2D50ED9A" w14:textId="6FC1500B"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sz w:val="24"/>
                <w:szCs w:val="24"/>
              </w:rPr>
            </w:pPr>
            <w:r w:rsidRPr="00E047E3">
              <w:rPr>
                <w:rFonts w:ascii="Times New Roman" w:hAnsi="Times New Roman" w:cs="Times New Roman"/>
                <w:bCs/>
                <w:sz w:val="24"/>
                <w:szCs w:val="24"/>
              </w:rPr>
              <w:t>Šobrīd 1</w:t>
            </w:r>
            <w:r w:rsidR="00D61968">
              <w:rPr>
                <w:rFonts w:ascii="Times New Roman" w:hAnsi="Times New Roman" w:cs="Times New Roman"/>
                <w:bCs/>
                <w:sz w:val="24"/>
                <w:szCs w:val="24"/>
              </w:rPr>
              <w:t>.DPP ir noteikts, ka 1.5.1.1.1.</w:t>
            </w:r>
            <w:r w:rsidRPr="00E047E3">
              <w:rPr>
                <w:rFonts w:ascii="Times New Roman" w:hAnsi="Times New Roman" w:cs="Times New Roman"/>
                <w:bCs/>
                <w:sz w:val="24"/>
                <w:szCs w:val="24"/>
              </w:rPr>
              <w:t>apakšaktivitātes mērķa grupas ir valsts tiešās pārvaldes iestāde, plānošanas reģioni un novadu pašvaldības, sociālie partneri, nodibinājumi un biedrības. Ņemot vērā, ka Valsts kontrole ir neatkarīga, koleģiāla augstākā revīzijas (audita) iestāde, būtiska finanšu sistēmas sastāvdaļa, kas darbojas sabiedrības interesēs, nodrošinot uzraudzību valsts un pašvaldības līdzekļu lietderīgai un efektīvai izmantošanai ir nepieciešami grozījumi 2010.</w:t>
            </w:r>
            <w:r w:rsidR="00D61968">
              <w:rPr>
                <w:rFonts w:ascii="Times New Roman" w:hAnsi="Times New Roman" w:cs="Times New Roman"/>
                <w:bCs/>
                <w:sz w:val="24"/>
                <w:szCs w:val="24"/>
              </w:rPr>
              <w:t>gada 8.jūnija MK noteikumos Nr.</w:t>
            </w:r>
            <w:r w:rsidRPr="00E047E3">
              <w:rPr>
                <w:rFonts w:ascii="Times New Roman" w:hAnsi="Times New Roman" w:cs="Times New Roman"/>
                <w:bCs/>
                <w:sz w:val="24"/>
                <w:szCs w:val="24"/>
              </w:rPr>
              <w:t xml:space="preserve">522 </w:t>
            </w:r>
            <w:r w:rsidR="00E047E3">
              <w:rPr>
                <w:rFonts w:ascii="Times New Roman" w:hAnsi="Times New Roman" w:cs="Times New Roman"/>
                <w:bCs/>
                <w:sz w:val="24"/>
                <w:szCs w:val="24"/>
              </w:rPr>
              <w:t xml:space="preserve">„Noteikumi par darbības programmas „Cilvēkresursi un nodarbinātība” papildinājuma 1.5.3.2. aktivitāti „Plānošanas reģionu un vietējo pašvaldību attīstības plānošanas kapacitātes paaugstināšanu”” </w:t>
            </w:r>
            <w:r w:rsidRPr="00E047E3">
              <w:rPr>
                <w:rFonts w:ascii="Times New Roman" w:hAnsi="Times New Roman" w:cs="Times New Roman"/>
                <w:bCs/>
                <w:sz w:val="24"/>
                <w:szCs w:val="24"/>
              </w:rPr>
              <w:t>un Nr.523</w:t>
            </w:r>
            <w:r w:rsidR="00E047E3" w:rsidRPr="00E047E3">
              <w:rPr>
                <w:rFonts w:ascii="Times New Roman" w:hAnsi="Times New Roman" w:cs="Times New Roman"/>
                <w:bCs/>
                <w:sz w:val="24"/>
                <w:szCs w:val="24"/>
              </w:rPr>
              <w:t xml:space="preserve"> </w:t>
            </w:r>
            <w:r w:rsidR="00E047E3">
              <w:rPr>
                <w:rFonts w:ascii="Times New Roman" w:hAnsi="Times New Roman" w:cs="Times New Roman"/>
                <w:bCs/>
                <w:sz w:val="24"/>
                <w:szCs w:val="24"/>
              </w:rPr>
              <w:t xml:space="preserve">„Noteikumi par darbības programmas „Cilvēkresursi un nodarbinātība” papildinājuma 1.5.3.1. aktivitāti „Speciālistu </w:t>
            </w:r>
            <w:r w:rsidR="00E047E3">
              <w:rPr>
                <w:rFonts w:ascii="Times New Roman" w:hAnsi="Times New Roman" w:cs="Times New Roman"/>
                <w:bCs/>
                <w:sz w:val="24"/>
                <w:szCs w:val="24"/>
              </w:rPr>
              <w:lastRenderedPageBreak/>
              <w:t>piesaiste plānošanas reģioniem, pilsētām un novadiem””</w:t>
            </w:r>
            <w:r w:rsidRPr="00E047E3">
              <w:rPr>
                <w:rFonts w:ascii="Times New Roman" w:hAnsi="Times New Roman" w:cs="Times New Roman"/>
                <w:bCs/>
                <w:sz w:val="24"/>
                <w:szCs w:val="24"/>
              </w:rPr>
              <w:t>, kā arī  1.DPP.</w:t>
            </w:r>
            <w:r w:rsidRPr="00E047E3">
              <w:rPr>
                <w:rFonts w:ascii="Times New Roman" w:hAnsi="Times New Roman" w:cs="Times New Roman"/>
                <w:sz w:val="24"/>
                <w:szCs w:val="24"/>
              </w:rPr>
              <w:t xml:space="preserve"> </w:t>
            </w:r>
          </w:p>
          <w:p w14:paraId="14B7ECA3"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bCs/>
                <w:sz w:val="24"/>
                <w:szCs w:val="24"/>
              </w:rPr>
            </w:pPr>
            <w:r w:rsidRPr="00E047E3">
              <w:rPr>
                <w:rFonts w:ascii="Times New Roman" w:hAnsi="Times New Roman" w:cs="Times New Roman"/>
                <w:bCs/>
                <w:sz w:val="24"/>
                <w:szCs w:val="24"/>
              </w:rPr>
              <w:t>Valsts kontrolei ir svarīgi pilnveidot savas zināšanas lietderības revīzijas veikšanā, stiprinot valsts pārvaldes sniegto pakalpojumu kvalitāti un darba efektivitāti, sniedzot savlaicīgus ieteikumus birokrātisko šķēršļu un neefektīvas rīcības novēršanai un nākotnē sniedzot pārliecību sabiedrībai, ka valsts pārvalde strādā efektīvi un nodrošina labu uzņēmējdarbības vidi.</w:t>
            </w:r>
          </w:p>
          <w:p w14:paraId="6EFDEBD3"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bCs/>
                <w:sz w:val="24"/>
                <w:szCs w:val="24"/>
              </w:rPr>
            </w:pPr>
            <w:r w:rsidRPr="00E047E3">
              <w:rPr>
                <w:rFonts w:ascii="Times New Roman" w:hAnsi="Times New Roman" w:cs="Times New Roman"/>
                <w:bCs/>
                <w:sz w:val="24"/>
                <w:szCs w:val="24"/>
              </w:rPr>
              <w:t>Darbības programmas „Cilvēkresursi un nodarbinātība” ietvaros Valsts kontrole īstenos šādas aktivitātes:</w:t>
            </w:r>
          </w:p>
          <w:p w14:paraId="1E4CE9DA"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bCs/>
                <w:sz w:val="24"/>
                <w:szCs w:val="24"/>
              </w:rPr>
            </w:pPr>
            <w:r w:rsidRPr="00E047E3">
              <w:rPr>
                <w:rFonts w:ascii="Times New Roman" w:hAnsi="Times New Roman" w:cs="Times New Roman"/>
                <w:bCs/>
                <w:sz w:val="24"/>
                <w:szCs w:val="24"/>
              </w:rPr>
              <w:t>1)</w:t>
            </w:r>
            <w:r w:rsidRPr="00E047E3">
              <w:rPr>
                <w:rFonts w:ascii="Times New Roman" w:hAnsi="Times New Roman" w:cs="Times New Roman"/>
                <w:bCs/>
                <w:sz w:val="24"/>
                <w:szCs w:val="24"/>
              </w:rPr>
              <w:tab/>
              <w:t>Valsts kontroles kapacitātes stiprināšana lietderības revīziju veikšanas jomā. Aktivitātes ietvaros tiks veikti tādi pasākumi kā iestādes darbinieku apmācība lietderības revīziju veikšanā, lietderības revīziju veikšanas metodoloģijas pilnveidošana u.c.;</w:t>
            </w:r>
          </w:p>
          <w:p w14:paraId="07B40EC4" w14:textId="77777777" w:rsidR="00621FDF" w:rsidRPr="00E047E3" w:rsidRDefault="00621FDF" w:rsidP="00621FDF">
            <w:pPr>
              <w:tabs>
                <w:tab w:val="left" w:pos="381"/>
              </w:tabs>
              <w:autoSpaceDE w:val="0"/>
              <w:autoSpaceDN w:val="0"/>
              <w:adjustRightInd w:val="0"/>
              <w:spacing w:after="0" w:line="240" w:lineRule="auto"/>
              <w:jc w:val="both"/>
              <w:rPr>
                <w:rFonts w:ascii="Times New Roman" w:hAnsi="Times New Roman" w:cs="Times New Roman"/>
                <w:bCs/>
                <w:sz w:val="24"/>
                <w:szCs w:val="24"/>
              </w:rPr>
            </w:pPr>
            <w:r w:rsidRPr="00E047E3">
              <w:rPr>
                <w:rFonts w:ascii="Times New Roman" w:hAnsi="Times New Roman" w:cs="Times New Roman"/>
                <w:bCs/>
                <w:sz w:val="24"/>
                <w:szCs w:val="24"/>
              </w:rPr>
              <w:t>2)</w:t>
            </w:r>
            <w:r w:rsidRPr="00E047E3">
              <w:rPr>
                <w:rFonts w:ascii="Times New Roman" w:hAnsi="Times New Roman" w:cs="Times New Roman"/>
                <w:bCs/>
                <w:sz w:val="24"/>
                <w:szCs w:val="24"/>
              </w:rPr>
              <w:tab/>
              <w:t>Valsts kontroles darba efektivitātes izvērtējums. Aktivitātes ietvaros tiks veikts neatkarīgs un profesionāls pētījums par Valsts kontroles darbības atbilstību.</w:t>
            </w:r>
          </w:p>
          <w:p w14:paraId="22EAA2BE" w14:textId="3E408583" w:rsidR="00621FDF" w:rsidRPr="0038403E" w:rsidRDefault="00621FDF" w:rsidP="0038403E">
            <w:pPr>
              <w:spacing w:before="75" w:after="75" w:line="240" w:lineRule="auto"/>
              <w:jc w:val="both"/>
              <w:rPr>
                <w:rFonts w:ascii="Times New Roman" w:eastAsia="Times New Roman" w:hAnsi="Times New Roman" w:cs="Times New Roman"/>
                <w:iCs/>
                <w:sz w:val="24"/>
                <w:szCs w:val="24"/>
                <w:lang w:eastAsia="lv-LV"/>
              </w:rPr>
            </w:pPr>
            <w:r w:rsidRPr="00E047E3">
              <w:rPr>
                <w:rFonts w:ascii="Times New Roman" w:hAnsi="Times New Roman" w:cs="Times New Roman"/>
                <w:bCs/>
                <w:sz w:val="24"/>
                <w:szCs w:val="24"/>
              </w:rPr>
              <w:t>Lai nodrošinātu minēto aktivitāšu īstenošanu, Valsts kontrole tiek piesaistīta Valsts kancelejas īstenotā projektā kā sadarbības partneris un noteikta kā apakšaktivitātes mērķa grupa, kā arī tiek papildinātas atbalstāmās darbībās ar augstāk minētajām aktivitātēm.</w:t>
            </w:r>
            <w:r w:rsidR="0038403E">
              <w:rPr>
                <w:rFonts w:ascii="Times New Roman" w:eastAsia="Times New Roman" w:hAnsi="Times New Roman" w:cs="Times New Roman"/>
                <w:iCs/>
                <w:sz w:val="24"/>
                <w:szCs w:val="24"/>
                <w:lang w:eastAsia="lv-LV"/>
              </w:rPr>
              <w:t xml:space="preserve"> </w:t>
            </w:r>
            <w:r w:rsidRPr="00E047E3">
              <w:rPr>
                <w:rFonts w:ascii="Times New Roman" w:hAnsi="Times New Roman" w:cs="Times New Roman"/>
                <w:bCs/>
                <w:sz w:val="24"/>
                <w:szCs w:val="24"/>
              </w:rPr>
              <w:t>MK rīkojuma projekts paredz:</w:t>
            </w:r>
          </w:p>
          <w:p w14:paraId="1E720BF9" w14:textId="77777777" w:rsidR="00621FDF" w:rsidRPr="00E047E3" w:rsidRDefault="00621FDF" w:rsidP="00621FDF">
            <w:pPr>
              <w:pStyle w:val="ListParagraph"/>
              <w:numPr>
                <w:ilvl w:val="0"/>
                <w:numId w:val="13"/>
              </w:numPr>
              <w:spacing w:after="0" w:line="240" w:lineRule="auto"/>
              <w:ind w:left="459" w:hanging="425"/>
              <w:jc w:val="both"/>
              <w:rPr>
                <w:rFonts w:ascii="Times New Roman" w:hAnsi="Times New Roman" w:cs="Times New Roman"/>
                <w:bCs/>
                <w:sz w:val="24"/>
                <w:szCs w:val="24"/>
              </w:rPr>
            </w:pPr>
            <w:r w:rsidRPr="00E047E3">
              <w:rPr>
                <w:rFonts w:ascii="Times New Roman" w:hAnsi="Times New Roman" w:cs="Times New Roman"/>
                <w:bCs/>
                <w:sz w:val="24"/>
                <w:szCs w:val="24"/>
              </w:rPr>
              <w:t>DPP precizēt  1.5.1.1.aktivitātes un 1.5.1.1.1. apakšaktivitātes mērķa grupu (354. un 358.punkts).</w:t>
            </w:r>
          </w:p>
          <w:p w14:paraId="184204BC" w14:textId="77777777" w:rsidR="00621FDF" w:rsidRPr="00E047E3" w:rsidRDefault="00621FDF" w:rsidP="00621FDF">
            <w:pPr>
              <w:pStyle w:val="ListParagraph"/>
              <w:numPr>
                <w:ilvl w:val="0"/>
                <w:numId w:val="13"/>
              </w:numPr>
              <w:spacing w:after="0" w:line="240" w:lineRule="auto"/>
              <w:ind w:left="459" w:hanging="425"/>
              <w:jc w:val="both"/>
              <w:rPr>
                <w:rFonts w:ascii="Times New Roman" w:hAnsi="Times New Roman" w:cs="Times New Roman"/>
                <w:bCs/>
                <w:sz w:val="24"/>
                <w:szCs w:val="24"/>
              </w:rPr>
            </w:pPr>
            <w:r w:rsidRPr="00E047E3">
              <w:rPr>
                <w:rFonts w:ascii="Times New Roman" w:hAnsi="Times New Roman" w:cs="Times New Roman"/>
                <w:bCs/>
                <w:sz w:val="24"/>
                <w:szCs w:val="24"/>
              </w:rPr>
              <w:t>Precizēt maksimālo projekta finansējuma apjomu (360. punkts).</w:t>
            </w:r>
          </w:p>
          <w:p w14:paraId="37BC5965" w14:textId="77777777" w:rsidR="00621FDF" w:rsidRPr="00E047E3" w:rsidRDefault="00621FDF" w:rsidP="00621FDF">
            <w:pPr>
              <w:pStyle w:val="ListParagraph"/>
              <w:numPr>
                <w:ilvl w:val="0"/>
                <w:numId w:val="13"/>
              </w:numPr>
              <w:spacing w:after="0" w:line="240" w:lineRule="auto"/>
              <w:ind w:left="459" w:hanging="425"/>
              <w:jc w:val="both"/>
              <w:rPr>
                <w:rFonts w:ascii="Times New Roman" w:hAnsi="Times New Roman" w:cs="Times New Roman"/>
                <w:bCs/>
                <w:sz w:val="24"/>
                <w:szCs w:val="24"/>
              </w:rPr>
            </w:pPr>
            <w:r w:rsidRPr="00E047E3">
              <w:rPr>
                <w:rFonts w:ascii="Times New Roman" w:hAnsi="Times New Roman" w:cs="Times New Roman"/>
                <w:bCs/>
                <w:sz w:val="24"/>
                <w:szCs w:val="24"/>
              </w:rPr>
              <w:t>Precizēt atbalsta veidu (357.punkts).</w:t>
            </w:r>
          </w:p>
          <w:p w14:paraId="4FBE3AE7" w14:textId="77777777" w:rsidR="00621FDF" w:rsidRPr="00E047E3" w:rsidRDefault="00621FDF" w:rsidP="00621FDF">
            <w:pPr>
              <w:pStyle w:val="ListParagraph"/>
              <w:numPr>
                <w:ilvl w:val="0"/>
                <w:numId w:val="13"/>
              </w:numPr>
              <w:spacing w:after="0" w:line="240" w:lineRule="auto"/>
              <w:ind w:left="459" w:hanging="425"/>
              <w:jc w:val="both"/>
              <w:rPr>
                <w:rFonts w:ascii="Times New Roman" w:hAnsi="Times New Roman" w:cs="Times New Roman"/>
                <w:bCs/>
                <w:sz w:val="24"/>
                <w:szCs w:val="24"/>
              </w:rPr>
            </w:pPr>
            <w:r w:rsidRPr="00E047E3">
              <w:rPr>
                <w:rFonts w:ascii="Times New Roman" w:hAnsi="Times New Roman" w:cs="Times New Roman"/>
                <w:bCs/>
                <w:sz w:val="24"/>
                <w:szCs w:val="24"/>
              </w:rPr>
              <w:t xml:space="preserve">Precizēt DPP 1.5.1.pasākuma „Labāka regulējuma politika” tabulu „Finanšu plāns”, palielinot 1.5.1.1.1.aktivitātei pieejamo kopējo finansējumu par 418 018 EUR (293 785 LVL) no 3 957 681 EUR uz 4 375 699 EUR. </w:t>
            </w:r>
          </w:p>
          <w:p w14:paraId="6179AD6B" w14:textId="77777777" w:rsidR="00D31E04" w:rsidRDefault="00621FDF" w:rsidP="00D31E04">
            <w:pPr>
              <w:pStyle w:val="ListParagraph"/>
              <w:numPr>
                <w:ilvl w:val="0"/>
                <w:numId w:val="13"/>
              </w:numPr>
              <w:spacing w:after="0" w:line="240" w:lineRule="auto"/>
              <w:ind w:left="459" w:hanging="425"/>
              <w:jc w:val="both"/>
              <w:rPr>
                <w:rFonts w:ascii="Times New Roman" w:hAnsi="Times New Roman" w:cs="Times New Roman"/>
                <w:bCs/>
                <w:sz w:val="24"/>
                <w:szCs w:val="24"/>
              </w:rPr>
            </w:pPr>
            <w:r w:rsidRPr="00E047E3">
              <w:rPr>
                <w:rFonts w:ascii="Times New Roman" w:hAnsi="Times New Roman" w:cs="Times New Roman"/>
                <w:bCs/>
                <w:sz w:val="24"/>
                <w:szCs w:val="24"/>
              </w:rPr>
              <w:t xml:space="preserve">Precizēt 1.DPP 1.5.3.pasākuma „Plānošanas reģionu un vietējo pašvaldību administratīvās un attīstības plānošanas kapacitātes stiprināšana” tabulu  „Finanšu plāns”, samazinot 1.5.3.1.aktivitātes „Speciālistu piesaiste plānošanas reģioniem, pilsētām un novadiem” pieejamo kopējo finansējumu par 111 698 EUR (78 502 LVL) no 3 618 565 EUR uz 3 506 867 EUR. </w:t>
            </w:r>
          </w:p>
          <w:p w14:paraId="43A87605" w14:textId="13FED616" w:rsidR="00402608" w:rsidRPr="00D31E04" w:rsidRDefault="00621FDF" w:rsidP="00D31E04">
            <w:pPr>
              <w:pStyle w:val="ListParagraph"/>
              <w:numPr>
                <w:ilvl w:val="0"/>
                <w:numId w:val="13"/>
              </w:numPr>
              <w:spacing w:after="0" w:line="240" w:lineRule="auto"/>
              <w:ind w:left="459" w:hanging="425"/>
              <w:jc w:val="both"/>
              <w:rPr>
                <w:rFonts w:ascii="Times New Roman" w:hAnsi="Times New Roman" w:cs="Times New Roman"/>
                <w:bCs/>
                <w:sz w:val="24"/>
                <w:szCs w:val="24"/>
              </w:rPr>
            </w:pPr>
            <w:r w:rsidRPr="00D31E04">
              <w:rPr>
                <w:rFonts w:ascii="Times New Roman" w:hAnsi="Times New Roman" w:cs="Times New Roman"/>
                <w:bCs/>
                <w:sz w:val="24"/>
                <w:szCs w:val="24"/>
              </w:rPr>
              <w:t>Precizēt 1.DPP 1.5.3.pasākuma „Plānošanas reģionu un vietējo pašvaldību administratīvās un attīstības plānošanas kapacitātes stiprināšana” tabulu  „Finanšu plāns”, samazinot 1.5.3.2.aktivitātes „Plānošanas reģionu un vietējo pašvaldību attīstības plānošanas kapacitātes paaugstināšana”  pieejamo kopējo finansējumu par 306 320 EUR (215 283 LVL) no 3 533 808 EUR uz 3 227 488 EUR.</w:t>
            </w:r>
          </w:p>
        </w:tc>
      </w:tr>
      <w:tr w:rsidR="00CC1A56" w:rsidRPr="00E047E3" w14:paraId="3C3A93E2" w14:textId="77777777" w:rsidTr="001E645F">
        <w:trPr>
          <w:trHeight w:val="476"/>
        </w:trPr>
        <w:tc>
          <w:tcPr>
            <w:tcW w:w="227" w:type="pct"/>
          </w:tcPr>
          <w:p w14:paraId="7E3A622A" w14:textId="77777777" w:rsidR="00CC1A56" w:rsidRPr="00E047E3" w:rsidRDefault="00CC1A56" w:rsidP="007D385B">
            <w:pPr>
              <w:pStyle w:val="naiskr"/>
              <w:spacing w:before="0" w:beforeAutospacing="0" w:after="0" w:afterAutospacing="0"/>
              <w:ind w:left="57" w:right="57"/>
              <w:jc w:val="center"/>
            </w:pPr>
            <w:r w:rsidRPr="00E047E3">
              <w:lastRenderedPageBreak/>
              <w:t>3.</w:t>
            </w:r>
          </w:p>
        </w:tc>
        <w:tc>
          <w:tcPr>
            <w:tcW w:w="1566" w:type="pct"/>
          </w:tcPr>
          <w:p w14:paraId="20D4CFE2" w14:textId="77777777" w:rsidR="00CC1A56" w:rsidRPr="00E047E3" w:rsidRDefault="00CC1A56" w:rsidP="007D385B">
            <w:pPr>
              <w:pStyle w:val="naiskr"/>
              <w:spacing w:before="0" w:beforeAutospacing="0" w:after="0" w:afterAutospacing="0"/>
              <w:ind w:left="57" w:right="57"/>
            </w:pPr>
            <w:r w:rsidRPr="00E047E3">
              <w:t>Projekta izstrādē iesaistītās institūcijas</w:t>
            </w:r>
          </w:p>
        </w:tc>
        <w:tc>
          <w:tcPr>
            <w:tcW w:w="3207" w:type="pct"/>
          </w:tcPr>
          <w:p w14:paraId="1F37D6DD" w14:textId="6628AD0E" w:rsidR="00CC1A56" w:rsidRPr="00E047E3" w:rsidRDefault="00621FDF" w:rsidP="00D61968">
            <w:pPr>
              <w:spacing w:after="0" w:line="240" w:lineRule="auto"/>
              <w:ind w:left="142" w:right="57"/>
              <w:jc w:val="both"/>
              <w:rPr>
                <w:rFonts w:ascii="Times New Roman" w:hAnsi="Times New Roman" w:cs="Times New Roman"/>
                <w:b/>
                <w:sz w:val="24"/>
                <w:szCs w:val="24"/>
              </w:rPr>
            </w:pPr>
            <w:r w:rsidRPr="00E047E3">
              <w:rPr>
                <w:rFonts w:ascii="Times New Roman" w:eastAsia="Times New Roman" w:hAnsi="Times New Roman" w:cs="Times New Roman"/>
                <w:sz w:val="24"/>
                <w:szCs w:val="24"/>
                <w:lang w:eastAsia="lv-LV"/>
              </w:rPr>
              <w:t>Finanšu ministrija un Vides aizsardzības un reģionālās attīstības ministrija</w:t>
            </w:r>
            <w:r w:rsidR="00D61968">
              <w:rPr>
                <w:rFonts w:ascii="Times New Roman" w:eastAsia="Times New Roman" w:hAnsi="Times New Roman" w:cs="Times New Roman"/>
                <w:sz w:val="24"/>
                <w:szCs w:val="24"/>
                <w:lang w:eastAsia="lv-LV"/>
              </w:rPr>
              <w:t>.</w:t>
            </w:r>
          </w:p>
        </w:tc>
      </w:tr>
      <w:tr w:rsidR="00CC1A56" w:rsidRPr="00E047E3" w14:paraId="6A696731" w14:textId="77777777" w:rsidTr="001E645F">
        <w:tc>
          <w:tcPr>
            <w:tcW w:w="227" w:type="pct"/>
          </w:tcPr>
          <w:p w14:paraId="2E481666" w14:textId="77777777" w:rsidR="00CC1A56" w:rsidRPr="00E047E3" w:rsidRDefault="00CC1A56" w:rsidP="007D385B">
            <w:pPr>
              <w:pStyle w:val="naiskr"/>
              <w:spacing w:before="0" w:beforeAutospacing="0" w:after="0" w:afterAutospacing="0"/>
              <w:ind w:left="57" w:right="57"/>
              <w:jc w:val="center"/>
            </w:pPr>
            <w:r w:rsidRPr="00E047E3">
              <w:lastRenderedPageBreak/>
              <w:t>4.</w:t>
            </w:r>
          </w:p>
        </w:tc>
        <w:tc>
          <w:tcPr>
            <w:tcW w:w="1566" w:type="pct"/>
          </w:tcPr>
          <w:p w14:paraId="1E9023F8" w14:textId="77777777" w:rsidR="00CC1A56" w:rsidRPr="00E047E3" w:rsidRDefault="00CC1A56" w:rsidP="007D385B">
            <w:pPr>
              <w:pStyle w:val="naiskr"/>
              <w:spacing w:before="0" w:beforeAutospacing="0" w:after="0" w:afterAutospacing="0"/>
              <w:ind w:left="57" w:right="57"/>
            </w:pPr>
            <w:r w:rsidRPr="00E047E3">
              <w:t>Cita informācija</w:t>
            </w:r>
          </w:p>
        </w:tc>
        <w:tc>
          <w:tcPr>
            <w:tcW w:w="3207" w:type="pct"/>
          </w:tcPr>
          <w:p w14:paraId="1AC09D90" w14:textId="77777777" w:rsidR="00CC1A56" w:rsidRPr="00E047E3" w:rsidRDefault="004863B9" w:rsidP="00DE0F62">
            <w:pPr>
              <w:pStyle w:val="naiskr"/>
              <w:spacing w:before="0" w:beforeAutospacing="0" w:after="0" w:afterAutospacing="0"/>
              <w:ind w:left="142" w:right="57"/>
              <w:jc w:val="both"/>
            </w:pPr>
            <w:r w:rsidRPr="00E047E3">
              <w:rPr>
                <w:color w:val="000000"/>
              </w:rPr>
              <w:t>Nav.</w:t>
            </w:r>
          </w:p>
        </w:tc>
      </w:tr>
    </w:tbl>
    <w:p w14:paraId="5CE41D47" w14:textId="77777777" w:rsidR="00D31E04" w:rsidRPr="00E047E3" w:rsidRDefault="00D31E04" w:rsidP="00CC1A56">
      <w:pPr>
        <w:spacing w:after="0" w:line="240" w:lineRule="auto"/>
        <w:rPr>
          <w:rFonts w:ascii="Times New Roman" w:hAnsi="Times New Roman" w:cs="Times New Roman"/>
          <w:sz w:val="24"/>
          <w:szCs w:val="24"/>
        </w:rPr>
      </w:pPr>
    </w:p>
    <w:tbl>
      <w:tblPr>
        <w:tblW w:w="5245" w:type="pct"/>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053"/>
        <w:gridCol w:w="5884"/>
      </w:tblGrid>
      <w:tr w:rsidR="00621FDF" w:rsidRPr="00E047E3" w14:paraId="5B825234" w14:textId="77777777" w:rsidTr="00EC6A02">
        <w:tc>
          <w:tcPr>
            <w:tcW w:w="5000" w:type="pct"/>
            <w:gridSpan w:val="3"/>
            <w:tcBorders>
              <w:top w:val="single" w:sz="6" w:space="0" w:color="auto"/>
              <w:left w:val="single" w:sz="6" w:space="0" w:color="auto"/>
              <w:bottom w:val="outset" w:sz="6" w:space="0" w:color="auto"/>
              <w:right w:val="single" w:sz="6" w:space="0" w:color="auto"/>
            </w:tcBorders>
          </w:tcPr>
          <w:p w14:paraId="43A63D16" w14:textId="77777777" w:rsidR="00621FDF" w:rsidRPr="00E047E3" w:rsidRDefault="00621FDF" w:rsidP="00F4308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047E3">
              <w:rPr>
                <w:rFonts w:ascii="Times New Roman" w:eastAsia="Times New Roman" w:hAnsi="Times New Roman" w:cs="Times New Roman"/>
                <w:b/>
                <w:bCs/>
                <w:sz w:val="24"/>
                <w:szCs w:val="24"/>
                <w:lang w:eastAsia="lv-LV"/>
              </w:rPr>
              <w:t>IV. Tiesību akta projekta ietekme uz spēkā esošo tiesību normu sistēmu</w:t>
            </w:r>
          </w:p>
        </w:tc>
      </w:tr>
      <w:tr w:rsidR="00621FDF" w:rsidRPr="00E047E3" w14:paraId="4EE891FF" w14:textId="77777777" w:rsidTr="00EC6A02">
        <w:tc>
          <w:tcPr>
            <w:tcW w:w="296" w:type="pct"/>
            <w:tcBorders>
              <w:top w:val="outset" w:sz="6" w:space="0" w:color="auto"/>
              <w:left w:val="outset" w:sz="6" w:space="0" w:color="auto"/>
              <w:bottom w:val="outset" w:sz="6" w:space="0" w:color="auto"/>
              <w:right w:val="outset" w:sz="6" w:space="0" w:color="auto"/>
            </w:tcBorders>
          </w:tcPr>
          <w:p w14:paraId="31986D3B" w14:textId="77777777" w:rsidR="00621FDF" w:rsidRPr="00E047E3" w:rsidRDefault="00621FDF" w:rsidP="00EC6A02">
            <w:pPr>
              <w:spacing w:before="100" w:beforeAutospacing="1" w:after="100" w:afterAutospacing="1" w:line="240" w:lineRule="auto"/>
              <w:ind w:left="-222"/>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tcPr>
          <w:p w14:paraId="3FA35031" w14:textId="77777777" w:rsidR="00621FDF" w:rsidRPr="00E047E3"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Nepieciešamie saistītie tiesību aktu projekti</w:t>
            </w:r>
          </w:p>
        </w:tc>
        <w:tc>
          <w:tcPr>
            <w:tcW w:w="3097" w:type="pct"/>
            <w:tcBorders>
              <w:top w:val="outset" w:sz="6" w:space="0" w:color="auto"/>
              <w:left w:val="outset" w:sz="6" w:space="0" w:color="auto"/>
              <w:bottom w:val="outset" w:sz="6" w:space="0" w:color="auto"/>
              <w:right w:val="outset" w:sz="6" w:space="0" w:color="auto"/>
            </w:tcBorders>
          </w:tcPr>
          <w:p w14:paraId="774846E2" w14:textId="4183E40D" w:rsidR="00621FDF" w:rsidRPr="00E047E3" w:rsidRDefault="00621FDF" w:rsidP="00F43080">
            <w:pPr>
              <w:tabs>
                <w:tab w:val="left" w:pos="396"/>
              </w:tabs>
              <w:autoSpaceDE w:val="0"/>
              <w:autoSpaceDN w:val="0"/>
              <w:adjustRightInd w:val="0"/>
              <w:spacing w:before="60" w:after="60" w:line="240" w:lineRule="auto"/>
              <w:jc w:val="both"/>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MK rīkojuma projekts rada nepieciešamību veikt atbilstošus grozījumus</w:t>
            </w:r>
            <w:r w:rsidR="00D61968">
              <w:rPr>
                <w:rFonts w:ascii="Times New Roman" w:eastAsia="Times New Roman" w:hAnsi="Times New Roman" w:cs="Times New Roman"/>
                <w:sz w:val="24"/>
                <w:szCs w:val="24"/>
                <w:lang w:eastAsia="lv-LV"/>
              </w:rPr>
              <w:t xml:space="preserve"> </w:t>
            </w:r>
            <w:r w:rsidRPr="00E047E3">
              <w:rPr>
                <w:rFonts w:ascii="Times New Roman" w:eastAsia="Times New Roman" w:hAnsi="Times New Roman" w:cs="Times New Roman"/>
                <w:sz w:val="24"/>
                <w:szCs w:val="24"/>
                <w:lang w:eastAsia="lv-LV"/>
              </w:rPr>
              <w:t>Ministru kabineta 2009.gada 24.novembra noteikumos Nr.1358 „Noteikumi par darbības programmas „Cilvēkresursi un nodarbinātība” papildinājuma 1.5.1.1.1.apakšaktivitātes „Atbalsts strukturālo reformu īstenošanai un analītisko spēju stiprināšanai valsts pārvaldē”, paredzot kopējā attiecināmā publiskā finansējuma apmēra palielinājumu par 293 785 latiem.</w:t>
            </w:r>
          </w:p>
          <w:p w14:paraId="2AD43933" w14:textId="77777777" w:rsidR="00621FDF" w:rsidRPr="00E047E3" w:rsidRDefault="00621FDF" w:rsidP="00F43080">
            <w:pPr>
              <w:tabs>
                <w:tab w:val="left" w:pos="396"/>
              </w:tabs>
              <w:autoSpaceDE w:val="0"/>
              <w:autoSpaceDN w:val="0"/>
              <w:adjustRightInd w:val="0"/>
              <w:spacing w:before="60" w:after="60" w:line="240" w:lineRule="auto"/>
              <w:ind w:left="-28"/>
              <w:jc w:val="both"/>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Par iepriekš minētā tiesību akta projekta izstrādi ir atbildīga Finanšu ministrija.</w:t>
            </w:r>
          </w:p>
          <w:p w14:paraId="2AA31EFD" w14:textId="77777777" w:rsidR="00621FDF" w:rsidRPr="00E047E3" w:rsidRDefault="00621FDF" w:rsidP="00F43080">
            <w:pPr>
              <w:tabs>
                <w:tab w:val="left" w:pos="396"/>
              </w:tabs>
              <w:autoSpaceDE w:val="0"/>
              <w:autoSpaceDN w:val="0"/>
              <w:adjustRightInd w:val="0"/>
              <w:spacing w:before="60" w:after="60" w:line="240" w:lineRule="auto"/>
              <w:ind w:left="-28"/>
              <w:jc w:val="both"/>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 xml:space="preserve">Grozījumi Ministru kabineta 2009.gada 24.novembra noteikumos Nr.1358 „Noteikumi par darbības programmas „Cilvēkresursi un nodarbinātība” papildinājuma 1.5.1.1.1.apakšaktivitātes „Atbalsts strukturālo reformu īstenošanai un analītisko spēju stiprināšanai valsts pārvaldē” tiks virzīti apstiprināšanai Ministru kabineta sēdē vienlaikus ar izstrādātajiem grozījumiem darbības programmas „Cilvēkresursi un nodarbinātība” papildinājumā. </w:t>
            </w:r>
          </w:p>
        </w:tc>
      </w:tr>
      <w:tr w:rsidR="00621FDF" w:rsidRPr="00E047E3" w14:paraId="0B68747B" w14:textId="77777777" w:rsidTr="00943691">
        <w:trPr>
          <w:trHeight w:val="2575"/>
        </w:trPr>
        <w:tc>
          <w:tcPr>
            <w:tcW w:w="296" w:type="pct"/>
            <w:tcBorders>
              <w:top w:val="outset" w:sz="6" w:space="0" w:color="auto"/>
              <w:left w:val="outset" w:sz="6" w:space="0" w:color="auto"/>
              <w:bottom w:val="outset" w:sz="6" w:space="0" w:color="auto"/>
              <w:right w:val="outset" w:sz="6" w:space="0" w:color="auto"/>
            </w:tcBorders>
          </w:tcPr>
          <w:p w14:paraId="4B35C56B" w14:textId="77777777" w:rsidR="00621FDF" w:rsidRPr="00E047E3"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tcPr>
          <w:p w14:paraId="68E37548" w14:textId="77777777" w:rsidR="00621FDF" w:rsidRPr="00E047E3" w:rsidRDefault="00621FDF" w:rsidP="00F43080">
            <w:pPr>
              <w:spacing w:before="100" w:beforeAutospacing="1" w:after="100" w:afterAutospacing="1" w:line="240" w:lineRule="auto"/>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tcPr>
          <w:p w14:paraId="79173C12" w14:textId="0F41D3C1" w:rsidR="00CA0620" w:rsidRPr="00943691" w:rsidRDefault="00621FDF" w:rsidP="00D61968">
            <w:pPr>
              <w:tabs>
                <w:tab w:val="left" w:pos="396"/>
              </w:tabs>
              <w:autoSpaceDE w:val="0"/>
              <w:autoSpaceDN w:val="0"/>
              <w:adjustRightInd w:val="0"/>
              <w:spacing w:before="60" w:after="60" w:line="240" w:lineRule="auto"/>
              <w:ind w:left="-28"/>
              <w:jc w:val="both"/>
              <w:rPr>
                <w:rFonts w:ascii="Times New Roman" w:hAnsi="Times New Roman" w:cs="Times New Roman"/>
                <w:bCs/>
                <w:sz w:val="24"/>
                <w:szCs w:val="24"/>
              </w:rPr>
            </w:pPr>
            <w:r w:rsidRPr="00E047E3">
              <w:rPr>
                <w:rFonts w:ascii="Times New Roman" w:eastAsia="Times New Roman" w:hAnsi="Times New Roman" w:cs="Times New Roman"/>
                <w:sz w:val="24"/>
                <w:szCs w:val="24"/>
                <w:lang w:eastAsia="lv-LV"/>
              </w:rPr>
              <w:t xml:space="preserve">Tiks veikti atbilstoši grozījumi </w:t>
            </w:r>
            <w:r w:rsidR="00696D84" w:rsidRPr="00E047E3">
              <w:rPr>
                <w:rFonts w:ascii="Times New Roman" w:hAnsi="Times New Roman" w:cs="Times New Roman"/>
                <w:bCs/>
                <w:sz w:val="24"/>
                <w:szCs w:val="24"/>
              </w:rPr>
              <w:t xml:space="preserve">2010.gada 8.jūnija MK noteikumos Nr. 522 </w:t>
            </w:r>
            <w:r w:rsidR="00696D84">
              <w:rPr>
                <w:rFonts w:ascii="Times New Roman" w:hAnsi="Times New Roman" w:cs="Times New Roman"/>
                <w:bCs/>
                <w:sz w:val="24"/>
                <w:szCs w:val="24"/>
              </w:rPr>
              <w:t xml:space="preserve">„Noteikumi par darbības programmas „Cilvēkresursi un nodarbinātība” papildinājuma 1.5.3.2. aktivitāti „Plānošanas reģionu un vietējo pašvaldību attīstības plānošanas kapacitātes paaugstināšanu”” </w:t>
            </w:r>
            <w:r w:rsidR="00696D84" w:rsidRPr="00E047E3">
              <w:rPr>
                <w:rFonts w:ascii="Times New Roman" w:hAnsi="Times New Roman" w:cs="Times New Roman"/>
                <w:bCs/>
                <w:sz w:val="24"/>
                <w:szCs w:val="24"/>
              </w:rPr>
              <w:t xml:space="preserve">un Nr.523 </w:t>
            </w:r>
            <w:r w:rsidR="00696D84">
              <w:rPr>
                <w:rFonts w:ascii="Times New Roman" w:hAnsi="Times New Roman" w:cs="Times New Roman"/>
                <w:bCs/>
                <w:sz w:val="24"/>
                <w:szCs w:val="24"/>
              </w:rPr>
              <w:t>„Noteikumi par darbības programmas „Cilvēkresursi un nodarbinātība” papildinājuma 1.5.3.1. aktivitāti „Speciālistu piesaiste plānošanas reģioniem, pilsētām un novadiem””</w:t>
            </w:r>
            <w:r w:rsidRPr="00E047E3">
              <w:rPr>
                <w:rFonts w:ascii="Times New Roman" w:hAnsi="Times New Roman" w:cs="Times New Roman"/>
                <w:bCs/>
                <w:sz w:val="24"/>
                <w:szCs w:val="24"/>
              </w:rPr>
              <w:t>,  samazinot aktivitātēm pieejamo kopējo finansējumu.</w:t>
            </w:r>
          </w:p>
        </w:tc>
      </w:tr>
    </w:tbl>
    <w:p w14:paraId="7A4E1D52" w14:textId="77777777" w:rsidR="00CC1A56" w:rsidRDefault="00CC1A5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E8455F" w:rsidRPr="00E8455F" w14:paraId="0A101577" w14:textId="77777777" w:rsidTr="00A311AB">
        <w:trPr>
          <w:trHeight w:val="421"/>
          <w:jc w:val="center"/>
        </w:trPr>
        <w:tc>
          <w:tcPr>
            <w:tcW w:w="9524" w:type="dxa"/>
            <w:gridSpan w:val="3"/>
            <w:vAlign w:val="center"/>
          </w:tcPr>
          <w:p w14:paraId="1147C9A9" w14:textId="77777777" w:rsidR="00E8455F" w:rsidRPr="00E8455F" w:rsidRDefault="00E8455F" w:rsidP="00E8455F">
            <w:pPr>
              <w:spacing w:after="0" w:line="240" w:lineRule="auto"/>
              <w:ind w:left="57" w:right="57"/>
              <w:jc w:val="center"/>
              <w:rPr>
                <w:rFonts w:ascii="Times New Roman" w:eastAsia="Times New Roman" w:hAnsi="Times New Roman" w:cs="Times New Roman"/>
                <w:sz w:val="24"/>
                <w:szCs w:val="24"/>
                <w:lang w:eastAsia="lv-LV"/>
              </w:rPr>
            </w:pPr>
            <w:r w:rsidRPr="00E8455F">
              <w:rPr>
                <w:rFonts w:ascii="Times New Roman" w:eastAsia="Times New Roman" w:hAnsi="Times New Roman" w:cs="Times New Roman"/>
                <w:b/>
                <w:sz w:val="24"/>
                <w:szCs w:val="24"/>
                <w:lang w:eastAsia="lv-LV"/>
              </w:rPr>
              <w:t>VI. Sabiedrības līdzdalība un komunikācijas aktivitātes</w:t>
            </w:r>
          </w:p>
        </w:tc>
      </w:tr>
      <w:tr w:rsidR="00E8455F" w:rsidRPr="00E8455F" w14:paraId="700067FC" w14:textId="77777777" w:rsidTr="00A311AB">
        <w:trPr>
          <w:trHeight w:val="553"/>
          <w:jc w:val="center"/>
        </w:trPr>
        <w:tc>
          <w:tcPr>
            <w:tcW w:w="476" w:type="dxa"/>
          </w:tcPr>
          <w:p w14:paraId="26142B22" w14:textId="77777777" w:rsidR="00E8455F" w:rsidRPr="00E8455F" w:rsidRDefault="00E8455F" w:rsidP="00E8455F">
            <w:pPr>
              <w:spacing w:after="0" w:line="240" w:lineRule="auto"/>
              <w:ind w:left="57" w:right="57"/>
              <w:jc w:val="both"/>
              <w:rPr>
                <w:rFonts w:ascii="Times New Roman" w:hAnsi="Times New Roman" w:cs="Times New Roman"/>
                <w:bCs/>
                <w:sz w:val="24"/>
                <w:szCs w:val="24"/>
              </w:rPr>
            </w:pPr>
            <w:r w:rsidRPr="00E8455F">
              <w:rPr>
                <w:rFonts w:ascii="Times New Roman" w:hAnsi="Times New Roman" w:cs="Times New Roman"/>
                <w:bCs/>
                <w:sz w:val="24"/>
                <w:szCs w:val="24"/>
              </w:rPr>
              <w:t>1.</w:t>
            </w:r>
          </w:p>
        </w:tc>
        <w:tc>
          <w:tcPr>
            <w:tcW w:w="2842" w:type="dxa"/>
          </w:tcPr>
          <w:p w14:paraId="6EC773F7" w14:textId="77777777" w:rsidR="00E8455F" w:rsidRPr="00E8455F" w:rsidRDefault="00E8455F" w:rsidP="00E8455F">
            <w:pPr>
              <w:tabs>
                <w:tab w:val="left" w:pos="170"/>
              </w:tabs>
              <w:spacing w:after="0" w:line="240" w:lineRule="auto"/>
              <w:ind w:left="57" w:right="57"/>
              <w:rPr>
                <w:rFonts w:ascii="Times New Roman" w:hAnsi="Times New Roman" w:cs="Times New Roman"/>
                <w:sz w:val="24"/>
                <w:szCs w:val="24"/>
                <w:lang w:eastAsia="lv-LV"/>
              </w:rPr>
            </w:pPr>
            <w:r w:rsidRPr="00E8455F">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74B8C8E8" w14:textId="428031AC" w:rsidR="00E8455F" w:rsidRPr="00E8455F" w:rsidRDefault="00F86EBE" w:rsidP="00E8455F">
            <w:pPr>
              <w:shd w:val="clear" w:color="auto" w:fill="FFFFFF"/>
              <w:spacing w:after="0" w:line="240" w:lineRule="auto"/>
              <w:ind w:left="169" w:right="83"/>
              <w:jc w:val="both"/>
              <w:rPr>
                <w:rFonts w:ascii="Times New Roman" w:hAnsi="Times New Roman" w:cs="Times New Roman"/>
                <w:sz w:val="24"/>
                <w:szCs w:val="24"/>
                <w:lang w:eastAsia="lv-LV"/>
              </w:rPr>
            </w:pPr>
            <w:bookmarkStart w:id="3" w:name="p61"/>
            <w:bookmarkEnd w:id="3"/>
            <w:r w:rsidRPr="00F86EBE">
              <w:rPr>
                <w:rFonts w:ascii="Times New Roman" w:eastAsia="Times New Roman" w:hAnsi="Times New Roman"/>
                <w:sz w:val="24"/>
                <w:szCs w:val="24"/>
                <w:lang w:eastAsia="lv-LV"/>
              </w:rPr>
              <w:t>Ņemot vērā to, ka 1.5.1.1.1.apakšaktivitāte tiek īstenota ierobežotas projektu iesniegumu atlases veidā un tās ietvaros jau ir noslēgti līgumi par projektu īstenošanu, sabiedrības līdzdalība nebija nepieciešama.</w:t>
            </w:r>
          </w:p>
        </w:tc>
      </w:tr>
      <w:tr w:rsidR="00E8455F" w:rsidRPr="00E8455F" w14:paraId="0DB303E4" w14:textId="77777777" w:rsidTr="00A311AB">
        <w:trPr>
          <w:trHeight w:val="339"/>
          <w:jc w:val="center"/>
        </w:trPr>
        <w:tc>
          <w:tcPr>
            <w:tcW w:w="476" w:type="dxa"/>
          </w:tcPr>
          <w:p w14:paraId="5AA22A8D" w14:textId="77777777" w:rsidR="00E8455F" w:rsidRPr="00E8455F" w:rsidRDefault="00E8455F" w:rsidP="00E8455F">
            <w:pPr>
              <w:spacing w:after="0" w:line="240" w:lineRule="auto"/>
              <w:ind w:left="57" w:right="57"/>
              <w:jc w:val="both"/>
              <w:rPr>
                <w:rFonts w:ascii="Times New Roman" w:hAnsi="Times New Roman" w:cs="Times New Roman"/>
                <w:bCs/>
                <w:sz w:val="24"/>
                <w:szCs w:val="24"/>
              </w:rPr>
            </w:pPr>
            <w:r w:rsidRPr="00E8455F">
              <w:rPr>
                <w:rFonts w:ascii="Times New Roman" w:hAnsi="Times New Roman" w:cs="Times New Roman"/>
                <w:bCs/>
                <w:sz w:val="24"/>
                <w:szCs w:val="24"/>
              </w:rPr>
              <w:t>2.</w:t>
            </w:r>
          </w:p>
        </w:tc>
        <w:tc>
          <w:tcPr>
            <w:tcW w:w="2842" w:type="dxa"/>
          </w:tcPr>
          <w:p w14:paraId="1A4754BE" w14:textId="77777777" w:rsidR="00E8455F" w:rsidRPr="00E8455F" w:rsidRDefault="00E8455F" w:rsidP="00E8455F">
            <w:pPr>
              <w:spacing w:after="0" w:line="240" w:lineRule="auto"/>
              <w:ind w:left="57" w:right="57"/>
              <w:rPr>
                <w:rFonts w:ascii="Times New Roman" w:hAnsi="Times New Roman" w:cs="Times New Roman"/>
                <w:sz w:val="24"/>
                <w:szCs w:val="24"/>
                <w:lang w:eastAsia="lv-LV"/>
              </w:rPr>
            </w:pPr>
            <w:r w:rsidRPr="00E8455F">
              <w:rPr>
                <w:rFonts w:ascii="Times New Roman" w:hAnsi="Times New Roman" w:cs="Times New Roman"/>
                <w:sz w:val="24"/>
                <w:szCs w:val="24"/>
                <w:lang w:eastAsia="lv-LV"/>
              </w:rPr>
              <w:t>Sabiedrības līdzdalība projekta izstrādē</w:t>
            </w:r>
          </w:p>
        </w:tc>
        <w:tc>
          <w:tcPr>
            <w:tcW w:w="6206" w:type="dxa"/>
          </w:tcPr>
          <w:p w14:paraId="3D8AB79E" w14:textId="77777777" w:rsidR="00E8455F" w:rsidRPr="00E8455F" w:rsidRDefault="00E8455F" w:rsidP="00E8455F">
            <w:pPr>
              <w:shd w:val="clear" w:color="auto" w:fill="FFFFFF"/>
              <w:spacing w:after="0" w:line="240" w:lineRule="auto"/>
              <w:ind w:left="169"/>
              <w:jc w:val="both"/>
              <w:rPr>
                <w:rFonts w:ascii="Times New Roman" w:hAnsi="Times New Roman" w:cs="Times New Roman"/>
                <w:sz w:val="24"/>
                <w:szCs w:val="24"/>
                <w:lang w:eastAsia="lv-LV"/>
              </w:rPr>
            </w:pPr>
            <w:bookmarkStart w:id="4" w:name="p62"/>
            <w:bookmarkEnd w:id="4"/>
            <w:r w:rsidRPr="00E8455F">
              <w:rPr>
                <w:rFonts w:ascii="Times New Roman" w:hAnsi="Times New Roman" w:cs="Times New Roman"/>
                <w:sz w:val="24"/>
                <w:szCs w:val="24"/>
              </w:rPr>
              <w:t>MK noteikumu projekts šo jomu neskar.</w:t>
            </w:r>
          </w:p>
        </w:tc>
      </w:tr>
      <w:tr w:rsidR="00E8455F" w:rsidRPr="00E8455F" w14:paraId="05522F9F" w14:textId="77777777" w:rsidTr="00A311AB">
        <w:trPr>
          <w:trHeight w:val="476"/>
          <w:jc w:val="center"/>
        </w:trPr>
        <w:tc>
          <w:tcPr>
            <w:tcW w:w="476" w:type="dxa"/>
          </w:tcPr>
          <w:p w14:paraId="27A8ECFD" w14:textId="77777777" w:rsidR="00E8455F" w:rsidRPr="00E8455F" w:rsidRDefault="00E8455F" w:rsidP="00E8455F">
            <w:pPr>
              <w:spacing w:after="0" w:line="240" w:lineRule="auto"/>
              <w:ind w:left="57" w:right="57"/>
              <w:jc w:val="both"/>
              <w:rPr>
                <w:rFonts w:ascii="Times New Roman" w:hAnsi="Times New Roman" w:cs="Times New Roman"/>
                <w:bCs/>
                <w:sz w:val="24"/>
                <w:szCs w:val="24"/>
              </w:rPr>
            </w:pPr>
            <w:r w:rsidRPr="00E8455F">
              <w:rPr>
                <w:rFonts w:ascii="Times New Roman" w:hAnsi="Times New Roman" w:cs="Times New Roman"/>
                <w:bCs/>
                <w:sz w:val="24"/>
                <w:szCs w:val="24"/>
              </w:rPr>
              <w:t>3.</w:t>
            </w:r>
          </w:p>
        </w:tc>
        <w:tc>
          <w:tcPr>
            <w:tcW w:w="2842" w:type="dxa"/>
          </w:tcPr>
          <w:p w14:paraId="1698715E" w14:textId="77777777" w:rsidR="00E8455F" w:rsidRPr="00E8455F" w:rsidRDefault="00E8455F" w:rsidP="00E8455F">
            <w:pPr>
              <w:spacing w:after="0" w:line="240" w:lineRule="auto"/>
              <w:ind w:left="57" w:right="57"/>
              <w:rPr>
                <w:rFonts w:ascii="Times New Roman" w:hAnsi="Times New Roman" w:cs="Times New Roman"/>
                <w:sz w:val="24"/>
                <w:szCs w:val="24"/>
                <w:lang w:eastAsia="lv-LV"/>
              </w:rPr>
            </w:pPr>
            <w:r w:rsidRPr="00E8455F">
              <w:rPr>
                <w:rFonts w:ascii="Times New Roman" w:hAnsi="Times New Roman" w:cs="Times New Roman"/>
                <w:sz w:val="24"/>
                <w:szCs w:val="24"/>
                <w:lang w:eastAsia="lv-LV"/>
              </w:rPr>
              <w:t>Sabiedrības līdzdalības rezultāti</w:t>
            </w:r>
          </w:p>
        </w:tc>
        <w:tc>
          <w:tcPr>
            <w:tcW w:w="6206" w:type="dxa"/>
          </w:tcPr>
          <w:p w14:paraId="7141D340" w14:textId="77777777" w:rsidR="00E8455F" w:rsidRPr="00E8455F" w:rsidRDefault="00E8455F" w:rsidP="00E8455F">
            <w:pPr>
              <w:shd w:val="clear" w:color="auto" w:fill="FFFFFF"/>
              <w:spacing w:after="0" w:line="240" w:lineRule="auto"/>
              <w:ind w:left="169"/>
              <w:jc w:val="both"/>
              <w:rPr>
                <w:rFonts w:ascii="Times New Roman" w:hAnsi="Times New Roman" w:cs="Times New Roman"/>
                <w:sz w:val="24"/>
                <w:szCs w:val="24"/>
                <w:lang w:eastAsia="lv-LV"/>
              </w:rPr>
            </w:pPr>
            <w:r w:rsidRPr="00E8455F">
              <w:rPr>
                <w:rFonts w:ascii="Times New Roman" w:hAnsi="Times New Roman" w:cs="Times New Roman"/>
                <w:sz w:val="24"/>
                <w:szCs w:val="24"/>
              </w:rPr>
              <w:t>MK noteikumu projekts šo jomu neskar.</w:t>
            </w:r>
          </w:p>
        </w:tc>
      </w:tr>
      <w:tr w:rsidR="00E8455F" w:rsidRPr="00E8455F" w14:paraId="5AFFB48B" w14:textId="77777777" w:rsidTr="00A311AB">
        <w:trPr>
          <w:trHeight w:val="329"/>
          <w:jc w:val="center"/>
        </w:trPr>
        <w:tc>
          <w:tcPr>
            <w:tcW w:w="476" w:type="dxa"/>
          </w:tcPr>
          <w:p w14:paraId="3CF9937F" w14:textId="77777777" w:rsidR="00E8455F" w:rsidRPr="00E8455F" w:rsidRDefault="00E8455F" w:rsidP="00E8455F">
            <w:pPr>
              <w:spacing w:after="0" w:line="240" w:lineRule="auto"/>
              <w:ind w:left="57" w:right="57"/>
              <w:jc w:val="both"/>
              <w:rPr>
                <w:rFonts w:ascii="Times New Roman" w:hAnsi="Times New Roman" w:cs="Times New Roman"/>
                <w:bCs/>
                <w:sz w:val="24"/>
                <w:szCs w:val="24"/>
              </w:rPr>
            </w:pPr>
            <w:r w:rsidRPr="00E8455F">
              <w:rPr>
                <w:rFonts w:ascii="Times New Roman" w:hAnsi="Times New Roman" w:cs="Times New Roman"/>
                <w:bCs/>
                <w:sz w:val="24"/>
                <w:szCs w:val="24"/>
              </w:rPr>
              <w:t>4.</w:t>
            </w:r>
          </w:p>
        </w:tc>
        <w:tc>
          <w:tcPr>
            <w:tcW w:w="2842" w:type="dxa"/>
          </w:tcPr>
          <w:p w14:paraId="4D9C3379" w14:textId="77777777" w:rsidR="00E8455F" w:rsidRPr="00E8455F" w:rsidRDefault="00E8455F" w:rsidP="00E8455F">
            <w:pPr>
              <w:spacing w:after="0" w:line="240" w:lineRule="auto"/>
              <w:ind w:left="57" w:right="57"/>
              <w:rPr>
                <w:rFonts w:ascii="Times New Roman" w:hAnsi="Times New Roman" w:cs="Times New Roman"/>
                <w:sz w:val="24"/>
                <w:szCs w:val="24"/>
                <w:lang w:eastAsia="lv-LV"/>
              </w:rPr>
            </w:pPr>
            <w:r w:rsidRPr="00E8455F">
              <w:rPr>
                <w:rFonts w:ascii="Times New Roman" w:hAnsi="Times New Roman" w:cs="Times New Roman"/>
                <w:sz w:val="24"/>
                <w:szCs w:val="24"/>
                <w:lang w:eastAsia="lv-LV"/>
              </w:rPr>
              <w:t>Cita informācija</w:t>
            </w:r>
          </w:p>
        </w:tc>
        <w:tc>
          <w:tcPr>
            <w:tcW w:w="6206" w:type="dxa"/>
          </w:tcPr>
          <w:p w14:paraId="4E806210" w14:textId="77777777" w:rsidR="00F86EBE" w:rsidRPr="00F86EBE" w:rsidRDefault="00F86EBE" w:rsidP="00F86EBE">
            <w:pPr>
              <w:pStyle w:val="BodyText2"/>
              <w:numPr>
                <w:ilvl w:val="0"/>
                <w:numId w:val="14"/>
              </w:numPr>
              <w:tabs>
                <w:tab w:val="clear" w:pos="930"/>
                <w:tab w:val="left" w:pos="426"/>
              </w:tabs>
              <w:ind w:left="426"/>
              <w:rPr>
                <w:sz w:val="24"/>
              </w:rPr>
            </w:pPr>
            <w:r w:rsidRPr="00F86EBE">
              <w:rPr>
                <w:bCs/>
                <w:sz w:val="24"/>
              </w:rPr>
              <w:t>Ņemot vērā, ka projekta ietvaros plānots, ka ar projekta īstenošanu saistītos maksājumus izpildītājiem veiks sadarbības partneris, maksājumu pieprasījumu sagatavošanas un iesniegšanas kārtība detalizēti tiks noteikta starp finansējuma saņēmēju un sadarbības partneri noslēgtajā līgumā. Valsts kancelejas projektā</w:t>
            </w:r>
            <w:r w:rsidRPr="00F86EBE">
              <w:rPr>
                <w:sz w:val="24"/>
              </w:rPr>
              <w:t xml:space="preserve"> </w:t>
            </w:r>
            <w:r w:rsidRPr="00F86EBE">
              <w:rPr>
                <w:bCs/>
                <w:sz w:val="24"/>
              </w:rPr>
              <w:t xml:space="preserve"> Nr. 1DP/1.5.1.1.1/ CFLA/004/002 „Atbalsts strukturālo reformu ieviešanai valsts pārvaldē” paredzēto Valsts kontroles </w:t>
            </w:r>
            <w:r w:rsidRPr="00F86EBE">
              <w:rPr>
                <w:bCs/>
                <w:sz w:val="24"/>
              </w:rPr>
              <w:lastRenderedPageBreak/>
              <w:t xml:space="preserve">aktivitāti saistītās darbības un maksājumus plānots, ka veiks Valsts kontrole, par minētās aktivitātes īstenošanu uzņemoties atbildību, kas ir līdzvērtīga Valsts kancelejas atbildībai par citu projekta aktivitāšu īstenošanu. Šāds sadarbības modelis tiks attiecīgi nostiprināts līgumā un tiks atspoguļots arī projektā. Valsts kontroles piedāvātais sadarbības modelis ir atbalstīts izņēmuma gadījumā, ņemot vērā, ka </w:t>
            </w:r>
            <w:r w:rsidRPr="00F86EBE">
              <w:rPr>
                <w:bCs/>
                <w:color w:val="FF0000"/>
                <w:sz w:val="24"/>
              </w:rPr>
              <w:t xml:space="preserve"> </w:t>
            </w:r>
            <w:r w:rsidRPr="00F86EBE">
              <w:rPr>
                <w:bCs/>
                <w:sz w:val="24"/>
              </w:rPr>
              <w:t>Valsts kontrole ir neatkarīga augstākā revīzijas iestāde un Valsts kanceleja ir Valsts kontrolei pakļauta revidējamā vienība, kurā atbilstoši Valsts kontroles likuma prasībām katru gadu tiek veikts finanšu revīzijas, kā arī tiek pārbaudīta likumība un lietderība rīcībā ar budžeta līdzekļiem un mantu. Līdz ar to vienlaikus tiek virzīts MK protokollēmums nosakot,</w:t>
            </w:r>
            <w:r w:rsidRPr="00F86EBE">
              <w:rPr>
                <w:sz w:val="24"/>
              </w:rPr>
              <w:t xml:space="preserve"> ka Valsts kanceleja neveic projekta sadarbības partnera  Valsts kontroles, kas ir neatkarīga augstākā revīzijas iestāde, maksājumu pieprasījumu un finansējuma izlietojuma kontroli. Valsts kontrole  maksājuma pieprasījumus un atskaites par finansējuma izlietojumu, kā arī projekta progresa pārskatus iesniedz Centrālajai finanšu un līgumu aģentūrai.</w:t>
            </w:r>
          </w:p>
          <w:p w14:paraId="7C6F759B" w14:textId="2E3EEC03" w:rsidR="00E8455F" w:rsidRPr="00F86EBE" w:rsidRDefault="00F86EBE" w:rsidP="00F86EBE">
            <w:pPr>
              <w:pStyle w:val="BodyText2"/>
              <w:numPr>
                <w:ilvl w:val="0"/>
                <w:numId w:val="14"/>
              </w:numPr>
              <w:tabs>
                <w:tab w:val="clear" w:pos="930"/>
                <w:tab w:val="left" w:pos="426"/>
              </w:tabs>
              <w:ind w:left="426"/>
              <w:rPr>
                <w:szCs w:val="28"/>
              </w:rPr>
            </w:pPr>
            <w:r w:rsidRPr="00F86EBE">
              <w:rPr>
                <w:sz w:val="24"/>
              </w:rPr>
              <w:t>Valsts kanceleja kā finansējuma saņēmējs ir pilnībā atbildīga par  Eiropas Sociālā fonda projekta „Atbalsts strukturālo reformu ieviešanai valsts pārvaldē” īstenošanu un rezultātu sasniegšanu.</w:t>
            </w:r>
          </w:p>
        </w:tc>
      </w:tr>
    </w:tbl>
    <w:p w14:paraId="7BCA0C53" w14:textId="77777777" w:rsidR="00E8455F" w:rsidRPr="00E047E3" w:rsidRDefault="00E8455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E047E3" w14:paraId="0AF320A5" w14:textId="77777777" w:rsidTr="007D385B">
        <w:trPr>
          <w:trHeight w:val="381"/>
          <w:jc w:val="center"/>
        </w:trPr>
        <w:tc>
          <w:tcPr>
            <w:tcW w:w="9518" w:type="dxa"/>
            <w:gridSpan w:val="3"/>
            <w:vAlign w:val="center"/>
          </w:tcPr>
          <w:p w14:paraId="21C7D996" w14:textId="77777777" w:rsidR="00CC1A56" w:rsidRPr="00E047E3" w:rsidRDefault="00CC1A56" w:rsidP="007D385B">
            <w:pPr>
              <w:pStyle w:val="naisnod"/>
              <w:spacing w:before="0" w:beforeAutospacing="0" w:after="0" w:afterAutospacing="0"/>
              <w:ind w:left="57" w:right="57"/>
              <w:jc w:val="center"/>
            </w:pPr>
            <w:r w:rsidRPr="00E047E3">
              <w:rPr>
                <w:b/>
              </w:rPr>
              <w:t>VII. Tiesību akta projekta izpildes nodrošināšana un tās ietekme uz institūcijām</w:t>
            </w:r>
          </w:p>
        </w:tc>
      </w:tr>
      <w:tr w:rsidR="00CC1A56" w:rsidRPr="00E047E3" w14:paraId="7143538C" w14:textId="77777777" w:rsidTr="00582523">
        <w:trPr>
          <w:trHeight w:val="427"/>
          <w:jc w:val="center"/>
        </w:trPr>
        <w:tc>
          <w:tcPr>
            <w:tcW w:w="437" w:type="dxa"/>
          </w:tcPr>
          <w:p w14:paraId="2C38028E" w14:textId="77777777" w:rsidR="00CC1A56" w:rsidRPr="00E047E3" w:rsidRDefault="00CC1A56" w:rsidP="007D385B">
            <w:pPr>
              <w:pStyle w:val="naisnod"/>
              <w:spacing w:before="0" w:beforeAutospacing="0" w:after="0" w:afterAutospacing="0"/>
              <w:ind w:left="57" w:right="57"/>
              <w:jc w:val="both"/>
            </w:pPr>
            <w:r w:rsidRPr="00E047E3">
              <w:t>1.</w:t>
            </w:r>
          </w:p>
        </w:tc>
        <w:tc>
          <w:tcPr>
            <w:tcW w:w="2960" w:type="dxa"/>
          </w:tcPr>
          <w:p w14:paraId="7BC6C64B" w14:textId="77777777" w:rsidR="00CC1A56" w:rsidRPr="00E047E3" w:rsidRDefault="00CC1A56" w:rsidP="007D385B">
            <w:pPr>
              <w:pStyle w:val="naisf"/>
              <w:spacing w:before="0" w:beforeAutospacing="0" w:after="0" w:afterAutospacing="0"/>
              <w:ind w:left="57" w:right="57"/>
            </w:pPr>
            <w:r w:rsidRPr="00E047E3">
              <w:t>Projekta izpildē iesaistītās institūcijas</w:t>
            </w:r>
          </w:p>
        </w:tc>
        <w:tc>
          <w:tcPr>
            <w:tcW w:w="6121" w:type="dxa"/>
          </w:tcPr>
          <w:p w14:paraId="13B21ABE" w14:textId="77777777" w:rsidR="00621FDF" w:rsidRPr="00E047E3" w:rsidRDefault="00621FDF" w:rsidP="00621FDF">
            <w:pPr>
              <w:spacing w:after="0" w:line="240" w:lineRule="auto"/>
              <w:jc w:val="both"/>
              <w:rPr>
                <w:rFonts w:ascii="Times New Roman" w:eastAsia="Times New Roman" w:hAnsi="Times New Roman" w:cs="Times New Roman"/>
                <w:sz w:val="24"/>
                <w:szCs w:val="24"/>
                <w:lang w:eastAsia="lv-LV"/>
              </w:rPr>
            </w:pPr>
            <w:bookmarkStart w:id="5" w:name="p66"/>
            <w:bookmarkStart w:id="6" w:name="p67"/>
            <w:bookmarkStart w:id="7" w:name="p68"/>
            <w:bookmarkStart w:id="8" w:name="p69"/>
            <w:bookmarkEnd w:id="5"/>
            <w:bookmarkEnd w:id="6"/>
            <w:bookmarkEnd w:id="7"/>
            <w:bookmarkEnd w:id="8"/>
            <w:r w:rsidRPr="00E047E3">
              <w:rPr>
                <w:rFonts w:ascii="Times New Roman" w:eastAsia="Times New Roman" w:hAnsi="Times New Roman" w:cs="Times New Roman"/>
                <w:sz w:val="24"/>
                <w:szCs w:val="24"/>
                <w:lang w:eastAsia="lv-LV"/>
              </w:rPr>
              <w:t>Rīkojuma projekta izpildi nodrošinās FM.</w:t>
            </w:r>
          </w:p>
          <w:p w14:paraId="32B8A94A" w14:textId="1896B7FC" w:rsidR="00CA0620" w:rsidRPr="00571779" w:rsidRDefault="00621FDF" w:rsidP="00621FDF">
            <w:pPr>
              <w:shd w:val="clear" w:color="auto" w:fill="FFFFFF"/>
              <w:spacing w:after="0" w:line="240" w:lineRule="auto"/>
              <w:jc w:val="both"/>
              <w:rPr>
                <w:rFonts w:ascii="Times New Roman" w:eastAsia="Times New Roman" w:hAnsi="Times New Roman" w:cs="Times New Roman"/>
                <w:sz w:val="24"/>
                <w:szCs w:val="24"/>
                <w:lang w:eastAsia="lv-LV"/>
              </w:rPr>
            </w:pPr>
            <w:r w:rsidRPr="00E047E3">
              <w:rPr>
                <w:rFonts w:ascii="Times New Roman" w:eastAsia="Times New Roman" w:hAnsi="Times New Roman" w:cs="Times New Roman"/>
                <w:sz w:val="24"/>
                <w:szCs w:val="24"/>
                <w:lang w:eastAsia="lv-LV"/>
              </w:rPr>
              <w:t>FM kā Eiropas Savienības fondu atbildīgā iestāde,  Centrālā finanšu un līgumu aģentūra kā Eiropas Savienības fondu sadarbības iestāde,  Valsts kanceleja un FM kā Eiropas Savienības fondu finansējuma saņēmējs.</w:t>
            </w:r>
          </w:p>
        </w:tc>
      </w:tr>
      <w:tr w:rsidR="00CC1A56" w:rsidRPr="00E047E3" w14:paraId="381AE931" w14:textId="77777777" w:rsidTr="00582523">
        <w:trPr>
          <w:trHeight w:val="463"/>
          <w:jc w:val="center"/>
        </w:trPr>
        <w:tc>
          <w:tcPr>
            <w:tcW w:w="437" w:type="dxa"/>
          </w:tcPr>
          <w:p w14:paraId="3EE90FA1" w14:textId="77777777" w:rsidR="00CC1A56" w:rsidRPr="00E047E3" w:rsidRDefault="00CC1A56" w:rsidP="007D385B">
            <w:pPr>
              <w:pStyle w:val="naisnod"/>
              <w:spacing w:before="0" w:beforeAutospacing="0" w:after="0" w:afterAutospacing="0"/>
              <w:ind w:left="57" w:right="57"/>
              <w:jc w:val="both"/>
            </w:pPr>
            <w:r w:rsidRPr="00E047E3">
              <w:t>2.</w:t>
            </w:r>
          </w:p>
        </w:tc>
        <w:tc>
          <w:tcPr>
            <w:tcW w:w="2960" w:type="dxa"/>
          </w:tcPr>
          <w:p w14:paraId="0E097160" w14:textId="77777777" w:rsidR="00CC1A56" w:rsidRPr="00E047E3" w:rsidRDefault="00CC1A56" w:rsidP="007D385B">
            <w:pPr>
              <w:pStyle w:val="naisf"/>
              <w:spacing w:before="0" w:beforeAutospacing="0" w:after="0" w:afterAutospacing="0"/>
              <w:ind w:left="57" w:right="57"/>
            </w:pPr>
            <w:r w:rsidRPr="00E047E3">
              <w:t>Projekta izpildes ietekme uz pār</w:t>
            </w:r>
            <w:r w:rsidRPr="00E047E3">
              <w:softHyphen/>
              <w:t>valdes funkcijām un institucionālo struktūru.</w:t>
            </w:r>
          </w:p>
          <w:p w14:paraId="1B4F3A35" w14:textId="77777777" w:rsidR="00CC1A56" w:rsidRPr="00E047E3" w:rsidRDefault="00CC1A56" w:rsidP="007D385B">
            <w:pPr>
              <w:pStyle w:val="naisf"/>
              <w:spacing w:before="0" w:beforeAutospacing="0" w:after="0" w:afterAutospacing="0"/>
              <w:ind w:left="57" w:right="57"/>
            </w:pPr>
            <w:r w:rsidRPr="00E047E3">
              <w:t>Jaunu institūciju izveide, esošu institūciju likvidācija vai reorga</w:t>
            </w:r>
            <w:r w:rsidRPr="00E047E3">
              <w:softHyphen/>
              <w:t>nizācija, to ietekme uz institūcijas cilvēkresursiem</w:t>
            </w:r>
          </w:p>
        </w:tc>
        <w:tc>
          <w:tcPr>
            <w:tcW w:w="6121" w:type="dxa"/>
          </w:tcPr>
          <w:p w14:paraId="4978BDEC" w14:textId="77777777" w:rsidR="00CC1A56" w:rsidRPr="00E047E3" w:rsidRDefault="00232033" w:rsidP="00E214A4">
            <w:pPr>
              <w:shd w:val="clear" w:color="auto" w:fill="FFFFFF"/>
              <w:spacing w:after="0" w:line="240" w:lineRule="auto"/>
              <w:jc w:val="both"/>
              <w:rPr>
                <w:rFonts w:ascii="Times New Roman" w:hAnsi="Times New Roman" w:cs="Times New Roman"/>
                <w:sz w:val="24"/>
                <w:szCs w:val="24"/>
                <w:lang w:eastAsia="lv-LV"/>
              </w:rPr>
            </w:pPr>
            <w:r w:rsidRPr="00E047E3">
              <w:rPr>
                <w:rFonts w:ascii="Times New Roman" w:hAnsi="Times New Roman" w:cs="Times New Roman"/>
                <w:sz w:val="24"/>
                <w:szCs w:val="24"/>
              </w:rPr>
              <w:t xml:space="preserve">MK </w:t>
            </w:r>
            <w:r w:rsidR="00E214A4" w:rsidRPr="00E047E3">
              <w:rPr>
                <w:rFonts w:ascii="Times New Roman" w:hAnsi="Times New Roman" w:cs="Times New Roman"/>
                <w:sz w:val="24"/>
                <w:szCs w:val="24"/>
              </w:rPr>
              <w:t>noteikumu</w:t>
            </w:r>
            <w:r w:rsidRPr="00E047E3">
              <w:rPr>
                <w:rFonts w:ascii="Times New Roman" w:hAnsi="Times New Roman" w:cs="Times New Roman"/>
                <w:sz w:val="24"/>
                <w:szCs w:val="24"/>
              </w:rPr>
              <w:t xml:space="preserve"> projekts šo jomu neskar.</w:t>
            </w:r>
          </w:p>
        </w:tc>
      </w:tr>
      <w:tr w:rsidR="00CC1A56" w:rsidRPr="00E047E3" w14:paraId="5CC18B25" w14:textId="77777777" w:rsidTr="00582523">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7B70CA33" w14:textId="77777777" w:rsidR="00CC1A56" w:rsidRPr="00E047E3" w:rsidRDefault="00CC1A56" w:rsidP="007D385B">
            <w:pPr>
              <w:pStyle w:val="naisnod"/>
              <w:spacing w:before="0" w:beforeAutospacing="0" w:after="0" w:afterAutospacing="0"/>
              <w:ind w:left="57" w:right="57"/>
              <w:jc w:val="both"/>
            </w:pPr>
            <w:r w:rsidRPr="00E047E3">
              <w:t>3.</w:t>
            </w:r>
          </w:p>
        </w:tc>
        <w:tc>
          <w:tcPr>
            <w:tcW w:w="2960" w:type="dxa"/>
            <w:tcBorders>
              <w:top w:val="single" w:sz="4" w:space="0" w:color="auto"/>
              <w:left w:val="single" w:sz="4" w:space="0" w:color="auto"/>
              <w:bottom w:val="single" w:sz="4" w:space="0" w:color="auto"/>
              <w:right w:val="single" w:sz="4" w:space="0" w:color="auto"/>
            </w:tcBorders>
          </w:tcPr>
          <w:p w14:paraId="3109F8B8" w14:textId="77777777" w:rsidR="00CC1A56" w:rsidRPr="00E047E3" w:rsidRDefault="00CC1A56" w:rsidP="007D385B">
            <w:pPr>
              <w:pStyle w:val="naisf"/>
              <w:spacing w:before="0" w:beforeAutospacing="0" w:after="0" w:afterAutospacing="0"/>
              <w:ind w:left="57" w:right="57"/>
            </w:pPr>
            <w:r w:rsidRPr="00E047E3">
              <w:t>Cita informācija</w:t>
            </w:r>
          </w:p>
        </w:tc>
        <w:tc>
          <w:tcPr>
            <w:tcW w:w="6121" w:type="dxa"/>
            <w:tcBorders>
              <w:top w:val="single" w:sz="4" w:space="0" w:color="auto"/>
              <w:left w:val="single" w:sz="4" w:space="0" w:color="auto"/>
              <w:bottom w:val="single" w:sz="4" w:space="0" w:color="auto"/>
              <w:right w:val="single" w:sz="4" w:space="0" w:color="auto"/>
            </w:tcBorders>
          </w:tcPr>
          <w:p w14:paraId="66977DCA" w14:textId="2DEDD87B" w:rsidR="00CA0620" w:rsidRPr="00E047E3" w:rsidRDefault="00232033" w:rsidP="00571779">
            <w:pPr>
              <w:spacing w:after="0" w:line="240" w:lineRule="auto"/>
              <w:ind w:left="57" w:right="57"/>
              <w:jc w:val="both"/>
              <w:rPr>
                <w:rFonts w:ascii="Times New Roman" w:hAnsi="Times New Roman" w:cs="Times New Roman"/>
                <w:sz w:val="24"/>
                <w:szCs w:val="24"/>
              </w:rPr>
            </w:pPr>
            <w:r w:rsidRPr="00E047E3">
              <w:rPr>
                <w:rFonts w:ascii="Times New Roman" w:hAnsi="Times New Roman" w:cs="Times New Roman"/>
                <w:sz w:val="24"/>
                <w:szCs w:val="24"/>
              </w:rPr>
              <w:t>Nav.</w:t>
            </w:r>
          </w:p>
        </w:tc>
      </w:tr>
    </w:tbl>
    <w:p w14:paraId="0803DF57" w14:textId="76A04698" w:rsidR="00843389" w:rsidRPr="00E047E3" w:rsidRDefault="00843389" w:rsidP="00582523">
      <w:pPr>
        <w:spacing w:before="120" w:after="0" w:line="240" w:lineRule="auto"/>
        <w:jc w:val="center"/>
        <w:rPr>
          <w:rFonts w:ascii="Times New Roman" w:hAnsi="Times New Roman" w:cs="Times New Roman"/>
          <w:sz w:val="24"/>
          <w:szCs w:val="24"/>
        </w:rPr>
      </w:pPr>
      <w:r w:rsidRPr="00E047E3">
        <w:rPr>
          <w:rFonts w:ascii="Times New Roman" w:hAnsi="Times New Roman" w:cs="Times New Roman"/>
          <w:sz w:val="24"/>
          <w:szCs w:val="24"/>
        </w:rPr>
        <w:t xml:space="preserve">Anotācijas </w:t>
      </w:r>
      <w:r w:rsidR="00D43E4C">
        <w:rPr>
          <w:rFonts w:ascii="Times New Roman" w:hAnsi="Times New Roman" w:cs="Times New Roman"/>
          <w:sz w:val="24"/>
          <w:szCs w:val="24"/>
        </w:rPr>
        <w:t xml:space="preserve">II, </w:t>
      </w:r>
      <w:r w:rsidR="00E9050F">
        <w:rPr>
          <w:rFonts w:ascii="Times New Roman" w:hAnsi="Times New Roman" w:cs="Times New Roman"/>
          <w:sz w:val="24"/>
          <w:szCs w:val="24"/>
        </w:rPr>
        <w:t>III</w:t>
      </w:r>
      <w:r w:rsidR="005D1946" w:rsidRPr="00E047E3">
        <w:rPr>
          <w:rFonts w:ascii="Times New Roman" w:hAnsi="Times New Roman" w:cs="Times New Roman"/>
          <w:sz w:val="24"/>
          <w:szCs w:val="24"/>
        </w:rPr>
        <w:t xml:space="preserve">, </w:t>
      </w:r>
      <w:r w:rsidRPr="00E047E3">
        <w:rPr>
          <w:rFonts w:ascii="Times New Roman" w:hAnsi="Times New Roman" w:cs="Times New Roman"/>
          <w:sz w:val="24"/>
          <w:szCs w:val="24"/>
        </w:rPr>
        <w:t xml:space="preserve">V sadaļa – MK </w:t>
      </w:r>
      <w:r w:rsidR="00E9050F">
        <w:rPr>
          <w:rFonts w:ascii="Times New Roman" w:hAnsi="Times New Roman" w:cs="Times New Roman"/>
          <w:sz w:val="24"/>
          <w:szCs w:val="24"/>
        </w:rPr>
        <w:t>rīkojuma</w:t>
      </w:r>
      <w:r w:rsidRPr="00E047E3">
        <w:rPr>
          <w:rFonts w:ascii="Times New Roman" w:hAnsi="Times New Roman" w:cs="Times New Roman"/>
          <w:sz w:val="24"/>
          <w:szCs w:val="24"/>
        </w:rPr>
        <w:t xml:space="preserve"> projekts šo jomu neskar.</w:t>
      </w:r>
    </w:p>
    <w:p w14:paraId="4BFCA49F" w14:textId="77777777" w:rsidR="00D473ED" w:rsidRPr="00E047E3" w:rsidRDefault="00D473ED" w:rsidP="00843389">
      <w:pPr>
        <w:spacing w:after="0" w:line="240" w:lineRule="auto"/>
        <w:rPr>
          <w:rFonts w:ascii="Times New Roman" w:hAnsi="Times New Roman" w:cs="Times New Roman"/>
          <w:sz w:val="24"/>
          <w:szCs w:val="24"/>
        </w:rPr>
      </w:pPr>
    </w:p>
    <w:p w14:paraId="1CBEB879" w14:textId="0C4382F2" w:rsidR="000F4CB8" w:rsidRPr="00D74F18" w:rsidRDefault="00EE558F" w:rsidP="00D74F18">
      <w:pPr>
        <w:tabs>
          <w:tab w:val="left" w:pos="7938"/>
        </w:tabs>
        <w:spacing w:after="0" w:line="240" w:lineRule="auto"/>
        <w:rPr>
          <w:rFonts w:ascii="Times New Roman" w:hAnsi="Times New Roman" w:cs="Times New Roman"/>
          <w:sz w:val="24"/>
          <w:szCs w:val="24"/>
        </w:rPr>
      </w:pPr>
      <w:r w:rsidRPr="00E047E3">
        <w:rPr>
          <w:rFonts w:ascii="Times New Roman" w:hAnsi="Times New Roman" w:cs="Times New Roman"/>
          <w:sz w:val="24"/>
          <w:szCs w:val="24"/>
        </w:rPr>
        <w:t>Finanšu</w:t>
      </w:r>
      <w:r w:rsidR="00FF6C21" w:rsidRPr="00E047E3">
        <w:rPr>
          <w:rFonts w:ascii="Times New Roman" w:hAnsi="Times New Roman" w:cs="Times New Roman"/>
          <w:sz w:val="24"/>
          <w:szCs w:val="24"/>
        </w:rPr>
        <w:t xml:space="preserve"> ministrs</w:t>
      </w:r>
      <w:r w:rsidR="00D473ED" w:rsidRPr="00E047E3">
        <w:rPr>
          <w:rFonts w:ascii="Times New Roman" w:hAnsi="Times New Roman" w:cs="Times New Roman"/>
          <w:sz w:val="24"/>
          <w:szCs w:val="24"/>
        </w:rPr>
        <w:tab/>
      </w:r>
      <w:r w:rsidRPr="00E047E3">
        <w:rPr>
          <w:rFonts w:ascii="Times New Roman" w:hAnsi="Times New Roman" w:cs="Times New Roman"/>
          <w:sz w:val="24"/>
          <w:szCs w:val="24"/>
        </w:rPr>
        <w:t>A.Vilks</w:t>
      </w:r>
    </w:p>
    <w:p w14:paraId="18EC41E0" w14:textId="77777777" w:rsidR="00D61968" w:rsidRDefault="00D61968" w:rsidP="000F4CB8">
      <w:pPr>
        <w:spacing w:after="0" w:line="240" w:lineRule="auto"/>
        <w:jc w:val="both"/>
        <w:rPr>
          <w:rFonts w:ascii="Times New Roman" w:hAnsi="Times New Roman"/>
          <w:sz w:val="20"/>
          <w:szCs w:val="20"/>
        </w:rPr>
      </w:pPr>
    </w:p>
    <w:p w14:paraId="3AA7E839" w14:textId="77777777" w:rsidR="00D61968" w:rsidRDefault="00D61968" w:rsidP="000F4CB8">
      <w:pPr>
        <w:spacing w:after="0" w:line="240" w:lineRule="auto"/>
        <w:jc w:val="both"/>
        <w:rPr>
          <w:rFonts w:ascii="Times New Roman" w:hAnsi="Times New Roman"/>
          <w:sz w:val="20"/>
          <w:szCs w:val="20"/>
        </w:rPr>
      </w:pPr>
    </w:p>
    <w:p w14:paraId="5BB7CDBA" w14:textId="623AEAB0" w:rsidR="000F4CB8" w:rsidRPr="00EB1E21" w:rsidRDefault="00D61968" w:rsidP="000F4CB8">
      <w:pPr>
        <w:spacing w:after="0" w:line="240" w:lineRule="auto"/>
        <w:jc w:val="both"/>
        <w:rPr>
          <w:rFonts w:ascii="Times New Roman" w:hAnsi="Times New Roman"/>
          <w:sz w:val="28"/>
          <w:szCs w:val="28"/>
        </w:rPr>
      </w:pPr>
      <w:r>
        <w:rPr>
          <w:rFonts w:ascii="Times New Roman" w:hAnsi="Times New Roman"/>
          <w:sz w:val="20"/>
          <w:szCs w:val="20"/>
        </w:rPr>
        <w:t>21.03.</w:t>
      </w:r>
      <w:r w:rsidR="000F4CB8">
        <w:rPr>
          <w:rFonts w:ascii="Times New Roman" w:hAnsi="Times New Roman"/>
          <w:sz w:val="20"/>
          <w:szCs w:val="20"/>
        </w:rPr>
        <w:t>14</w:t>
      </w:r>
      <w:r w:rsidR="008F1B27">
        <w:rPr>
          <w:rFonts w:ascii="Times New Roman" w:hAnsi="Times New Roman"/>
          <w:sz w:val="20"/>
          <w:szCs w:val="20"/>
        </w:rPr>
        <w:t xml:space="preserve"> 11</w:t>
      </w:r>
      <w:r w:rsidR="000F4CB8">
        <w:rPr>
          <w:rFonts w:ascii="Times New Roman" w:hAnsi="Times New Roman"/>
          <w:sz w:val="20"/>
          <w:szCs w:val="20"/>
        </w:rPr>
        <w:t>:</w:t>
      </w:r>
      <w:r>
        <w:rPr>
          <w:rFonts w:ascii="Times New Roman" w:hAnsi="Times New Roman"/>
          <w:sz w:val="20"/>
          <w:szCs w:val="20"/>
        </w:rPr>
        <w:t>21</w:t>
      </w:r>
    </w:p>
    <w:p w14:paraId="355C3542" w14:textId="006E0CC3" w:rsidR="000F4CB8" w:rsidRPr="003C39B5" w:rsidRDefault="00D61968" w:rsidP="000F4CB8">
      <w:pPr>
        <w:spacing w:after="0" w:line="240" w:lineRule="auto"/>
        <w:rPr>
          <w:rFonts w:ascii="Times New Roman" w:hAnsi="Times New Roman"/>
          <w:sz w:val="20"/>
          <w:szCs w:val="20"/>
        </w:rPr>
      </w:pPr>
      <w:r>
        <w:rPr>
          <w:rFonts w:ascii="Times New Roman" w:hAnsi="Times New Roman"/>
          <w:sz w:val="20"/>
          <w:szCs w:val="20"/>
        </w:rPr>
        <w:t>1 200</w:t>
      </w:r>
    </w:p>
    <w:p w14:paraId="2D73F2E7" w14:textId="77777777" w:rsidR="000F4CB8" w:rsidRPr="003C39B5" w:rsidRDefault="000F4CB8" w:rsidP="000F4CB8">
      <w:pPr>
        <w:spacing w:after="0" w:line="240" w:lineRule="auto"/>
        <w:rPr>
          <w:rFonts w:ascii="Times New Roman" w:hAnsi="Times New Roman"/>
          <w:sz w:val="20"/>
          <w:szCs w:val="20"/>
        </w:rPr>
      </w:pPr>
      <w:r>
        <w:rPr>
          <w:rFonts w:ascii="Times New Roman" w:hAnsi="Times New Roman"/>
          <w:sz w:val="20"/>
          <w:szCs w:val="20"/>
        </w:rPr>
        <w:t>E.Zandbergs</w:t>
      </w:r>
    </w:p>
    <w:p w14:paraId="543A5E29" w14:textId="77777777" w:rsidR="000F4CB8" w:rsidRPr="003C39B5" w:rsidRDefault="000F4CB8" w:rsidP="000F4CB8">
      <w:pPr>
        <w:spacing w:after="0" w:line="240" w:lineRule="auto"/>
        <w:rPr>
          <w:rFonts w:ascii="Times New Roman" w:hAnsi="Times New Roman"/>
          <w:sz w:val="20"/>
          <w:szCs w:val="20"/>
        </w:rPr>
      </w:pPr>
      <w:r>
        <w:rPr>
          <w:rFonts w:ascii="Times New Roman" w:hAnsi="Times New Roman"/>
          <w:sz w:val="20"/>
          <w:szCs w:val="20"/>
        </w:rPr>
        <w:t>67095532</w:t>
      </w:r>
      <w:r w:rsidRPr="003C39B5">
        <w:rPr>
          <w:rFonts w:ascii="Times New Roman" w:hAnsi="Times New Roman"/>
          <w:sz w:val="20"/>
          <w:szCs w:val="20"/>
        </w:rPr>
        <w:t xml:space="preserve">, </w:t>
      </w:r>
      <w:r>
        <w:rPr>
          <w:rFonts w:ascii="Times New Roman" w:hAnsi="Times New Roman"/>
          <w:sz w:val="20"/>
          <w:szCs w:val="20"/>
        </w:rPr>
        <w:t>Edgars.Zandbergs@fm.gov.lv</w:t>
      </w:r>
      <w:r w:rsidRPr="003C39B5">
        <w:rPr>
          <w:rFonts w:ascii="Times New Roman" w:hAnsi="Times New Roman"/>
          <w:sz w:val="20"/>
          <w:szCs w:val="20"/>
        </w:rPr>
        <w:t xml:space="preserve">  </w:t>
      </w:r>
    </w:p>
    <w:p w14:paraId="0FD68453" w14:textId="4E308B7E" w:rsidR="00D473ED" w:rsidRPr="00E047E3" w:rsidRDefault="00D473ED" w:rsidP="000F4CB8">
      <w:pPr>
        <w:spacing w:after="0" w:line="240" w:lineRule="auto"/>
        <w:rPr>
          <w:rFonts w:ascii="Times New Roman" w:hAnsi="Times New Roman" w:cs="Times New Roman"/>
          <w:sz w:val="24"/>
          <w:szCs w:val="24"/>
        </w:rPr>
      </w:pPr>
    </w:p>
    <w:sectPr w:rsidR="00D473ED" w:rsidRPr="00E047E3" w:rsidSect="004336D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B101" w14:textId="77777777" w:rsidR="00AE2BFC" w:rsidRDefault="00AE2BFC" w:rsidP="006D6C82">
      <w:pPr>
        <w:spacing w:after="0" w:line="240" w:lineRule="auto"/>
      </w:pPr>
      <w:r>
        <w:separator/>
      </w:r>
    </w:p>
  </w:endnote>
  <w:endnote w:type="continuationSeparator" w:id="0">
    <w:p w14:paraId="5DE848F2" w14:textId="77777777" w:rsidR="00AE2BFC" w:rsidRDefault="00AE2BF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433E" w14:textId="77777777" w:rsidR="000F4CB8" w:rsidRPr="00AC5BA1" w:rsidRDefault="000F4CB8" w:rsidP="000F4CB8">
    <w:pPr>
      <w:pStyle w:val="Footer"/>
      <w:jc w:val="both"/>
    </w:pPr>
    <w:r>
      <w:rPr>
        <w:rFonts w:ascii="Times New Roman" w:hAnsi="Times New Roman"/>
        <w:sz w:val="20"/>
        <w:szCs w:val="20"/>
      </w:rPr>
      <w:t>FMAnot_0703</w:t>
    </w:r>
    <w:r w:rsidRPr="005C15ED">
      <w:rPr>
        <w:rFonts w:ascii="Times New Roman" w:hAnsi="Times New Roman"/>
        <w:sz w:val="20"/>
        <w:szCs w:val="20"/>
      </w:rPr>
      <w:t>1</w:t>
    </w:r>
    <w:r>
      <w:rPr>
        <w:rFonts w:ascii="Times New Roman" w:hAnsi="Times New Roman"/>
        <w:sz w:val="20"/>
        <w:szCs w:val="20"/>
      </w:rPr>
      <w:t>4</w:t>
    </w:r>
    <w:r w:rsidRPr="005C15ED">
      <w:rPr>
        <w:rFonts w:ascii="Times New Roman" w:hAnsi="Times New Roman"/>
        <w:sz w:val="20"/>
        <w:szCs w:val="20"/>
      </w:rPr>
      <w:t>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p w14:paraId="46B1C79C" w14:textId="228C6B3A" w:rsidR="00AE2BFC" w:rsidRPr="000F4CB8" w:rsidRDefault="00AE2BFC" w:rsidP="000F4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A61" w14:textId="77777777" w:rsidR="000F4CB8" w:rsidRPr="00AC5BA1" w:rsidRDefault="000F4CB8" w:rsidP="000F4CB8">
    <w:pPr>
      <w:pStyle w:val="Footer"/>
      <w:jc w:val="both"/>
    </w:pPr>
    <w:r>
      <w:rPr>
        <w:rFonts w:ascii="Times New Roman" w:hAnsi="Times New Roman"/>
        <w:sz w:val="20"/>
        <w:szCs w:val="20"/>
      </w:rPr>
      <w:t>FMAnot_0703</w:t>
    </w:r>
    <w:r w:rsidRPr="005C15ED">
      <w:rPr>
        <w:rFonts w:ascii="Times New Roman" w:hAnsi="Times New Roman"/>
        <w:sz w:val="20"/>
        <w:szCs w:val="20"/>
      </w:rPr>
      <w:t>1</w:t>
    </w:r>
    <w:r>
      <w:rPr>
        <w:rFonts w:ascii="Times New Roman" w:hAnsi="Times New Roman"/>
        <w:sz w:val="20"/>
        <w:szCs w:val="20"/>
      </w:rPr>
      <w:t>4</w:t>
    </w:r>
    <w:r w:rsidRPr="005C15ED">
      <w:rPr>
        <w:rFonts w:ascii="Times New Roman" w:hAnsi="Times New Roman"/>
        <w:sz w:val="20"/>
        <w:szCs w:val="20"/>
      </w:rPr>
      <w:t>_groz1DPP</w:t>
    </w:r>
    <w:r w:rsidRPr="00D061BA">
      <w:rPr>
        <w:rFonts w:ascii="Times New Roman" w:hAnsi="Times New Roman"/>
        <w:sz w:val="20"/>
        <w:szCs w:val="20"/>
      </w:rPr>
      <w:t xml:space="preserve">; </w:t>
    </w:r>
    <w:r>
      <w:rPr>
        <w:rFonts w:ascii="Times New Roman" w:hAnsi="Times New Roman"/>
        <w:sz w:val="20"/>
        <w:szCs w:val="20"/>
      </w:rPr>
      <w:t>Ministru kabineta r</w:t>
    </w:r>
    <w:r w:rsidRPr="00F16353">
      <w:rPr>
        <w:rFonts w:ascii="Times New Roman" w:hAnsi="Times New Roman"/>
        <w:sz w:val="20"/>
        <w:szCs w:val="20"/>
      </w:rPr>
      <w:t>īkojuma projekta „Grozījumi darbības programmas „Cilvēkresursi un nodarbinātība” papildinājumā” sākotnējās ietekmes novērtējuma ziņojums (anotācija)</w:t>
    </w:r>
  </w:p>
  <w:p w14:paraId="155CA21F" w14:textId="3EF2A40D" w:rsidR="00AE2BFC" w:rsidRPr="000F4CB8" w:rsidRDefault="00AE2BFC" w:rsidP="000F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0C1B" w14:textId="77777777" w:rsidR="00AE2BFC" w:rsidRDefault="00AE2BFC" w:rsidP="006D6C82">
      <w:pPr>
        <w:spacing w:after="0" w:line="240" w:lineRule="auto"/>
      </w:pPr>
      <w:r>
        <w:separator/>
      </w:r>
    </w:p>
  </w:footnote>
  <w:footnote w:type="continuationSeparator" w:id="0">
    <w:p w14:paraId="0388CA88" w14:textId="77777777" w:rsidR="00AE2BFC" w:rsidRDefault="00AE2BFC"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366D7392" w14:textId="77777777" w:rsidR="00AE2BFC" w:rsidRDefault="00AE2BFC">
        <w:pPr>
          <w:pStyle w:val="Header"/>
          <w:jc w:val="center"/>
        </w:pPr>
        <w:r>
          <w:fldChar w:fldCharType="begin"/>
        </w:r>
        <w:r>
          <w:instrText xml:space="preserve"> PAGE   \* MERGEFORMAT </w:instrText>
        </w:r>
        <w:r>
          <w:fldChar w:fldCharType="separate"/>
        </w:r>
        <w:r w:rsidR="00A53058">
          <w:rPr>
            <w:noProof/>
          </w:rPr>
          <w:t>4</w:t>
        </w:r>
        <w:r>
          <w:rPr>
            <w:noProof/>
          </w:rPr>
          <w:fldChar w:fldCharType="end"/>
        </w:r>
      </w:p>
    </w:sdtContent>
  </w:sdt>
  <w:p w14:paraId="1FF78075" w14:textId="77777777"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D25088"/>
    <w:multiLevelType w:val="hybridMultilevel"/>
    <w:tmpl w:val="DEECA89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3">
    <w:nsid w:val="740F40EC"/>
    <w:multiLevelType w:val="hybridMultilevel"/>
    <w:tmpl w:val="5A943D2A"/>
    <w:lvl w:ilvl="0" w:tplc="D4BA95FC">
      <w:start w:val="1"/>
      <w:numFmt w:val="decimal"/>
      <w:lvlText w:val="%1."/>
      <w:lvlJc w:val="left"/>
      <w:pPr>
        <w:tabs>
          <w:tab w:val="num" w:pos="930"/>
        </w:tabs>
        <w:ind w:left="930" w:hanging="360"/>
      </w:pPr>
      <w:rPr>
        <w:rFonts w:hint="default"/>
      </w:rPr>
    </w:lvl>
    <w:lvl w:ilvl="1" w:tplc="04260019">
      <w:start w:val="1"/>
      <w:numFmt w:val="lowerLetter"/>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num w:numId="1">
    <w:abstractNumId w:val="3"/>
  </w:num>
  <w:num w:numId="2">
    <w:abstractNumId w:val="2"/>
  </w:num>
  <w:num w:numId="3">
    <w:abstractNumId w:val="5"/>
  </w:num>
  <w:num w:numId="4">
    <w:abstractNumId w:val="12"/>
  </w:num>
  <w:num w:numId="5">
    <w:abstractNumId w:val="9"/>
  </w:num>
  <w:num w:numId="6">
    <w:abstractNumId w:val="1"/>
  </w:num>
  <w:num w:numId="7">
    <w:abstractNumId w:val="11"/>
  </w:num>
  <w:num w:numId="8">
    <w:abstractNumId w:val="7"/>
  </w:num>
  <w:num w:numId="9">
    <w:abstractNumId w:val="0"/>
  </w:num>
  <w:num w:numId="10">
    <w:abstractNumId w:val="6"/>
  </w:num>
  <w:num w:numId="11">
    <w:abstractNumId w:val="10"/>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60BE"/>
    <w:rsid w:val="00026FF1"/>
    <w:rsid w:val="00032C72"/>
    <w:rsid w:val="000459D0"/>
    <w:rsid w:val="000559C4"/>
    <w:rsid w:val="00065E19"/>
    <w:rsid w:val="000A1134"/>
    <w:rsid w:val="000A1ABE"/>
    <w:rsid w:val="000A50F4"/>
    <w:rsid w:val="000A556B"/>
    <w:rsid w:val="000A69BD"/>
    <w:rsid w:val="000C0932"/>
    <w:rsid w:val="000C6DA7"/>
    <w:rsid w:val="000F2C5F"/>
    <w:rsid w:val="000F4CB8"/>
    <w:rsid w:val="00102210"/>
    <w:rsid w:val="00111FE6"/>
    <w:rsid w:val="001144D9"/>
    <w:rsid w:val="0011756F"/>
    <w:rsid w:val="001212D4"/>
    <w:rsid w:val="00134CB8"/>
    <w:rsid w:val="00140CF3"/>
    <w:rsid w:val="00157640"/>
    <w:rsid w:val="0016361D"/>
    <w:rsid w:val="00166E6E"/>
    <w:rsid w:val="00167190"/>
    <w:rsid w:val="001679C6"/>
    <w:rsid w:val="00175F56"/>
    <w:rsid w:val="00176916"/>
    <w:rsid w:val="001851CA"/>
    <w:rsid w:val="0018780A"/>
    <w:rsid w:val="001A19A7"/>
    <w:rsid w:val="001B1214"/>
    <w:rsid w:val="001C7D4E"/>
    <w:rsid w:val="001D5DAD"/>
    <w:rsid w:val="001D7874"/>
    <w:rsid w:val="001E645F"/>
    <w:rsid w:val="002123C9"/>
    <w:rsid w:val="002141C0"/>
    <w:rsid w:val="00232033"/>
    <w:rsid w:val="00246978"/>
    <w:rsid w:val="00260F04"/>
    <w:rsid w:val="0026710C"/>
    <w:rsid w:val="00277744"/>
    <w:rsid w:val="002874DE"/>
    <w:rsid w:val="002A161A"/>
    <w:rsid w:val="002B0D05"/>
    <w:rsid w:val="002C7854"/>
    <w:rsid w:val="002C7E51"/>
    <w:rsid w:val="002D1F05"/>
    <w:rsid w:val="002D1F3D"/>
    <w:rsid w:val="002D2016"/>
    <w:rsid w:val="002F2310"/>
    <w:rsid w:val="00302A7F"/>
    <w:rsid w:val="00303FFC"/>
    <w:rsid w:val="00304567"/>
    <w:rsid w:val="00320A19"/>
    <w:rsid w:val="00321D39"/>
    <w:rsid w:val="003324E8"/>
    <w:rsid w:val="00336B3A"/>
    <w:rsid w:val="003423A6"/>
    <w:rsid w:val="00345771"/>
    <w:rsid w:val="0035641C"/>
    <w:rsid w:val="00365B8E"/>
    <w:rsid w:val="003753B8"/>
    <w:rsid w:val="0038217F"/>
    <w:rsid w:val="00382C79"/>
    <w:rsid w:val="0038403E"/>
    <w:rsid w:val="003919EB"/>
    <w:rsid w:val="00393677"/>
    <w:rsid w:val="00393692"/>
    <w:rsid w:val="003A3A21"/>
    <w:rsid w:val="003A77B7"/>
    <w:rsid w:val="003B0FBE"/>
    <w:rsid w:val="003B16BD"/>
    <w:rsid w:val="003C60CC"/>
    <w:rsid w:val="003D58F4"/>
    <w:rsid w:val="003D7FCC"/>
    <w:rsid w:val="003E5B8D"/>
    <w:rsid w:val="004001DB"/>
    <w:rsid w:val="00402608"/>
    <w:rsid w:val="00427EFE"/>
    <w:rsid w:val="0043187B"/>
    <w:rsid w:val="004336DC"/>
    <w:rsid w:val="00445A9C"/>
    <w:rsid w:val="00456C94"/>
    <w:rsid w:val="00470125"/>
    <w:rsid w:val="0048204B"/>
    <w:rsid w:val="004863B9"/>
    <w:rsid w:val="004A0562"/>
    <w:rsid w:val="004A19F0"/>
    <w:rsid w:val="004A4EA6"/>
    <w:rsid w:val="004B4BC8"/>
    <w:rsid w:val="004B6F34"/>
    <w:rsid w:val="004C0127"/>
    <w:rsid w:val="004C55C1"/>
    <w:rsid w:val="004D24D9"/>
    <w:rsid w:val="004D2900"/>
    <w:rsid w:val="004D4A4C"/>
    <w:rsid w:val="004D654A"/>
    <w:rsid w:val="004E4A21"/>
    <w:rsid w:val="004F1BD2"/>
    <w:rsid w:val="005007A2"/>
    <w:rsid w:val="0050327A"/>
    <w:rsid w:val="00514C83"/>
    <w:rsid w:val="00514DDD"/>
    <w:rsid w:val="00527322"/>
    <w:rsid w:val="005346EE"/>
    <w:rsid w:val="00534C8B"/>
    <w:rsid w:val="0055242A"/>
    <w:rsid w:val="005550F6"/>
    <w:rsid w:val="005574A3"/>
    <w:rsid w:val="005616C0"/>
    <w:rsid w:val="0056256F"/>
    <w:rsid w:val="00571779"/>
    <w:rsid w:val="00571FAE"/>
    <w:rsid w:val="005734C2"/>
    <w:rsid w:val="00582523"/>
    <w:rsid w:val="005913E4"/>
    <w:rsid w:val="005954DC"/>
    <w:rsid w:val="005A0CD8"/>
    <w:rsid w:val="005A22C3"/>
    <w:rsid w:val="005B104F"/>
    <w:rsid w:val="005C718F"/>
    <w:rsid w:val="005D1946"/>
    <w:rsid w:val="005E122C"/>
    <w:rsid w:val="005E23EE"/>
    <w:rsid w:val="005E263C"/>
    <w:rsid w:val="005F403C"/>
    <w:rsid w:val="00621FDF"/>
    <w:rsid w:val="00627F1F"/>
    <w:rsid w:val="00654303"/>
    <w:rsid w:val="00657273"/>
    <w:rsid w:val="006673B6"/>
    <w:rsid w:val="0066746B"/>
    <w:rsid w:val="006760D4"/>
    <w:rsid w:val="00682E06"/>
    <w:rsid w:val="006952F4"/>
    <w:rsid w:val="0069651C"/>
    <w:rsid w:val="00696D84"/>
    <w:rsid w:val="006B1DFB"/>
    <w:rsid w:val="006B616F"/>
    <w:rsid w:val="006B7133"/>
    <w:rsid w:val="006D344B"/>
    <w:rsid w:val="006D573E"/>
    <w:rsid w:val="006D6C82"/>
    <w:rsid w:val="006E169E"/>
    <w:rsid w:val="006E3024"/>
    <w:rsid w:val="006E3A94"/>
    <w:rsid w:val="006F615E"/>
    <w:rsid w:val="006F6735"/>
    <w:rsid w:val="007032FF"/>
    <w:rsid w:val="00752513"/>
    <w:rsid w:val="00766797"/>
    <w:rsid w:val="0077161A"/>
    <w:rsid w:val="00781141"/>
    <w:rsid w:val="007831DA"/>
    <w:rsid w:val="007847C8"/>
    <w:rsid w:val="00786082"/>
    <w:rsid w:val="00787A81"/>
    <w:rsid w:val="00791E4E"/>
    <w:rsid w:val="00793254"/>
    <w:rsid w:val="00797BB6"/>
    <w:rsid w:val="007A25A7"/>
    <w:rsid w:val="007D0852"/>
    <w:rsid w:val="007D385B"/>
    <w:rsid w:val="007F44BF"/>
    <w:rsid w:val="007F57E5"/>
    <w:rsid w:val="00835248"/>
    <w:rsid w:val="00843389"/>
    <w:rsid w:val="008477DE"/>
    <w:rsid w:val="008504B9"/>
    <w:rsid w:val="00857C5B"/>
    <w:rsid w:val="00870319"/>
    <w:rsid w:val="008716F5"/>
    <w:rsid w:val="00874FAD"/>
    <w:rsid w:val="0088200C"/>
    <w:rsid w:val="00887FD0"/>
    <w:rsid w:val="00891D72"/>
    <w:rsid w:val="00893F8B"/>
    <w:rsid w:val="008A10C7"/>
    <w:rsid w:val="008F1B27"/>
    <w:rsid w:val="0093520F"/>
    <w:rsid w:val="0094080C"/>
    <w:rsid w:val="00943691"/>
    <w:rsid w:val="00952489"/>
    <w:rsid w:val="00955DF2"/>
    <w:rsid w:val="00962BF1"/>
    <w:rsid w:val="00966468"/>
    <w:rsid w:val="009665F6"/>
    <w:rsid w:val="00975BC8"/>
    <w:rsid w:val="009945CD"/>
    <w:rsid w:val="009A5F8B"/>
    <w:rsid w:val="009B252C"/>
    <w:rsid w:val="009B5EDB"/>
    <w:rsid w:val="009C39B5"/>
    <w:rsid w:val="009C5386"/>
    <w:rsid w:val="009C53F6"/>
    <w:rsid w:val="009D5616"/>
    <w:rsid w:val="009F37C9"/>
    <w:rsid w:val="009F3C67"/>
    <w:rsid w:val="00A07162"/>
    <w:rsid w:val="00A33379"/>
    <w:rsid w:val="00A347F0"/>
    <w:rsid w:val="00A52794"/>
    <w:rsid w:val="00A53058"/>
    <w:rsid w:val="00A65744"/>
    <w:rsid w:val="00A66CCD"/>
    <w:rsid w:val="00A74718"/>
    <w:rsid w:val="00A94DAE"/>
    <w:rsid w:val="00AA68B8"/>
    <w:rsid w:val="00AB23D6"/>
    <w:rsid w:val="00AC0FA8"/>
    <w:rsid w:val="00AE2BFC"/>
    <w:rsid w:val="00AE79EF"/>
    <w:rsid w:val="00AF5F89"/>
    <w:rsid w:val="00B00F6C"/>
    <w:rsid w:val="00B04CCD"/>
    <w:rsid w:val="00B105FC"/>
    <w:rsid w:val="00B13677"/>
    <w:rsid w:val="00B321EE"/>
    <w:rsid w:val="00B42FA5"/>
    <w:rsid w:val="00B46053"/>
    <w:rsid w:val="00B46D66"/>
    <w:rsid w:val="00B607D2"/>
    <w:rsid w:val="00B80868"/>
    <w:rsid w:val="00B84BDB"/>
    <w:rsid w:val="00B90D82"/>
    <w:rsid w:val="00B96576"/>
    <w:rsid w:val="00BB25EE"/>
    <w:rsid w:val="00BB35A6"/>
    <w:rsid w:val="00BB3EAD"/>
    <w:rsid w:val="00BC1631"/>
    <w:rsid w:val="00BD76EA"/>
    <w:rsid w:val="00BF07F2"/>
    <w:rsid w:val="00BF1C90"/>
    <w:rsid w:val="00C06341"/>
    <w:rsid w:val="00C20F59"/>
    <w:rsid w:val="00C43430"/>
    <w:rsid w:val="00C44595"/>
    <w:rsid w:val="00C51095"/>
    <w:rsid w:val="00C54170"/>
    <w:rsid w:val="00C541BC"/>
    <w:rsid w:val="00C63E56"/>
    <w:rsid w:val="00C80769"/>
    <w:rsid w:val="00C81D30"/>
    <w:rsid w:val="00C845E5"/>
    <w:rsid w:val="00C96C17"/>
    <w:rsid w:val="00CA0620"/>
    <w:rsid w:val="00CA43BD"/>
    <w:rsid w:val="00CA74AB"/>
    <w:rsid w:val="00CB0881"/>
    <w:rsid w:val="00CC1A56"/>
    <w:rsid w:val="00D01828"/>
    <w:rsid w:val="00D0364B"/>
    <w:rsid w:val="00D10304"/>
    <w:rsid w:val="00D1177A"/>
    <w:rsid w:val="00D31E04"/>
    <w:rsid w:val="00D3275C"/>
    <w:rsid w:val="00D404FE"/>
    <w:rsid w:val="00D43E4C"/>
    <w:rsid w:val="00D473ED"/>
    <w:rsid w:val="00D5194B"/>
    <w:rsid w:val="00D53B1F"/>
    <w:rsid w:val="00D61968"/>
    <w:rsid w:val="00D61CB4"/>
    <w:rsid w:val="00D70D59"/>
    <w:rsid w:val="00D74F18"/>
    <w:rsid w:val="00D81398"/>
    <w:rsid w:val="00DB42EE"/>
    <w:rsid w:val="00DC6F56"/>
    <w:rsid w:val="00DD0E18"/>
    <w:rsid w:val="00DD3888"/>
    <w:rsid w:val="00DE0F62"/>
    <w:rsid w:val="00DF04EA"/>
    <w:rsid w:val="00E047E3"/>
    <w:rsid w:val="00E214A4"/>
    <w:rsid w:val="00E2764C"/>
    <w:rsid w:val="00E74162"/>
    <w:rsid w:val="00E80A96"/>
    <w:rsid w:val="00E8455F"/>
    <w:rsid w:val="00E9050F"/>
    <w:rsid w:val="00EB3B4E"/>
    <w:rsid w:val="00EC3F2B"/>
    <w:rsid w:val="00EC6A02"/>
    <w:rsid w:val="00ED3E88"/>
    <w:rsid w:val="00ED4855"/>
    <w:rsid w:val="00ED56D4"/>
    <w:rsid w:val="00ED63AA"/>
    <w:rsid w:val="00EE3E73"/>
    <w:rsid w:val="00EE558F"/>
    <w:rsid w:val="00EF5FAB"/>
    <w:rsid w:val="00F00CD5"/>
    <w:rsid w:val="00F03866"/>
    <w:rsid w:val="00F07BB7"/>
    <w:rsid w:val="00F11F5B"/>
    <w:rsid w:val="00F12B1E"/>
    <w:rsid w:val="00F15C0D"/>
    <w:rsid w:val="00F16D63"/>
    <w:rsid w:val="00F16FBB"/>
    <w:rsid w:val="00F23F1D"/>
    <w:rsid w:val="00F24852"/>
    <w:rsid w:val="00F26330"/>
    <w:rsid w:val="00F325A9"/>
    <w:rsid w:val="00F64FA5"/>
    <w:rsid w:val="00F66D21"/>
    <w:rsid w:val="00F74844"/>
    <w:rsid w:val="00F83D76"/>
    <w:rsid w:val="00F86EBE"/>
    <w:rsid w:val="00F91C43"/>
    <w:rsid w:val="00FB5790"/>
    <w:rsid w:val="00FB6677"/>
    <w:rsid w:val="00FB750A"/>
    <w:rsid w:val="00FC6CF7"/>
    <w:rsid w:val="00FD4AFC"/>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E82B26"/>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99"/>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F86EB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86EB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F24D-3092-4DDF-80E1-5E3E13C7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1206</Words>
  <Characters>9021</Characters>
  <Application>Microsoft Office Word</Application>
  <DocSecurity>0</DocSecurity>
  <Lines>237</Lines>
  <Paragraphs>76</Paragraphs>
  <ScaleCrop>false</ScaleCrop>
  <HeadingPairs>
    <vt:vector size="2" baseType="variant">
      <vt:variant>
        <vt:lpstr>Title</vt:lpstr>
      </vt:variant>
      <vt:variant>
        <vt:i4>1</vt:i4>
      </vt:variant>
    </vt:vector>
  </HeadingPairs>
  <TitlesOfParts>
    <vt:vector size="1" baseType="lpstr">
      <vt:lpstr>Grozījumi Ministru kabineta 2011.gada 12.aprīļa noteikumos Nr.292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12.aprīļa noteikumos Nr.292 „Noteikumi par darbības programmas „Cilvēkresursi un nodarbinātība” papildinājuma 1.4.1.2.4.apakšaktivitātes „Sociālās rehabilitācijas un institūcijām alternatīvu sociālās aprūpes pakalpojumu attīstība reģionos” otrās kārtas otro apakškārtu”</dc:title>
  <dc:subject>Anotācija</dc:subject>
  <dc:creator>Dace Zvaigzne</dc:creator>
  <cp:keywords/>
  <dc:description>Dace Zvaigzne, dace.zvaigzne@lm.gov.lv_x000d_
t.67021660</dc:description>
  <cp:lastModifiedBy>Edgars Zandbergs</cp:lastModifiedBy>
  <cp:revision>101</cp:revision>
  <cp:lastPrinted>2014-03-21T09:33:00Z</cp:lastPrinted>
  <dcterms:created xsi:type="dcterms:W3CDTF">2014-03-20T08:38:00Z</dcterms:created>
  <dcterms:modified xsi:type="dcterms:W3CDTF">2014-03-21T09:33:00Z</dcterms:modified>
</cp:coreProperties>
</file>