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28" w:rsidRPr="00F91D7C" w:rsidRDefault="00036F46" w:rsidP="009459F9">
      <w:pPr>
        <w:jc w:val="center"/>
        <w:rPr>
          <w:rFonts w:eastAsia="Times New Roman" w:cs="Times New Roman"/>
          <w:b/>
          <w:bCs/>
          <w:szCs w:val="24"/>
          <w:lang w:eastAsia="lv-LV"/>
        </w:rPr>
      </w:pPr>
      <w:r w:rsidRPr="00F91D7C">
        <w:rPr>
          <w:rFonts w:eastAsia="Times New Roman" w:cs="Times New Roman"/>
          <w:b/>
          <w:bCs/>
          <w:szCs w:val="24"/>
          <w:lang w:eastAsia="lv-LV"/>
        </w:rPr>
        <w:t>Ministru kabineta noteikumu projekta „</w:t>
      </w:r>
      <w:r w:rsidR="009459F9" w:rsidRPr="00F91D7C">
        <w:rPr>
          <w:b/>
          <w:szCs w:val="24"/>
        </w:rPr>
        <w:t>Noteikumi par valsts parāda apkalpošanas izlīdzināto izdevumu aprēķināšanas metodoloģiju</w:t>
      </w:r>
      <w:r w:rsidRPr="00F91D7C">
        <w:rPr>
          <w:rFonts w:eastAsia="Times New Roman" w:cs="Times New Roman"/>
          <w:b/>
          <w:bCs/>
          <w:szCs w:val="24"/>
          <w:lang w:eastAsia="lv-LV"/>
        </w:rPr>
        <w:t xml:space="preserve">” </w:t>
      </w:r>
      <w:r w:rsidR="00E10F28" w:rsidRPr="00F91D7C">
        <w:rPr>
          <w:rFonts w:eastAsia="Times New Roman" w:cs="Times New Roman"/>
          <w:b/>
          <w:bCs/>
          <w:szCs w:val="24"/>
          <w:lang w:eastAsia="lv-LV"/>
        </w:rPr>
        <w:t>sākotnējās ietekmes novērtējuma ziņojums (anotācija)</w:t>
      </w:r>
    </w:p>
    <w:p w:rsidR="009459F9" w:rsidRDefault="009459F9" w:rsidP="009459F9">
      <w:pPr>
        <w:jc w:val="center"/>
        <w:rPr>
          <w:b/>
          <w:sz w:val="24"/>
          <w:szCs w:val="24"/>
        </w:rPr>
      </w:pPr>
    </w:p>
    <w:p w:rsidR="00D079F9" w:rsidRPr="009459F9" w:rsidRDefault="00D079F9" w:rsidP="009459F9">
      <w:pPr>
        <w:jc w:val="center"/>
        <w:rPr>
          <w:b/>
          <w:sz w:val="24"/>
          <w:szCs w:val="24"/>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
        <w:gridCol w:w="1277"/>
        <w:gridCol w:w="8578"/>
      </w:tblGrid>
      <w:tr w:rsidR="00E10F28" w:rsidRPr="00E10F28" w:rsidTr="00F91D7C">
        <w:trPr>
          <w:tblCellSpacing w:w="0" w:type="dxa"/>
        </w:trPr>
        <w:tc>
          <w:tcPr>
            <w:tcW w:w="10206" w:type="dxa"/>
            <w:gridSpan w:val="3"/>
            <w:tcBorders>
              <w:top w:val="outset" w:sz="6" w:space="0" w:color="auto"/>
              <w:left w:val="outset" w:sz="6" w:space="0" w:color="auto"/>
              <w:bottom w:val="outset" w:sz="6" w:space="0" w:color="auto"/>
              <w:right w:val="outset" w:sz="6" w:space="0" w:color="auto"/>
            </w:tcBorders>
            <w:vAlign w:val="center"/>
            <w:hideMark/>
          </w:tcPr>
          <w:p w:rsidR="00E10F28" w:rsidRPr="009459F9" w:rsidRDefault="00E10F28" w:rsidP="00036F46">
            <w:pPr>
              <w:spacing w:before="100" w:beforeAutospacing="1" w:after="100" w:afterAutospacing="1"/>
              <w:jc w:val="center"/>
              <w:rPr>
                <w:rFonts w:eastAsia="Times New Roman" w:cs="Times New Roman"/>
                <w:sz w:val="24"/>
                <w:szCs w:val="24"/>
                <w:lang w:eastAsia="lv-LV"/>
              </w:rPr>
            </w:pPr>
            <w:r w:rsidRPr="009459F9">
              <w:rPr>
                <w:rFonts w:eastAsia="Times New Roman" w:cs="Times New Roman"/>
                <w:b/>
                <w:bCs/>
                <w:sz w:val="24"/>
                <w:szCs w:val="24"/>
                <w:lang w:eastAsia="lv-LV"/>
              </w:rPr>
              <w:t>I. Tiesību akta projekta izstrādes nepieciešamība</w:t>
            </w:r>
          </w:p>
        </w:tc>
      </w:tr>
      <w:tr w:rsidR="00E10F28" w:rsidRPr="00E10F28" w:rsidTr="00F91D7C">
        <w:trPr>
          <w:trHeight w:val="630"/>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E10F28" w:rsidRPr="009459F9" w:rsidRDefault="00E10F28" w:rsidP="00E10F28">
            <w:pPr>
              <w:spacing w:before="100" w:beforeAutospacing="1" w:after="100" w:afterAutospacing="1"/>
              <w:rPr>
                <w:rFonts w:eastAsia="Times New Roman" w:cs="Times New Roman"/>
                <w:sz w:val="24"/>
                <w:szCs w:val="24"/>
                <w:lang w:eastAsia="lv-LV"/>
              </w:rPr>
            </w:pPr>
            <w:r w:rsidRPr="009459F9">
              <w:rPr>
                <w:rFonts w:eastAsia="Times New Roman" w:cs="Times New Roman"/>
                <w:sz w:val="24"/>
                <w:szCs w:val="24"/>
                <w:lang w:eastAsia="lv-LV"/>
              </w:rPr>
              <w:t> 1.</w:t>
            </w:r>
          </w:p>
        </w:tc>
        <w:tc>
          <w:tcPr>
            <w:tcW w:w="1277" w:type="dxa"/>
            <w:tcBorders>
              <w:top w:val="outset" w:sz="6" w:space="0" w:color="auto"/>
              <w:left w:val="outset" w:sz="6" w:space="0" w:color="auto"/>
              <w:bottom w:val="outset" w:sz="6" w:space="0" w:color="auto"/>
              <w:right w:val="outset" w:sz="6" w:space="0" w:color="auto"/>
            </w:tcBorders>
            <w:hideMark/>
          </w:tcPr>
          <w:p w:rsidR="00E10F28" w:rsidRPr="009459F9" w:rsidRDefault="00E10F28" w:rsidP="00E10F28">
            <w:pPr>
              <w:spacing w:before="100" w:beforeAutospacing="1" w:after="100" w:afterAutospacing="1"/>
              <w:rPr>
                <w:rFonts w:eastAsia="Times New Roman" w:cs="Times New Roman"/>
                <w:sz w:val="24"/>
                <w:szCs w:val="24"/>
                <w:lang w:eastAsia="lv-LV"/>
              </w:rPr>
            </w:pPr>
            <w:r w:rsidRPr="009459F9">
              <w:rPr>
                <w:rFonts w:eastAsia="Times New Roman" w:cs="Times New Roman"/>
                <w:sz w:val="24"/>
                <w:szCs w:val="24"/>
                <w:lang w:eastAsia="lv-LV"/>
              </w:rPr>
              <w:t> Pamatojums</w:t>
            </w:r>
          </w:p>
        </w:tc>
        <w:tc>
          <w:tcPr>
            <w:tcW w:w="8578" w:type="dxa"/>
            <w:tcBorders>
              <w:top w:val="outset" w:sz="6" w:space="0" w:color="auto"/>
              <w:left w:val="outset" w:sz="6" w:space="0" w:color="auto"/>
              <w:bottom w:val="outset" w:sz="6" w:space="0" w:color="auto"/>
              <w:right w:val="outset" w:sz="6" w:space="0" w:color="auto"/>
            </w:tcBorders>
            <w:hideMark/>
          </w:tcPr>
          <w:p w:rsidR="00E10F28" w:rsidRPr="00983760" w:rsidRDefault="00E71110" w:rsidP="009459F9">
            <w:pPr>
              <w:jc w:val="both"/>
              <w:rPr>
                <w:rFonts w:eastAsia="Times New Roman" w:cs="Times New Roman"/>
                <w:sz w:val="24"/>
                <w:szCs w:val="24"/>
                <w:lang w:eastAsia="lv-LV"/>
              </w:rPr>
            </w:pPr>
            <w:r w:rsidRPr="009459F9">
              <w:rPr>
                <w:rFonts w:eastAsia="Times New Roman" w:cs="Times New Roman"/>
                <w:sz w:val="24"/>
                <w:szCs w:val="24"/>
                <w:lang w:eastAsia="lv-LV"/>
              </w:rPr>
              <w:t xml:space="preserve"> </w:t>
            </w:r>
            <w:r w:rsidR="00983760">
              <w:rPr>
                <w:rFonts w:eastAsia="Times New Roman" w:cs="Times New Roman"/>
                <w:sz w:val="24"/>
                <w:szCs w:val="24"/>
                <w:lang w:eastAsia="lv-LV"/>
              </w:rPr>
              <w:t xml:space="preserve">    </w:t>
            </w:r>
            <w:r w:rsidR="00036F46" w:rsidRPr="009459F9">
              <w:rPr>
                <w:rFonts w:eastAsia="Times New Roman" w:cs="Times New Roman"/>
                <w:sz w:val="24"/>
                <w:szCs w:val="24"/>
                <w:lang w:eastAsia="lv-LV"/>
              </w:rPr>
              <w:t>Ministru kabineta noteikumu projekts „</w:t>
            </w:r>
            <w:r w:rsidR="009459F9" w:rsidRPr="009459F9">
              <w:rPr>
                <w:sz w:val="24"/>
                <w:szCs w:val="24"/>
              </w:rPr>
              <w:t>Noteikumi par valsts parāda apkalpošanas izlīdzināto izdevumu aprēķināšanas metodoloģiju</w:t>
            </w:r>
            <w:r w:rsidR="00036F46" w:rsidRPr="009459F9">
              <w:rPr>
                <w:rFonts w:eastAsia="Times New Roman" w:cs="Times New Roman"/>
                <w:sz w:val="24"/>
                <w:szCs w:val="24"/>
                <w:lang w:eastAsia="lv-LV"/>
              </w:rPr>
              <w:t>” (turpmāk – normatīvā akta projekts) izstrādāts, pamatojoties uz Fiskālās disci</w:t>
            </w:r>
            <w:r w:rsidR="009459F9" w:rsidRPr="009459F9">
              <w:rPr>
                <w:rFonts w:eastAsia="Times New Roman" w:cs="Times New Roman"/>
                <w:sz w:val="24"/>
                <w:szCs w:val="24"/>
                <w:lang w:eastAsia="lv-LV"/>
              </w:rPr>
              <w:t>plīnas likuma (turpmāk – FDL) 18</w:t>
            </w:r>
            <w:r w:rsidR="00036F46" w:rsidRPr="009459F9">
              <w:rPr>
                <w:rFonts w:eastAsia="Times New Roman" w:cs="Times New Roman"/>
                <w:sz w:val="24"/>
                <w:szCs w:val="24"/>
                <w:lang w:eastAsia="lv-LV"/>
              </w:rPr>
              <w:t xml:space="preserve">. panta </w:t>
            </w:r>
            <w:r w:rsidR="009459F9" w:rsidRPr="009459F9">
              <w:rPr>
                <w:rFonts w:eastAsia="Times New Roman" w:cs="Times New Roman"/>
                <w:sz w:val="24"/>
                <w:szCs w:val="24"/>
                <w:lang w:eastAsia="lv-LV"/>
              </w:rPr>
              <w:t>septīto</w:t>
            </w:r>
            <w:r w:rsidR="00036F46" w:rsidRPr="009459F9">
              <w:rPr>
                <w:rFonts w:eastAsia="Times New Roman" w:cs="Times New Roman"/>
                <w:sz w:val="24"/>
                <w:szCs w:val="24"/>
                <w:lang w:eastAsia="lv-LV"/>
              </w:rPr>
              <w:t xml:space="preserve"> daļu.</w:t>
            </w:r>
            <w:r w:rsidR="00E10F28" w:rsidRPr="009459F9">
              <w:rPr>
                <w:rFonts w:eastAsia="Times New Roman" w:cs="Times New Roman"/>
                <w:sz w:val="24"/>
                <w:szCs w:val="24"/>
                <w:lang w:eastAsia="lv-LV"/>
              </w:rPr>
              <w:t> </w:t>
            </w:r>
          </w:p>
        </w:tc>
      </w:tr>
      <w:tr w:rsidR="00E10F28" w:rsidRPr="00E10F28" w:rsidTr="00F91D7C">
        <w:trPr>
          <w:trHeight w:val="472"/>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2.</w:t>
            </w:r>
          </w:p>
        </w:tc>
        <w:tc>
          <w:tcPr>
            <w:tcW w:w="1277" w:type="dxa"/>
            <w:tcBorders>
              <w:top w:val="outset" w:sz="6" w:space="0" w:color="auto"/>
              <w:left w:val="outset" w:sz="6" w:space="0" w:color="auto"/>
              <w:bottom w:val="outset" w:sz="6" w:space="0" w:color="auto"/>
              <w:right w:val="outset" w:sz="6" w:space="0" w:color="auto"/>
            </w:tcBorders>
            <w:hideMark/>
          </w:tcPr>
          <w:p w:rsidR="00E10F28" w:rsidRPr="00864D90" w:rsidRDefault="00864D90" w:rsidP="00864D90">
            <w:pPr>
              <w:spacing w:before="100" w:beforeAutospacing="1" w:after="100" w:afterAutospacing="1"/>
              <w:jc w:val="both"/>
              <w:rPr>
                <w:rFonts w:eastAsia="Times New Roman" w:cs="Times New Roman"/>
                <w:sz w:val="24"/>
                <w:szCs w:val="24"/>
                <w:lang w:eastAsia="lv-LV"/>
              </w:rPr>
            </w:pPr>
            <w:r w:rsidRPr="00864D90">
              <w:rPr>
                <w:rFonts w:cs="Times New Roman"/>
                <w:color w:val="414142"/>
                <w:sz w:val="24"/>
                <w:szCs w:val="20"/>
              </w:rPr>
              <w:t>Pašreizējā situācija un problēmas, kuru risināšanai tiesību akta projekts izstrādāts, tiesiskā regulējuma mērķis un būtība</w:t>
            </w:r>
          </w:p>
        </w:tc>
        <w:tc>
          <w:tcPr>
            <w:tcW w:w="8578" w:type="dxa"/>
            <w:tcBorders>
              <w:top w:val="outset" w:sz="6" w:space="0" w:color="auto"/>
              <w:left w:val="outset" w:sz="6" w:space="0" w:color="auto"/>
              <w:bottom w:val="outset" w:sz="6" w:space="0" w:color="auto"/>
              <w:right w:val="outset" w:sz="6" w:space="0" w:color="auto"/>
            </w:tcBorders>
            <w:hideMark/>
          </w:tcPr>
          <w:p w:rsidR="005D7056" w:rsidRDefault="00E71110" w:rsidP="005D7056">
            <w:pPr>
              <w:pStyle w:val="NormalWeb"/>
              <w:jc w:val="both"/>
              <w:rPr>
                <w:color w:val="000000"/>
              </w:rPr>
            </w:pPr>
            <w:r>
              <w:rPr>
                <w:color w:val="000000"/>
              </w:rPr>
              <w:t xml:space="preserve"> </w:t>
            </w:r>
            <w:r w:rsidR="00983760">
              <w:rPr>
                <w:color w:val="000000"/>
              </w:rPr>
              <w:t xml:space="preserve">    </w:t>
            </w:r>
            <w:r w:rsidR="001F672F">
              <w:rPr>
                <w:color w:val="000000"/>
              </w:rPr>
              <w:t xml:space="preserve">FDL 18. pants paredz nodrošināt stabilu izdevumu vidēja termiņa plānošanu, piemērojot izdevumu izlīdzināšanas mehānismu atsevišķām valsts budžeta izdevumu pozīcijām, tai skaitā izdevumu izlīdzināšanas mehānismu piemērot valsts budžeta izdevumiem, kas saistīti ar </w:t>
            </w:r>
            <w:r w:rsidR="001235B2">
              <w:rPr>
                <w:color w:val="000000"/>
              </w:rPr>
              <w:t xml:space="preserve">tās </w:t>
            </w:r>
            <w:r w:rsidR="001F672F">
              <w:rPr>
                <w:color w:val="000000"/>
              </w:rPr>
              <w:t>valsts parāda daļas apkalpošanu</w:t>
            </w:r>
            <w:r w:rsidR="001235B2">
              <w:rPr>
                <w:color w:val="000000"/>
              </w:rPr>
              <w:t>, kura ietilpst Valsts kases kompetencē</w:t>
            </w:r>
            <w:r w:rsidR="001F672F">
              <w:rPr>
                <w:color w:val="000000"/>
              </w:rPr>
              <w:t xml:space="preserve">. Tomēr </w:t>
            </w:r>
            <w:r w:rsidR="0044712B">
              <w:rPr>
                <w:color w:val="000000"/>
              </w:rPr>
              <w:t>likums nenosaka</w:t>
            </w:r>
            <w:r w:rsidR="001F672F">
              <w:rPr>
                <w:color w:val="000000"/>
              </w:rPr>
              <w:t xml:space="preserve"> </w:t>
            </w:r>
            <w:r w:rsidR="001F672F" w:rsidRPr="00543E12">
              <w:rPr>
                <w:color w:val="000000"/>
              </w:rPr>
              <w:t>valsts parāda apkalpošanas izlīdzināto izd</w:t>
            </w:r>
            <w:r w:rsidR="001F672F">
              <w:rPr>
                <w:color w:val="000000"/>
              </w:rPr>
              <w:t>evumu aprēķināšanas metodoloģij</w:t>
            </w:r>
            <w:r w:rsidR="001235B2">
              <w:rPr>
                <w:color w:val="000000"/>
              </w:rPr>
              <w:t>u</w:t>
            </w:r>
            <w:r w:rsidR="0044712B">
              <w:rPr>
                <w:color w:val="000000"/>
              </w:rPr>
              <w:t xml:space="preserve">, bet deleģē šo uzdevumu Ministru </w:t>
            </w:r>
            <w:r w:rsidR="001235B2">
              <w:rPr>
                <w:color w:val="000000"/>
              </w:rPr>
              <w:t>k</w:t>
            </w:r>
            <w:r w:rsidR="0044712B">
              <w:rPr>
                <w:color w:val="000000"/>
              </w:rPr>
              <w:t>abinetam.</w:t>
            </w:r>
          </w:p>
          <w:p w:rsidR="00864D90" w:rsidRDefault="00864D90" w:rsidP="00864D90">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 xml:space="preserve">Noteikumu projekts paredz valsts parāda apkalpošanas izlīdzināto izdevumu aprēķināšanas metodoloģiju, lai nodrošinātu stabilu izdevumu vidēja termiņa plānošanu un izslēgtu augsti svārstīgo izdevumu ietekmi uz pamatfunkciju izpildei pieejamo finansējumu. </w:t>
            </w:r>
          </w:p>
          <w:p w:rsidR="00864D90" w:rsidRDefault="00864D90" w:rsidP="00864D90">
            <w:pPr>
              <w:jc w:val="both"/>
              <w:rPr>
                <w:rFonts w:cs="Times New Roman"/>
                <w:sz w:val="24"/>
                <w:szCs w:val="24"/>
              </w:rPr>
            </w:pPr>
            <w:r>
              <w:rPr>
                <w:rFonts w:eastAsia="Times New Roman" w:cs="Times New Roman"/>
                <w:sz w:val="24"/>
                <w:szCs w:val="24"/>
                <w:lang w:eastAsia="lv-LV"/>
              </w:rPr>
              <w:t>N</w:t>
            </w:r>
            <w:r w:rsidRPr="000F74CD">
              <w:rPr>
                <w:rFonts w:eastAsia="Times New Roman" w:cs="Times New Roman"/>
                <w:sz w:val="24"/>
                <w:szCs w:val="24"/>
                <w:lang w:eastAsia="lv-LV"/>
              </w:rPr>
              <w:t xml:space="preserve">oteikumu </w:t>
            </w:r>
            <w:r>
              <w:rPr>
                <w:rFonts w:eastAsia="Times New Roman" w:cs="Times New Roman"/>
                <w:sz w:val="24"/>
                <w:szCs w:val="24"/>
                <w:lang w:eastAsia="lv-LV"/>
              </w:rPr>
              <w:t xml:space="preserve">projekta </w:t>
            </w:r>
            <w:r w:rsidRPr="000F74CD">
              <w:rPr>
                <w:rFonts w:eastAsia="Times New Roman" w:cs="Times New Roman"/>
                <w:sz w:val="24"/>
                <w:szCs w:val="24"/>
                <w:lang w:eastAsia="lv-LV"/>
              </w:rPr>
              <w:t>izpratnē Valsts kases kompetencē esošās valsts parāda daļas apkalpošanas izdevumi ir Finanšu ministrijas valsts pamatbudžeta apakšprogrammā 31.02.00 „Valsts parāda vadība” paredzētie procentu izdevumi.</w:t>
            </w:r>
            <w:r>
              <w:rPr>
                <w:rFonts w:cs="Times New Roman"/>
                <w:sz w:val="24"/>
                <w:szCs w:val="24"/>
              </w:rPr>
              <w:t xml:space="preserve">     </w:t>
            </w:r>
          </w:p>
          <w:p w:rsidR="00E10F28" w:rsidRPr="00454F74" w:rsidRDefault="00864D90" w:rsidP="00124C57">
            <w:pPr>
              <w:pStyle w:val="NormalWeb"/>
              <w:jc w:val="both"/>
              <w:rPr>
                <w:color w:val="000000"/>
              </w:rPr>
            </w:pPr>
            <w:r w:rsidRPr="00F62F8E">
              <w:t xml:space="preserve">Noteikumi paredz, ka </w:t>
            </w:r>
            <w:r w:rsidRPr="00E10F28">
              <w:t xml:space="preserve"> </w:t>
            </w:r>
            <w:r w:rsidRPr="000F74CD">
              <w:t xml:space="preserve">Valsts kases kompetencē esošās valsts parāda daļas apkalpošanas </w:t>
            </w:r>
            <w:r>
              <w:t xml:space="preserve">izlīdzinātie </w:t>
            </w:r>
            <w:r w:rsidRPr="000F74CD">
              <w:t>izdevumi</w:t>
            </w:r>
            <w:r>
              <w:t xml:space="preserve"> attiecīgajā gadā tiek aprēķināti kā piecu gadu slīdošais vidējais lielums no </w:t>
            </w:r>
            <w:r w:rsidRPr="000F74CD">
              <w:t xml:space="preserve">Valsts kases kompetencē esošās valsts parāda daļas apkalpošanas </w:t>
            </w:r>
            <w:r>
              <w:t xml:space="preserve">attiecīgajā gadā plānotajiem </w:t>
            </w:r>
            <w:r w:rsidRPr="000F74CD">
              <w:t>izdevumi</w:t>
            </w:r>
            <w:r>
              <w:t>em, faktiskajiem  izdevumiem (ja ir pieejami dati par faktisko izpildi šajā periodā) vai plānotajiem izdevumiem divos iepriekšējos gados un plānotajiem izdevumiem divos attiecīgajam gadam sekojošajos gados.</w:t>
            </w:r>
          </w:p>
        </w:tc>
      </w:tr>
      <w:tr w:rsidR="00E10F28" w:rsidRPr="00E10F28" w:rsidTr="00F91D7C">
        <w:trPr>
          <w:trHeight w:val="476"/>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E10F28" w:rsidRPr="00E10F28" w:rsidRDefault="00864D90" w:rsidP="00864D90">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3</w:t>
            </w:r>
            <w:r w:rsidR="00E10F28" w:rsidRPr="00E10F28">
              <w:rPr>
                <w:rFonts w:eastAsia="Times New Roman" w:cs="Times New Roman"/>
                <w:sz w:val="24"/>
                <w:szCs w:val="24"/>
                <w:lang w:eastAsia="lv-LV"/>
              </w:rPr>
              <w:t>.</w:t>
            </w:r>
          </w:p>
        </w:tc>
        <w:tc>
          <w:tcPr>
            <w:tcW w:w="1277"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Projekta izstrādē iesaistītās institūcijas</w:t>
            </w:r>
          </w:p>
        </w:tc>
        <w:tc>
          <w:tcPr>
            <w:tcW w:w="8578" w:type="dxa"/>
            <w:tcBorders>
              <w:top w:val="outset" w:sz="6" w:space="0" w:color="auto"/>
              <w:left w:val="outset" w:sz="6" w:space="0" w:color="auto"/>
              <w:bottom w:val="outset" w:sz="6" w:space="0" w:color="auto"/>
              <w:right w:val="outset" w:sz="6" w:space="0" w:color="auto"/>
            </w:tcBorders>
            <w:hideMark/>
          </w:tcPr>
          <w:p w:rsidR="00E10F28" w:rsidRPr="00E10F28" w:rsidRDefault="00E10F28" w:rsidP="00F90192">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w:t>
            </w:r>
            <w:r w:rsidR="00F90192">
              <w:rPr>
                <w:rFonts w:eastAsia="Times New Roman" w:cs="Times New Roman"/>
                <w:sz w:val="24"/>
                <w:szCs w:val="24"/>
                <w:lang w:eastAsia="lv-LV"/>
              </w:rPr>
              <w:t>Nav</w:t>
            </w:r>
          </w:p>
        </w:tc>
      </w:tr>
      <w:tr w:rsidR="00E10F28" w:rsidRPr="00E10F28" w:rsidTr="00F91D7C">
        <w:trPr>
          <w:trHeight w:val="576"/>
          <w:tblCellSpacing w:w="0" w:type="dxa"/>
        </w:trPr>
        <w:tc>
          <w:tcPr>
            <w:tcW w:w="351" w:type="dxa"/>
            <w:tcBorders>
              <w:top w:val="outset" w:sz="6" w:space="0" w:color="auto"/>
              <w:left w:val="outset" w:sz="6" w:space="0" w:color="auto"/>
              <w:bottom w:val="outset" w:sz="6" w:space="0" w:color="auto"/>
              <w:right w:val="outset" w:sz="6" w:space="0" w:color="auto"/>
            </w:tcBorders>
            <w:hideMark/>
          </w:tcPr>
          <w:p w:rsidR="00E10F28" w:rsidRPr="00E10F28" w:rsidRDefault="00E10F28" w:rsidP="00864D90">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w:t>
            </w:r>
            <w:r w:rsidR="00864D90">
              <w:rPr>
                <w:rFonts w:eastAsia="Times New Roman" w:cs="Times New Roman"/>
                <w:sz w:val="24"/>
                <w:szCs w:val="24"/>
                <w:lang w:eastAsia="lv-LV"/>
              </w:rPr>
              <w:t>4</w:t>
            </w:r>
            <w:r w:rsidRPr="00E10F28">
              <w:rPr>
                <w:rFonts w:eastAsia="Times New Roman" w:cs="Times New Roman"/>
                <w:sz w:val="24"/>
                <w:szCs w:val="24"/>
                <w:lang w:eastAsia="lv-LV"/>
              </w:rPr>
              <w:t>.</w:t>
            </w:r>
          </w:p>
        </w:tc>
        <w:tc>
          <w:tcPr>
            <w:tcW w:w="1277"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Cita informācija</w:t>
            </w:r>
          </w:p>
        </w:tc>
        <w:tc>
          <w:tcPr>
            <w:tcW w:w="8578" w:type="dxa"/>
            <w:tcBorders>
              <w:top w:val="outset" w:sz="6" w:space="0" w:color="auto"/>
              <w:left w:val="outset" w:sz="6" w:space="0" w:color="auto"/>
              <w:bottom w:val="outset" w:sz="6" w:space="0" w:color="auto"/>
              <w:right w:val="outset" w:sz="6" w:space="0" w:color="auto"/>
            </w:tcBorders>
            <w:hideMark/>
          </w:tcPr>
          <w:p w:rsidR="00E10F28" w:rsidRPr="00E10F28" w:rsidRDefault="00726ADB" w:rsidP="00F91D7C">
            <w:pPr>
              <w:spacing w:before="100" w:beforeAutospacing="1" w:after="100" w:afterAutospacing="1"/>
              <w:rPr>
                <w:rFonts w:eastAsia="Times New Roman" w:cs="Times New Roman"/>
                <w:sz w:val="24"/>
                <w:szCs w:val="24"/>
                <w:lang w:eastAsia="lv-LV"/>
              </w:rPr>
            </w:pPr>
            <w:r>
              <w:rPr>
                <w:rFonts w:eastAsia="Times New Roman" w:cs="Times New Roman"/>
                <w:sz w:val="24"/>
                <w:szCs w:val="24"/>
                <w:lang w:eastAsia="lv-LV"/>
              </w:rPr>
              <w:t xml:space="preserve"> Nav</w:t>
            </w:r>
          </w:p>
        </w:tc>
      </w:tr>
    </w:tbl>
    <w:p w:rsidR="00D079F9" w:rsidRDefault="00D079F9" w:rsidP="001B6CDD">
      <w:pPr>
        <w:spacing w:before="100" w:beforeAutospacing="1" w:after="100" w:afterAutospacing="1"/>
        <w:rPr>
          <w:rFonts w:eastAsia="Times New Roman" w:cs="Times New Roman"/>
          <w:b/>
          <w:i/>
          <w:szCs w:val="24"/>
          <w:lang w:eastAsia="lv-LV"/>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3403"/>
        <w:gridCol w:w="6378"/>
      </w:tblGrid>
      <w:tr w:rsidR="00831777" w:rsidRPr="008E513B" w:rsidTr="009F50D0">
        <w:trPr>
          <w:tblCellSpacing w:w="0" w:type="dxa"/>
        </w:trPr>
        <w:tc>
          <w:tcPr>
            <w:tcW w:w="10206" w:type="dxa"/>
            <w:gridSpan w:val="3"/>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jc w:val="center"/>
              <w:rPr>
                <w:rFonts w:eastAsia="Times New Roman" w:cs="Times New Roman"/>
                <w:sz w:val="24"/>
                <w:szCs w:val="24"/>
                <w:lang w:eastAsia="lv-LV"/>
              </w:rPr>
            </w:pPr>
            <w:r w:rsidRPr="00B35974">
              <w:rPr>
                <w:rFonts w:eastAsia="Times New Roman" w:cs="Times New Roman"/>
                <w:b/>
                <w:bCs/>
                <w:sz w:val="24"/>
                <w:szCs w:val="24"/>
                <w:lang w:eastAsia="lv-LV"/>
              </w:rPr>
              <w:t>IV. Tiesību akta projekta ietekme uz spēkā esošo tiesību normu sistēmu</w:t>
            </w:r>
          </w:p>
        </w:tc>
      </w:tr>
      <w:tr w:rsidR="00831777" w:rsidRPr="008E513B" w:rsidTr="009F50D0">
        <w:trPr>
          <w:trHeight w:val="42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1.</w:t>
            </w:r>
          </w:p>
        </w:tc>
        <w:tc>
          <w:tcPr>
            <w:tcW w:w="3403"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w:t>
            </w:r>
            <w:r w:rsidRPr="00B35974">
              <w:rPr>
                <w:rFonts w:eastAsia="Times New Roman" w:cs="Times New Roman"/>
                <w:sz w:val="24"/>
                <w:szCs w:val="24"/>
                <w:lang w:eastAsia="lv-LV"/>
              </w:rPr>
              <w:t>Nepieciešamie saistītie tiesību aktu projekti</w:t>
            </w:r>
          </w:p>
        </w:tc>
        <w:tc>
          <w:tcPr>
            <w:tcW w:w="6378"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jc w:val="both"/>
              <w:rPr>
                <w:rFonts w:eastAsia="Times New Roman" w:cs="Times New Roman"/>
                <w:sz w:val="24"/>
                <w:szCs w:val="24"/>
                <w:lang w:eastAsia="lv-LV"/>
              </w:rPr>
            </w:pPr>
            <w:r w:rsidRPr="008E513B">
              <w:rPr>
                <w:rFonts w:eastAsia="Times New Roman" w:cs="Times New Roman"/>
                <w:sz w:val="24"/>
                <w:szCs w:val="24"/>
                <w:lang w:eastAsia="lv-LV"/>
              </w:rPr>
              <w:t xml:space="preserve"> Nav attiecināms</w:t>
            </w:r>
          </w:p>
        </w:tc>
      </w:tr>
      <w:tr w:rsidR="00831777" w:rsidRPr="008E513B" w:rsidTr="009F50D0">
        <w:trPr>
          <w:trHeight w:val="34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2.</w:t>
            </w:r>
          </w:p>
        </w:tc>
        <w:tc>
          <w:tcPr>
            <w:tcW w:w="3403"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jc w:val="both"/>
              <w:rPr>
                <w:rFonts w:eastAsia="Times New Roman" w:cs="Times New Roman"/>
                <w:sz w:val="24"/>
                <w:szCs w:val="24"/>
                <w:lang w:eastAsia="lv-LV"/>
              </w:rPr>
            </w:pPr>
            <w:r w:rsidRPr="008E513B">
              <w:rPr>
                <w:rFonts w:eastAsia="Times New Roman" w:cs="Times New Roman"/>
                <w:sz w:val="24"/>
                <w:szCs w:val="24"/>
                <w:lang w:eastAsia="lv-LV"/>
              </w:rPr>
              <w:t> </w:t>
            </w:r>
            <w:r w:rsidRPr="00B35974">
              <w:rPr>
                <w:rFonts w:eastAsia="Times New Roman" w:cs="Times New Roman"/>
                <w:sz w:val="24"/>
                <w:szCs w:val="24"/>
                <w:lang w:eastAsia="lv-LV"/>
              </w:rPr>
              <w:t>Atbildīgā institūcija</w:t>
            </w:r>
          </w:p>
        </w:tc>
        <w:tc>
          <w:tcPr>
            <w:tcW w:w="6378"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jc w:val="both"/>
              <w:rPr>
                <w:rFonts w:eastAsia="Times New Roman" w:cs="Times New Roman"/>
                <w:sz w:val="24"/>
                <w:szCs w:val="24"/>
                <w:lang w:eastAsia="lv-LV"/>
              </w:rPr>
            </w:pPr>
            <w:r w:rsidRPr="008E513B">
              <w:rPr>
                <w:rFonts w:eastAsia="Times New Roman" w:cs="Times New Roman"/>
                <w:sz w:val="24"/>
                <w:szCs w:val="24"/>
                <w:lang w:eastAsia="lv-LV"/>
              </w:rPr>
              <w:t xml:space="preserve"> </w:t>
            </w:r>
            <w:r w:rsidRPr="008E513B">
              <w:rPr>
                <w:rFonts w:cs="Times New Roman"/>
                <w:sz w:val="24"/>
                <w:szCs w:val="24"/>
              </w:rPr>
              <w:t>Finanšu ministrija</w:t>
            </w:r>
          </w:p>
        </w:tc>
      </w:tr>
      <w:tr w:rsidR="00831777" w:rsidRPr="008E513B" w:rsidTr="009F50D0">
        <w:trPr>
          <w:trHeight w:val="47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3.</w:t>
            </w:r>
          </w:p>
        </w:tc>
        <w:tc>
          <w:tcPr>
            <w:tcW w:w="3403"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rPr>
                <w:rFonts w:eastAsia="Times New Roman" w:cs="Times New Roman"/>
                <w:sz w:val="24"/>
                <w:szCs w:val="24"/>
                <w:lang w:eastAsia="lv-LV"/>
              </w:rPr>
            </w:pPr>
            <w:r w:rsidRPr="008E513B">
              <w:rPr>
                <w:rFonts w:eastAsia="Times New Roman" w:cs="Times New Roman"/>
                <w:sz w:val="24"/>
                <w:szCs w:val="24"/>
                <w:lang w:eastAsia="lv-LV"/>
              </w:rPr>
              <w:t> Cita informācija</w:t>
            </w:r>
          </w:p>
        </w:tc>
        <w:tc>
          <w:tcPr>
            <w:tcW w:w="6378" w:type="dxa"/>
            <w:tcBorders>
              <w:top w:val="outset" w:sz="6" w:space="0" w:color="auto"/>
              <w:left w:val="outset" w:sz="6" w:space="0" w:color="auto"/>
              <w:bottom w:val="outset" w:sz="6" w:space="0" w:color="auto"/>
              <w:right w:val="outset" w:sz="6" w:space="0" w:color="auto"/>
            </w:tcBorders>
            <w:hideMark/>
          </w:tcPr>
          <w:p w:rsidR="00831777" w:rsidRPr="008E513B" w:rsidRDefault="00831777" w:rsidP="009F50D0">
            <w:pPr>
              <w:spacing w:before="100" w:beforeAutospacing="1" w:after="100" w:afterAutospacing="1"/>
              <w:jc w:val="both"/>
              <w:rPr>
                <w:rFonts w:eastAsia="Times New Roman" w:cs="Times New Roman"/>
                <w:sz w:val="24"/>
                <w:szCs w:val="24"/>
                <w:lang w:eastAsia="lv-LV"/>
              </w:rPr>
            </w:pPr>
            <w:r w:rsidRPr="008E513B">
              <w:rPr>
                <w:rFonts w:eastAsia="Times New Roman" w:cs="Times New Roman"/>
                <w:sz w:val="24"/>
                <w:szCs w:val="24"/>
                <w:lang w:eastAsia="lv-LV"/>
              </w:rPr>
              <w:t> Nav</w:t>
            </w:r>
          </w:p>
        </w:tc>
      </w:tr>
    </w:tbl>
    <w:p w:rsidR="001B6CDD" w:rsidRPr="00D079F9" w:rsidRDefault="00100C0C" w:rsidP="00D079F9">
      <w:pPr>
        <w:spacing w:before="100" w:beforeAutospacing="1" w:after="100" w:afterAutospacing="1"/>
        <w:rPr>
          <w:rFonts w:eastAsia="Times New Roman" w:cs="Times New Roman"/>
          <w:sz w:val="24"/>
          <w:szCs w:val="24"/>
          <w:lang w:eastAsia="lv-LV"/>
        </w:rPr>
      </w:pPr>
      <w:r>
        <w:rPr>
          <w:rFonts w:eastAsia="Times New Roman" w:cs="Times New Roman"/>
          <w:b/>
          <w:i/>
          <w:szCs w:val="24"/>
          <w:lang w:eastAsia="lv-LV"/>
        </w:rPr>
        <w:t>Anotācijas</w:t>
      </w:r>
      <w:r w:rsidR="00265F76" w:rsidRPr="003B514C">
        <w:rPr>
          <w:rFonts w:eastAsia="Times New Roman" w:cs="Times New Roman"/>
          <w:b/>
          <w:i/>
          <w:szCs w:val="24"/>
          <w:lang w:eastAsia="lv-LV"/>
        </w:rPr>
        <w:t xml:space="preserve"> </w:t>
      </w:r>
      <w:r w:rsidR="00D079F9">
        <w:rPr>
          <w:rFonts w:eastAsia="Times New Roman" w:cs="Times New Roman"/>
          <w:b/>
          <w:i/>
          <w:szCs w:val="24"/>
          <w:lang w:eastAsia="lv-LV"/>
        </w:rPr>
        <w:t xml:space="preserve">II, </w:t>
      </w:r>
      <w:r w:rsidR="00B35974">
        <w:rPr>
          <w:rFonts w:eastAsia="Times New Roman" w:cs="Times New Roman"/>
          <w:b/>
          <w:i/>
          <w:szCs w:val="24"/>
          <w:lang w:eastAsia="lv-LV"/>
        </w:rPr>
        <w:t>III,</w:t>
      </w:r>
      <w:r w:rsidR="00D079F9">
        <w:rPr>
          <w:rFonts w:eastAsia="Times New Roman" w:cs="Times New Roman"/>
          <w:b/>
          <w:i/>
          <w:szCs w:val="24"/>
          <w:lang w:eastAsia="lv-LV"/>
        </w:rPr>
        <w:t xml:space="preserve"> </w:t>
      </w:r>
      <w:r w:rsidR="00265F76" w:rsidRPr="003B514C">
        <w:rPr>
          <w:rFonts w:eastAsia="Times New Roman" w:cs="Times New Roman"/>
          <w:b/>
          <w:i/>
          <w:szCs w:val="24"/>
          <w:lang w:eastAsia="lv-LV"/>
        </w:rPr>
        <w:t>V, VI sadaļas – nav attiecināms.</w:t>
      </w:r>
      <w:r w:rsidR="00E10F28" w:rsidRPr="00E10F28">
        <w:rPr>
          <w:rFonts w:eastAsia="Times New Roman" w:cs="Times New Roman"/>
          <w:sz w:val="24"/>
          <w:szCs w:val="24"/>
          <w:lang w:eastAsia="lv-LV"/>
        </w:rPr>
        <w:t> </w:t>
      </w:r>
      <w:r w:rsidR="00B35974" w:rsidRPr="00B35974">
        <w:rPr>
          <w:rFonts w:ascii="Arial" w:eastAsia="Times New Roman" w:hAnsi="Arial" w:cs="Arial"/>
          <w:color w:val="414142"/>
          <w:sz w:val="20"/>
          <w:szCs w:val="20"/>
          <w:lang w:eastAsia="lv-LV"/>
        </w:rPr>
        <w:t> </w:t>
      </w:r>
    </w:p>
    <w:p w:rsidR="001B6CDD" w:rsidRPr="00B35974" w:rsidRDefault="001B6CDD" w:rsidP="001B6CDD">
      <w:pPr>
        <w:spacing w:line="360" w:lineRule="auto"/>
        <w:rPr>
          <w:rFonts w:ascii="Arial" w:eastAsia="Times New Roman" w:hAnsi="Arial" w:cs="Arial"/>
          <w:color w:val="414142"/>
          <w:sz w:val="20"/>
          <w:szCs w:val="20"/>
          <w:lang w:eastAsia="lv-LV"/>
        </w:rPr>
      </w:pPr>
    </w:p>
    <w:tbl>
      <w:tblPr>
        <w:tblW w:w="10206" w:type="dxa"/>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5"/>
        <w:gridCol w:w="4215"/>
        <w:gridCol w:w="5566"/>
      </w:tblGrid>
      <w:tr w:rsidR="00E10F28" w:rsidRPr="00E10F28" w:rsidTr="001D19AB">
        <w:trPr>
          <w:tblCellSpacing w:w="0" w:type="dxa"/>
        </w:trPr>
        <w:tc>
          <w:tcPr>
            <w:tcW w:w="10206" w:type="dxa"/>
            <w:gridSpan w:val="3"/>
            <w:tcBorders>
              <w:top w:val="outset" w:sz="6" w:space="0" w:color="auto"/>
              <w:left w:val="outset" w:sz="6" w:space="0" w:color="auto"/>
              <w:bottom w:val="outset" w:sz="6" w:space="0" w:color="auto"/>
              <w:right w:val="outset" w:sz="6" w:space="0" w:color="auto"/>
            </w:tcBorders>
            <w:hideMark/>
          </w:tcPr>
          <w:p w:rsidR="00E10F28" w:rsidRPr="00E10F28" w:rsidRDefault="00E10F28" w:rsidP="00726ADB">
            <w:pPr>
              <w:spacing w:before="100" w:beforeAutospacing="1" w:after="100" w:afterAutospacing="1"/>
              <w:jc w:val="center"/>
              <w:rPr>
                <w:rFonts w:eastAsia="Times New Roman" w:cs="Times New Roman"/>
                <w:sz w:val="24"/>
                <w:szCs w:val="24"/>
                <w:lang w:eastAsia="lv-LV"/>
              </w:rPr>
            </w:pPr>
            <w:r w:rsidRPr="00E10F28">
              <w:rPr>
                <w:rFonts w:eastAsia="Times New Roman" w:cs="Times New Roman"/>
                <w:b/>
                <w:bCs/>
                <w:sz w:val="24"/>
                <w:szCs w:val="24"/>
                <w:lang w:eastAsia="lv-LV"/>
              </w:rPr>
              <w:t>VII. Tiesību akta projekta izpildes nodrošināšana un tās ietekme uz institūcijām</w:t>
            </w:r>
          </w:p>
        </w:tc>
      </w:tr>
      <w:tr w:rsidR="00E10F28" w:rsidRPr="00E10F28" w:rsidTr="001D19AB">
        <w:trPr>
          <w:trHeight w:val="427"/>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1.</w:t>
            </w:r>
          </w:p>
        </w:tc>
        <w:tc>
          <w:tcPr>
            <w:tcW w:w="4215"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Projekta izpildē iesaistītās institūcijas</w:t>
            </w:r>
          </w:p>
        </w:tc>
        <w:tc>
          <w:tcPr>
            <w:tcW w:w="5566" w:type="dxa"/>
            <w:tcBorders>
              <w:top w:val="outset" w:sz="6" w:space="0" w:color="auto"/>
              <w:left w:val="outset" w:sz="6" w:space="0" w:color="auto"/>
              <w:bottom w:val="outset" w:sz="6" w:space="0" w:color="auto"/>
              <w:right w:val="outset" w:sz="6" w:space="0" w:color="auto"/>
            </w:tcBorders>
            <w:hideMark/>
          </w:tcPr>
          <w:p w:rsidR="00E10F28" w:rsidRPr="00B92BE7" w:rsidRDefault="005C1E9B" w:rsidP="009D17BB">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 xml:space="preserve"> </w:t>
            </w:r>
            <w:r w:rsidR="00265F76">
              <w:rPr>
                <w:rFonts w:eastAsia="Times New Roman" w:cs="Times New Roman"/>
                <w:sz w:val="24"/>
                <w:szCs w:val="24"/>
                <w:lang w:eastAsia="lv-LV"/>
              </w:rPr>
              <w:t>Finanšu ministrija</w:t>
            </w:r>
            <w:r w:rsidR="009D17BB">
              <w:rPr>
                <w:rFonts w:eastAsia="Times New Roman" w:cs="Times New Roman"/>
                <w:sz w:val="24"/>
                <w:szCs w:val="24"/>
                <w:lang w:eastAsia="lv-LV"/>
              </w:rPr>
              <w:t>,</w:t>
            </w:r>
            <w:r w:rsidR="00265F76">
              <w:rPr>
                <w:rFonts w:eastAsia="Times New Roman" w:cs="Times New Roman"/>
                <w:sz w:val="24"/>
                <w:szCs w:val="24"/>
                <w:lang w:eastAsia="lv-LV"/>
              </w:rPr>
              <w:t xml:space="preserve"> Valsts kase</w:t>
            </w:r>
          </w:p>
        </w:tc>
      </w:tr>
      <w:tr w:rsidR="00E10F28" w:rsidRPr="00E10F28" w:rsidTr="001D19AB">
        <w:trPr>
          <w:trHeight w:val="34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2.</w:t>
            </w:r>
          </w:p>
        </w:tc>
        <w:tc>
          <w:tcPr>
            <w:tcW w:w="4215" w:type="dxa"/>
            <w:tcBorders>
              <w:top w:val="outset" w:sz="6" w:space="0" w:color="auto"/>
              <w:left w:val="outset" w:sz="6" w:space="0" w:color="auto"/>
              <w:bottom w:val="outset" w:sz="6" w:space="0" w:color="auto"/>
              <w:right w:val="outset" w:sz="6" w:space="0" w:color="auto"/>
            </w:tcBorders>
            <w:hideMark/>
          </w:tcPr>
          <w:p w:rsidR="00E10F28" w:rsidRPr="00864D90" w:rsidRDefault="00E10F28" w:rsidP="00864D90">
            <w:pPr>
              <w:jc w:val="both"/>
              <w:rPr>
                <w:rFonts w:eastAsia="Times New Roman" w:cs="Times New Roman"/>
                <w:color w:val="414142"/>
                <w:sz w:val="24"/>
                <w:szCs w:val="20"/>
                <w:lang w:eastAsia="lv-LV"/>
              </w:rPr>
            </w:pPr>
            <w:r w:rsidRPr="00E10F28">
              <w:rPr>
                <w:rFonts w:eastAsia="Times New Roman" w:cs="Times New Roman"/>
                <w:sz w:val="24"/>
                <w:szCs w:val="24"/>
                <w:lang w:eastAsia="lv-LV"/>
              </w:rPr>
              <w:t> </w:t>
            </w:r>
            <w:r w:rsidR="00864D90" w:rsidRPr="00864D90">
              <w:rPr>
                <w:rFonts w:eastAsia="Times New Roman" w:cs="Times New Roman"/>
                <w:color w:val="414142"/>
                <w:sz w:val="24"/>
                <w:szCs w:val="20"/>
                <w:lang w:eastAsia="lv-LV"/>
              </w:rPr>
              <w:t>Projekta izpildes ietekme uz pārvaldes funkcijām un institucionālo struktūru. Jaunu institūciju izveide, esošu institūciju likvidācija vai reorganizācija, to ietekme uz institūcijas cilvēkresursiem</w:t>
            </w:r>
          </w:p>
        </w:tc>
        <w:tc>
          <w:tcPr>
            <w:tcW w:w="5566" w:type="dxa"/>
            <w:tcBorders>
              <w:top w:val="outset" w:sz="6" w:space="0" w:color="auto"/>
              <w:left w:val="outset" w:sz="6" w:space="0" w:color="auto"/>
              <w:bottom w:val="outset" w:sz="6" w:space="0" w:color="auto"/>
              <w:right w:val="outset" w:sz="6" w:space="0" w:color="auto"/>
            </w:tcBorders>
            <w:hideMark/>
          </w:tcPr>
          <w:p w:rsidR="00E10F28" w:rsidRPr="00B92BE7" w:rsidRDefault="005C1E9B" w:rsidP="00B92BE7">
            <w:pPr>
              <w:spacing w:before="100" w:beforeAutospacing="1" w:after="100" w:afterAutospacing="1"/>
              <w:jc w:val="both"/>
              <w:rPr>
                <w:rFonts w:eastAsia="Times New Roman" w:cs="Times New Roman"/>
                <w:sz w:val="24"/>
                <w:szCs w:val="24"/>
                <w:lang w:eastAsia="lv-LV"/>
              </w:rPr>
            </w:pPr>
            <w:r>
              <w:rPr>
                <w:rFonts w:eastAsia="Times New Roman" w:cs="Times New Roman"/>
                <w:sz w:val="24"/>
                <w:szCs w:val="24"/>
                <w:lang w:eastAsia="lv-LV"/>
              </w:rPr>
              <w:t xml:space="preserve">    </w:t>
            </w:r>
            <w:r w:rsidR="00265F76" w:rsidRPr="003B514C">
              <w:rPr>
                <w:sz w:val="24"/>
                <w:szCs w:val="26"/>
              </w:rPr>
              <w:t>Iesaistītās institūcijas noteikumu projekta izpildi nodrošina to esošo funkciju un uzdevumus ietvaros.</w:t>
            </w:r>
          </w:p>
        </w:tc>
      </w:tr>
      <w:tr w:rsidR="00E10F28" w:rsidRPr="00E10F28" w:rsidTr="001D19AB">
        <w:trPr>
          <w:trHeight w:val="476"/>
          <w:tblCellSpacing w:w="0" w:type="dxa"/>
        </w:trPr>
        <w:tc>
          <w:tcPr>
            <w:tcW w:w="425" w:type="dxa"/>
            <w:tcBorders>
              <w:top w:val="outset" w:sz="6" w:space="0" w:color="auto"/>
              <w:left w:val="outset" w:sz="6" w:space="0" w:color="auto"/>
              <w:bottom w:val="outset" w:sz="6" w:space="0" w:color="auto"/>
              <w:right w:val="outset" w:sz="6" w:space="0" w:color="auto"/>
            </w:tcBorders>
            <w:hideMark/>
          </w:tcPr>
          <w:p w:rsidR="00E10F28" w:rsidRPr="00E10F28" w:rsidRDefault="00E10F28" w:rsidP="00864D90">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w:t>
            </w:r>
            <w:r w:rsidR="00864D90">
              <w:rPr>
                <w:rFonts w:eastAsia="Times New Roman" w:cs="Times New Roman"/>
                <w:sz w:val="24"/>
                <w:szCs w:val="24"/>
                <w:lang w:eastAsia="lv-LV"/>
              </w:rPr>
              <w:t>3</w:t>
            </w:r>
            <w:r w:rsidRPr="00E10F28">
              <w:rPr>
                <w:rFonts w:eastAsia="Times New Roman" w:cs="Times New Roman"/>
                <w:sz w:val="24"/>
                <w:szCs w:val="24"/>
                <w:lang w:eastAsia="lv-LV"/>
              </w:rPr>
              <w:t>.</w:t>
            </w:r>
          </w:p>
        </w:tc>
        <w:tc>
          <w:tcPr>
            <w:tcW w:w="4215" w:type="dxa"/>
            <w:tcBorders>
              <w:top w:val="outset" w:sz="6" w:space="0" w:color="auto"/>
              <w:left w:val="outset" w:sz="6" w:space="0" w:color="auto"/>
              <w:bottom w:val="outset" w:sz="6" w:space="0" w:color="auto"/>
              <w:right w:val="outset" w:sz="6" w:space="0" w:color="auto"/>
            </w:tcBorders>
            <w:hideMark/>
          </w:tcPr>
          <w:p w:rsidR="00E10F28" w:rsidRPr="00E10F28" w:rsidRDefault="00E10F28" w:rsidP="00E10F28">
            <w:pPr>
              <w:spacing w:before="100" w:beforeAutospacing="1" w:after="100" w:afterAutospacing="1"/>
              <w:rPr>
                <w:rFonts w:eastAsia="Times New Roman" w:cs="Times New Roman"/>
                <w:sz w:val="24"/>
                <w:szCs w:val="24"/>
                <w:lang w:eastAsia="lv-LV"/>
              </w:rPr>
            </w:pPr>
            <w:r w:rsidRPr="00E10F28">
              <w:rPr>
                <w:rFonts w:eastAsia="Times New Roman" w:cs="Times New Roman"/>
                <w:sz w:val="24"/>
                <w:szCs w:val="24"/>
                <w:lang w:eastAsia="lv-LV"/>
              </w:rPr>
              <w:t> Cita informācija</w:t>
            </w:r>
          </w:p>
        </w:tc>
        <w:tc>
          <w:tcPr>
            <w:tcW w:w="5566" w:type="dxa"/>
            <w:tcBorders>
              <w:top w:val="outset" w:sz="6" w:space="0" w:color="auto"/>
              <w:left w:val="outset" w:sz="6" w:space="0" w:color="auto"/>
              <w:bottom w:val="outset" w:sz="6" w:space="0" w:color="auto"/>
              <w:right w:val="outset" w:sz="6" w:space="0" w:color="auto"/>
            </w:tcBorders>
            <w:hideMark/>
          </w:tcPr>
          <w:p w:rsidR="00E10F28" w:rsidRPr="00E10F28" w:rsidRDefault="00E10F28" w:rsidP="00B92BE7">
            <w:pPr>
              <w:spacing w:before="100" w:beforeAutospacing="1" w:after="100" w:afterAutospacing="1"/>
              <w:jc w:val="both"/>
              <w:rPr>
                <w:rFonts w:eastAsia="Times New Roman" w:cs="Times New Roman"/>
                <w:sz w:val="24"/>
                <w:szCs w:val="24"/>
                <w:lang w:eastAsia="lv-LV"/>
              </w:rPr>
            </w:pPr>
            <w:r w:rsidRPr="00E10F28">
              <w:rPr>
                <w:rFonts w:eastAsia="Times New Roman" w:cs="Times New Roman"/>
                <w:sz w:val="24"/>
                <w:szCs w:val="24"/>
                <w:lang w:eastAsia="lv-LV"/>
              </w:rPr>
              <w:t> </w:t>
            </w:r>
            <w:r w:rsidR="00B92BE7">
              <w:rPr>
                <w:rFonts w:eastAsia="Times New Roman" w:cs="Times New Roman"/>
                <w:sz w:val="24"/>
                <w:szCs w:val="24"/>
                <w:lang w:eastAsia="lv-LV"/>
              </w:rPr>
              <w:t>Nav</w:t>
            </w:r>
          </w:p>
        </w:tc>
      </w:tr>
    </w:tbl>
    <w:p w:rsidR="008244BB" w:rsidRDefault="008244BB"/>
    <w:p w:rsidR="009C1270" w:rsidRDefault="009C1270"/>
    <w:p w:rsidR="009C1270" w:rsidRDefault="009C1270"/>
    <w:p w:rsidR="00BF4212" w:rsidRPr="00BF4212" w:rsidRDefault="00BF4212" w:rsidP="00BF4212">
      <w:pPr>
        <w:rPr>
          <w:sz w:val="24"/>
          <w:szCs w:val="26"/>
        </w:rPr>
      </w:pPr>
      <w:r w:rsidRPr="00BF4212">
        <w:rPr>
          <w:sz w:val="24"/>
          <w:szCs w:val="26"/>
        </w:rPr>
        <w:t xml:space="preserve">Finanšu ministra vietā – </w:t>
      </w:r>
    </w:p>
    <w:p w:rsidR="00BF4212" w:rsidRPr="00BF4212" w:rsidRDefault="00BF4212" w:rsidP="00BF4212">
      <w:pPr>
        <w:widowControl w:val="0"/>
        <w:tabs>
          <w:tab w:val="left" w:pos="5387"/>
        </w:tabs>
        <w:adjustRightInd w:val="0"/>
        <w:textAlignment w:val="baseline"/>
        <w:rPr>
          <w:sz w:val="20"/>
          <w:szCs w:val="24"/>
          <w:lang w:eastAsia="lv-LV"/>
        </w:rPr>
      </w:pPr>
      <w:r w:rsidRPr="00BF4212">
        <w:rPr>
          <w:sz w:val="24"/>
          <w:szCs w:val="26"/>
        </w:rPr>
        <w:t>Zemkopības ministrs</w:t>
      </w:r>
      <w:r w:rsidRPr="00BF4212">
        <w:rPr>
          <w:sz w:val="24"/>
          <w:szCs w:val="26"/>
        </w:rPr>
        <w:tab/>
      </w:r>
      <w:r>
        <w:rPr>
          <w:sz w:val="24"/>
          <w:szCs w:val="26"/>
        </w:rPr>
        <w:tab/>
      </w:r>
      <w:r w:rsidRPr="00BF4212">
        <w:rPr>
          <w:sz w:val="24"/>
          <w:szCs w:val="26"/>
        </w:rPr>
        <w:tab/>
      </w:r>
      <w:r w:rsidRPr="00BF4212">
        <w:rPr>
          <w:sz w:val="24"/>
          <w:szCs w:val="26"/>
        </w:rPr>
        <w:tab/>
      </w:r>
      <w:r w:rsidRPr="00BF4212">
        <w:rPr>
          <w:sz w:val="24"/>
          <w:szCs w:val="26"/>
        </w:rPr>
        <w:tab/>
      </w:r>
      <w:r w:rsidRPr="00BF4212">
        <w:rPr>
          <w:sz w:val="24"/>
          <w:szCs w:val="26"/>
        </w:rPr>
        <w:tab/>
      </w:r>
      <w:proofErr w:type="spellStart"/>
      <w:r w:rsidRPr="00BF4212">
        <w:rPr>
          <w:sz w:val="24"/>
          <w:szCs w:val="26"/>
        </w:rPr>
        <w:t>J.Dūklavs</w:t>
      </w:r>
      <w:proofErr w:type="spellEnd"/>
    </w:p>
    <w:p w:rsidR="009C1270" w:rsidRDefault="009C1270" w:rsidP="009C1270">
      <w:pPr>
        <w:rPr>
          <w:sz w:val="20"/>
        </w:rPr>
      </w:pPr>
    </w:p>
    <w:p w:rsidR="009C1270" w:rsidRDefault="009C1270" w:rsidP="009C1270">
      <w:pPr>
        <w:rPr>
          <w:sz w:val="20"/>
        </w:rPr>
      </w:pPr>
    </w:p>
    <w:p w:rsidR="009C1270" w:rsidRDefault="009C1270" w:rsidP="009C1270">
      <w:pPr>
        <w:rPr>
          <w:sz w:val="20"/>
        </w:rPr>
      </w:pPr>
    </w:p>
    <w:p w:rsidR="009C1270" w:rsidRDefault="009C1270" w:rsidP="009C1270">
      <w:pPr>
        <w:rPr>
          <w:sz w:val="20"/>
        </w:rPr>
      </w:pPr>
    </w:p>
    <w:p w:rsidR="002C43DD" w:rsidRDefault="002C43DD" w:rsidP="009C1270">
      <w:pPr>
        <w:rPr>
          <w:sz w:val="20"/>
        </w:rPr>
      </w:pPr>
      <w:r>
        <w:rPr>
          <w:sz w:val="20"/>
        </w:rPr>
        <w:t>10.04.2014 9:53</w:t>
      </w:r>
    </w:p>
    <w:p w:rsidR="000217A0" w:rsidRDefault="00D079F9" w:rsidP="009C1270">
      <w:pPr>
        <w:rPr>
          <w:sz w:val="20"/>
        </w:rPr>
      </w:pPr>
      <w:r>
        <w:rPr>
          <w:sz w:val="20"/>
        </w:rPr>
        <w:t>3</w:t>
      </w:r>
      <w:r w:rsidR="00BF4212">
        <w:rPr>
          <w:sz w:val="20"/>
        </w:rPr>
        <w:t>61</w:t>
      </w:r>
      <w:bookmarkStart w:id="0" w:name="_GoBack"/>
      <w:bookmarkEnd w:id="0"/>
    </w:p>
    <w:p w:rsidR="009C1270" w:rsidRPr="007A1819" w:rsidRDefault="009C1270" w:rsidP="009C1270">
      <w:pPr>
        <w:rPr>
          <w:sz w:val="20"/>
        </w:rPr>
      </w:pPr>
      <w:r>
        <w:rPr>
          <w:sz w:val="20"/>
        </w:rPr>
        <w:t>G</w:t>
      </w:r>
      <w:r w:rsidR="0031373A">
        <w:rPr>
          <w:sz w:val="20"/>
        </w:rPr>
        <w:t>.</w:t>
      </w:r>
      <w:r>
        <w:rPr>
          <w:sz w:val="20"/>
        </w:rPr>
        <w:t xml:space="preserve"> Rubīna</w:t>
      </w:r>
    </w:p>
    <w:p w:rsidR="009C1270" w:rsidRPr="007A1819" w:rsidRDefault="009C1270" w:rsidP="009C1270">
      <w:pPr>
        <w:rPr>
          <w:sz w:val="20"/>
        </w:rPr>
      </w:pPr>
      <w:r w:rsidRPr="007A1819">
        <w:rPr>
          <w:sz w:val="20"/>
        </w:rPr>
        <w:t>tālrunis 670</w:t>
      </w:r>
      <w:r>
        <w:rPr>
          <w:sz w:val="20"/>
        </w:rPr>
        <w:t>83911</w:t>
      </w:r>
    </w:p>
    <w:p w:rsidR="009C1270" w:rsidRPr="00FC38FA" w:rsidRDefault="00BF4212" w:rsidP="009C1270">
      <w:pPr>
        <w:rPr>
          <w:rFonts w:cs="Times New Roman"/>
          <w:sz w:val="20"/>
          <w:szCs w:val="20"/>
        </w:rPr>
      </w:pPr>
      <w:hyperlink r:id="rId8" w:history="1">
        <w:r w:rsidR="009C1270" w:rsidRPr="00FC38FA">
          <w:rPr>
            <w:rStyle w:val="Hyperlink"/>
            <w:rFonts w:ascii="Times New Roman" w:hAnsi="Times New Roman" w:cs="Times New Roman"/>
            <w:sz w:val="20"/>
            <w:szCs w:val="20"/>
          </w:rPr>
          <w:t>Gerda.Rubina@fm.gov.lv</w:t>
        </w:r>
      </w:hyperlink>
    </w:p>
    <w:p w:rsidR="009C1270" w:rsidRDefault="009C1270"/>
    <w:sectPr w:rsidR="009C1270" w:rsidSect="00F91D7C">
      <w:foot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DC" w:rsidRDefault="004A65DC" w:rsidP="00452524">
      <w:r>
        <w:separator/>
      </w:r>
    </w:p>
  </w:endnote>
  <w:endnote w:type="continuationSeparator" w:id="0">
    <w:p w:rsidR="004A65DC" w:rsidRDefault="004A65DC" w:rsidP="00452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524" w:rsidRPr="00452524" w:rsidRDefault="00452524" w:rsidP="00452524">
    <w:pPr>
      <w:pStyle w:val="Footer"/>
      <w:jc w:val="both"/>
      <w:rPr>
        <w:sz w:val="22"/>
      </w:rPr>
    </w:pPr>
    <w:r w:rsidRPr="00452524">
      <w:rPr>
        <w:sz w:val="22"/>
      </w:rPr>
      <w:t>FMAnot_</w:t>
    </w:r>
    <w:r w:rsidR="002C43DD">
      <w:rPr>
        <w:sz w:val="22"/>
      </w:rPr>
      <w:t>1004</w:t>
    </w:r>
    <w:r w:rsidR="00B35974">
      <w:rPr>
        <w:sz w:val="22"/>
      </w:rPr>
      <w:t>2014</w:t>
    </w:r>
    <w:r w:rsidRPr="00452524">
      <w:rPr>
        <w:sz w:val="22"/>
      </w:rPr>
      <w:t xml:space="preserve">_VP; </w:t>
    </w:r>
    <w:r w:rsidRPr="00452524">
      <w:rPr>
        <w:rFonts w:eastAsia="Times New Roman" w:cs="Times New Roman"/>
        <w:bCs/>
        <w:sz w:val="22"/>
        <w:lang w:eastAsia="lv-LV"/>
      </w:rPr>
      <w:t>Ministru kabineta noteikumu projekta „</w:t>
    </w:r>
    <w:r w:rsidRPr="00452524">
      <w:rPr>
        <w:sz w:val="22"/>
      </w:rPr>
      <w:t>Noteikumi par valsts parāda apkalpošanas izlīdzināto izdevumu aprēķināšanas metodoloģiju</w:t>
    </w:r>
    <w:r w:rsidRPr="00452524">
      <w:rPr>
        <w:rFonts w:eastAsia="Times New Roman" w:cs="Times New Roman"/>
        <w:bCs/>
        <w:sz w:val="22"/>
        <w:lang w:eastAsia="lv-LV"/>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DC" w:rsidRDefault="004A65DC" w:rsidP="00452524">
      <w:r>
        <w:separator/>
      </w:r>
    </w:p>
  </w:footnote>
  <w:footnote w:type="continuationSeparator" w:id="0">
    <w:p w:rsidR="004A65DC" w:rsidRDefault="004A65DC" w:rsidP="004525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237C4"/>
    <w:multiLevelType w:val="hybridMultilevel"/>
    <w:tmpl w:val="51A47B10"/>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
    <w:nsid w:val="16E8044A"/>
    <w:multiLevelType w:val="hybridMultilevel"/>
    <w:tmpl w:val="97C027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F1E7D4C"/>
    <w:multiLevelType w:val="hybridMultilevel"/>
    <w:tmpl w:val="21E4A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5DF05B4"/>
    <w:multiLevelType w:val="multilevel"/>
    <w:tmpl w:val="E752E992"/>
    <w:lvl w:ilvl="0">
      <w:start w:val="1"/>
      <w:numFmt w:val="decimal"/>
      <w:lvlText w:val="%1."/>
      <w:lvlJc w:val="left"/>
      <w:pPr>
        <w:ind w:left="644"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30F3229F"/>
    <w:multiLevelType w:val="hybridMultilevel"/>
    <w:tmpl w:val="21087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0762382"/>
    <w:multiLevelType w:val="hybridMultilevel"/>
    <w:tmpl w:val="BEF2C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A3C2C5A"/>
    <w:multiLevelType w:val="hybridMultilevel"/>
    <w:tmpl w:val="45124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1204F0D"/>
    <w:multiLevelType w:val="hybridMultilevel"/>
    <w:tmpl w:val="21E4AD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F28"/>
    <w:rsid w:val="00011C97"/>
    <w:rsid w:val="000217A0"/>
    <w:rsid w:val="00036F46"/>
    <w:rsid w:val="00064180"/>
    <w:rsid w:val="0006657F"/>
    <w:rsid w:val="000750D0"/>
    <w:rsid w:val="000C1E63"/>
    <w:rsid w:val="000C6145"/>
    <w:rsid w:val="000D3216"/>
    <w:rsid w:val="000F74CD"/>
    <w:rsid w:val="00100C0C"/>
    <w:rsid w:val="001023F9"/>
    <w:rsid w:val="001235B2"/>
    <w:rsid w:val="00124C57"/>
    <w:rsid w:val="001821C2"/>
    <w:rsid w:val="001B6CDD"/>
    <w:rsid w:val="001C5105"/>
    <w:rsid w:val="001D19AB"/>
    <w:rsid w:val="001F672F"/>
    <w:rsid w:val="00241F79"/>
    <w:rsid w:val="0024404D"/>
    <w:rsid w:val="00265F76"/>
    <w:rsid w:val="0028261E"/>
    <w:rsid w:val="002C43DD"/>
    <w:rsid w:val="00303118"/>
    <w:rsid w:val="0031373A"/>
    <w:rsid w:val="003159FE"/>
    <w:rsid w:val="00360BC0"/>
    <w:rsid w:val="0039645D"/>
    <w:rsid w:val="003F0EEE"/>
    <w:rsid w:val="0044712B"/>
    <w:rsid w:val="00452524"/>
    <w:rsid w:val="00454F74"/>
    <w:rsid w:val="0045544A"/>
    <w:rsid w:val="0046105F"/>
    <w:rsid w:val="00463C16"/>
    <w:rsid w:val="00491C11"/>
    <w:rsid w:val="004A65DC"/>
    <w:rsid w:val="004D05A7"/>
    <w:rsid w:val="005A1073"/>
    <w:rsid w:val="005C1E9B"/>
    <w:rsid w:val="005D2CB6"/>
    <w:rsid w:val="005D33BD"/>
    <w:rsid w:val="005D7056"/>
    <w:rsid w:val="005F10D7"/>
    <w:rsid w:val="00621D9A"/>
    <w:rsid w:val="00627C47"/>
    <w:rsid w:val="00661C67"/>
    <w:rsid w:val="00670F77"/>
    <w:rsid w:val="00682732"/>
    <w:rsid w:val="006A5F6C"/>
    <w:rsid w:val="006A6866"/>
    <w:rsid w:val="006C0F90"/>
    <w:rsid w:val="006E5F43"/>
    <w:rsid w:val="00726ADB"/>
    <w:rsid w:val="007343E2"/>
    <w:rsid w:val="00761D77"/>
    <w:rsid w:val="00764720"/>
    <w:rsid w:val="0078217F"/>
    <w:rsid w:val="007A540D"/>
    <w:rsid w:val="007D3DE6"/>
    <w:rsid w:val="007D6C79"/>
    <w:rsid w:val="008125E1"/>
    <w:rsid w:val="008244BB"/>
    <w:rsid w:val="0082709F"/>
    <w:rsid w:val="00831777"/>
    <w:rsid w:val="00836EFC"/>
    <w:rsid w:val="00864D90"/>
    <w:rsid w:val="008A1704"/>
    <w:rsid w:val="008C2EDF"/>
    <w:rsid w:val="008E049C"/>
    <w:rsid w:val="008F7F9D"/>
    <w:rsid w:val="009459F9"/>
    <w:rsid w:val="00954D22"/>
    <w:rsid w:val="0096068A"/>
    <w:rsid w:val="00983760"/>
    <w:rsid w:val="009C1270"/>
    <w:rsid w:val="009D0D99"/>
    <w:rsid w:val="009D17BB"/>
    <w:rsid w:val="009D4457"/>
    <w:rsid w:val="009D4DD7"/>
    <w:rsid w:val="009E0BC5"/>
    <w:rsid w:val="00A37485"/>
    <w:rsid w:val="00A419B7"/>
    <w:rsid w:val="00A6101B"/>
    <w:rsid w:val="00A72429"/>
    <w:rsid w:val="00A72A53"/>
    <w:rsid w:val="00B00B49"/>
    <w:rsid w:val="00B22D33"/>
    <w:rsid w:val="00B35974"/>
    <w:rsid w:val="00B81F2F"/>
    <w:rsid w:val="00B82784"/>
    <w:rsid w:val="00B92BE7"/>
    <w:rsid w:val="00BF4212"/>
    <w:rsid w:val="00C32727"/>
    <w:rsid w:val="00C36CA2"/>
    <w:rsid w:val="00C47F53"/>
    <w:rsid w:val="00C50E26"/>
    <w:rsid w:val="00C57E61"/>
    <w:rsid w:val="00C64AEC"/>
    <w:rsid w:val="00C66510"/>
    <w:rsid w:val="00D079F9"/>
    <w:rsid w:val="00D164E5"/>
    <w:rsid w:val="00D67B52"/>
    <w:rsid w:val="00DB512B"/>
    <w:rsid w:val="00E0563E"/>
    <w:rsid w:val="00E06B99"/>
    <w:rsid w:val="00E10F28"/>
    <w:rsid w:val="00E71110"/>
    <w:rsid w:val="00E80E9D"/>
    <w:rsid w:val="00E85820"/>
    <w:rsid w:val="00EB7746"/>
    <w:rsid w:val="00ED76A1"/>
    <w:rsid w:val="00F334CF"/>
    <w:rsid w:val="00F62F8E"/>
    <w:rsid w:val="00F90192"/>
    <w:rsid w:val="00F91D7C"/>
    <w:rsid w:val="00FA29AF"/>
    <w:rsid w:val="00FA54BE"/>
    <w:rsid w:val="00FC38FA"/>
    <w:rsid w:val="00FE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8E3D198-F407-4DAD-921C-35E28208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c">
    <w:name w:val="naisc"/>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kr">
    <w:name w:val="naiskr"/>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lab">
    <w:name w:val="naislab"/>
    <w:basedOn w:val="Normal"/>
    <w:rsid w:val="00E10F28"/>
    <w:pPr>
      <w:spacing w:before="100" w:beforeAutospacing="1" w:after="100" w:afterAutospacing="1"/>
    </w:pPr>
    <w:rPr>
      <w:rFonts w:eastAsia="Times New Roman" w:cs="Times New Roman"/>
      <w:sz w:val="24"/>
      <w:szCs w:val="24"/>
      <w:lang w:eastAsia="lv-LV"/>
    </w:rPr>
  </w:style>
  <w:style w:type="paragraph" w:customStyle="1" w:styleId="naisf">
    <w:name w:val="naisf"/>
    <w:basedOn w:val="Normal"/>
    <w:rsid w:val="00E10F28"/>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A540D"/>
    <w:pPr>
      <w:ind w:left="720"/>
      <w:contextualSpacing/>
      <w:jc w:val="both"/>
    </w:pPr>
    <w:rPr>
      <w:rFonts w:ascii="Calibri" w:eastAsia="Calibri" w:hAnsi="Calibri" w:cs="Times New Roman"/>
      <w:sz w:val="22"/>
    </w:rPr>
  </w:style>
  <w:style w:type="character" w:styleId="Hyperlink">
    <w:name w:val="Hyperlink"/>
    <w:rsid w:val="009C1270"/>
    <w:rPr>
      <w:rFonts w:ascii="Garamond" w:hAnsi="Garamond"/>
      <w:noProof w:val="0"/>
      <w:color w:val="0000FF"/>
      <w:u w:val="single"/>
      <w:lang w:val="lv-LV"/>
    </w:rPr>
  </w:style>
  <w:style w:type="paragraph" w:styleId="NormalWeb">
    <w:name w:val="Normal (Web)"/>
    <w:basedOn w:val="Normal"/>
    <w:uiPriority w:val="99"/>
    <w:unhideWhenUsed/>
    <w:rsid w:val="007D6C79"/>
    <w:pPr>
      <w:spacing w:before="100" w:beforeAutospacing="1" w:after="100" w:afterAutospacing="1"/>
    </w:pPr>
    <w:rPr>
      <w:rFonts w:eastAsia="Times New Roman" w:cs="Times New Roman"/>
      <w:sz w:val="24"/>
      <w:szCs w:val="24"/>
      <w:lang w:eastAsia="lv-LV"/>
    </w:rPr>
  </w:style>
  <w:style w:type="character" w:styleId="FollowedHyperlink">
    <w:name w:val="FollowedHyperlink"/>
    <w:basedOn w:val="DefaultParagraphFont"/>
    <w:uiPriority w:val="99"/>
    <w:semiHidden/>
    <w:unhideWhenUsed/>
    <w:rsid w:val="00983760"/>
    <w:rPr>
      <w:color w:val="800080" w:themeColor="followedHyperlink"/>
      <w:u w:val="single"/>
    </w:rPr>
  </w:style>
  <w:style w:type="paragraph" w:styleId="BalloonText">
    <w:name w:val="Balloon Text"/>
    <w:basedOn w:val="Normal"/>
    <w:link w:val="BalloonTextChar"/>
    <w:uiPriority w:val="99"/>
    <w:semiHidden/>
    <w:unhideWhenUsed/>
    <w:rsid w:val="005F10D7"/>
    <w:rPr>
      <w:rFonts w:ascii="Tahoma" w:hAnsi="Tahoma" w:cs="Tahoma"/>
      <w:sz w:val="16"/>
      <w:szCs w:val="16"/>
    </w:rPr>
  </w:style>
  <w:style w:type="character" w:customStyle="1" w:styleId="BalloonTextChar">
    <w:name w:val="Balloon Text Char"/>
    <w:basedOn w:val="DefaultParagraphFont"/>
    <w:link w:val="BalloonText"/>
    <w:uiPriority w:val="99"/>
    <w:semiHidden/>
    <w:rsid w:val="005F10D7"/>
    <w:rPr>
      <w:rFonts w:ascii="Tahoma" w:hAnsi="Tahoma" w:cs="Tahoma"/>
      <w:sz w:val="16"/>
      <w:szCs w:val="16"/>
    </w:rPr>
  </w:style>
  <w:style w:type="character" w:styleId="CommentReference">
    <w:name w:val="annotation reference"/>
    <w:basedOn w:val="DefaultParagraphFont"/>
    <w:uiPriority w:val="99"/>
    <w:semiHidden/>
    <w:unhideWhenUsed/>
    <w:rsid w:val="00124C57"/>
    <w:rPr>
      <w:sz w:val="16"/>
      <w:szCs w:val="16"/>
    </w:rPr>
  </w:style>
  <w:style w:type="paragraph" w:styleId="CommentText">
    <w:name w:val="annotation text"/>
    <w:basedOn w:val="Normal"/>
    <w:link w:val="CommentTextChar"/>
    <w:uiPriority w:val="99"/>
    <w:semiHidden/>
    <w:unhideWhenUsed/>
    <w:rsid w:val="00124C57"/>
    <w:rPr>
      <w:sz w:val="20"/>
      <w:szCs w:val="20"/>
    </w:rPr>
  </w:style>
  <w:style w:type="character" w:customStyle="1" w:styleId="CommentTextChar">
    <w:name w:val="Comment Text Char"/>
    <w:basedOn w:val="DefaultParagraphFont"/>
    <w:link w:val="CommentText"/>
    <w:uiPriority w:val="99"/>
    <w:semiHidden/>
    <w:rsid w:val="00124C57"/>
    <w:rPr>
      <w:sz w:val="20"/>
      <w:szCs w:val="20"/>
    </w:rPr>
  </w:style>
  <w:style w:type="paragraph" w:styleId="CommentSubject">
    <w:name w:val="annotation subject"/>
    <w:basedOn w:val="CommentText"/>
    <w:next w:val="CommentText"/>
    <w:link w:val="CommentSubjectChar"/>
    <w:uiPriority w:val="99"/>
    <w:semiHidden/>
    <w:unhideWhenUsed/>
    <w:rsid w:val="00124C57"/>
    <w:rPr>
      <w:b/>
      <w:bCs/>
    </w:rPr>
  </w:style>
  <w:style w:type="character" w:customStyle="1" w:styleId="CommentSubjectChar">
    <w:name w:val="Comment Subject Char"/>
    <w:basedOn w:val="CommentTextChar"/>
    <w:link w:val="CommentSubject"/>
    <w:uiPriority w:val="99"/>
    <w:semiHidden/>
    <w:rsid w:val="00124C57"/>
    <w:rPr>
      <w:b/>
      <w:bCs/>
      <w:sz w:val="20"/>
      <w:szCs w:val="20"/>
    </w:rPr>
  </w:style>
  <w:style w:type="paragraph" w:styleId="Header">
    <w:name w:val="header"/>
    <w:basedOn w:val="Normal"/>
    <w:link w:val="HeaderChar"/>
    <w:uiPriority w:val="99"/>
    <w:unhideWhenUsed/>
    <w:rsid w:val="00452524"/>
    <w:pPr>
      <w:tabs>
        <w:tab w:val="center" w:pos="4153"/>
        <w:tab w:val="right" w:pos="8306"/>
      </w:tabs>
    </w:pPr>
  </w:style>
  <w:style w:type="character" w:customStyle="1" w:styleId="HeaderChar">
    <w:name w:val="Header Char"/>
    <w:basedOn w:val="DefaultParagraphFont"/>
    <w:link w:val="Header"/>
    <w:uiPriority w:val="99"/>
    <w:rsid w:val="00452524"/>
  </w:style>
  <w:style w:type="paragraph" w:styleId="Footer">
    <w:name w:val="footer"/>
    <w:basedOn w:val="Normal"/>
    <w:link w:val="FooterChar"/>
    <w:uiPriority w:val="99"/>
    <w:unhideWhenUsed/>
    <w:rsid w:val="00452524"/>
    <w:pPr>
      <w:tabs>
        <w:tab w:val="center" w:pos="4153"/>
        <w:tab w:val="right" w:pos="8306"/>
      </w:tabs>
    </w:pPr>
  </w:style>
  <w:style w:type="character" w:customStyle="1" w:styleId="FooterChar">
    <w:name w:val="Footer Char"/>
    <w:basedOn w:val="DefaultParagraphFont"/>
    <w:link w:val="Footer"/>
    <w:uiPriority w:val="99"/>
    <w:rsid w:val="00452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1945">
      <w:bodyDiv w:val="1"/>
      <w:marLeft w:val="0"/>
      <w:marRight w:val="0"/>
      <w:marTop w:val="0"/>
      <w:marBottom w:val="0"/>
      <w:divBdr>
        <w:top w:val="none" w:sz="0" w:space="0" w:color="auto"/>
        <w:left w:val="none" w:sz="0" w:space="0" w:color="auto"/>
        <w:bottom w:val="none" w:sz="0" w:space="0" w:color="auto"/>
        <w:right w:val="none" w:sz="0" w:space="0" w:color="auto"/>
      </w:divBdr>
    </w:div>
    <w:div w:id="994384008">
      <w:bodyDiv w:val="1"/>
      <w:marLeft w:val="0"/>
      <w:marRight w:val="0"/>
      <w:marTop w:val="0"/>
      <w:marBottom w:val="0"/>
      <w:divBdr>
        <w:top w:val="none" w:sz="0" w:space="0" w:color="auto"/>
        <w:left w:val="none" w:sz="0" w:space="0" w:color="auto"/>
        <w:bottom w:val="none" w:sz="0" w:space="0" w:color="auto"/>
        <w:right w:val="none" w:sz="0" w:space="0" w:color="auto"/>
      </w:divBdr>
    </w:div>
    <w:div w:id="1734884818">
      <w:bodyDiv w:val="1"/>
      <w:marLeft w:val="0"/>
      <w:marRight w:val="0"/>
      <w:marTop w:val="0"/>
      <w:marBottom w:val="0"/>
      <w:divBdr>
        <w:top w:val="none" w:sz="0" w:space="0" w:color="auto"/>
        <w:left w:val="none" w:sz="0" w:space="0" w:color="auto"/>
        <w:bottom w:val="none" w:sz="0" w:space="0" w:color="auto"/>
        <w:right w:val="none" w:sz="0" w:space="0" w:color="auto"/>
      </w:divBdr>
      <w:divsChild>
        <w:div w:id="1457527115">
          <w:marLeft w:val="0"/>
          <w:marRight w:val="0"/>
          <w:marTop w:val="0"/>
          <w:marBottom w:val="0"/>
          <w:divBdr>
            <w:top w:val="none" w:sz="0" w:space="0" w:color="auto"/>
            <w:left w:val="none" w:sz="0" w:space="0" w:color="auto"/>
            <w:bottom w:val="none" w:sz="0" w:space="0" w:color="auto"/>
            <w:right w:val="none" w:sz="0" w:space="0" w:color="auto"/>
          </w:divBdr>
          <w:divsChild>
            <w:div w:id="1178496850">
              <w:marLeft w:val="0"/>
              <w:marRight w:val="0"/>
              <w:marTop w:val="0"/>
              <w:marBottom w:val="0"/>
              <w:divBdr>
                <w:top w:val="none" w:sz="0" w:space="0" w:color="auto"/>
                <w:left w:val="none" w:sz="0" w:space="0" w:color="auto"/>
                <w:bottom w:val="none" w:sz="0" w:space="0" w:color="auto"/>
                <w:right w:val="none" w:sz="0" w:space="0" w:color="auto"/>
              </w:divBdr>
              <w:divsChild>
                <w:div w:id="473570364">
                  <w:marLeft w:val="0"/>
                  <w:marRight w:val="0"/>
                  <w:marTop w:val="0"/>
                  <w:marBottom w:val="0"/>
                  <w:divBdr>
                    <w:top w:val="none" w:sz="0" w:space="0" w:color="auto"/>
                    <w:left w:val="none" w:sz="0" w:space="0" w:color="auto"/>
                    <w:bottom w:val="none" w:sz="0" w:space="0" w:color="auto"/>
                    <w:right w:val="none" w:sz="0" w:space="0" w:color="auto"/>
                  </w:divBdr>
                  <w:divsChild>
                    <w:div w:id="350690697">
                      <w:marLeft w:val="0"/>
                      <w:marRight w:val="0"/>
                      <w:marTop w:val="0"/>
                      <w:marBottom w:val="0"/>
                      <w:divBdr>
                        <w:top w:val="none" w:sz="0" w:space="0" w:color="auto"/>
                        <w:left w:val="none" w:sz="0" w:space="0" w:color="auto"/>
                        <w:bottom w:val="none" w:sz="0" w:space="0" w:color="auto"/>
                        <w:right w:val="none" w:sz="0" w:space="0" w:color="auto"/>
                      </w:divBdr>
                      <w:divsChild>
                        <w:div w:id="819419852">
                          <w:marLeft w:val="0"/>
                          <w:marRight w:val="0"/>
                          <w:marTop w:val="300"/>
                          <w:marBottom w:val="0"/>
                          <w:divBdr>
                            <w:top w:val="none" w:sz="0" w:space="0" w:color="auto"/>
                            <w:left w:val="none" w:sz="0" w:space="0" w:color="auto"/>
                            <w:bottom w:val="none" w:sz="0" w:space="0" w:color="auto"/>
                            <w:right w:val="none" w:sz="0" w:space="0" w:color="auto"/>
                          </w:divBdr>
                          <w:divsChild>
                            <w:div w:id="6722947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141227">
      <w:bodyDiv w:val="1"/>
      <w:marLeft w:val="0"/>
      <w:marRight w:val="0"/>
      <w:marTop w:val="0"/>
      <w:marBottom w:val="0"/>
      <w:divBdr>
        <w:top w:val="none" w:sz="0" w:space="0" w:color="auto"/>
        <w:left w:val="none" w:sz="0" w:space="0" w:color="auto"/>
        <w:bottom w:val="none" w:sz="0" w:space="0" w:color="auto"/>
        <w:right w:val="none" w:sz="0" w:space="0" w:color="auto"/>
      </w:divBdr>
      <w:divsChild>
        <w:div w:id="172995905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da.Rubina@fm.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A8E56-F3AA-4B19-8447-35990F72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2004</Words>
  <Characters>1143</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Noteikumi par valsts parāda apkalpošanas izlīdzināto izdevumu aprēķināšanas metodoloģiju</vt:lpstr>
    </vt:vector>
  </TitlesOfParts>
  <Company>Finanšu ministrija</Company>
  <LinksUpToDate>false</LinksUpToDate>
  <CharactersWithSpaces>3141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valsts parāda apkalpošanas izlīdzināto izdevumu aprēķināšanas metodoloģiju</dc:title>
  <dc:subject>Anotācija</dc:subject>
  <dc:creator>Gerda Rubīna</dc:creator>
  <cp:keywords/>
  <dc:description>gerda.rubina@fm.gov.lv
67083911</dc:description>
  <cp:lastModifiedBy>Gerda Rubīna</cp:lastModifiedBy>
  <cp:revision>22</cp:revision>
  <cp:lastPrinted>2014-04-10T06:57:00Z</cp:lastPrinted>
  <dcterms:created xsi:type="dcterms:W3CDTF">2013-09-23T11:57:00Z</dcterms:created>
  <dcterms:modified xsi:type="dcterms:W3CDTF">2014-04-10T10:38:00Z</dcterms:modified>
</cp:coreProperties>
</file>