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DA" w:rsidRDefault="00F7064A" w:rsidP="001E288B">
      <w:pPr>
        <w:pStyle w:val="naisvisr"/>
        <w:spacing w:before="0" w:after="0" w:line="20" w:lineRule="atLeast"/>
        <w:rPr>
          <w:sz w:val="24"/>
          <w:szCs w:val="24"/>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r w:rsidRPr="000841C6">
        <w:rPr>
          <w:sz w:val="24"/>
          <w:szCs w:val="24"/>
        </w:rPr>
        <w:t xml:space="preserve">Ministru kabineta </w:t>
      </w:r>
      <w:r w:rsidR="00331976" w:rsidRPr="000841C6">
        <w:rPr>
          <w:sz w:val="24"/>
          <w:szCs w:val="24"/>
        </w:rPr>
        <w:t>rīkojuma</w:t>
      </w:r>
      <w:r w:rsidRPr="000841C6">
        <w:rPr>
          <w:sz w:val="24"/>
          <w:szCs w:val="24"/>
        </w:rPr>
        <w:t xml:space="preserve"> projekta</w:t>
      </w:r>
      <w:r w:rsidR="00D40CD7" w:rsidRPr="000841C6">
        <w:rPr>
          <w:sz w:val="24"/>
          <w:szCs w:val="24"/>
        </w:rPr>
        <w:t xml:space="preserve"> </w:t>
      </w:r>
      <w:r w:rsidR="00B8569E" w:rsidRPr="000841C6">
        <w:rPr>
          <w:sz w:val="24"/>
          <w:szCs w:val="24"/>
        </w:rPr>
        <w:t>„</w:t>
      </w:r>
      <w:bookmarkStart w:id="8" w:name="OLE_LINK6"/>
      <w:bookmarkStart w:id="9" w:name="OLE_LINK7"/>
      <w:r w:rsidR="009421EE" w:rsidRPr="000841C6">
        <w:rPr>
          <w:sz w:val="24"/>
          <w:szCs w:val="24"/>
        </w:rPr>
        <w:t xml:space="preserve">Grozījumi Ministru kabineta 2012.gada 3.oktobra rīkojumā Nr.465 </w:t>
      </w:r>
      <w:bookmarkStart w:id="10" w:name="OLE_LINK13"/>
      <w:r w:rsidR="00255F53">
        <w:rPr>
          <w:sz w:val="24"/>
          <w:szCs w:val="24"/>
        </w:rPr>
        <w:t>„</w:t>
      </w:r>
      <w:r w:rsidR="009421EE" w:rsidRPr="000841C6">
        <w:rPr>
          <w:sz w:val="24"/>
          <w:szCs w:val="24"/>
        </w:rPr>
        <w:t>Par finansējuma piešķiršanu administratīvās ēkas un garāžas ēkas Jūras ielā 34, Ventspilī, būvniecības projekta un nomas maksas izdevumu segšanai</w:t>
      </w:r>
      <w:bookmarkEnd w:id="10"/>
      <w:r w:rsidR="00255F53">
        <w:rPr>
          <w:sz w:val="24"/>
          <w:szCs w:val="24"/>
        </w:rPr>
        <w:t>””</w:t>
      </w:r>
      <w:r w:rsidR="008C5A08" w:rsidRPr="000841C6">
        <w:rPr>
          <w:sz w:val="24"/>
          <w:szCs w:val="24"/>
        </w:rPr>
        <w:t xml:space="preserve"> </w:t>
      </w:r>
      <w:r w:rsidR="001744C8" w:rsidRPr="000841C6">
        <w:rPr>
          <w:sz w:val="24"/>
          <w:szCs w:val="24"/>
        </w:rPr>
        <w:t xml:space="preserve">sākotnējās ietekmes novērtējuma </w:t>
      </w:r>
      <w:smartTag w:uri="schemas-tilde-lv/tildestengine" w:element="veidnes">
        <w:smartTagPr>
          <w:attr w:name="text" w:val="ziņojums"/>
          <w:attr w:name="baseform" w:val="ziņojums"/>
          <w:attr w:name="id" w:val="-1"/>
        </w:smartTagPr>
        <w:r w:rsidR="001744C8" w:rsidRPr="000841C6">
          <w:rPr>
            <w:sz w:val="24"/>
            <w:szCs w:val="24"/>
          </w:rPr>
          <w:t>ziņojums</w:t>
        </w:r>
      </w:smartTag>
      <w:r w:rsidR="001744C8" w:rsidRPr="000841C6">
        <w:rPr>
          <w:sz w:val="24"/>
          <w:szCs w:val="24"/>
        </w:rPr>
        <w:t xml:space="preserve"> (anotācija</w:t>
      </w:r>
      <w:bookmarkEnd w:id="0"/>
      <w:bookmarkEnd w:id="1"/>
      <w:r w:rsidR="001744C8" w:rsidRPr="000841C6">
        <w:rPr>
          <w:sz w:val="24"/>
          <w:szCs w:val="24"/>
        </w:rPr>
        <w:t>)</w:t>
      </w:r>
      <w:bookmarkEnd w:id="2"/>
      <w:bookmarkEnd w:id="3"/>
      <w:bookmarkEnd w:id="8"/>
      <w:bookmarkEnd w:id="9"/>
    </w:p>
    <w:tbl>
      <w:tblPr>
        <w:tblpPr w:leftFromText="180" w:rightFromText="180" w:vertAnchor="text" w:horzAnchor="margin" w:tblpXSpec="center" w:tblpY="149"/>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1800"/>
        <w:gridCol w:w="7938"/>
      </w:tblGrid>
      <w:tr w:rsidR="00C94AB7" w:rsidRPr="00317B9D" w:rsidTr="00C94AB7">
        <w:tc>
          <w:tcPr>
            <w:tcW w:w="5000" w:type="pct"/>
            <w:gridSpan w:val="3"/>
            <w:vAlign w:val="center"/>
          </w:tcPr>
          <w:p w:rsidR="00C94AB7" w:rsidRPr="00317B9D" w:rsidRDefault="00C94AB7" w:rsidP="00C94AB7">
            <w:pPr>
              <w:pStyle w:val="naisnod"/>
              <w:spacing w:before="120" w:beforeAutospacing="0" w:after="120" w:afterAutospacing="0"/>
              <w:jc w:val="center"/>
              <w:rPr>
                <w:b/>
              </w:rPr>
            </w:pPr>
            <w:r w:rsidRPr="00317B9D">
              <w:rPr>
                <w:b/>
              </w:rPr>
              <w:t>I. Tiesību akta projekta izstrādes nepieciešamība</w:t>
            </w:r>
          </w:p>
        </w:tc>
      </w:tr>
      <w:tr w:rsidR="00C94AB7" w:rsidRPr="00317B9D" w:rsidTr="00C94AB7">
        <w:trPr>
          <w:trHeight w:val="630"/>
        </w:trPr>
        <w:tc>
          <w:tcPr>
            <w:tcW w:w="223" w:type="pct"/>
          </w:tcPr>
          <w:p w:rsidR="00C94AB7" w:rsidRPr="00317B9D" w:rsidRDefault="00C94AB7" w:rsidP="00C94AB7">
            <w:pPr>
              <w:pStyle w:val="naiskr"/>
              <w:spacing w:before="0" w:after="0"/>
            </w:pPr>
            <w:r w:rsidRPr="00317B9D">
              <w:t>1.</w:t>
            </w:r>
          </w:p>
        </w:tc>
        <w:tc>
          <w:tcPr>
            <w:tcW w:w="883" w:type="pct"/>
          </w:tcPr>
          <w:p w:rsidR="00C94AB7" w:rsidRPr="00317B9D" w:rsidRDefault="00C94AB7" w:rsidP="00C94AB7">
            <w:pPr>
              <w:pStyle w:val="naiskr"/>
              <w:spacing w:before="0" w:after="0"/>
              <w:ind w:left="135" w:hanging="10"/>
            </w:pPr>
            <w:r w:rsidRPr="00317B9D">
              <w:t>Pamatojums</w:t>
            </w:r>
          </w:p>
        </w:tc>
        <w:tc>
          <w:tcPr>
            <w:tcW w:w="3894" w:type="pct"/>
            <w:tcBorders>
              <w:bottom w:val="single" w:sz="4" w:space="0" w:color="auto"/>
            </w:tcBorders>
          </w:tcPr>
          <w:p w:rsidR="00C94AB7" w:rsidRPr="00317B9D" w:rsidRDefault="00C94AB7" w:rsidP="00C94AB7">
            <w:pPr>
              <w:spacing w:after="120" w:line="240" w:lineRule="auto"/>
              <w:ind w:left="141" w:right="159"/>
              <w:jc w:val="both"/>
              <w:rPr>
                <w:rFonts w:ascii="Times New Roman" w:hAnsi="Times New Roman"/>
                <w:iCs/>
                <w:sz w:val="24"/>
                <w:szCs w:val="24"/>
              </w:rPr>
            </w:pPr>
            <w:r w:rsidRPr="000841C6">
              <w:rPr>
                <w:rFonts w:ascii="Times New Roman" w:hAnsi="Times New Roman"/>
                <w:sz w:val="24"/>
                <w:szCs w:val="24"/>
              </w:rPr>
              <w:t xml:space="preserve">Ministru kabineta rīkojuma projekts „Grozījumi Ministru kabineta 2012.gada 3.oktobra rīkojumā Nr.465 </w:t>
            </w:r>
            <w:r>
              <w:rPr>
                <w:rFonts w:ascii="Times New Roman" w:hAnsi="Times New Roman"/>
                <w:sz w:val="24"/>
                <w:szCs w:val="24"/>
              </w:rPr>
              <w:t>„</w:t>
            </w:r>
            <w:r w:rsidRPr="000841C6">
              <w:rPr>
                <w:rFonts w:ascii="Times New Roman" w:hAnsi="Times New Roman"/>
                <w:sz w:val="24"/>
                <w:szCs w:val="24"/>
              </w:rPr>
              <w:t xml:space="preserve">Par finansējuma piešķiršanu administratīvās ēkas un garāžas ēkas Jūras ielā 34, Ventspilī, būvniecības projekta un nomas maksas izdevumu segšanai”” (turpmāk – </w:t>
            </w:r>
            <w:r>
              <w:rPr>
                <w:rFonts w:ascii="Times New Roman" w:hAnsi="Times New Roman"/>
                <w:sz w:val="24"/>
                <w:szCs w:val="24"/>
              </w:rPr>
              <w:t>MK</w:t>
            </w:r>
            <w:r w:rsidRPr="000841C6">
              <w:rPr>
                <w:rFonts w:ascii="Times New Roman" w:hAnsi="Times New Roman"/>
                <w:sz w:val="24"/>
                <w:szCs w:val="24"/>
              </w:rPr>
              <w:t xml:space="preserve"> rīkojuma projekts) sagatavots, lai precizētu Ministru kabineta 2012.gada 3.oktobra rīkojumā Nr.465 </w:t>
            </w:r>
            <w:r>
              <w:rPr>
                <w:rFonts w:ascii="Times New Roman" w:hAnsi="Times New Roman"/>
                <w:sz w:val="24"/>
                <w:szCs w:val="24"/>
              </w:rPr>
              <w:t>„</w:t>
            </w:r>
            <w:r w:rsidRPr="000841C6">
              <w:rPr>
                <w:rFonts w:ascii="Times New Roman" w:hAnsi="Times New Roman"/>
                <w:sz w:val="24"/>
                <w:szCs w:val="24"/>
              </w:rPr>
              <w:t xml:space="preserve">Par finansējuma piešķiršanu administratīvās ēkas un garāžas ēkas Jūras ielā 34, Ventspilī, būvniecības projekta un nomas maksas izdevumu segšanai” </w:t>
            </w:r>
            <w:r>
              <w:rPr>
                <w:rFonts w:ascii="Times New Roman" w:hAnsi="Times New Roman"/>
                <w:sz w:val="24"/>
                <w:szCs w:val="24"/>
              </w:rPr>
              <w:t>(turpmāk – MK</w:t>
            </w:r>
            <w:r w:rsidRPr="000841C6">
              <w:rPr>
                <w:rFonts w:ascii="Times New Roman" w:hAnsi="Times New Roman"/>
                <w:sz w:val="24"/>
                <w:szCs w:val="24"/>
              </w:rPr>
              <w:t xml:space="preserve"> rīkojum</w:t>
            </w:r>
            <w:r>
              <w:rPr>
                <w:rFonts w:ascii="Times New Roman" w:hAnsi="Times New Roman"/>
                <w:sz w:val="24"/>
                <w:szCs w:val="24"/>
              </w:rPr>
              <w:t xml:space="preserve">s Nr.465) </w:t>
            </w:r>
            <w:r w:rsidRPr="000841C6">
              <w:rPr>
                <w:rFonts w:ascii="Times New Roman" w:hAnsi="Times New Roman"/>
                <w:sz w:val="24"/>
                <w:szCs w:val="24"/>
              </w:rPr>
              <w:t>dotos uzdevumus.</w:t>
            </w:r>
          </w:p>
        </w:tc>
      </w:tr>
      <w:tr w:rsidR="00C94AB7" w:rsidRPr="00317B9D" w:rsidTr="00C94AB7">
        <w:trPr>
          <w:trHeight w:val="472"/>
        </w:trPr>
        <w:tc>
          <w:tcPr>
            <w:tcW w:w="223" w:type="pct"/>
          </w:tcPr>
          <w:p w:rsidR="00C94AB7" w:rsidRPr="00317B9D" w:rsidRDefault="00C94AB7" w:rsidP="00C94AB7">
            <w:pPr>
              <w:pStyle w:val="naiskr"/>
              <w:spacing w:before="0" w:after="0"/>
            </w:pPr>
            <w:r w:rsidRPr="00317B9D">
              <w:t>2.</w:t>
            </w:r>
          </w:p>
        </w:tc>
        <w:tc>
          <w:tcPr>
            <w:tcW w:w="883" w:type="pct"/>
          </w:tcPr>
          <w:p w:rsidR="00C94AB7" w:rsidRPr="00317B9D" w:rsidRDefault="00C94AB7" w:rsidP="00C94AB7">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3894" w:type="pct"/>
            <w:shd w:val="clear" w:color="auto" w:fill="auto"/>
          </w:tcPr>
          <w:p w:rsidR="00C94AB7" w:rsidRPr="000841C6" w:rsidRDefault="00C94AB7" w:rsidP="00C94AB7">
            <w:pPr>
              <w:spacing w:after="120" w:line="240" w:lineRule="auto"/>
              <w:ind w:left="57" w:right="159" w:firstLine="11"/>
              <w:jc w:val="both"/>
              <w:rPr>
                <w:rFonts w:ascii="Times New Roman" w:hAnsi="Times New Roman"/>
                <w:sz w:val="24"/>
                <w:szCs w:val="24"/>
              </w:rPr>
            </w:pPr>
            <w:r w:rsidRPr="000841C6">
              <w:rPr>
                <w:rFonts w:ascii="Times New Roman" w:hAnsi="Times New Roman"/>
                <w:sz w:val="24"/>
                <w:szCs w:val="24"/>
              </w:rPr>
              <w:t>Pamatojoties uz</w:t>
            </w:r>
            <w:r>
              <w:rPr>
                <w:rFonts w:ascii="Times New Roman" w:hAnsi="Times New Roman"/>
                <w:sz w:val="24"/>
                <w:szCs w:val="24"/>
              </w:rPr>
              <w:t xml:space="preserve"> MK</w:t>
            </w:r>
            <w:r w:rsidRPr="000841C6">
              <w:rPr>
                <w:rFonts w:ascii="Times New Roman" w:hAnsi="Times New Roman"/>
                <w:sz w:val="24"/>
                <w:szCs w:val="24"/>
              </w:rPr>
              <w:t xml:space="preserve"> rīkojum</w:t>
            </w:r>
            <w:r>
              <w:rPr>
                <w:rFonts w:ascii="Times New Roman" w:hAnsi="Times New Roman"/>
                <w:sz w:val="24"/>
                <w:szCs w:val="24"/>
              </w:rPr>
              <w:t>a Nr.465</w:t>
            </w:r>
            <w:r w:rsidRPr="000841C6">
              <w:rPr>
                <w:rFonts w:ascii="Times New Roman" w:hAnsi="Times New Roman"/>
                <w:sz w:val="24"/>
                <w:szCs w:val="24"/>
              </w:rPr>
              <w:t>:</w:t>
            </w:r>
          </w:p>
          <w:p w:rsidR="00C94AB7" w:rsidRDefault="00C94AB7" w:rsidP="00C94AB7">
            <w:pPr>
              <w:pStyle w:val="ListParagraph"/>
              <w:numPr>
                <w:ilvl w:val="0"/>
                <w:numId w:val="20"/>
              </w:numPr>
              <w:spacing w:after="120"/>
              <w:ind w:left="289" w:right="159" w:hanging="159"/>
              <w:contextualSpacing w:val="0"/>
              <w:jc w:val="both"/>
              <w:rPr>
                <w:rFonts w:ascii="Times New Roman" w:hAnsi="Times New Roman"/>
                <w:iCs/>
                <w:sz w:val="24"/>
                <w:szCs w:val="24"/>
                <w:lang w:eastAsia="lv-LV"/>
              </w:rPr>
            </w:pPr>
            <w:r w:rsidRPr="000107D1">
              <w:rPr>
                <w:rFonts w:ascii="Times New Roman" w:hAnsi="Times New Roman"/>
                <w:iCs/>
                <w:sz w:val="24"/>
                <w:szCs w:val="24"/>
                <w:lang w:eastAsia="lv-LV"/>
              </w:rPr>
              <w:t>1.2.apakšpunktu, Finanšu ministrijai (turpmāk – FM) dots uzdevums nodrošināt administratīvās ēkas un garāžas ēkas Jūras ielā 34, Ventspilī, renovācijas darbu pabeigšanu līdz</w:t>
            </w:r>
            <w:r>
              <w:rPr>
                <w:rFonts w:ascii="Times New Roman" w:hAnsi="Times New Roman"/>
                <w:iCs/>
                <w:sz w:val="24"/>
                <w:szCs w:val="24"/>
                <w:lang w:eastAsia="lv-LV"/>
              </w:rPr>
              <w:t xml:space="preserve"> </w:t>
            </w:r>
            <w:r w:rsidRPr="000107D1">
              <w:rPr>
                <w:rFonts w:ascii="Times New Roman" w:hAnsi="Times New Roman"/>
                <w:iCs/>
                <w:sz w:val="24"/>
                <w:szCs w:val="24"/>
                <w:lang w:eastAsia="lv-LV"/>
              </w:rPr>
              <w:t>2015.gada 1.oktobrim, nosakot, ka plānotais attiecīgo ēku nomas līguma sākuma termiņš ir 2015.gada 2.oktobris;</w:t>
            </w:r>
          </w:p>
          <w:p w:rsidR="00C94AB7" w:rsidRDefault="00C94AB7" w:rsidP="00C94AB7">
            <w:pPr>
              <w:pStyle w:val="ListParagraph"/>
              <w:numPr>
                <w:ilvl w:val="0"/>
                <w:numId w:val="20"/>
              </w:numPr>
              <w:spacing w:after="120"/>
              <w:ind w:left="289" w:right="159" w:hanging="159"/>
              <w:contextualSpacing w:val="0"/>
              <w:jc w:val="both"/>
              <w:rPr>
                <w:rFonts w:ascii="Times New Roman" w:hAnsi="Times New Roman"/>
                <w:iCs/>
                <w:sz w:val="24"/>
                <w:szCs w:val="24"/>
                <w:lang w:eastAsia="lv-LV"/>
              </w:rPr>
            </w:pPr>
            <w:r>
              <w:rPr>
                <w:rFonts w:ascii="Times New Roman" w:hAnsi="Times New Roman"/>
                <w:iCs/>
                <w:sz w:val="24"/>
                <w:szCs w:val="24"/>
                <w:lang w:eastAsia="lv-LV"/>
              </w:rPr>
              <w:t>1.</w:t>
            </w:r>
            <w:r w:rsidRPr="000107D1">
              <w:rPr>
                <w:rFonts w:ascii="Times New Roman" w:hAnsi="Times New Roman"/>
                <w:iCs/>
                <w:sz w:val="24"/>
                <w:szCs w:val="24"/>
                <w:vertAlign w:val="superscript"/>
                <w:lang w:eastAsia="lv-LV"/>
              </w:rPr>
              <w:t>1</w:t>
            </w:r>
            <w:r>
              <w:rPr>
                <w:rFonts w:ascii="Times New Roman" w:hAnsi="Times New Roman"/>
                <w:iCs/>
                <w:sz w:val="24"/>
                <w:szCs w:val="24"/>
                <w:lang w:eastAsia="lv-LV"/>
              </w:rPr>
              <w:t xml:space="preserve"> </w:t>
            </w:r>
            <w:r w:rsidRPr="000107D1">
              <w:rPr>
                <w:rFonts w:ascii="Times New Roman" w:hAnsi="Times New Roman"/>
                <w:iCs/>
                <w:sz w:val="24"/>
                <w:szCs w:val="24"/>
                <w:lang w:eastAsia="lv-LV"/>
              </w:rPr>
              <w:t>punktu likum</w:t>
            </w:r>
            <w:r>
              <w:rPr>
                <w:rFonts w:ascii="Times New Roman" w:hAnsi="Times New Roman"/>
                <w:iCs/>
                <w:sz w:val="24"/>
                <w:szCs w:val="24"/>
                <w:lang w:eastAsia="lv-LV"/>
              </w:rPr>
              <w:t>ā</w:t>
            </w:r>
            <w:r w:rsidRPr="000107D1">
              <w:rPr>
                <w:rFonts w:ascii="Times New Roman" w:hAnsi="Times New Roman"/>
                <w:iCs/>
                <w:sz w:val="24"/>
                <w:szCs w:val="24"/>
                <w:lang w:eastAsia="lv-LV"/>
              </w:rPr>
              <w:t xml:space="preserve"> „Par vidēja termiņa budžeta ietvaru 2014., 2015. un 2016.gadam”</w:t>
            </w:r>
            <w:r>
              <w:rPr>
                <w:rFonts w:ascii="Times New Roman" w:hAnsi="Times New Roman"/>
                <w:iCs/>
                <w:sz w:val="24"/>
                <w:szCs w:val="24"/>
                <w:lang w:eastAsia="lv-LV"/>
              </w:rPr>
              <w:t xml:space="preserve"> </w:t>
            </w:r>
            <w:r w:rsidRPr="000107D1">
              <w:rPr>
                <w:rFonts w:ascii="Times New Roman" w:hAnsi="Times New Roman"/>
                <w:iCs/>
                <w:sz w:val="24"/>
                <w:szCs w:val="24"/>
                <w:lang w:eastAsia="lv-LV"/>
              </w:rPr>
              <w:t xml:space="preserve">un likumā „Par valsts budžetu 2014.gadam” FM budžetā paredzētas ilgtermiņa saistības </w:t>
            </w:r>
            <w:r w:rsidR="00FD7E34" w:rsidRPr="000107D1">
              <w:rPr>
                <w:rFonts w:ascii="Times New Roman" w:hAnsi="Times New Roman"/>
                <w:iCs/>
                <w:sz w:val="24"/>
                <w:szCs w:val="24"/>
                <w:lang w:eastAsia="lv-LV"/>
              </w:rPr>
              <w:t>valsts akciju sabiedrībai „Valsts nekustamie īpašumi” (turpmāk – VNĪ)</w:t>
            </w:r>
            <w:r w:rsidRPr="000107D1">
              <w:rPr>
                <w:rFonts w:ascii="Times New Roman" w:hAnsi="Times New Roman"/>
                <w:iCs/>
                <w:sz w:val="24"/>
                <w:szCs w:val="24"/>
                <w:lang w:eastAsia="lv-LV"/>
              </w:rPr>
              <w:t xml:space="preserve"> administratīvās ēkas un garāžas ēkas Jūras ielā 34, Ventspilī, renovācijas izdevumu segšanai 2014.gadā 162</w:t>
            </w:r>
            <w:r>
              <w:rPr>
                <w:rFonts w:ascii="Times New Roman" w:hAnsi="Times New Roman"/>
                <w:iCs/>
                <w:sz w:val="24"/>
                <w:szCs w:val="24"/>
                <w:lang w:eastAsia="lv-LV"/>
              </w:rPr>
              <w:t> </w:t>
            </w:r>
            <w:r w:rsidRPr="000107D1">
              <w:rPr>
                <w:rFonts w:ascii="Times New Roman" w:hAnsi="Times New Roman"/>
                <w:iCs/>
                <w:sz w:val="24"/>
                <w:szCs w:val="24"/>
                <w:lang w:eastAsia="lv-LV"/>
              </w:rPr>
              <w:t xml:space="preserve">257 </w:t>
            </w:r>
            <w:proofErr w:type="spellStart"/>
            <w:r w:rsidRPr="000107D1">
              <w:rPr>
                <w:rFonts w:ascii="Times New Roman" w:hAnsi="Times New Roman"/>
                <w:i/>
                <w:iCs/>
                <w:sz w:val="24"/>
                <w:szCs w:val="24"/>
                <w:lang w:eastAsia="lv-LV"/>
              </w:rPr>
              <w:t>euro</w:t>
            </w:r>
            <w:proofErr w:type="spellEnd"/>
            <w:r w:rsidRPr="000107D1">
              <w:rPr>
                <w:rFonts w:ascii="Times New Roman" w:hAnsi="Times New Roman"/>
                <w:iCs/>
                <w:sz w:val="24"/>
                <w:szCs w:val="24"/>
                <w:lang w:eastAsia="lv-LV"/>
              </w:rPr>
              <w:t xml:space="preserve"> un 2015.gadā 708</w:t>
            </w:r>
            <w:r>
              <w:rPr>
                <w:rFonts w:ascii="Times New Roman" w:hAnsi="Times New Roman"/>
                <w:iCs/>
                <w:sz w:val="24"/>
                <w:szCs w:val="24"/>
                <w:lang w:eastAsia="lv-LV"/>
              </w:rPr>
              <w:t> </w:t>
            </w:r>
            <w:r w:rsidRPr="000107D1">
              <w:rPr>
                <w:rFonts w:ascii="Times New Roman" w:hAnsi="Times New Roman"/>
                <w:iCs/>
                <w:sz w:val="24"/>
                <w:szCs w:val="24"/>
                <w:lang w:eastAsia="lv-LV"/>
              </w:rPr>
              <w:t xml:space="preserve">515 </w:t>
            </w:r>
            <w:proofErr w:type="spellStart"/>
            <w:r w:rsidRPr="000107D1">
              <w:rPr>
                <w:rFonts w:ascii="Times New Roman" w:hAnsi="Times New Roman"/>
                <w:i/>
                <w:iCs/>
                <w:sz w:val="24"/>
                <w:szCs w:val="24"/>
                <w:lang w:eastAsia="lv-LV"/>
              </w:rPr>
              <w:t>euro</w:t>
            </w:r>
            <w:proofErr w:type="spellEnd"/>
            <w:r>
              <w:rPr>
                <w:rFonts w:ascii="Times New Roman" w:hAnsi="Times New Roman"/>
                <w:i/>
                <w:iCs/>
                <w:sz w:val="24"/>
                <w:szCs w:val="24"/>
                <w:lang w:eastAsia="lv-LV"/>
              </w:rPr>
              <w:t xml:space="preserve"> </w:t>
            </w:r>
            <w:r w:rsidRPr="00C94AB7">
              <w:rPr>
                <w:rFonts w:ascii="Times New Roman" w:hAnsi="Times New Roman"/>
                <w:iCs/>
                <w:sz w:val="24"/>
                <w:szCs w:val="24"/>
                <w:lang w:eastAsia="lv-LV"/>
              </w:rPr>
              <w:t>(kopā renovācijas</w:t>
            </w:r>
            <w:r w:rsidRPr="000107D1">
              <w:rPr>
                <w:rFonts w:ascii="Times New Roman" w:hAnsi="Times New Roman"/>
                <w:iCs/>
                <w:sz w:val="24"/>
                <w:szCs w:val="24"/>
                <w:lang w:eastAsia="lv-LV"/>
              </w:rPr>
              <w:t xml:space="preserve"> </w:t>
            </w:r>
            <w:r>
              <w:rPr>
                <w:rFonts w:ascii="Times New Roman" w:hAnsi="Times New Roman"/>
                <w:iCs/>
                <w:sz w:val="24"/>
                <w:szCs w:val="24"/>
                <w:lang w:eastAsia="lv-LV"/>
              </w:rPr>
              <w:t xml:space="preserve">izdevumu </w:t>
            </w:r>
            <w:r w:rsidRPr="000107D1">
              <w:rPr>
                <w:rFonts w:ascii="Times New Roman" w:hAnsi="Times New Roman"/>
                <w:iCs/>
                <w:sz w:val="24"/>
                <w:szCs w:val="24"/>
                <w:lang w:eastAsia="lv-LV"/>
              </w:rPr>
              <w:t xml:space="preserve">segšanai </w:t>
            </w:r>
            <w:r>
              <w:rPr>
                <w:rFonts w:ascii="Times New Roman" w:hAnsi="Times New Roman"/>
                <w:iCs/>
                <w:sz w:val="24"/>
                <w:szCs w:val="24"/>
                <w:lang w:eastAsia="lv-LV"/>
              </w:rPr>
              <w:t xml:space="preserve">paredzēts finansējums </w:t>
            </w:r>
            <w:r w:rsidRPr="000107D1">
              <w:rPr>
                <w:rFonts w:ascii="Times New Roman" w:hAnsi="Times New Roman"/>
                <w:iCs/>
                <w:sz w:val="24"/>
                <w:szCs w:val="24"/>
                <w:lang w:eastAsia="lv-LV"/>
              </w:rPr>
              <w:t>2013.−2015.gadā 887</w:t>
            </w:r>
            <w:r>
              <w:rPr>
                <w:rFonts w:ascii="Times New Roman" w:hAnsi="Times New Roman"/>
                <w:iCs/>
                <w:sz w:val="24"/>
                <w:szCs w:val="24"/>
                <w:lang w:eastAsia="lv-LV"/>
              </w:rPr>
              <w:t> </w:t>
            </w:r>
            <w:r w:rsidRPr="000107D1">
              <w:rPr>
                <w:rFonts w:ascii="Times New Roman" w:hAnsi="Times New Roman"/>
                <w:iCs/>
                <w:sz w:val="24"/>
                <w:szCs w:val="24"/>
                <w:lang w:eastAsia="lv-LV"/>
              </w:rPr>
              <w:t xml:space="preserve">528 </w:t>
            </w:r>
            <w:proofErr w:type="spellStart"/>
            <w:r w:rsidRPr="000107D1">
              <w:rPr>
                <w:rFonts w:ascii="Times New Roman" w:hAnsi="Times New Roman"/>
                <w:i/>
                <w:iCs/>
                <w:sz w:val="24"/>
                <w:szCs w:val="24"/>
                <w:lang w:eastAsia="lv-LV"/>
              </w:rPr>
              <w:t>euro</w:t>
            </w:r>
            <w:proofErr w:type="spellEnd"/>
            <w:r w:rsidRPr="00C94AB7">
              <w:rPr>
                <w:rFonts w:ascii="Times New Roman" w:hAnsi="Times New Roman"/>
                <w:iCs/>
                <w:sz w:val="24"/>
                <w:szCs w:val="24"/>
                <w:lang w:eastAsia="lv-LV"/>
              </w:rPr>
              <w:t>);</w:t>
            </w:r>
          </w:p>
          <w:p w:rsidR="00C94AB7" w:rsidRPr="000107D1" w:rsidRDefault="00C94AB7" w:rsidP="00C94AB7">
            <w:pPr>
              <w:pStyle w:val="ListParagraph"/>
              <w:numPr>
                <w:ilvl w:val="0"/>
                <w:numId w:val="20"/>
              </w:numPr>
              <w:spacing w:after="120"/>
              <w:ind w:left="289" w:right="159" w:hanging="159"/>
              <w:contextualSpacing w:val="0"/>
              <w:jc w:val="both"/>
              <w:rPr>
                <w:rFonts w:ascii="Times New Roman" w:hAnsi="Times New Roman"/>
                <w:iCs/>
                <w:sz w:val="24"/>
                <w:szCs w:val="24"/>
                <w:lang w:eastAsia="lv-LV"/>
              </w:rPr>
            </w:pPr>
            <w:r w:rsidRPr="000107D1">
              <w:rPr>
                <w:rFonts w:ascii="Times New Roman" w:hAnsi="Times New Roman"/>
                <w:iCs/>
                <w:sz w:val="24"/>
                <w:szCs w:val="24"/>
                <w:lang w:eastAsia="lv-LV"/>
              </w:rPr>
              <w:t>3.</w:t>
            </w:r>
            <w:r w:rsidR="00BE1D89" w:rsidRPr="00BE1D89">
              <w:rPr>
                <w:rFonts w:ascii="Times New Roman" w:hAnsi="Times New Roman"/>
                <w:iCs/>
                <w:sz w:val="24"/>
                <w:szCs w:val="24"/>
                <w:vertAlign w:val="superscript"/>
                <w:lang w:eastAsia="lv-LV"/>
              </w:rPr>
              <w:t>1</w:t>
            </w:r>
            <w:r w:rsidR="00BE1D89">
              <w:rPr>
                <w:rFonts w:ascii="Times New Roman" w:hAnsi="Times New Roman"/>
                <w:iCs/>
                <w:sz w:val="24"/>
                <w:szCs w:val="24"/>
                <w:lang w:eastAsia="lv-LV"/>
              </w:rPr>
              <w:t xml:space="preserve"> </w:t>
            </w:r>
            <w:r w:rsidRPr="000107D1">
              <w:rPr>
                <w:rFonts w:ascii="Times New Roman" w:hAnsi="Times New Roman"/>
                <w:iCs/>
                <w:sz w:val="24"/>
                <w:szCs w:val="24"/>
                <w:lang w:eastAsia="lv-LV"/>
              </w:rPr>
              <w:t xml:space="preserve">punktu, FM tika dots uzdevums precizēt Prokuratūras valsts budžeta bāzes izdevumus, paredzot finansējumu 2015.gadā 4 215 </w:t>
            </w:r>
            <w:proofErr w:type="spellStart"/>
            <w:r w:rsidRPr="000107D1">
              <w:rPr>
                <w:rFonts w:ascii="Times New Roman" w:hAnsi="Times New Roman"/>
                <w:i/>
                <w:iCs/>
                <w:sz w:val="24"/>
                <w:szCs w:val="24"/>
                <w:lang w:eastAsia="lv-LV"/>
              </w:rPr>
              <w:t>euro</w:t>
            </w:r>
            <w:proofErr w:type="spellEnd"/>
            <w:r w:rsidRPr="000107D1">
              <w:rPr>
                <w:rFonts w:ascii="Times New Roman" w:hAnsi="Times New Roman"/>
                <w:iCs/>
                <w:sz w:val="24"/>
                <w:szCs w:val="24"/>
                <w:lang w:eastAsia="lv-LV"/>
              </w:rPr>
              <w:t xml:space="preserve"> apmērā un 2016.gadā un turpmāk katru gadu 16 295 </w:t>
            </w:r>
            <w:proofErr w:type="spellStart"/>
            <w:r w:rsidRPr="000107D1">
              <w:rPr>
                <w:rFonts w:ascii="Times New Roman" w:hAnsi="Times New Roman"/>
                <w:i/>
                <w:iCs/>
                <w:sz w:val="24"/>
                <w:szCs w:val="24"/>
                <w:lang w:eastAsia="lv-LV"/>
              </w:rPr>
              <w:t>euro</w:t>
            </w:r>
            <w:proofErr w:type="spellEnd"/>
            <w:r w:rsidRPr="000107D1">
              <w:rPr>
                <w:rFonts w:ascii="Times New Roman" w:hAnsi="Times New Roman"/>
                <w:iCs/>
                <w:sz w:val="24"/>
                <w:szCs w:val="24"/>
                <w:lang w:eastAsia="lv-LV"/>
              </w:rPr>
              <w:t xml:space="preserve"> apmērā, lai segtu administratīvās ēkas un garāžas ēkas Jūras ielā 34, Ventspilī, nomas maksu </w:t>
            </w:r>
            <w:r>
              <w:rPr>
                <w:rFonts w:ascii="Times New Roman" w:hAnsi="Times New Roman"/>
                <w:iCs/>
                <w:sz w:val="24"/>
                <w:szCs w:val="24"/>
                <w:lang w:eastAsia="lv-LV"/>
              </w:rPr>
              <w:t>VNĪ.</w:t>
            </w:r>
          </w:p>
          <w:p w:rsidR="00BB67B8" w:rsidRDefault="00C94AB7" w:rsidP="00370A2A">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Ņemot vērā Ministru kabineta rīkojumā Nr.465 dotos uzdevumus</w:t>
            </w:r>
            <w:r w:rsidR="00EF7504">
              <w:rPr>
                <w:rFonts w:ascii="Times New Roman" w:hAnsi="Times New Roman"/>
                <w:iCs/>
                <w:sz w:val="24"/>
                <w:szCs w:val="24"/>
                <w:lang w:eastAsia="lv-LV"/>
              </w:rPr>
              <w:t>,</w:t>
            </w:r>
            <w:r>
              <w:rPr>
                <w:rFonts w:ascii="Times New Roman" w:hAnsi="Times New Roman"/>
                <w:iCs/>
                <w:sz w:val="24"/>
                <w:szCs w:val="24"/>
                <w:lang w:eastAsia="lv-LV"/>
              </w:rPr>
              <w:t xml:space="preserve"> tika </w:t>
            </w:r>
            <w:r w:rsidRPr="000841C6">
              <w:rPr>
                <w:rFonts w:ascii="Times New Roman" w:hAnsi="Times New Roman"/>
                <w:iCs/>
                <w:sz w:val="24"/>
                <w:szCs w:val="24"/>
                <w:lang w:eastAsia="lv-LV"/>
              </w:rPr>
              <w:t>uzsākts darbs, lai nodrošinātu administratīvās ēkas un garāžas ēkas Jūras ielā 34, Ventspilī,</w:t>
            </w:r>
            <w:r w:rsidR="00360042">
              <w:rPr>
                <w:rFonts w:ascii="Times New Roman" w:hAnsi="Times New Roman"/>
                <w:iCs/>
                <w:sz w:val="24"/>
                <w:szCs w:val="24"/>
                <w:lang w:eastAsia="lv-LV"/>
              </w:rPr>
              <w:t xml:space="preserve"> </w:t>
            </w:r>
            <w:r w:rsidRPr="000841C6">
              <w:rPr>
                <w:rFonts w:ascii="Times New Roman" w:hAnsi="Times New Roman"/>
                <w:iCs/>
                <w:sz w:val="24"/>
                <w:szCs w:val="24"/>
                <w:lang w:eastAsia="lv-LV"/>
              </w:rPr>
              <w:t>renovāciju.</w:t>
            </w:r>
            <w:r>
              <w:rPr>
                <w:rFonts w:ascii="Times New Roman" w:hAnsi="Times New Roman"/>
                <w:iCs/>
                <w:sz w:val="24"/>
                <w:szCs w:val="24"/>
                <w:lang w:eastAsia="lv-LV"/>
              </w:rPr>
              <w:t xml:space="preserve"> </w:t>
            </w:r>
            <w:r w:rsidRPr="000841C6">
              <w:rPr>
                <w:rFonts w:ascii="Times New Roman" w:hAnsi="Times New Roman"/>
                <w:iCs/>
                <w:sz w:val="24"/>
                <w:szCs w:val="24"/>
                <w:lang w:eastAsia="lv-LV"/>
              </w:rPr>
              <w:t>2012.gad</w:t>
            </w:r>
            <w:r>
              <w:rPr>
                <w:rFonts w:ascii="Times New Roman" w:hAnsi="Times New Roman"/>
                <w:iCs/>
                <w:sz w:val="24"/>
                <w:szCs w:val="24"/>
                <w:lang w:eastAsia="lv-LV"/>
              </w:rPr>
              <w:t>ā</w:t>
            </w:r>
            <w:r w:rsidRPr="000841C6">
              <w:rPr>
                <w:rFonts w:ascii="Times New Roman" w:hAnsi="Times New Roman"/>
                <w:iCs/>
                <w:sz w:val="24"/>
                <w:szCs w:val="24"/>
                <w:lang w:eastAsia="lv-LV"/>
              </w:rPr>
              <w:t xml:space="preserve"> tika </w:t>
            </w:r>
            <w:r>
              <w:rPr>
                <w:rFonts w:ascii="Times New Roman" w:hAnsi="Times New Roman"/>
                <w:iCs/>
                <w:sz w:val="24"/>
                <w:szCs w:val="24"/>
                <w:lang w:eastAsia="lv-LV"/>
              </w:rPr>
              <w:t xml:space="preserve">pabeigti </w:t>
            </w:r>
            <w:r w:rsidRPr="000841C6">
              <w:rPr>
                <w:rFonts w:ascii="Times New Roman" w:hAnsi="Times New Roman"/>
                <w:iCs/>
                <w:sz w:val="24"/>
                <w:szCs w:val="24"/>
                <w:lang w:eastAsia="lv-LV"/>
              </w:rPr>
              <w:t xml:space="preserve">pirmsprojekta sagatavošanas darbi. </w:t>
            </w:r>
            <w:r>
              <w:rPr>
                <w:rFonts w:ascii="Times New Roman" w:hAnsi="Times New Roman"/>
                <w:iCs/>
                <w:sz w:val="24"/>
                <w:szCs w:val="24"/>
                <w:lang w:eastAsia="lv-LV"/>
              </w:rPr>
              <w:t xml:space="preserve">2013.gada 29.jūnijā tika izsludināts </w:t>
            </w:r>
            <w:r w:rsidRPr="00156BDE">
              <w:rPr>
                <w:rFonts w:ascii="Times New Roman" w:hAnsi="Times New Roman"/>
                <w:iCs/>
                <w:sz w:val="24"/>
                <w:szCs w:val="24"/>
                <w:lang w:eastAsia="lv-LV"/>
              </w:rPr>
              <w:t>iepirkums</w:t>
            </w:r>
            <w:r>
              <w:rPr>
                <w:rFonts w:ascii="Times New Roman" w:hAnsi="Times New Roman"/>
                <w:iCs/>
                <w:sz w:val="24"/>
                <w:szCs w:val="24"/>
                <w:lang w:eastAsia="lv-LV"/>
              </w:rPr>
              <w:t xml:space="preserve"> „</w:t>
            </w:r>
            <w:r w:rsidRPr="00156BDE">
              <w:rPr>
                <w:rFonts w:ascii="Times New Roman" w:hAnsi="Times New Roman"/>
                <w:iCs/>
                <w:sz w:val="24"/>
                <w:szCs w:val="24"/>
                <w:lang w:eastAsia="lv-LV"/>
              </w:rPr>
              <w:t>Ēku Jūras ielā 34, Ventspilī, rekonstrukcijas-renovācijas skiču un tehniskā projekta izstrāde un autoruzraudzības veikšana</w:t>
            </w:r>
            <w:r>
              <w:rPr>
                <w:rFonts w:ascii="Times New Roman" w:hAnsi="Times New Roman"/>
                <w:iCs/>
                <w:sz w:val="24"/>
                <w:szCs w:val="24"/>
                <w:lang w:eastAsia="lv-LV"/>
              </w:rPr>
              <w:t xml:space="preserve">” </w:t>
            </w:r>
            <w:r w:rsidRPr="00156BDE">
              <w:rPr>
                <w:rFonts w:ascii="Times New Roman" w:hAnsi="Times New Roman"/>
                <w:iCs/>
                <w:sz w:val="24"/>
                <w:szCs w:val="24"/>
                <w:lang w:eastAsia="lv-LV"/>
              </w:rPr>
              <w:t xml:space="preserve">ar </w:t>
            </w:r>
            <w:r>
              <w:rPr>
                <w:rFonts w:ascii="Times New Roman" w:hAnsi="Times New Roman"/>
                <w:iCs/>
                <w:sz w:val="24"/>
                <w:szCs w:val="24"/>
                <w:lang w:eastAsia="lv-LV"/>
              </w:rPr>
              <w:t xml:space="preserve">piedāvāju iesniegšanas </w:t>
            </w:r>
            <w:r w:rsidRPr="00156BDE">
              <w:rPr>
                <w:rFonts w:ascii="Times New Roman" w:hAnsi="Times New Roman"/>
                <w:iCs/>
                <w:sz w:val="24"/>
                <w:szCs w:val="24"/>
                <w:lang w:eastAsia="lv-LV"/>
              </w:rPr>
              <w:t xml:space="preserve">termiņu </w:t>
            </w:r>
            <w:r w:rsidR="00360042">
              <w:rPr>
                <w:rFonts w:ascii="Times New Roman" w:hAnsi="Times New Roman"/>
                <w:iCs/>
                <w:sz w:val="24"/>
                <w:szCs w:val="24"/>
                <w:lang w:eastAsia="lv-LV"/>
              </w:rPr>
              <w:t xml:space="preserve">līdz </w:t>
            </w:r>
            <w:r w:rsidRPr="00156BDE">
              <w:rPr>
                <w:rFonts w:ascii="Times New Roman" w:hAnsi="Times New Roman"/>
                <w:iCs/>
                <w:sz w:val="24"/>
                <w:szCs w:val="24"/>
                <w:lang w:eastAsia="lv-LV"/>
              </w:rPr>
              <w:t>2013.</w:t>
            </w:r>
            <w:r>
              <w:rPr>
                <w:rFonts w:ascii="Times New Roman" w:hAnsi="Times New Roman"/>
                <w:iCs/>
                <w:sz w:val="24"/>
                <w:szCs w:val="24"/>
                <w:lang w:eastAsia="lv-LV"/>
              </w:rPr>
              <w:t>gada 29.jūlij</w:t>
            </w:r>
            <w:r w:rsidR="00360042">
              <w:rPr>
                <w:rFonts w:ascii="Times New Roman" w:hAnsi="Times New Roman"/>
                <w:iCs/>
                <w:sz w:val="24"/>
                <w:szCs w:val="24"/>
                <w:lang w:eastAsia="lv-LV"/>
              </w:rPr>
              <w:t>am</w:t>
            </w:r>
            <w:r>
              <w:rPr>
                <w:rFonts w:ascii="Times New Roman" w:hAnsi="Times New Roman"/>
                <w:iCs/>
                <w:sz w:val="24"/>
                <w:szCs w:val="24"/>
                <w:lang w:eastAsia="lv-LV"/>
              </w:rPr>
              <w:t>.</w:t>
            </w:r>
            <w:r w:rsidR="00360042">
              <w:rPr>
                <w:rFonts w:ascii="Times New Roman" w:hAnsi="Times New Roman"/>
                <w:iCs/>
                <w:sz w:val="24"/>
                <w:szCs w:val="24"/>
                <w:lang w:eastAsia="lv-LV"/>
              </w:rPr>
              <w:t xml:space="preserve"> </w:t>
            </w:r>
          </w:p>
          <w:p w:rsidR="00370A2A" w:rsidRPr="008E7774" w:rsidRDefault="00C94AB7" w:rsidP="008E7774">
            <w:pPr>
              <w:spacing w:after="120" w:line="240" w:lineRule="auto"/>
              <w:ind w:left="57" w:right="159" w:firstLine="11"/>
              <w:jc w:val="both"/>
              <w:rPr>
                <w:rFonts w:ascii="Times New Roman" w:hAnsi="Times New Roman"/>
                <w:iCs/>
                <w:sz w:val="24"/>
                <w:szCs w:val="24"/>
                <w:lang w:eastAsia="lv-LV"/>
              </w:rPr>
            </w:pPr>
            <w:r>
              <w:rPr>
                <w:rFonts w:ascii="Times New Roman" w:hAnsi="Times New Roman"/>
                <w:iCs/>
                <w:sz w:val="24"/>
                <w:szCs w:val="24"/>
                <w:lang w:eastAsia="lv-LV"/>
              </w:rPr>
              <w:t xml:space="preserve">Līgums par minēto darbu veikšanu tika noslēgts 2013.gada 11.decembrī ar </w:t>
            </w:r>
            <w:r w:rsidRPr="005C5081">
              <w:rPr>
                <w:rFonts w:ascii="Times New Roman" w:hAnsi="Times New Roman"/>
                <w:iCs/>
                <w:sz w:val="24"/>
                <w:szCs w:val="24"/>
                <w:lang w:eastAsia="lv-LV"/>
              </w:rPr>
              <w:t xml:space="preserve">SIA </w:t>
            </w:r>
            <w:r>
              <w:rPr>
                <w:rFonts w:ascii="Times New Roman" w:hAnsi="Times New Roman"/>
                <w:iCs/>
                <w:sz w:val="24"/>
                <w:szCs w:val="24"/>
                <w:lang w:eastAsia="lv-LV"/>
              </w:rPr>
              <w:t>„</w:t>
            </w:r>
            <w:r w:rsidR="00370A2A" w:rsidRPr="00370A2A">
              <w:rPr>
                <w:rFonts w:ascii="Times New Roman" w:hAnsi="Times New Roman"/>
                <w:iCs/>
                <w:sz w:val="24"/>
                <w:szCs w:val="24"/>
                <w:lang w:eastAsia="lv-LV"/>
              </w:rPr>
              <w:t>Skonto Būve</w:t>
            </w:r>
            <w:r>
              <w:rPr>
                <w:rFonts w:ascii="Times New Roman" w:hAnsi="Times New Roman"/>
                <w:iCs/>
                <w:sz w:val="24"/>
                <w:szCs w:val="24"/>
                <w:lang w:eastAsia="lv-LV"/>
              </w:rPr>
              <w:t>”</w:t>
            </w:r>
            <w:r w:rsidRPr="005C5081">
              <w:rPr>
                <w:rFonts w:ascii="Times New Roman" w:hAnsi="Times New Roman"/>
                <w:iCs/>
                <w:sz w:val="24"/>
                <w:szCs w:val="24"/>
                <w:lang w:eastAsia="lv-LV"/>
              </w:rPr>
              <w:t xml:space="preserve"> </w:t>
            </w:r>
            <w:r>
              <w:rPr>
                <w:rFonts w:ascii="Times New Roman" w:hAnsi="Times New Roman"/>
                <w:iCs/>
                <w:sz w:val="24"/>
                <w:szCs w:val="24"/>
                <w:lang w:eastAsia="lv-LV"/>
              </w:rPr>
              <w:t>(p</w:t>
            </w:r>
            <w:r w:rsidRPr="005C5081">
              <w:rPr>
                <w:rFonts w:ascii="Times New Roman" w:hAnsi="Times New Roman"/>
                <w:iCs/>
                <w:sz w:val="24"/>
                <w:szCs w:val="24"/>
                <w:lang w:eastAsia="lv-LV"/>
              </w:rPr>
              <w:t>aredzamā līgumcena</w:t>
            </w:r>
            <w:r>
              <w:rPr>
                <w:rFonts w:ascii="Times New Roman" w:hAnsi="Times New Roman"/>
                <w:iCs/>
                <w:sz w:val="24"/>
                <w:szCs w:val="24"/>
                <w:lang w:eastAsia="lv-LV"/>
              </w:rPr>
              <w:t xml:space="preserve"> 104 71</w:t>
            </w:r>
            <w:r w:rsidR="00D302B6">
              <w:rPr>
                <w:rFonts w:ascii="Times New Roman" w:hAnsi="Times New Roman"/>
                <w:iCs/>
                <w:sz w:val="24"/>
                <w:szCs w:val="24"/>
                <w:lang w:eastAsia="lv-LV"/>
              </w:rPr>
              <w:t>3</w:t>
            </w:r>
            <w:r>
              <w:rPr>
                <w:rFonts w:ascii="Times New Roman" w:hAnsi="Times New Roman"/>
                <w:iCs/>
                <w:sz w:val="24"/>
                <w:szCs w:val="24"/>
                <w:lang w:eastAsia="lv-LV"/>
              </w:rPr>
              <w:t xml:space="preserve"> </w:t>
            </w:r>
            <w:proofErr w:type="spellStart"/>
            <w:r w:rsidRPr="008E7774">
              <w:rPr>
                <w:rFonts w:ascii="Times New Roman" w:hAnsi="Times New Roman"/>
                <w:iCs/>
                <w:sz w:val="24"/>
                <w:szCs w:val="24"/>
                <w:lang w:eastAsia="lv-LV"/>
              </w:rPr>
              <w:t>euro</w:t>
            </w:r>
            <w:proofErr w:type="spellEnd"/>
            <w:r w:rsidRPr="005C5081">
              <w:rPr>
                <w:rFonts w:ascii="Times New Roman" w:hAnsi="Times New Roman"/>
                <w:iCs/>
                <w:sz w:val="24"/>
                <w:szCs w:val="24"/>
                <w:lang w:eastAsia="lv-LV"/>
              </w:rPr>
              <w:t>)</w:t>
            </w:r>
            <w:r>
              <w:rPr>
                <w:rFonts w:ascii="Times New Roman" w:hAnsi="Times New Roman"/>
                <w:iCs/>
                <w:sz w:val="24"/>
                <w:szCs w:val="24"/>
                <w:lang w:eastAsia="lv-LV"/>
              </w:rPr>
              <w:t xml:space="preserve"> </w:t>
            </w:r>
            <w:r w:rsidRPr="008E7774">
              <w:rPr>
                <w:rFonts w:ascii="Times New Roman" w:hAnsi="Times New Roman"/>
                <w:iCs/>
                <w:sz w:val="24"/>
                <w:szCs w:val="24"/>
                <w:lang w:eastAsia="lv-LV"/>
              </w:rPr>
              <w:t xml:space="preserve">ar darbu izpildes termiņu līdz 2014.gada </w:t>
            </w:r>
            <w:r w:rsidR="00360042" w:rsidRPr="008E7774">
              <w:rPr>
                <w:rFonts w:ascii="Times New Roman" w:hAnsi="Times New Roman"/>
                <w:iCs/>
                <w:sz w:val="24"/>
                <w:szCs w:val="24"/>
                <w:lang w:eastAsia="lv-LV"/>
              </w:rPr>
              <w:t>10.jūnijam</w:t>
            </w:r>
            <w:r w:rsidRPr="008E7774">
              <w:rPr>
                <w:rFonts w:ascii="Times New Roman" w:hAnsi="Times New Roman"/>
                <w:iCs/>
                <w:sz w:val="24"/>
                <w:szCs w:val="24"/>
                <w:lang w:eastAsia="lv-LV"/>
              </w:rPr>
              <w:t xml:space="preserve">. </w:t>
            </w:r>
            <w:r w:rsidR="000B678F">
              <w:rPr>
                <w:rFonts w:ascii="Times New Roman" w:hAnsi="Times New Roman"/>
                <w:iCs/>
                <w:sz w:val="24"/>
                <w:szCs w:val="24"/>
                <w:lang w:eastAsia="lv-LV"/>
              </w:rPr>
              <w:t>S</w:t>
            </w:r>
            <w:r w:rsidR="000B678F" w:rsidRPr="000107D1">
              <w:rPr>
                <w:rFonts w:ascii="Times New Roman" w:hAnsi="Times New Roman"/>
                <w:iCs/>
                <w:sz w:val="24"/>
                <w:szCs w:val="24"/>
                <w:lang w:eastAsia="lv-LV"/>
              </w:rPr>
              <w:t>kiču projekts 2014.</w:t>
            </w:r>
            <w:r w:rsidR="000B678F">
              <w:rPr>
                <w:rFonts w:ascii="Times New Roman" w:hAnsi="Times New Roman"/>
                <w:iCs/>
                <w:sz w:val="24"/>
                <w:szCs w:val="24"/>
                <w:lang w:eastAsia="lv-LV"/>
              </w:rPr>
              <w:t xml:space="preserve">gada 9.maijā tika </w:t>
            </w:r>
            <w:r w:rsidR="000B678F" w:rsidRPr="000107D1">
              <w:rPr>
                <w:rFonts w:ascii="Times New Roman" w:hAnsi="Times New Roman"/>
                <w:iCs/>
                <w:sz w:val="24"/>
                <w:szCs w:val="24"/>
                <w:lang w:eastAsia="lv-LV"/>
              </w:rPr>
              <w:t xml:space="preserve">saskaņots </w:t>
            </w:r>
            <w:r w:rsidR="000B678F">
              <w:rPr>
                <w:rFonts w:ascii="Times New Roman" w:hAnsi="Times New Roman"/>
                <w:iCs/>
                <w:sz w:val="24"/>
                <w:szCs w:val="24"/>
                <w:lang w:eastAsia="lv-LV"/>
              </w:rPr>
              <w:t>Ventspils būvvaldē</w:t>
            </w:r>
            <w:r w:rsidR="000B678F" w:rsidRPr="000107D1">
              <w:rPr>
                <w:rFonts w:ascii="Times New Roman" w:hAnsi="Times New Roman"/>
                <w:iCs/>
                <w:sz w:val="24"/>
                <w:szCs w:val="24"/>
                <w:lang w:eastAsia="lv-LV"/>
              </w:rPr>
              <w:t>.</w:t>
            </w:r>
            <w:r w:rsidR="00370A2A">
              <w:rPr>
                <w:rFonts w:ascii="Times New Roman" w:hAnsi="Times New Roman"/>
                <w:iCs/>
                <w:sz w:val="24"/>
                <w:szCs w:val="24"/>
                <w:lang w:eastAsia="lv-LV"/>
              </w:rPr>
              <w:t xml:space="preserve"> </w:t>
            </w:r>
            <w:r w:rsidR="005E762A" w:rsidRPr="008E7774">
              <w:rPr>
                <w:rFonts w:ascii="Times New Roman" w:hAnsi="Times New Roman"/>
                <w:iCs/>
                <w:sz w:val="24"/>
                <w:szCs w:val="24"/>
                <w:lang w:eastAsia="lv-LV"/>
              </w:rPr>
              <w:t xml:space="preserve"> </w:t>
            </w:r>
            <w:r w:rsidR="005E762A" w:rsidRPr="005E762A">
              <w:rPr>
                <w:rFonts w:ascii="Times New Roman" w:hAnsi="Times New Roman"/>
                <w:iCs/>
                <w:sz w:val="24"/>
                <w:szCs w:val="24"/>
                <w:lang w:eastAsia="lv-LV"/>
              </w:rPr>
              <w:t xml:space="preserve">Sakarā ar nepieciešamību objekta skiču projektu sadalīt būvniecības kārtās, noslēgta </w:t>
            </w:r>
            <w:r w:rsidR="00240EF3" w:rsidRPr="005E762A">
              <w:rPr>
                <w:rFonts w:ascii="Times New Roman" w:hAnsi="Times New Roman"/>
                <w:iCs/>
                <w:sz w:val="24"/>
                <w:szCs w:val="24"/>
                <w:lang w:eastAsia="lv-LV"/>
              </w:rPr>
              <w:t xml:space="preserve">vienošanās </w:t>
            </w:r>
            <w:r w:rsidR="005E762A">
              <w:rPr>
                <w:rFonts w:ascii="Times New Roman" w:hAnsi="Times New Roman"/>
                <w:iCs/>
                <w:sz w:val="24"/>
                <w:szCs w:val="24"/>
                <w:lang w:eastAsia="lv-LV"/>
              </w:rPr>
              <w:t>par grozījumiem</w:t>
            </w:r>
            <w:r w:rsidR="00EF7504">
              <w:rPr>
                <w:rFonts w:ascii="Times New Roman" w:hAnsi="Times New Roman"/>
                <w:iCs/>
                <w:sz w:val="24"/>
                <w:szCs w:val="24"/>
                <w:lang w:eastAsia="lv-LV"/>
              </w:rPr>
              <w:t xml:space="preserve"> </w:t>
            </w:r>
            <w:r w:rsidR="007343BC">
              <w:rPr>
                <w:rFonts w:ascii="Times New Roman" w:hAnsi="Times New Roman"/>
                <w:iCs/>
                <w:sz w:val="24"/>
                <w:szCs w:val="24"/>
                <w:lang w:eastAsia="lv-LV"/>
              </w:rPr>
              <w:t>2013.gada 11.</w:t>
            </w:r>
            <w:r w:rsidR="005E762A" w:rsidRPr="008E7774">
              <w:rPr>
                <w:rFonts w:ascii="Times New Roman" w:hAnsi="Times New Roman"/>
                <w:iCs/>
                <w:sz w:val="24"/>
                <w:szCs w:val="24"/>
                <w:lang w:eastAsia="lv-LV"/>
              </w:rPr>
              <w:t>decembra līgumā</w:t>
            </w:r>
            <w:r w:rsidR="00124B12" w:rsidRPr="008E7774">
              <w:rPr>
                <w:rFonts w:ascii="Times New Roman" w:hAnsi="Times New Roman"/>
                <w:iCs/>
                <w:sz w:val="24"/>
                <w:szCs w:val="24"/>
                <w:lang w:eastAsia="lv-LV"/>
              </w:rPr>
              <w:t>, paredzot, ka tehnisk</w:t>
            </w:r>
            <w:r w:rsidR="00C74363">
              <w:rPr>
                <w:rFonts w:ascii="Times New Roman" w:hAnsi="Times New Roman"/>
                <w:iCs/>
                <w:sz w:val="24"/>
                <w:szCs w:val="24"/>
                <w:lang w:eastAsia="lv-LV"/>
              </w:rPr>
              <w:t>ajam</w:t>
            </w:r>
            <w:r w:rsidR="008E7774" w:rsidRPr="008E7774">
              <w:rPr>
                <w:rFonts w:ascii="Times New Roman" w:hAnsi="Times New Roman"/>
                <w:iCs/>
                <w:sz w:val="24"/>
                <w:szCs w:val="24"/>
                <w:lang w:eastAsia="lv-LV"/>
              </w:rPr>
              <w:t xml:space="preserve"> projekt</w:t>
            </w:r>
            <w:r w:rsidR="00C74363">
              <w:rPr>
                <w:rFonts w:ascii="Times New Roman" w:hAnsi="Times New Roman"/>
                <w:iCs/>
                <w:sz w:val="24"/>
                <w:szCs w:val="24"/>
                <w:lang w:eastAsia="lv-LV"/>
              </w:rPr>
              <w:t>am</w:t>
            </w:r>
            <w:r w:rsidR="008E7774" w:rsidRPr="008E7774">
              <w:rPr>
                <w:rFonts w:ascii="Times New Roman" w:hAnsi="Times New Roman"/>
                <w:iCs/>
                <w:sz w:val="24"/>
                <w:szCs w:val="24"/>
                <w:lang w:eastAsia="lv-LV"/>
              </w:rPr>
              <w:t xml:space="preserve">, par ko saņemts pozitīvs ekspertīzes slēdziens, </w:t>
            </w:r>
            <w:r w:rsidR="00C74363">
              <w:rPr>
                <w:rFonts w:ascii="Times New Roman" w:hAnsi="Times New Roman"/>
                <w:iCs/>
                <w:sz w:val="24"/>
                <w:szCs w:val="24"/>
                <w:lang w:eastAsia="lv-LV"/>
              </w:rPr>
              <w:t>jābūt akceptētam būvvaldē līdz</w:t>
            </w:r>
            <w:r w:rsidR="008E7774" w:rsidRPr="008E7774">
              <w:rPr>
                <w:rFonts w:ascii="Times New Roman" w:hAnsi="Times New Roman"/>
                <w:iCs/>
                <w:sz w:val="24"/>
                <w:szCs w:val="24"/>
                <w:lang w:eastAsia="lv-LV"/>
              </w:rPr>
              <w:t xml:space="preserve"> </w:t>
            </w:r>
            <w:r w:rsidR="005E762A" w:rsidRPr="008E7774">
              <w:rPr>
                <w:rFonts w:ascii="Times New Roman" w:hAnsi="Times New Roman"/>
                <w:iCs/>
                <w:sz w:val="24"/>
                <w:szCs w:val="24"/>
                <w:lang w:eastAsia="lv-LV"/>
              </w:rPr>
              <w:t>2014.gada 11.</w:t>
            </w:r>
            <w:r w:rsidR="008E7774" w:rsidRPr="008E7774">
              <w:rPr>
                <w:rFonts w:ascii="Times New Roman" w:hAnsi="Times New Roman"/>
                <w:iCs/>
                <w:sz w:val="24"/>
                <w:szCs w:val="24"/>
                <w:lang w:eastAsia="lv-LV"/>
              </w:rPr>
              <w:t>a</w:t>
            </w:r>
            <w:r w:rsidR="005E762A" w:rsidRPr="008E7774">
              <w:rPr>
                <w:rFonts w:ascii="Times New Roman" w:hAnsi="Times New Roman"/>
                <w:iCs/>
                <w:sz w:val="24"/>
                <w:szCs w:val="24"/>
                <w:lang w:eastAsia="lv-LV"/>
              </w:rPr>
              <w:t>ugustam</w:t>
            </w:r>
            <w:r w:rsidR="008E7774" w:rsidRPr="008E7774">
              <w:rPr>
                <w:rFonts w:ascii="Times New Roman" w:hAnsi="Times New Roman"/>
                <w:iCs/>
                <w:sz w:val="24"/>
                <w:szCs w:val="24"/>
                <w:lang w:eastAsia="lv-LV"/>
              </w:rPr>
              <w:t>.</w:t>
            </w:r>
          </w:p>
          <w:p w:rsidR="0031597C" w:rsidRPr="00E146A2" w:rsidRDefault="0000292B" w:rsidP="00E146A2">
            <w:pPr>
              <w:pStyle w:val="naiskr"/>
              <w:tabs>
                <w:tab w:val="left" w:pos="386"/>
              </w:tabs>
              <w:spacing w:before="120" w:after="60"/>
              <w:ind w:left="103" w:right="141"/>
              <w:jc w:val="both"/>
              <w:rPr>
                <w:iCs/>
              </w:rPr>
            </w:pPr>
            <w:r>
              <w:rPr>
                <w:iCs/>
              </w:rPr>
              <w:lastRenderedPageBreak/>
              <w:t xml:space="preserve">Saskaņā ar precizēto būvniecības darbu izpildes laika grafiku, </w:t>
            </w:r>
            <w:r w:rsidR="0031597C">
              <w:rPr>
                <w:iCs/>
              </w:rPr>
              <w:t>a</w:t>
            </w:r>
            <w:r w:rsidR="0031597C" w:rsidRPr="000841C6">
              <w:rPr>
                <w:iCs/>
              </w:rPr>
              <w:t>dministratīvās ēkas un garāžas ēkas Jūras ielā 34, Ventspilī, renovācijas izdevumu segšanai nepieciešamā finansējuma apmērs</w:t>
            </w:r>
            <w:r w:rsidR="00EF7504">
              <w:rPr>
                <w:iCs/>
              </w:rPr>
              <w:t>,</w:t>
            </w:r>
            <w:r w:rsidR="0031597C" w:rsidRPr="000841C6">
              <w:rPr>
                <w:iCs/>
              </w:rPr>
              <w:t xml:space="preserve"> atbilstoši plānotajiem darbiem 201</w:t>
            </w:r>
            <w:r w:rsidR="0031597C">
              <w:rPr>
                <w:iCs/>
              </w:rPr>
              <w:t>4</w:t>
            </w:r>
            <w:r w:rsidR="0031597C" w:rsidRPr="000841C6">
              <w:rPr>
                <w:iCs/>
              </w:rPr>
              <w:t xml:space="preserve">.gadā ir </w:t>
            </w:r>
            <w:r w:rsidR="00B6238A" w:rsidRPr="00EF7504">
              <w:rPr>
                <w:iCs/>
              </w:rPr>
              <w:t>87 625</w:t>
            </w:r>
            <w:r w:rsidR="0031597C" w:rsidRPr="00EF7504">
              <w:rPr>
                <w:iCs/>
              </w:rPr>
              <w:t xml:space="preserve"> </w:t>
            </w:r>
            <w:proofErr w:type="spellStart"/>
            <w:r w:rsidR="0031597C" w:rsidRPr="00EF7504">
              <w:rPr>
                <w:i/>
                <w:iCs/>
              </w:rPr>
              <w:t>euro</w:t>
            </w:r>
            <w:proofErr w:type="spellEnd"/>
            <w:r w:rsidR="0031597C" w:rsidRPr="00EF7504">
              <w:rPr>
                <w:iCs/>
              </w:rPr>
              <w:t xml:space="preserve"> (finansējums tehniskā projekta izstrādes</w:t>
            </w:r>
            <w:r w:rsidR="00D302B6" w:rsidRPr="00EF7504">
              <w:rPr>
                <w:iCs/>
              </w:rPr>
              <w:t xml:space="preserve"> un ekspertīzes</w:t>
            </w:r>
            <w:r w:rsidR="0031597C" w:rsidRPr="00EF7504">
              <w:rPr>
                <w:iCs/>
              </w:rPr>
              <w:t xml:space="preserve"> izmaksu segšanai un projekta vadīt</w:t>
            </w:r>
            <w:r w:rsidR="00BE1D89" w:rsidRPr="00EF7504">
              <w:rPr>
                <w:iCs/>
              </w:rPr>
              <w:t>āja</w:t>
            </w:r>
            <w:r w:rsidR="0031597C" w:rsidRPr="00EF7504">
              <w:rPr>
                <w:iCs/>
              </w:rPr>
              <w:t xml:space="preserve"> atlīdzībai), līdz ar to nepieciešams </w:t>
            </w:r>
            <w:r w:rsidR="00F925F3" w:rsidRPr="00EF7504">
              <w:rPr>
                <w:iCs/>
              </w:rPr>
              <w:t>FM</w:t>
            </w:r>
            <w:r w:rsidR="0031597C" w:rsidRPr="00EF7504">
              <w:rPr>
                <w:iCs/>
              </w:rPr>
              <w:t xml:space="preserve"> 2014.gadā samazināt finansējumu budžeta programmas 41.00.00 „Maksājumu nodrošināšana citām valsts iestādēm un personām” apakšprogrammā </w:t>
            </w:r>
            <w:r w:rsidR="0031597C" w:rsidRPr="00EF7504">
              <w:t xml:space="preserve"> 41.13.00 „Finansējums VAS „Valsts nekustamie īpašumi” īstenotajiem projektiem un pasākumiem” ilgtermiņa saistību pasākumam </w:t>
            </w:r>
            <w:r w:rsidR="0031597C" w:rsidRPr="00EF7504">
              <w:rPr>
                <w:iCs/>
              </w:rPr>
              <w:t xml:space="preserve">„Dotācija </w:t>
            </w:r>
            <w:r w:rsidR="0031597C" w:rsidRPr="00EF7504">
              <w:t xml:space="preserve">VAS „Valsts nekustamie īpašumi” </w:t>
            </w:r>
            <w:r w:rsidR="0031597C" w:rsidRPr="00EF7504">
              <w:rPr>
                <w:iCs/>
              </w:rPr>
              <w:t xml:space="preserve">būvniecībai Jūras ielā 34, Ventspilī” </w:t>
            </w:r>
            <w:r w:rsidR="00B6238A" w:rsidRPr="00EF7504">
              <w:rPr>
                <w:iCs/>
              </w:rPr>
              <w:t>74 632</w:t>
            </w:r>
            <w:r w:rsidR="0031597C" w:rsidRPr="00EF7504">
              <w:rPr>
                <w:iCs/>
              </w:rPr>
              <w:t xml:space="preserve"> </w:t>
            </w:r>
            <w:proofErr w:type="spellStart"/>
            <w:r w:rsidR="0031597C" w:rsidRPr="00EF7504">
              <w:rPr>
                <w:i/>
                <w:iCs/>
              </w:rPr>
              <w:t>euro</w:t>
            </w:r>
            <w:proofErr w:type="spellEnd"/>
            <w:r w:rsidR="0031597C" w:rsidRPr="00EF7504">
              <w:rPr>
                <w:iCs/>
              </w:rPr>
              <w:t xml:space="preserve"> apmērā, pārdalot finansējumu FM budžeta apakšprogrammas ietvaros </w:t>
            </w:r>
            <w:r w:rsidR="0031597C" w:rsidRPr="00EF7504">
              <w:t>ilgtermiņa</w:t>
            </w:r>
            <w:r w:rsidR="0031597C" w:rsidRPr="00954FCF">
              <w:t xml:space="preserve"> saistību pasākumam</w:t>
            </w:r>
            <w:r w:rsidR="0031597C">
              <w:t xml:space="preserve"> </w:t>
            </w:r>
            <w:r w:rsidR="0031597C" w:rsidRPr="00954FCF">
              <w:t>„Dotācija VAS „Valsts nekustamie īpašumi” par kapitālieguldījumiem Rīgas pils Priekšpils būvniecībā”.</w:t>
            </w:r>
            <w:r w:rsidR="0031597C">
              <w:t xml:space="preserve"> </w:t>
            </w:r>
            <w:r w:rsidR="00E146A2">
              <w:t xml:space="preserve"> Attiecīgi</w:t>
            </w:r>
            <w:r w:rsidR="00E146A2" w:rsidRPr="00D95026">
              <w:t xml:space="preserve"> sagatavots Ministru kabineta sēdes </w:t>
            </w:r>
            <w:proofErr w:type="spellStart"/>
            <w:r w:rsidR="00E146A2" w:rsidRPr="00D95026">
              <w:t>protokollēmuma</w:t>
            </w:r>
            <w:proofErr w:type="spellEnd"/>
            <w:r w:rsidR="00E146A2" w:rsidRPr="00D95026">
              <w:t xml:space="preserve"> projekts, kas paredz </w:t>
            </w:r>
            <w:r w:rsidR="00E146A2">
              <w:t xml:space="preserve"> a</w:t>
            </w:r>
            <w:r w:rsidR="00E146A2" w:rsidRPr="00FB6389">
              <w:t xml:space="preserve">tļaut </w:t>
            </w:r>
            <w:r w:rsidR="00E146A2">
              <w:t>FM attiecīgu finansējuma pārdali.</w:t>
            </w:r>
          </w:p>
          <w:p w:rsidR="0000292B" w:rsidRDefault="00027E37" w:rsidP="00C94AB7">
            <w:pPr>
              <w:spacing w:after="120" w:line="240" w:lineRule="auto"/>
              <w:ind w:left="57" w:right="159" w:firstLine="11"/>
              <w:jc w:val="both"/>
              <w:rPr>
                <w:rFonts w:ascii="Times New Roman" w:hAnsi="Times New Roman"/>
                <w:iCs/>
                <w:sz w:val="24"/>
                <w:szCs w:val="24"/>
                <w:lang w:eastAsia="lv-LV"/>
              </w:rPr>
            </w:pPr>
            <w:r>
              <w:rPr>
                <w:rFonts w:ascii="Times New Roman" w:hAnsi="Times New Roman"/>
                <w:iCs/>
                <w:sz w:val="24"/>
                <w:szCs w:val="24"/>
                <w:lang w:eastAsia="lv-LV"/>
              </w:rPr>
              <w:t>Ņemot vērā iepriekš minēto</w:t>
            </w:r>
            <w:r w:rsidR="00C94AB7" w:rsidRPr="000841C6">
              <w:rPr>
                <w:rFonts w:ascii="Times New Roman" w:hAnsi="Times New Roman"/>
                <w:iCs/>
                <w:sz w:val="24"/>
                <w:szCs w:val="24"/>
                <w:lang w:eastAsia="lv-LV"/>
              </w:rPr>
              <w:t xml:space="preserve">, nepieciešami grozījumi </w:t>
            </w:r>
            <w:r w:rsidR="00BE1D89">
              <w:rPr>
                <w:rFonts w:ascii="Times New Roman" w:hAnsi="Times New Roman"/>
                <w:iCs/>
                <w:sz w:val="24"/>
                <w:szCs w:val="24"/>
                <w:lang w:eastAsia="lv-LV"/>
              </w:rPr>
              <w:t>MK</w:t>
            </w:r>
            <w:r w:rsidR="00C94AB7" w:rsidRPr="000841C6">
              <w:rPr>
                <w:rFonts w:ascii="Times New Roman" w:hAnsi="Times New Roman"/>
                <w:iCs/>
                <w:sz w:val="24"/>
                <w:szCs w:val="24"/>
                <w:lang w:eastAsia="lv-LV"/>
              </w:rPr>
              <w:t xml:space="preserve"> rīkojumā Nr.465, lai precizētu renovācijai paredzēto kapitālieguldījumu izdevumu sadalījumu pa gadiem (nemainot tā kopējo apmēru</w:t>
            </w:r>
            <w:r w:rsidR="00370A2A">
              <w:rPr>
                <w:rFonts w:ascii="Times New Roman" w:hAnsi="Times New Roman"/>
                <w:iCs/>
                <w:sz w:val="24"/>
                <w:szCs w:val="24"/>
                <w:lang w:eastAsia="lv-LV"/>
              </w:rPr>
              <w:t>)</w:t>
            </w:r>
            <w:r w:rsidR="0000292B">
              <w:rPr>
                <w:rFonts w:ascii="Times New Roman" w:hAnsi="Times New Roman"/>
                <w:iCs/>
                <w:sz w:val="24"/>
                <w:szCs w:val="24"/>
                <w:lang w:eastAsia="lv-LV"/>
              </w:rPr>
              <w:t>.</w:t>
            </w:r>
          </w:p>
          <w:p w:rsidR="00C94AB7" w:rsidRPr="000841C6" w:rsidRDefault="00BE1D89" w:rsidP="00C94AB7">
            <w:pPr>
              <w:spacing w:after="120" w:line="240" w:lineRule="auto"/>
              <w:ind w:left="57" w:right="159" w:firstLine="11"/>
              <w:jc w:val="both"/>
              <w:rPr>
                <w:rFonts w:ascii="Times New Roman" w:hAnsi="Times New Roman"/>
                <w:iCs/>
                <w:sz w:val="24"/>
                <w:szCs w:val="24"/>
                <w:lang w:eastAsia="lv-LV"/>
              </w:rPr>
            </w:pPr>
            <w:r>
              <w:rPr>
                <w:rFonts w:ascii="Times New Roman" w:hAnsi="Times New Roman"/>
                <w:iCs/>
                <w:sz w:val="24"/>
                <w:szCs w:val="24"/>
                <w:lang w:eastAsia="lv-LV"/>
              </w:rPr>
              <w:t>MK</w:t>
            </w:r>
            <w:r w:rsidR="00C94AB7" w:rsidRPr="000841C6">
              <w:rPr>
                <w:rFonts w:ascii="Times New Roman" w:hAnsi="Times New Roman"/>
                <w:iCs/>
                <w:sz w:val="24"/>
                <w:szCs w:val="24"/>
                <w:lang w:eastAsia="lv-LV"/>
              </w:rPr>
              <w:t xml:space="preserve"> rīkojuma projekta tiesiskā regulējuma mērķis ir </w:t>
            </w:r>
            <w:r>
              <w:rPr>
                <w:rFonts w:ascii="Times New Roman" w:hAnsi="Times New Roman"/>
                <w:iCs/>
                <w:sz w:val="24"/>
                <w:szCs w:val="24"/>
                <w:lang w:eastAsia="lv-LV"/>
              </w:rPr>
              <w:t>MK</w:t>
            </w:r>
            <w:r w:rsidR="00C94AB7" w:rsidRPr="000841C6">
              <w:rPr>
                <w:rFonts w:ascii="Times New Roman" w:hAnsi="Times New Roman"/>
                <w:iCs/>
                <w:sz w:val="24"/>
                <w:szCs w:val="24"/>
                <w:lang w:eastAsia="lv-LV"/>
              </w:rPr>
              <w:t xml:space="preserve"> rīkojuma Nr.465 1.</w:t>
            </w:r>
            <w:r w:rsidR="00C94AB7" w:rsidRPr="00456C1A">
              <w:rPr>
                <w:rFonts w:ascii="Times New Roman" w:hAnsi="Times New Roman"/>
                <w:iCs/>
                <w:sz w:val="24"/>
                <w:szCs w:val="24"/>
                <w:vertAlign w:val="superscript"/>
                <w:lang w:eastAsia="lv-LV"/>
              </w:rPr>
              <w:t>1</w:t>
            </w:r>
            <w:r w:rsidR="00C94AB7">
              <w:rPr>
                <w:rFonts w:ascii="Times New Roman" w:hAnsi="Times New Roman"/>
                <w:iCs/>
                <w:sz w:val="24"/>
                <w:szCs w:val="24"/>
                <w:lang w:eastAsia="lv-LV"/>
              </w:rPr>
              <w:t xml:space="preserve"> punktā </w:t>
            </w:r>
            <w:r w:rsidR="00C94AB7" w:rsidRPr="000841C6">
              <w:rPr>
                <w:rFonts w:ascii="Times New Roman" w:hAnsi="Times New Roman"/>
                <w:iCs/>
                <w:sz w:val="24"/>
                <w:szCs w:val="24"/>
                <w:lang w:eastAsia="lv-LV"/>
              </w:rPr>
              <w:t>minēto ilgtermiņa saistību precizēšana pa gadiem atbilstoši precizētajam būvniecības darbu izpildes laika grafikam un naudas plūsmai (nemainot kopējo finansējuma apmēru).</w:t>
            </w:r>
          </w:p>
          <w:p w:rsidR="00C94AB7" w:rsidRPr="000841C6" w:rsidRDefault="00C94AB7" w:rsidP="00C94AB7">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Tā ietvaros:</w:t>
            </w:r>
          </w:p>
          <w:p w:rsidR="00C94AB7" w:rsidRPr="00EF7504" w:rsidRDefault="00C94AB7" w:rsidP="00C94AB7">
            <w:pPr>
              <w:pStyle w:val="ListParagraph"/>
              <w:numPr>
                <w:ilvl w:val="0"/>
                <w:numId w:val="17"/>
              </w:numPr>
              <w:tabs>
                <w:tab w:val="left" w:pos="425"/>
              </w:tabs>
              <w:spacing w:after="120"/>
              <w:ind w:left="57" w:right="159" w:firstLine="11"/>
              <w:jc w:val="both"/>
              <w:rPr>
                <w:rFonts w:ascii="Times New Roman" w:hAnsi="Times New Roman"/>
                <w:iCs/>
                <w:sz w:val="24"/>
                <w:szCs w:val="24"/>
                <w:lang w:eastAsia="lv-LV"/>
              </w:rPr>
            </w:pPr>
            <w:r w:rsidRPr="00456C1A">
              <w:rPr>
                <w:rFonts w:ascii="Times New Roman" w:hAnsi="Times New Roman"/>
                <w:iCs/>
                <w:sz w:val="24"/>
                <w:szCs w:val="24"/>
                <w:lang w:eastAsia="lv-LV"/>
              </w:rPr>
              <w:t>tiek svītrots 1.</w:t>
            </w:r>
            <w:r w:rsidRPr="00456C1A">
              <w:rPr>
                <w:rFonts w:ascii="Times New Roman" w:hAnsi="Times New Roman"/>
                <w:iCs/>
                <w:sz w:val="24"/>
                <w:szCs w:val="24"/>
                <w:vertAlign w:val="superscript"/>
                <w:lang w:eastAsia="lv-LV"/>
              </w:rPr>
              <w:t>1</w:t>
            </w:r>
            <w:r w:rsidR="00EF7504">
              <w:rPr>
                <w:rFonts w:ascii="Times New Roman" w:hAnsi="Times New Roman"/>
                <w:iCs/>
                <w:sz w:val="24"/>
                <w:szCs w:val="24"/>
                <w:vertAlign w:val="superscript"/>
                <w:lang w:eastAsia="lv-LV"/>
              </w:rPr>
              <w:t xml:space="preserve"> </w:t>
            </w:r>
            <w:r w:rsidRPr="00456C1A">
              <w:rPr>
                <w:rFonts w:ascii="Times New Roman" w:hAnsi="Times New Roman"/>
                <w:iCs/>
                <w:sz w:val="24"/>
                <w:szCs w:val="24"/>
                <w:lang w:eastAsia="lv-LV"/>
              </w:rPr>
              <w:t>apakšpunkts un papildināts ar 1.</w:t>
            </w:r>
            <w:r w:rsidRPr="00456C1A">
              <w:rPr>
                <w:rFonts w:ascii="Times New Roman" w:hAnsi="Times New Roman"/>
                <w:iCs/>
                <w:sz w:val="24"/>
                <w:szCs w:val="24"/>
                <w:vertAlign w:val="superscript"/>
                <w:lang w:eastAsia="lv-LV"/>
              </w:rPr>
              <w:t>2</w:t>
            </w:r>
            <w:r w:rsidRPr="00456C1A">
              <w:rPr>
                <w:rFonts w:ascii="Times New Roman" w:hAnsi="Times New Roman"/>
                <w:iCs/>
                <w:sz w:val="24"/>
                <w:szCs w:val="24"/>
                <w:lang w:eastAsia="lv-LV"/>
              </w:rPr>
              <w:t xml:space="preserve"> punktu, precizējot </w:t>
            </w:r>
            <w:r w:rsidR="00BE1D89">
              <w:rPr>
                <w:rFonts w:ascii="Times New Roman" w:hAnsi="Times New Roman"/>
                <w:iCs/>
                <w:sz w:val="24"/>
                <w:szCs w:val="24"/>
                <w:lang w:eastAsia="lv-LV"/>
              </w:rPr>
              <w:t>FM</w:t>
            </w:r>
            <w:r w:rsidRPr="00456C1A">
              <w:rPr>
                <w:rFonts w:ascii="Times New Roman" w:hAnsi="Times New Roman"/>
                <w:iCs/>
                <w:sz w:val="24"/>
                <w:szCs w:val="24"/>
                <w:lang w:eastAsia="lv-LV"/>
              </w:rPr>
              <w:t xml:space="preserve"> budžeta ilgtermiņa saistībās paredzētā finansējuma apmēru pa gadiem, paredzot </w:t>
            </w:r>
            <w:r w:rsidRPr="0000292B">
              <w:rPr>
                <w:rFonts w:ascii="Times New Roman" w:hAnsi="Times New Roman"/>
                <w:iCs/>
                <w:sz w:val="24"/>
                <w:szCs w:val="24"/>
                <w:lang w:eastAsia="lv-LV"/>
              </w:rPr>
              <w:t xml:space="preserve">2015.gadā – </w:t>
            </w:r>
            <w:r w:rsidR="00B6238A" w:rsidRPr="00EF7504">
              <w:rPr>
                <w:rFonts w:ascii="Times New Roman" w:hAnsi="Times New Roman"/>
                <w:iCs/>
                <w:sz w:val="24"/>
                <w:szCs w:val="24"/>
                <w:lang w:eastAsia="lv-LV"/>
              </w:rPr>
              <w:t>783 147</w:t>
            </w:r>
            <w:r w:rsidR="0000292B" w:rsidRPr="00EF7504">
              <w:rPr>
                <w:rFonts w:ascii="Times New Roman" w:hAnsi="Times New Roman"/>
                <w:i/>
                <w:iCs/>
                <w:sz w:val="24"/>
                <w:szCs w:val="24"/>
                <w:lang w:eastAsia="lv-LV"/>
              </w:rPr>
              <w:t xml:space="preserve"> </w:t>
            </w:r>
            <w:proofErr w:type="spellStart"/>
            <w:r w:rsidRPr="00EF7504">
              <w:rPr>
                <w:rFonts w:ascii="Times New Roman" w:hAnsi="Times New Roman"/>
                <w:i/>
                <w:iCs/>
                <w:sz w:val="24"/>
                <w:szCs w:val="24"/>
                <w:lang w:eastAsia="lv-LV"/>
              </w:rPr>
              <w:t>euro</w:t>
            </w:r>
            <w:proofErr w:type="spellEnd"/>
            <w:r w:rsidRPr="00EF7504">
              <w:rPr>
                <w:rFonts w:ascii="Times New Roman" w:hAnsi="Times New Roman"/>
                <w:iCs/>
                <w:sz w:val="24"/>
                <w:szCs w:val="24"/>
                <w:lang w:eastAsia="lv-LV"/>
              </w:rPr>
              <w:t xml:space="preserve">, renovācijas izdevumu segšanai 2013.-2015.gadā paredzētais kopējais finansējuma apmērs ir </w:t>
            </w:r>
            <w:r w:rsidRPr="00EF7504">
              <w:rPr>
                <w:rFonts w:ascii="Times New Roman" w:hAnsi="Times New Roman"/>
                <w:sz w:val="24"/>
                <w:szCs w:val="24"/>
              </w:rPr>
              <w:t>887 528</w:t>
            </w:r>
            <w:r w:rsidRPr="00EF7504">
              <w:rPr>
                <w:rFonts w:ascii="Times New Roman" w:hAnsi="Times New Roman"/>
                <w:i/>
                <w:sz w:val="24"/>
                <w:szCs w:val="24"/>
              </w:rPr>
              <w:t xml:space="preserve"> </w:t>
            </w:r>
            <w:proofErr w:type="spellStart"/>
            <w:r w:rsidRPr="00EF7504">
              <w:rPr>
                <w:rFonts w:ascii="Times New Roman" w:hAnsi="Times New Roman"/>
                <w:i/>
                <w:sz w:val="24"/>
                <w:szCs w:val="24"/>
              </w:rPr>
              <w:t>euro</w:t>
            </w:r>
            <w:proofErr w:type="spellEnd"/>
            <w:r w:rsidRPr="00EF7504">
              <w:rPr>
                <w:rFonts w:ascii="Times New Roman" w:hAnsi="Times New Roman"/>
                <w:i/>
                <w:iCs/>
                <w:sz w:val="24"/>
                <w:szCs w:val="24"/>
                <w:lang w:eastAsia="lv-LV"/>
              </w:rPr>
              <w:t>.</w:t>
            </w:r>
          </w:p>
          <w:p w:rsidR="00C94AB7" w:rsidRPr="000841C6" w:rsidRDefault="00C94AB7" w:rsidP="00C94AB7">
            <w:pPr>
              <w:pStyle w:val="ListParagraph"/>
              <w:numPr>
                <w:ilvl w:val="0"/>
                <w:numId w:val="17"/>
              </w:numPr>
              <w:tabs>
                <w:tab w:val="left" w:pos="425"/>
              </w:tabs>
              <w:spacing w:after="120"/>
              <w:ind w:left="142" w:right="159" w:firstLine="0"/>
              <w:jc w:val="both"/>
              <w:rPr>
                <w:rFonts w:ascii="Times New Roman" w:hAnsi="Times New Roman"/>
                <w:iCs/>
                <w:sz w:val="24"/>
                <w:szCs w:val="24"/>
                <w:lang w:eastAsia="lv-LV"/>
              </w:rPr>
            </w:pPr>
            <w:r w:rsidRPr="000841C6">
              <w:rPr>
                <w:rFonts w:ascii="Times New Roman" w:hAnsi="Times New Roman"/>
                <w:iCs/>
                <w:sz w:val="24"/>
                <w:szCs w:val="24"/>
                <w:lang w:eastAsia="lv-LV"/>
              </w:rPr>
              <w:t>1.3.apakšpunktā precizēta atsauce uz 1.</w:t>
            </w:r>
            <w:r>
              <w:rPr>
                <w:rFonts w:ascii="Times New Roman" w:hAnsi="Times New Roman"/>
                <w:iCs/>
                <w:sz w:val="24"/>
                <w:szCs w:val="24"/>
                <w:vertAlign w:val="superscript"/>
                <w:lang w:eastAsia="lv-LV"/>
              </w:rPr>
              <w:t>2</w:t>
            </w:r>
            <w:r w:rsidRPr="000841C6">
              <w:rPr>
                <w:rFonts w:ascii="Times New Roman" w:hAnsi="Times New Roman"/>
                <w:iCs/>
                <w:sz w:val="24"/>
                <w:szCs w:val="24"/>
                <w:lang w:eastAsia="lv-LV"/>
              </w:rPr>
              <w:t>punktu</w:t>
            </w:r>
            <w:r w:rsidR="00EF7504">
              <w:rPr>
                <w:rFonts w:ascii="Times New Roman" w:hAnsi="Times New Roman"/>
                <w:iCs/>
                <w:sz w:val="24"/>
                <w:szCs w:val="24"/>
                <w:lang w:eastAsia="lv-LV"/>
              </w:rPr>
              <w:t>.</w:t>
            </w:r>
          </w:p>
          <w:p w:rsidR="00C94AB7" w:rsidRPr="000841C6" w:rsidRDefault="00BE1D89" w:rsidP="00027E37">
            <w:pPr>
              <w:spacing w:after="120" w:line="240" w:lineRule="auto"/>
              <w:ind w:left="160" w:right="265" w:firstLine="11"/>
              <w:jc w:val="both"/>
              <w:rPr>
                <w:rFonts w:ascii="Times New Roman" w:hAnsi="Times New Roman"/>
                <w:iCs/>
                <w:sz w:val="24"/>
                <w:szCs w:val="24"/>
                <w:lang w:eastAsia="lv-LV"/>
              </w:rPr>
            </w:pPr>
            <w:r>
              <w:rPr>
                <w:rFonts w:ascii="Times New Roman" w:hAnsi="Times New Roman"/>
                <w:iCs/>
                <w:sz w:val="24"/>
                <w:szCs w:val="24"/>
                <w:lang w:eastAsia="lv-LV"/>
              </w:rPr>
              <w:t xml:space="preserve">MK </w:t>
            </w:r>
            <w:r w:rsidR="00C94AB7" w:rsidRPr="000841C6">
              <w:rPr>
                <w:rFonts w:ascii="Times New Roman" w:hAnsi="Times New Roman"/>
                <w:iCs/>
                <w:sz w:val="24"/>
                <w:szCs w:val="24"/>
                <w:lang w:eastAsia="lv-LV"/>
              </w:rPr>
              <w:t xml:space="preserve">rīkojuma projekts pilnībā atrisina anotācijas </w:t>
            </w:r>
            <w:proofErr w:type="spellStart"/>
            <w:r w:rsidR="00C94AB7" w:rsidRPr="000841C6">
              <w:rPr>
                <w:rFonts w:ascii="Times New Roman" w:hAnsi="Times New Roman"/>
                <w:iCs/>
                <w:sz w:val="24"/>
                <w:szCs w:val="24"/>
                <w:lang w:eastAsia="lv-LV"/>
              </w:rPr>
              <w:t>I.sadaļas</w:t>
            </w:r>
            <w:proofErr w:type="spellEnd"/>
            <w:r w:rsidR="00C94AB7" w:rsidRPr="000841C6">
              <w:rPr>
                <w:rFonts w:ascii="Times New Roman" w:hAnsi="Times New Roman"/>
                <w:iCs/>
                <w:sz w:val="24"/>
                <w:szCs w:val="24"/>
                <w:lang w:eastAsia="lv-LV"/>
              </w:rPr>
              <w:t xml:space="preserve"> 2.punktā minētās problēmas.</w:t>
            </w:r>
          </w:p>
          <w:p w:rsidR="00C94AB7" w:rsidRPr="00317B9D" w:rsidRDefault="00FD7E34" w:rsidP="00C94AB7">
            <w:pPr>
              <w:spacing w:after="120" w:line="240" w:lineRule="auto"/>
              <w:ind w:left="142" w:right="159"/>
              <w:jc w:val="both"/>
              <w:rPr>
                <w:rFonts w:ascii="Times New Roman" w:hAnsi="Times New Roman"/>
                <w:sz w:val="24"/>
                <w:szCs w:val="24"/>
              </w:rPr>
            </w:pPr>
            <w:r w:rsidRPr="00C619C9">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C94AB7" w:rsidRPr="00317B9D" w:rsidTr="00027E37">
        <w:trPr>
          <w:trHeight w:val="737"/>
        </w:trPr>
        <w:tc>
          <w:tcPr>
            <w:tcW w:w="223" w:type="pct"/>
          </w:tcPr>
          <w:p w:rsidR="00C94AB7" w:rsidRPr="00317B9D" w:rsidRDefault="00C94AB7" w:rsidP="00C94AB7">
            <w:pPr>
              <w:pStyle w:val="naiskr"/>
              <w:spacing w:before="0" w:after="0"/>
            </w:pPr>
            <w:r w:rsidRPr="00317B9D">
              <w:lastRenderedPageBreak/>
              <w:t>3.</w:t>
            </w:r>
          </w:p>
        </w:tc>
        <w:tc>
          <w:tcPr>
            <w:tcW w:w="883" w:type="pct"/>
          </w:tcPr>
          <w:p w:rsidR="00C94AB7" w:rsidRPr="00317B9D" w:rsidRDefault="00C94AB7" w:rsidP="00C94AB7">
            <w:pPr>
              <w:pStyle w:val="naiskr"/>
              <w:spacing w:before="0" w:after="0"/>
              <w:ind w:left="135"/>
            </w:pPr>
            <w:r w:rsidRPr="00317B9D">
              <w:t>Projekta izstrādē iesaistītās institūcijas</w:t>
            </w:r>
          </w:p>
        </w:tc>
        <w:tc>
          <w:tcPr>
            <w:tcW w:w="3894" w:type="pct"/>
          </w:tcPr>
          <w:p w:rsidR="00C94AB7" w:rsidRPr="00226809" w:rsidRDefault="00C94AB7" w:rsidP="00C94AB7">
            <w:pPr>
              <w:pStyle w:val="naiskr"/>
              <w:spacing w:before="0" w:after="0"/>
              <w:ind w:left="101"/>
            </w:pPr>
            <w:r w:rsidRPr="00226809">
              <w:rPr>
                <w:bCs/>
              </w:rPr>
              <w:t>FM (VNĪ).</w:t>
            </w:r>
          </w:p>
        </w:tc>
      </w:tr>
      <w:tr w:rsidR="00027E37" w:rsidRPr="00317B9D" w:rsidTr="00C94AB7">
        <w:trPr>
          <w:trHeight w:val="132"/>
        </w:trPr>
        <w:tc>
          <w:tcPr>
            <w:tcW w:w="223" w:type="pct"/>
          </w:tcPr>
          <w:p w:rsidR="00027E37" w:rsidRPr="00317B9D" w:rsidRDefault="00027E37" w:rsidP="00C94AB7">
            <w:pPr>
              <w:pStyle w:val="naiskr"/>
              <w:spacing w:before="0" w:after="0"/>
            </w:pPr>
            <w:r w:rsidRPr="00317B9D">
              <w:t>4.</w:t>
            </w:r>
          </w:p>
        </w:tc>
        <w:tc>
          <w:tcPr>
            <w:tcW w:w="883" w:type="pct"/>
          </w:tcPr>
          <w:p w:rsidR="00027E37" w:rsidRPr="00317B9D" w:rsidRDefault="00027E37" w:rsidP="00C94AB7">
            <w:pPr>
              <w:pStyle w:val="naiskr"/>
              <w:spacing w:before="0" w:after="0"/>
            </w:pPr>
            <w:r w:rsidRPr="00317B9D">
              <w:t>Cita informācija</w:t>
            </w:r>
          </w:p>
        </w:tc>
        <w:tc>
          <w:tcPr>
            <w:tcW w:w="3894" w:type="pct"/>
          </w:tcPr>
          <w:p w:rsidR="00027E37" w:rsidRPr="00755EDD" w:rsidRDefault="00027E37" w:rsidP="007E718A">
            <w:pPr>
              <w:pStyle w:val="naiskr"/>
              <w:tabs>
                <w:tab w:val="left" w:pos="2628"/>
                <w:tab w:val="left" w:pos="7993"/>
              </w:tabs>
              <w:spacing w:before="0" w:after="60"/>
              <w:ind w:right="-1"/>
              <w:jc w:val="both"/>
              <w:rPr>
                <w:iCs/>
              </w:rPr>
            </w:pPr>
            <w:r w:rsidRPr="00755EDD">
              <w:t>Nav.</w:t>
            </w:r>
          </w:p>
        </w:tc>
      </w:tr>
      <w:bookmarkEnd w:id="4"/>
      <w:bookmarkEnd w:id="5"/>
      <w:bookmarkEnd w:id="6"/>
      <w:bookmarkEnd w:id="7"/>
    </w:tbl>
    <w:p w:rsidR="009D4758" w:rsidRPr="000841C6" w:rsidRDefault="009D4758" w:rsidP="007A0272">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1195"/>
        <w:gridCol w:w="1393"/>
        <w:gridCol w:w="1393"/>
        <w:gridCol w:w="1393"/>
        <w:gridCol w:w="1452"/>
      </w:tblGrid>
      <w:tr w:rsidR="00973D4C" w:rsidRPr="000841C6" w:rsidTr="00D302B6">
        <w:trPr>
          <w:trHeight w:val="290"/>
          <w:jc w:val="center"/>
        </w:trPr>
        <w:tc>
          <w:tcPr>
            <w:tcW w:w="5000" w:type="pct"/>
            <w:gridSpan w:val="6"/>
          </w:tcPr>
          <w:p w:rsidR="00973D4C" w:rsidRPr="000841C6" w:rsidRDefault="00973D4C" w:rsidP="00972823">
            <w:pPr>
              <w:pStyle w:val="naisnod"/>
              <w:spacing w:before="0" w:after="0"/>
              <w:jc w:val="center"/>
              <w:rPr>
                <w:b/>
                <w:i/>
              </w:rPr>
            </w:pPr>
            <w:r w:rsidRPr="000841C6">
              <w:rPr>
                <w:b/>
              </w:rPr>
              <w:br w:type="page"/>
              <w:t>III. Tiesību akta projekta ietekme uz valsts budžetu un pašvaldību budžetiem</w:t>
            </w:r>
          </w:p>
        </w:tc>
      </w:tr>
      <w:tr w:rsidR="00973D4C" w:rsidRPr="000841C6" w:rsidTr="00D302B6">
        <w:trPr>
          <w:jc w:val="center"/>
        </w:trPr>
        <w:tc>
          <w:tcPr>
            <w:tcW w:w="1574" w:type="pct"/>
            <w:vMerge w:val="restart"/>
            <w:vAlign w:val="center"/>
          </w:tcPr>
          <w:p w:rsidR="00973D4C" w:rsidRPr="000841C6" w:rsidRDefault="00973D4C" w:rsidP="00536B44">
            <w:pPr>
              <w:pStyle w:val="naisf"/>
              <w:spacing w:before="0" w:after="0"/>
              <w:ind w:firstLine="0"/>
              <w:jc w:val="center"/>
            </w:pPr>
            <w:r w:rsidRPr="000841C6">
              <w:t>Rādītāji</w:t>
            </w:r>
          </w:p>
        </w:tc>
        <w:tc>
          <w:tcPr>
            <w:tcW w:w="1298" w:type="pct"/>
            <w:gridSpan w:val="2"/>
            <w:vMerge w:val="restart"/>
            <w:vAlign w:val="center"/>
          </w:tcPr>
          <w:p w:rsidR="00973D4C" w:rsidRPr="000841C6" w:rsidRDefault="00973D4C" w:rsidP="00C94AB7">
            <w:pPr>
              <w:pStyle w:val="naisf"/>
              <w:spacing w:before="0" w:after="0"/>
              <w:ind w:firstLine="0"/>
              <w:jc w:val="center"/>
            </w:pPr>
            <w:r w:rsidRPr="000841C6">
              <w:t>201</w:t>
            </w:r>
            <w:r w:rsidR="00C94AB7">
              <w:t>4</w:t>
            </w:r>
            <w:r w:rsidRPr="000841C6">
              <w:t>.gads</w:t>
            </w:r>
          </w:p>
        </w:tc>
        <w:tc>
          <w:tcPr>
            <w:tcW w:w="2128" w:type="pct"/>
            <w:gridSpan w:val="3"/>
            <w:vAlign w:val="center"/>
          </w:tcPr>
          <w:p w:rsidR="00973D4C" w:rsidRPr="000841C6" w:rsidRDefault="00973D4C" w:rsidP="00C94AB7">
            <w:pPr>
              <w:pStyle w:val="naisf"/>
              <w:spacing w:before="0" w:after="0"/>
              <w:ind w:firstLine="0"/>
              <w:jc w:val="center"/>
              <w:rPr>
                <w:i/>
              </w:rPr>
            </w:pPr>
            <w:r w:rsidRPr="000841C6">
              <w:t>Turpmākie trīs gadi (</w:t>
            </w:r>
            <w:proofErr w:type="spellStart"/>
            <w:r w:rsidR="00C94AB7" w:rsidRPr="00C94AB7">
              <w:rPr>
                <w:i/>
              </w:rPr>
              <w:t>euro</w:t>
            </w:r>
            <w:proofErr w:type="spellEnd"/>
            <w:r w:rsidRPr="000841C6">
              <w:t>)</w:t>
            </w:r>
          </w:p>
        </w:tc>
      </w:tr>
      <w:tr w:rsidR="00973D4C" w:rsidRPr="000841C6" w:rsidTr="00D302B6">
        <w:trPr>
          <w:jc w:val="center"/>
        </w:trPr>
        <w:tc>
          <w:tcPr>
            <w:tcW w:w="1574" w:type="pct"/>
            <w:vMerge/>
            <w:vAlign w:val="center"/>
          </w:tcPr>
          <w:p w:rsidR="00973D4C" w:rsidRPr="000841C6" w:rsidRDefault="00973D4C" w:rsidP="00536B44">
            <w:pPr>
              <w:pStyle w:val="naisf"/>
              <w:spacing w:before="0" w:after="0"/>
              <w:ind w:firstLine="0"/>
              <w:jc w:val="left"/>
              <w:rPr>
                <w:i/>
              </w:rPr>
            </w:pPr>
          </w:p>
        </w:tc>
        <w:tc>
          <w:tcPr>
            <w:tcW w:w="1298" w:type="pct"/>
            <w:gridSpan w:val="2"/>
            <w:vMerge/>
            <w:vAlign w:val="center"/>
          </w:tcPr>
          <w:p w:rsidR="00973D4C" w:rsidRPr="000841C6" w:rsidRDefault="00973D4C" w:rsidP="00536B44">
            <w:pPr>
              <w:pStyle w:val="naisf"/>
              <w:spacing w:before="0" w:after="0"/>
              <w:ind w:firstLine="0"/>
              <w:jc w:val="center"/>
              <w:rPr>
                <w:i/>
              </w:rPr>
            </w:pPr>
          </w:p>
        </w:tc>
        <w:tc>
          <w:tcPr>
            <w:tcW w:w="699" w:type="pct"/>
            <w:vAlign w:val="center"/>
          </w:tcPr>
          <w:p w:rsidR="00973D4C" w:rsidRPr="000841C6" w:rsidRDefault="00973D4C" w:rsidP="00C94AB7">
            <w:pPr>
              <w:pStyle w:val="naisf"/>
              <w:spacing w:before="0" w:after="0"/>
              <w:ind w:firstLine="0"/>
              <w:jc w:val="center"/>
              <w:rPr>
                <w:i/>
              </w:rPr>
            </w:pPr>
            <w:r w:rsidRPr="000841C6">
              <w:rPr>
                <w:bCs/>
              </w:rPr>
              <w:t>201</w:t>
            </w:r>
            <w:r w:rsidR="00C94AB7">
              <w:rPr>
                <w:bCs/>
              </w:rPr>
              <w:t>5</w:t>
            </w:r>
            <w:r w:rsidRPr="000841C6">
              <w:rPr>
                <w:bCs/>
              </w:rPr>
              <w:t>.g.</w:t>
            </w:r>
          </w:p>
        </w:tc>
        <w:tc>
          <w:tcPr>
            <w:tcW w:w="699" w:type="pct"/>
            <w:vAlign w:val="center"/>
          </w:tcPr>
          <w:p w:rsidR="00973D4C" w:rsidRPr="000841C6" w:rsidRDefault="00973D4C" w:rsidP="00C94AB7">
            <w:pPr>
              <w:pStyle w:val="naisf"/>
              <w:spacing w:before="0" w:after="0"/>
              <w:ind w:firstLine="0"/>
              <w:jc w:val="center"/>
              <w:rPr>
                <w:i/>
              </w:rPr>
            </w:pPr>
            <w:r w:rsidRPr="000841C6">
              <w:rPr>
                <w:bCs/>
              </w:rPr>
              <w:t>201</w:t>
            </w:r>
            <w:r w:rsidR="00C94AB7">
              <w:rPr>
                <w:bCs/>
              </w:rPr>
              <w:t>6</w:t>
            </w:r>
            <w:r w:rsidRPr="000841C6">
              <w:rPr>
                <w:bCs/>
              </w:rPr>
              <w:t>.g.</w:t>
            </w:r>
          </w:p>
        </w:tc>
        <w:tc>
          <w:tcPr>
            <w:tcW w:w="731" w:type="pct"/>
            <w:vAlign w:val="center"/>
          </w:tcPr>
          <w:p w:rsidR="00973D4C" w:rsidRPr="000841C6" w:rsidRDefault="00973D4C" w:rsidP="00C94AB7">
            <w:pPr>
              <w:pStyle w:val="naisf"/>
              <w:spacing w:before="0" w:after="0"/>
              <w:ind w:firstLine="0"/>
              <w:jc w:val="center"/>
              <w:rPr>
                <w:i/>
              </w:rPr>
            </w:pPr>
            <w:r w:rsidRPr="000841C6">
              <w:rPr>
                <w:bCs/>
              </w:rPr>
              <w:t>201</w:t>
            </w:r>
            <w:r w:rsidR="00C94AB7">
              <w:rPr>
                <w:bCs/>
              </w:rPr>
              <w:t>7</w:t>
            </w:r>
            <w:r w:rsidRPr="000841C6">
              <w:rPr>
                <w:bCs/>
              </w:rPr>
              <w:t>.g.</w:t>
            </w:r>
          </w:p>
        </w:tc>
      </w:tr>
      <w:tr w:rsidR="00973D4C" w:rsidRPr="000841C6" w:rsidTr="00D302B6">
        <w:trPr>
          <w:jc w:val="center"/>
        </w:trPr>
        <w:tc>
          <w:tcPr>
            <w:tcW w:w="1574" w:type="pct"/>
            <w:vMerge/>
            <w:vAlign w:val="center"/>
          </w:tcPr>
          <w:p w:rsidR="00973D4C" w:rsidRPr="000841C6" w:rsidRDefault="00973D4C" w:rsidP="00536B44">
            <w:pPr>
              <w:pStyle w:val="naisf"/>
              <w:spacing w:before="0" w:after="0"/>
              <w:ind w:firstLine="0"/>
              <w:jc w:val="left"/>
              <w:rPr>
                <w:i/>
              </w:rPr>
            </w:pPr>
          </w:p>
        </w:tc>
        <w:tc>
          <w:tcPr>
            <w:tcW w:w="600" w:type="pct"/>
            <w:vAlign w:val="center"/>
          </w:tcPr>
          <w:p w:rsidR="00973D4C" w:rsidRPr="000841C6" w:rsidRDefault="00973D4C" w:rsidP="00536B44">
            <w:pPr>
              <w:pStyle w:val="naisf"/>
              <w:spacing w:before="0" w:after="0"/>
              <w:ind w:firstLine="0"/>
              <w:jc w:val="center"/>
              <w:rPr>
                <w:i/>
              </w:rPr>
            </w:pPr>
            <w:r w:rsidRPr="000841C6">
              <w:t>Saskaņā ar valsts budžetu kārtējam gadam</w:t>
            </w:r>
          </w:p>
        </w:tc>
        <w:tc>
          <w:tcPr>
            <w:tcW w:w="699" w:type="pct"/>
            <w:vAlign w:val="center"/>
          </w:tcPr>
          <w:p w:rsidR="00973D4C" w:rsidRPr="000841C6" w:rsidRDefault="00973D4C" w:rsidP="00536B44">
            <w:pPr>
              <w:pStyle w:val="naisf"/>
              <w:spacing w:before="0" w:after="0"/>
              <w:ind w:firstLine="0"/>
              <w:jc w:val="center"/>
              <w:rPr>
                <w:i/>
              </w:rPr>
            </w:pPr>
            <w:r w:rsidRPr="000841C6">
              <w:t xml:space="preserve">Izmaiņas kārtējā gadā, salīdzinot ar budžetu kārtējam </w:t>
            </w:r>
            <w:r w:rsidRPr="000841C6">
              <w:lastRenderedPageBreak/>
              <w:t>gadam</w:t>
            </w:r>
          </w:p>
        </w:tc>
        <w:tc>
          <w:tcPr>
            <w:tcW w:w="699" w:type="pct"/>
            <w:vAlign w:val="center"/>
          </w:tcPr>
          <w:p w:rsidR="00973D4C" w:rsidRPr="000841C6" w:rsidRDefault="00973D4C" w:rsidP="00616AF9">
            <w:pPr>
              <w:pStyle w:val="naisf"/>
              <w:spacing w:before="0" w:after="0"/>
              <w:ind w:firstLine="0"/>
              <w:jc w:val="center"/>
              <w:rPr>
                <w:i/>
              </w:rPr>
            </w:pPr>
            <w:r w:rsidRPr="000841C6">
              <w:lastRenderedPageBreak/>
              <w:t>Izmaiņas, salīdzinot ar kārtējo gadu</w:t>
            </w:r>
          </w:p>
        </w:tc>
        <w:tc>
          <w:tcPr>
            <w:tcW w:w="699" w:type="pct"/>
            <w:vAlign w:val="center"/>
          </w:tcPr>
          <w:p w:rsidR="00973D4C" w:rsidRPr="000841C6" w:rsidRDefault="00973D4C" w:rsidP="00616AF9">
            <w:pPr>
              <w:pStyle w:val="naisf"/>
              <w:spacing w:before="0" w:after="0"/>
              <w:ind w:firstLine="0"/>
              <w:jc w:val="center"/>
              <w:rPr>
                <w:i/>
              </w:rPr>
            </w:pPr>
            <w:r w:rsidRPr="000841C6">
              <w:t>Izmaiņas, salīdzinot ar kārtējo gadu</w:t>
            </w:r>
          </w:p>
        </w:tc>
        <w:tc>
          <w:tcPr>
            <w:tcW w:w="731" w:type="pct"/>
            <w:vAlign w:val="center"/>
          </w:tcPr>
          <w:p w:rsidR="00973D4C" w:rsidRPr="000841C6" w:rsidRDefault="00973D4C" w:rsidP="00616AF9">
            <w:pPr>
              <w:pStyle w:val="naisf"/>
              <w:spacing w:before="0" w:after="0"/>
              <w:ind w:firstLine="0"/>
              <w:jc w:val="center"/>
              <w:rPr>
                <w:i/>
              </w:rPr>
            </w:pPr>
            <w:r w:rsidRPr="000841C6">
              <w:t>Izmai</w:t>
            </w:r>
            <w:r w:rsidR="00816F44" w:rsidRPr="000841C6">
              <w:t xml:space="preserve">ņas, salīdzinot ar kārtējo </w:t>
            </w:r>
            <w:r w:rsidRPr="000841C6">
              <w:t>gadu</w:t>
            </w:r>
          </w:p>
        </w:tc>
      </w:tr>
      <w:tr w:rsidR="00973D4C" w:rsidRPr="000841C6" w:rsidTr="00D302B6">
        <w:trPr>
          <w:jc w:val="center"/>
        </w:trPr>
        <w:tc>
          <w:tcPr>
            <w:tcW w:w="1574" w:type="pct"/>
            <w:vAlign w:val="center"/>
          </w:tcPr>
          <w:p w:rsidR="00973D4C" w:rsidRPr="000841C6" w:rsidRDefault="00973D4C" w:rsidP="00536B44">
            <w:pPr>
              <w:pStyle w:val="naisf"/>
              <w:spacing w:before="0" w:after="0"/>
              <w:ind w:firstLine="0"/>
              <w:jc w:val="center"/>
              <w:rPr>
                <w:bCs/>
              </w:rPr>
            </w:pPr>
            <w:r w:rsidRPr="000841C6">
              <w:rPr>
                <w:bCs/>
              </w:rPr>
              <w:lastRenderedPageBreak/>
              <w:t>1</w:t>
            </w:r>
          </w:p>
        </w:tc>
        <w:tc>
          <w:tcPr>
            <w:tcW w:w="600" w:type="pct"/>
            <w:vAlign w:val="center"/>
          </w:tcPr>
          <w:p w:rsidR="00973D4C" w:rsidRPr="000841C6" w:rsidRDefault="00973D4C" w:rsidP="00536B44">
            <w:pPr>
              <w:pStyle w:val="naisf"/>
              <w:spacing w:before="0" w:after="0"/>
              <w:ind w:firstLine="0"/>
              <w:jc w:val="center"/>
              <w:rPr>
                <w:bCs/>
              </w:rPr>
            </w:pPr>
            <w:r w:rsidRPr="000841C6">
              <w:rPr>
                <w:bCs/>
              </w:rPr>
              <w:t>2</w:t>
            </w:r>
          </w:p>
        </w:tc>
        <w:tc>
          <w:tcPr>
            <w:tcW w:w="699" w:type="pct"/>
            <w:vAlign w:val="center"/>
          </w:tcPr>
          <w:p w:rsidR="00973D4C" w:rsidRPr="000841C6" w:rsidRDefault="00973D4C" w:rsidP="00536B44">
            <w:pPr>
              <w:pStyle w:val="naisf"/>
              <w:spacing w:before="0" w:after="0"/>
              <w:ind w:firstLine="0"/>
              <w:jc w:val="center"/>
              <w:rPr>
                <w:bCs/>
              </w:rPr>
            </w:pPr>
            <w:r w:rsidRPr="000841C6">
              <w:rPr>
                <w:bCs/>
              </w:rPr>
              <w:t>3</w:t>
            </w:r>
          </w:p>
        </w:tc>
        <w:tc>
          <w:tcPr>
            <w:tcW w:w="699" w:type="pct"/>
            <w:vAlign w:val="center"/>
          </w:tcPr>
          <w:p w:rsidR="00973D4C" w:rsidRPr="000841C6" w:rsidRDefault="00973D4C" w:rsidP="00536B44">
            <w:pPr>
              <w:pStyle w:val="naisf"/>
              <w:spacing w:before="0" w:after="0"/>
              <w:ind w:firstLine="0"/>
              <w:jc w:val="center"/>
              <w:rPr>
                <w:bCs/>
              </w:rPr>
            </w:pPr>
            <w:r w:rsidRPr="000841C6">
              <w:rPr>
                <w:bCs/>
              </w:rPr>
              <w:t>4</w:t>
            </w:r>
          </w:p>
        </w:tc>
        <w:tc>
          <w:tcPr>
            <w:tcW w:w="699" w:type="pct"/>
            <w:vAlign w:val="center"/>
          </w:tcPr>
          <w:p w:rsidR="00973D4C" w:rsidRPr="000841C6" w:rsidRDefault="00973D4C" w:rsidP="00536B44">
            <w:pPr>
              <w:pStyle w:val="naisf"/>
              <w:spacing w:before="0" w:after="0"/>
              <w:ind w:firstLine="0"/>
              <w:jc w:val="center"/>
              <w:rPr>
                <w:bCs/>
              </w:rPr>
            </w:pPr>
            <w:r w:rsidRPr="000841C6">
              <w:rPr>
                <w:bCs/>
              </w:rPr>
              <w:t>5</w:t>
            </w:r>
          </w:p>
        </w:tc>
        <w:tc>
          <w:tcPr>
            <w:tcW w:w="731" w:type="pct"/>
            <w:vAlign w:val="center"/>
          </w:tcPr>
          <w:p w:rsidR="00973D4C" w:rsidRPr="000841C6" w:rsidRDefault="00973D4C" w:rsidP="00536B44">
            <w:pPr>
              <w:pStyle w:val="naisf"/>
              <w:spacing w:before="0" w:after="0"/>
              <w:ind w:firstLine="0"/>
              <w:jc w:val="center"/>
              <w:rPr>
                <w:bCs/>
              </w:rPr>
            </w:pPr>
            <w:r w:rsidRPr="000841C6">
              <w:rPr>
                <w:bCs/>
              </w:rPr>
              <w:t>6</w:t>
            </w:r>
          </w:p>
        </w:tc>
      </w:tr>
      <w:tr w:rsidR="00973D4C" w:rsidRPr="000841C6" w:rsidTr="00D302B6">
        <w:trPr>
          <w:jc w:val="center"/>
        </w:trPr>
        <w:tc>
          <w:tcPr>
            <w:tcW w:w="1574" w:type="pct"/>
          </w:tcPr>
          <w:p w:rsidR="00973D4C" w:rsidRPr="000841C6" w:rsidRDefault="00973D4C" w:rsidP="00A54DFF">
            <w:pPr>
              <w:pStyle w:val="naiskr"/>
              <w:spacing w:before="0" w:after="0"/>
            </w:pPr>
            <w:r w:rsidRPr="000841C6">
              <w:t>1. Budžeta ieņēmumi:</w:t>
            </w:r>
          </w:p>
        </w:tc>
        <w:tc>
          <w:tcPr>
            <w:tcW w:w="600" w:type="pct"/>
          </w:tcPr>
          <w:p w:rsidR="00973D4C" w:rsidRPr="000841C6" w:rsidRDefault="00EB4046" w:rsidP="009F1D9C">
            <w:pPr>
              <w:pStyle w:val="naisf"/>
              <w:spacing w:before="0" w:after="0"/>
              <w:ind w:firstLine="0"/>
              <w:jc w:val="center"/>
            </w:pPr>
            <w:r w:rsidRPr="000841C6">
              <w:t>0</w:t>
            </w:r>
          </w:p>
        </w:tc>
        <w:tc>
          <w:tcPr>
            <w:tcW w:w="699" w:type="pct"/>
          </w:tcPr>
          <w:p w:rsidR="00973D4C" w:rsidRPr="000841C6" w:rsidRDefault="00EB4046" w:rsidP="009F1D9C">
            <w:pPr>
              <w:pStyle w:val="naisf"/>
              <w:spacing w:before="0" w:after="0"/>
              <w:ind w:firstLine="0"/>
              <w:jc w:val="center"/>
            </w:pPr>
            <w:r w:rsidRPr="000841C6">
              <w:t>0</w:t>
            </w:r>
          </w:p>
        </w:tc>
        <w:tc>
          <w:tcPr>
            <w:tcW w:w="699" w:type="pct"/>
          </w:tcPr>
          <w:p w:rsidR="00973D4C" w:rsidRPr="000841C6" w:rsidRDefault="00EB4046" w:rsidP="009F1D9C">
            <w:pPr>
              <w:pStyle w:val="naisf"/>
              <w:spacing w:before="0" w:after="0"/>
              <w:ind w:firstLine="0"/>
              <w:jc w:val="center"/>
            </w:pPr>
            <w:r w:rsidRPr="000841C6">
              <w:t>0</w:t>
            </w:r>
          </w:p>
        </w:tc>
        <w:tc>
          <w:tcPr>
            <w:tcW w:w="699" w:type="pct"/>
          </w:tcPr>
          <w:p w:rsidR="00973D4C" w:rsidRPr="000841C6" w:rsidRDefault="00EB4046" w:rsidP="00251892">
            <w:pPr>
              <w:pStyle w:val="naisf"/>
              <w:spacing w:before="0" w:after="0"/>
              <w:ind w:firstLine="0"/>
              <w:jc w:val="center"/>
            </w:pPr>
            <w:r w:rsidRPr="000841C6">
              <w:t>0</w:t>
            </w:r>
          </w:p>
        </w:tc>
        <w:tc>
          <w:tcPr>
            <w:tcW w:w="731" w:type="pct"/>
          </w:tcPr>
          <w:p w:rsidR="00973D4C" w:rsidRPr="000841C6" w:rsidRDefault="009F1D9C" w:rsidP="00536B44">
            <w:pPr>
              <w:pStyle w:val="naisf"/>
              <w:spacing w:before="0" w:after="0"/>
              <w:ind w:firstLine="0"/>
              <w:jc w:val="center"/>
            </w:pPr>
            <w:r w:rsidRPr="000841C6">
              <w:t>0</w:t>
            </w:r>
          </w:p>
        </w:tc>
      </w:tr>
      <w:tr w:rsidR="00973D4C" w:rsidRPr="000841C6" w:rsidTr="00D302B6">
        <w:trPr>
          <w:jc w:val="center"/>
        </w:trPr>
        <w:tc>
          <w:tcPr>
            <w:tcW w:w="1574" w:type="pct"/>
          </w:tcPr>
          <w:p w:rsidR="00973D4C" w:rsidRPr="000841C6" w:rsidRDefault="00973D4C" w:rsidP="00C85EDE">
            <w:pPr>
              <w:pStyle w:val="naiskr"/>
              <w:spacing w:before="0" w:after="0"/>
            </w:pPr>
            <w:r w:rsidRPr="000841C6">
              <w:t>1.1. valsts pamatbudžets, tai skaitā ieņēmumi no maksas pakalpojumiem un citi pašu ieņēmumi</w:t>
            </w:r>
          </w:p>
        </w:tc>
        <w:tc>
          <w:tcPr>
            <w:tcW w:w="600" w:type="pct"/>
            <w:vAlign w:val="center"/>
          </w:tcPr>
          <w:p w:rsidR="00973D4C" w:rsidRPr="000841C6" w:rsidRDefault="00EB4046" w:rsidP="00AB3E9B">
            <w:pPr>
              <w:pStyle w:val="naisf"/>
              <w:spacing w:before="0" w:after="0"/>
              <w:ind w:firstLine="0"/>
              <w:jc w:val="center"/>
            </w:pPr>
            <w:r w:rsidRPr="000841C6">
              <w:t>0</w:t>
            </w:r>
          </w:p>
        </w:tc>
        <w:tc>
          <w:tcPr>
            <w:tcW w:w="699" w:type="pct"/>
            <w:vAlign w:val="center"/>
          </w:tcPr>
          <w:p w:rsidR="00973D4C" w:rsidRPr="00F57C3B" w:rsidRDefault="00EB4046" w:rsidP="00AB3E9B">
            <w:pPr>
              <w:pStyle w:val="naisf"/>
              <w:spacing w:before="0" w:after="0"/>
              <w:ind w:firstLine="0"/>
              <w:jc w:val="center"/>
            </w:pPr>
            <w:r w:rsidRPr="00F57C3B">
              <w:t>0</w:t>
            </w:r>
          </w:p>
        </w:tc>
        <w:tc>
          <w:tcPr>
            <w:tcW w:w="699" w:type="pct"/>
            <w:vAlign w:val="center"/>
          </w:tcPr>
          <w:p w:rsidR="00973D4C" w:rsidRPr="00F57C3B" w:rsidRDefault="00EB4046" w:rsidP="00251892">
            <w:pPr>
              <w:pStyle w:val="naisf"/>
              <w:spacing w:before="0" w:after="0"/>
              <w:ind w:firstLine="0"/>
              <w:jc w:val="center"/>
            </w:pPr>
            <w:r w:rsidRPr="00F57C3B">
              <w:t>0</w:t>
            </w:r>
          </w:p>
        </w:tc>
        <w:tc>
          <w:tcPr>
            <w:tcW w:w="699" w:type="pct"/>
            <w:vAlign w:val="center"/>
          </w:tcPr>
          <w:p w:rsidR="00973D4C" w:rsidRPr="000841C6" w:rsidRDefault="00EB4046" w:rsidP="00251892">
            <w:pPr>
              <w:pStyle w:val="naisf"/>
              <w:spacing w:before="0" w:after="0"/>
              <w:ind w:firstLine="0"/>
              <w:jc w:val="center"/>
            </w:pPr>
            <w:r w:rsidRPr="000841C6">
              <w:t>0</w:t>
            </w:r>
          </w:p>
        </w:tc>
        <w:tc>
          <w:tcPr>
            <w:tcW w:w="731" w:type="pct"/>
            <w:vAlign w:val="center"/>
          </w:tcPr>
          <w:p w:rsidR="00973D4C" w:rsidRPr="000841C6" w:rsidRDefault="009F1D9C" w:rsidP="00AB3E9B">
            <w:pPr>
              <w:pStyle w:val="naisf"/>
              <w:spacing w:before="0" w:after="0"/>
              <w:ind w:firstLine="0"/>
              <w:jc w:val="center"/>
            </w:pPr>
            <w:r w:rsidRPr="000841C6">
              <w:t>0</w:t>
            </w:r>
          </w:p>
        </w:tc>
      </w:tr>
      <w:tr w:rsidR="00973D4C" w:rsidRPr="000841C6" w:rsidTr="00D302B6">
        <w:trPr>
          <w:trHeight w:val="445"/>
          <w:jc w:val="center"/>
        </w:trPr>
        <w:tc>
          <w:tcPr>
            <w:tcW w:w="1574" w:type="pct"/>
          </w:tcPr>
          <w:p w:rsidR="00973D4C" w:rsidRPr="000841C6" w:rsidRDefault="00973D4C" w:rsidP="00A54DFF">
            <w:pPr>
              <w:pStyle w:val="naiskr"/>
              <w:spacing w:before="0" w:after="0"/>
            </w:pPr>
            <w:r w:rsidRPr="000841C6">
              <w:t>1.2. valsts speciālais budžets</w:t>
            </w:r>
          </w:p>
        </w:tc>
        <w:tc>
          <w:tcPr>
            <w:tcW w:w="600" w:type="pct"/>
            <w:vAlign w:val="center"/>
          </w:tcPr>
          <w:p w:rsidR="00973D4C" w:rsidRPr="000841C6" w:rsidRDefault="00973D4C" w:rsidP="00536B44">
            <w:pPr>
              <w:pStyle w:val="naisf"/>
              <w:spacing w:before="0" w:after="0"/>
              <w:ind w:firstLine="0"/>
              <w:jc w:val="center"/>
            </w:pPr>
            <w:r w:rsidRPr="000841C6">
              <w:t>0</w:t>
            </w:r>
          </w:p>
        </w:tc>
        <w:tc>
          <w:tcPr>
            <w:tcW w:w="699" w:type="pct"/>
            <w:vAlign w:val="center"/>
          </w:tcPr>
          <w:p w:rsidR="00973D4C" w:rsidRPr="00F57C3B" w:rsidRDefault="00973D4C" w:rsidP="00536B44">
            <w:pPr>
              <w:pStyle w:val="naisf"/>
              <w:spacing w:before="0" w:after="0"/>
              <w:ind w:firstLine="0"/>
              <w:jc w:val="center"/>
            </w:pPr>
            <w:r w:rsidRPr="00F57C3B">
              <w:t>0</w:t>
            </w:r>
          </w:p>
        </w:tc>
        <w:tc>
          <w:tcPr>
            <w:tcW w:w="699" w:type="pct"/>
            <w:vAlign w:val="center"/>
          </w:tcPr>
          <w:p w:rsidR="00973D4C" w:rsidRPr="00F57C3B" w:rsidRDefault="00973D4C" w:rsidP="00536B44">
            <w:pPr>
              <w:pStyle w:val="naisf"/>
              <w:spacing w:before="0" w:after="0"/>
              <w:ind w:firstLine="0"/>
              <w:jc w:val="center"/>
            </w:pPr>
            <w:r w:rsidRPr="00F57C3B">
              <w:t>0</w:t>
            </w:r>
          </w:p>
        </w:tc>
        <w:tc>
          <w:tcPr>
            <w:tcW w:w="699" w:type="pct"/>
            <w:vAlign w:val="center"/>
          </w:tcPr>
          <w:p w:rsidR="00973D4C" w:rsidRPr="000841C6" w:rsidRDefault="00973D4C" w:rsidP="00536B44">
            <w:pPr>
              <w:pStyle w:val="naisf"/>
              <w:spacing w:before="0" w:after="0"/>
              <w:ind w:firstLine="0"/>
              <w:jc w:val="center"/>
            </w:pPr>
            <w:r w:rsidRPr="000841C6">
              <w:t>0</w:t>
            </w:r>
          </w:p>
        </w:tc>
        <w:tc>
          <w:tcPr>
            <w:tcW w:w="731" w:type="pct"/>
            <w:vAlign w:val="center"/>
          </w:tcPr>
          <w:p w:rsidR="00973D4C" w:rsidRPr="000841C6" w:rsidRDefault="00973D4C" w:rsidP="00536B44">
            <w:pPr>
              <w:pStyle w:val="naisf"/>
              <w:spacing w:before="0" w:after="0"/>
              <w:ind w:firstLine="0"/>
              <w:jc w:val="center"/>
            </w:pPr>
            <w:r w:rsidRPr="000841C6">
              <w:t>0</w:t>
            </w:r>
          </w:p>
        </w:tc>
      </w:tr>
      <w:tr w:rsidR="00973D4C" w:rsidRPr="000841C6" w:rsidTr="00D302B6">
        <w:trPr>
          <w:jc w:val="center"/>
        </w:trPr>
        <w:tc>
          <w:tcPr>
            <w:tcW w:w="1574" w:type="pct"/>
          </w:tcPr>
          <w:p w:rsidR="00973D4C" w:rsidRPr="000841C6" w:rsidRDefault="00973D4C" w:rsidP="00A54DFF">
            <w:pPr>
              <w:pStyle w:val="naiskr"/>
              <w:spacing w:before="0" w:after="0"/>
            </w:pPr>
            <w:r w:rsidRPr="000841C6">
              <w:t>1.3. pašvaldību budžets</w:t>
            </w:r>
          </w:p>
        </w:tc>
        <w:tc>
          <w:tcPr>
            <w:tcW w:w="600" w:type="pct"/>
            <w:vAlign w:val="center"/>
          </w:tcPr>
          <w:p w:rsidR="00973D4C" w:rsidRPr="000841C6" w:rsidRDefault="00973D4C" w:rsidP="00536B44">
            <w:pPr>
              <w:pStyle w:val="naisf"/>
              <w:spacing w:before="0" w:after="0"/>
              <w:ind w:firstLine="0"/>
              <w:jc w:val="center"/>
            </w:pPr>
            <w:r w:rsidRPr="000841C6">
              <w:t>0</w:t>
            </w:r>
          </w:p>
        </w:tc>
        <w:tc>
          <w:tcPr>
            <w:tcW w:w="699" w:type="pct"/>
            <w:vAlign w:val="center"/>
          </w:tcPr>
          <w:p w:rsidR="00973D4C" w:rsidRPr="00F57C3B" w:rsidRDefault="00973D4C" w:rsidP="00536B44">
            <w:pPr>
              <w:pStyle w:val="naisf"/>
              <w:spacing w:before="0" w:after="0"/>
              <w:ind w:firstLine="0"/>
              <w:jc w:val="center"/>
            </w:pPr>
            <w:r w:rsidRPr="00F57C3B">
              <w:t>0</w:t>
            </w:r>
          </w:p>
        </w:tc>
        <w:tc>
          <w:tcPr>
            <w:tcW w:w="699" w:type="pct"/>
            <w:vAlign w:val="center"/>
          </w:tcPr>
          <w:p w:rsidR="00973D4C" w:rsidRPr="00F57C3B" w:rsidRDefault="00973D4C" w:rsidP="00536B44">
            <w:pPr>
              <w:pStyle w:val="naisf"/>
              <w:spacing w:before="0" w:after="0"/>
              <w:ind w:firstLine="0"/>
              <w:jc w:val="center"/>
            </w:pPr>
            <w:r w:rsidRPr="00F57C3B">
              <w:t>0</w:t>
            </w:r>
          </w:p>
        </w:tc>
        <w:tc>
          <w:tcPr>
            <w:tcW w:w="699" w:type="pct"/>
            <w:vAlign w:val="center"/>
          </w:tcPr>
          <w:p w:rsidR="00973D4C" w:rsidRPr="000841C6" w:rsidRDefault="00973D4C" w:rsidP="00536B44">
            <w:pPr>
              <w:pStyle w:val="naisf"/>
              <w:spacing w:before="0" w:after="0"/>
              <w:ind w:firstLine="0"/>
              <w:jc w:val="center"/>
            </w:pPr>
            <w:r w:rsidRPr="000841C6">
              <w:t>0</w:t>
            </w:r>
          </w:p>
        </w:tc>
        <w:tc>
          <w:tcPr>
            <w:tcW w:w="731" w:type="pct"/>
            <w:vAlign w:val="center"/>
          </w:tcPr>
          <w:p w:rsidR="00973D4C" w:rsidRPr="000841C6" w:rsidRDefault="00973D4C" w:rsidP="00536B44">
            <w:pPr>
              <w:pStyle w:val="naisf"/>
              <w:spacing w:before="0" w:after="0"/>
              <w:ind w:firstLine="0"/>
              <w:jc w:val="center"/>
            </w:pPr>
            <w:r w:rsidRPr="000841C6">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2. Budžeta izdevumi:</w:t>
            </w:r>
          </w:p>
        </w:tc>
        <w:tc>
          <w:tcPr>
            <w:tcW w:w="600" w:type="pct"/>
          </w:tcPr>
          <w:p w:rsidR="007E718A" w:rsidRPr="000841C6" w:rsidRDefault="007E718A" w:rsidP="00536B44">
            <w:pPr>
              <w:pStyle w:val="naisf"/>
              <w:spacing w:before="0" w:after="0"/>
              <w:ind w:firstLine="0"/>
              <w:jc w:val="center"/>
            </w:pPr>
            <w:r w:rsidRPr="000841C6">
              <w:t>0</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tcPr>
          <w:p w:rsidR="007E718A" w:rsidRPr="007E718A" w:rsidRDefault="00B6238A" w:rsidP="00B6238A">
            <w:pPr>
              <w:pStyle w:val="naisf"/>
              <w:spacing w:before="0" w:after="0"/>
              <w:ind w:firstLine="0"/>
              <w:jc w:val="center"/>
            </w:pPr>
            <w:r>
              <w:t>74 632</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tcPr>
          <w:p w:rsidR="007E718A" w:rsidRPr="000841C6" w:rsidRDefault="007E718A" w:rsidP="004E1FB2">
            <w:pPr>
              <w:pStyle w:val="naisf"/>
              <w:spacing w:before="0" w:after="0"/>
              <w:ind w:firstLine="0"/>
              <w:jc w:val="center"/>
            </w:pPr>
            <w:r w:rsidRPr="000841C6">
              <w:t>0</w:t>
            </w:r>
          </w:p>
        </w:tc>
      </w:tr>
      <w:tr w:rsidR="007E718A" w:rsidRPr="000841C6" w:rsidTr="00D302B6">
        <w:trPr>
          <w:trHeight w:val="195"/>
          <w:jc w:val="center"/>
        </w:trPr>
        <w:tc>
          <w:tcPr>
            <w:tcW w:w="1574" w:type="pct"/>
          </w:tcPr>
          <w:p w:rsidR="007E718A" w:rsidRPr="000841C6" w:rsidRDefault="007E718A" w:rsidP="00A54DFF">
            <w:pPr>
              <w:pStyle w:val="naiskr"/>
              <w:spacing w:before="0" w:after="0"/>
            </w:pPr>
            <w:r w:rsidRPr="000841C6">
              <w:t>2.1. valsts pamatbudžets</w:t>
            </w:r>
          </w:p>
        </w:tc>
        <w:tc>
          <w:tcPr>
            <w:tcW w:w="600" w:type="pct"/>
          </w:tcPr>
          <w:p w:rsidR="007E718A" w:rsidRPr="000841C6" w:rsidRDefault="007E718A" w:rsidP="00536B44">
            <w:pPr>
              <w:pStyle w:val="naisf"/>
              <w:spacing w:before="0" w:after="0"/>
              <w:ind w:firstLine="0"/>
              <w:jc w:val="center"/>
            </w:pPr>
            <w:r w:rsidRPr="000841C6">
              <w:t>0</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tcPr>
          <w:p w:rsidR="007E718A" w:rsidRPr="007E718A" w:rsidRDefault="00B6238A" w:rsidP="00251892">
            <w:pPr>
              <w:pStyle w:val="naisf"/>
              <w:spacing w:before="0" w:after="0"/>
              <w:ind w:firstLine="0"/>
              <w:jc w:val="center"/>
            </w:pPr>
            <w:r>
              <w:t>74 632</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tcPr>
          <w:p w:rsidR="007E718A" w:rsidRPr="000841C6" w:rsidRDefault="007E718A" w:rsidP="00810317">
            <w:pPr>
              <w:pStyle w:val="naisf"/>
              <w:spacing w:before="0" w:after="0"/>
              <w:ind w:firstLine="0"/>
              <w:jc w:val="center"/>
            </w:pPr>
            <w:r w:rsidRPr="000841C6">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2.2. valsts speciālais budžets</w:t>
            </w:r>
          </w:p>
        </w:tc>
        <w:tc>
          <w:tcPr>
            <w:tcW w:w="600" w:type="pct"/>
            <w:vAlign w:val="center"/>
          </w:tcPr>
          <w:p w:rsidR="007E718A" w:rsidRPr="000841C6" w:rsidRDefault="007E718A" w:rsidP="00536B44">
            <w:pPr>
              <w:pStyle w:val="naisf"/>
              <w:spacing w:before="0" w:after="0"/>
              <w:ind w:firstLine="0"/>
              <w:jc w:val="center"/>
              <w:rPr>
                <w:b/>
              </w:rPr>
            </w:pPr>
            <w:r w:rsidRPr="000841C6">
              <w:t>0</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vAlign w:val="center"/>
          </w:tcPr>
          <w:p w:rsidR="007E718A" w:rsidRPr="007E718A" w:rsidRDefault="007E718A" w:rsidP="00536B44">
            <w:pPr>
              <w:pStyle w:val="naisf"/>
              <w:spacing w:before="0" w:after="0"/>
              <w:ind w:firstLine="0"/>
              <w:jc w:val="center"/>
              <w:rPr>
                <w:b/>
              </w:rPr>
            </w:pPr>
            <w:r w:rsidRPr="007E718A">
              <w:t>0</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vAlign w:val="center"/>
          </w:tcPr>
          <w:p w:rsidR="007E718A" w:rsidRPr="000841C6" w:rsidRDefault="007E718A" w:rsidP="00536B44">
            <w:pPr>
              <w:pStyle w:val="naisf"/>
              <w:spacing w:before="0" w:after="0"/>
              <w:ind w:firstLine="0"/>
              <w:jc w:val="center"/>
              <w:rPr>
                <w:b/>
              </w:rPr>
            </w:pPr>
            <w:r w:rsidRPr="000841C6">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 xml:space="preserve">2.3. pašvaldību budžets </w:t>
            </w:r>
          </w:p>
        </w:tc>
        <w:tc>
          <w:tcPr>
            <w:tcW w:w="600" w:type="pct"/>
            <w:vAlign w:val="center"/>
          </w:tcPr>
          <w:p w:rsidR="007E718A" w:rsidRPr="000841C6" w:rsidRDefault="007E718A" w:rsidP="00536B44">
            <w:pPr>
              <w:pStyle w:val="naisf"/>
              <w:spacing w:before="0" w:after="0"/>
              <w:ind w:firstLine="0"/>
              <w:jc w:val="center"/>
              <w:rPr>
                <w:b/>
              </w:rPr>
            </w:pPr>
            <w:r w:rsidRPr="000841C6">
              <w:t>0</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vAlign w:val="center"/>
          </w:tcPr>
          <w:p w:rsidR="007E718A" w:rsidRPr="007E718A" w:rsidRDefault="007E718A" w:rsidP="00536B44">
            <w:pPr>
              <w:pStyle w:val="naisf"/>
              <w:spacing w:before="0" w:after="0"/>
              <w:ind w:firstLine="0"/>
              <w:jc w:val="center"/>
              <w:rPr>
                <w:b/>
              </w:rPr>
            </w:pPr>
            <w:r w:rsidRPr="007E718A">
              <w:t>0</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vAlign w:val="center"/>
          </w:tcPr>
          <w:p w:rsidR="007E718A" w:rsidRPr="000841C6" w:rsidRDefault="007E718A" w:rsidP="00536B44">
            <w:pPr>
              <w:pStyle w:val="naisf"/>
              <w:spacing w:before="0" w:after="0"/>
              <w:ind w:firstLine="0"/>
              <w:jc w:val="center"/>
              <w:rPr>
                <w:b/>
              </w:rPr>
            </w:pPr>
            <w:r w:rsidRPr="000841C6">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3. Finansiālā ietekme:</w:t>
            </w:r>
          </w:p>
        </w:tc>
        <w:tc>
          <w:tcPr>
            <w:tcW w:w="600" w:type="pct"/>
            <w:shd w:val="clear" w:color="auto" w:fill="auto"/>
            <w:vAlign w:val="center"/>
          </w:tcPr>
          <w:p w:rsidR="007E718A" w:rsidRPr="000841C6" w:rsidRDefault="007E718A" w:rsidP="00536B44">
            <w:pPr>
              <w:pStyle w:val="naisf"/>
              <w:spacing w:before="0" w:after="0"/>
              <w:ind w:firstLine="0"/>
              <w:jc w:val="center"/>
            </w:pPr>
            <w:r w:rsidRPr="000841C6">
              <w:t>0</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tcPr>
          <w:p w:rsidR="007E718A" w:rsidRPr="007E718A" w:rsidRDefault="007E718A" w:rsidP="007E718A">
            <w:pPr>
              <w:pStyle w:val="naisf"/>
              <w:spacing w:before="0" w:after="0"/>
              <w:ind w:firstLine="0"/>
              <w:jc w:val="center"/>
            </w:pPr>
            <w:r w:rsidRPr="007E718A">
              <w:t>-</w:t>
            </w:r>
            <w:r w:rsidR="00B6238A">
              <w:t>74 632</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vAlign w:val="center"/>
          </w:tcPr>
          <w:p w:rsidR="007E718A" w:rsidRPr="000841C6" w:rsidRDefault="007E718A" w:rsidP="004E1FB2">
            <w:pPr>
              <w:pStyle w:val="naisf"/>
              <w:spacing w:before="0" w:after="0"/>
              <w:ind w:firstLine="0"/>
              <w:jc w:val="center"/>
            </w:pPr>
            <w:r w:rsidRPr="000841C6">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3.1. valsts pamatbudžets</w:t>
            </w:r>
          </w:p>
        </w:tc>
        <w:tc>
          <w:tcPr>
            <w:tcW w:w="600" w:type="pct"/>
            <w:shd w:val="clear" w:color="auto" w:fill="auto"/>
            <w:vAlign w:val="center"/>
          </w:tcPr>
          <w:p w:rsidR="007E718A" w:rsidRPr="000841C6" w:rsidRDefault="007E718A" w:rsidP="00536B44">
            <w:pPr>
              <w:pStyle w:val="naisf"/>
              <w:spacing w:before="0" w:after="0"/>
              <w:ind w:firstLine="0"/>
              <w:jc w:val="center"/>
            </w:pPr>
            <w:r w:rsidRPr="000841C6">
              <w:t>0</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tcPr>
          <w:p w:rsidR="007E718A" w:rsidRPr="007E718A" w:rsidRDefault="007E718A" w:rsidP="007E718A">
            <w:pPr>
              <w:pStyle w:val="naisf"/>
              <w:spacing w:before="0" w:after="0"/>
              <w:ind w:firstLine="0"/>
              <w:jc w:val="center"/>
            </w:pPr>
            <w:r w:rsidRPr="007E718A">
              <w:t>-</w:t>
            </w:r>
            <w:r w:rsidR="00B6238A">
              <w:t>74 632</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vAlign w:val="center"/>
          </w:tcPr>
          <w:p w:rsidR="007E718A" w:rsidRPr="000841C6" w:rsidRDefault="007E718A" w:rsidP="004E1FB2">
            <w:pPr>
              <w:pStyle w:val="naisf"/>
              <w:spacing w:before="0" w:after="0"/>
              <w:ind w:firstLine="0"/>
              <w:jc w:val="center"/>
            </w:pPr>
            <w:r w:rsidRPr="000841C6">
              <w:t>0</w:t>
            </w:r>
          </w:p>
        </w:tc>
      </w:tr>
      <w:tr w:rsidR="00B21F3A" w:rsidRPr="000841C6" w:rsidTr="00D302B6">
        <w:trPr>
          <w:jc w:val="center"/>
        </w:trPr>
        <w:tc>
          <w:tcPr>
            <w:tcW w:w="1574" w:type="pct"/>
          </w:tcPr>
          <w:p w:rsidR="00B21F3A" w:rsidRPr="000841C6" w:rsidRDefault="00B21F3A" w:rsidP="00A54DFF">
            <w:pPr>
              <w:pStyle w:val="naiskr"/>
              <w:spacing w:before="0" w:after="0"/>
            </w:pPr>
            <w:r w:rsidRPr="000841C6">
              <w:t>3.2. speciālais budžets</w:t>
            </w:r>
          </w:p>
        </w:tc>
        <w:tc>
          <w:tcPr>
            <w:tcW w:w="600" w:type="pct"/>
            <w:shd w:val="clear" w:color="auto" w:fill="auto"/>
            <w:vAlign w:val="center"/>
          </w:tcPr>
          <w:p w:rsidR="00B21F3A" w:rsidRPr="000841C6" w:rsidRDefault="00B21F3A" w:rsidP="00536B44">
            <w:pPr>
              <w:pStyle w:val="naisf"/>
              <w:spacing w:before="0" w:after="0"/>
              <w:ind w:firstLine="0"/>
              <w:jc w:val="center"/>
            </w:pPr>
            <w:r w:rsidRPr="000841C6">
              <w:t>0</w:t>
            </w:r>
          </w:p>
        </w:tc>
        <w:tc>
          <w:tcPr>
            <w:tcW w:w="699" w:type="pct"/>
            <w:vAlign w:val="center"/>
          </w:tcPr>
          <w:p w:rsidR="00B21F3A" w:rsidRPr="00F57C3B" w:rsidRDefault="00B21F3A" w:rsidP="00255F53">
            <w:pPr>
              <w:pStyle w:val="naisf"/>
              <w:spacing w:before="0" w:after="0"/>
              <w:ind w:firstLine="0"/>
              <w:jc w:val="center"/>
            </w:pPr>
            <w:r w:rsidRPr="00F57C3B">
              <w:t>0</w:t>
            </w:r>
          </w:p>
        </w:tc>
        <w:tc>
          <w:tcPr>
            <w:tcW w:w="699" w:type="pct"/>
            <w:vAlign w:val="center"/>
          </w:tcPr>
          <w:p w:rsidR="00B21F3A" w:rsidRPr="007E718A" w:rsidRDefault="00B21F3A" w:rsidP="00E227F0">
            <w:pPr>
              <w:pStyle w:val="naisf"/>
              <w:spacing w:before="0" w:after="0"/>
              <w:ind w:firstLine="0"/>
              <w:jc w:val="center"/>
            </w:pPr>
            <w:r w:rsidRPr="007E718A">
              <w:t>0</w:t>
            </w:r>
          </w:p>
        </w:tc>
        <w:tc>
          <w:tcPr>
            <w:tcW w:w="699" w:type="pct"/>
            <w:vAlign w:val="center"/>
          </w:tcPr>
          <w:p w:rsidR="00B21F3A" w:rsidRPr="000841C6" w:rsidRDefault="00B21F3A" w:rsidP="00536B44">
            <w:pPr>
              <w:pStyle w:val="naisf"/>
              <w:spacing w:before="0" w:after="0"/>
              <w:ind w:firstLine="0"/>
              <w:jc w:val="center"/>
            </w:pPr>
            <w:r w:rsidRPr="000841C6">
              <w:t>0</w:t>
            </w:r>
          </w:p>
        </w:tc>
        <w:tc>
          <w:tcPr>
            <w:tcW w:w="731" w:type="pct"/>
            <w:vAlign w:val="center"/>
          </w:tcPr>
          <w:p w:rsidR="00B21F3A" w:rsidRPr="000841C6" w:rsidRDefault="00B21F3A" w:rsidP="00536B44">
            <w:pPr>
              <w:pStyle w:val="naisf"/>
              <w:spacing w:before="0" w:after="0"/>
              <w:ind w:firstLine="0"/>
              <w:jc w:val="center"/>
            </w:pPr>
            <w:r w:rsidRPr="000841C6">
              <w:t>0</w:t>
            </w:r>
          </w:p>
        </w:tc>
      </w:tr>
      <w:tr w:rsidR="00B21F3A" w:rsidRPr="000841C6" w:rsidTr="00D302B6">
        <w:trPr>
          <w:jc w:val="center"/>
        </w:trPr>
        <w:tc>
          <w:tcPr>
            <w:tcW w:w="1574" w:type="pct"/>
          </w:tcPr>
          <w:p w:rsidR="00B21F3A" w:rsidRPr="000841C6" w:rsidRDefault="00B21F3A" w:rsidP="00A54DFF">
            <w:pPr>
              <w:pStyle w:val="naiskr"/>
              <w:spacing w:before="0" w:after="0"/>
            </w:pPr>
            <w:r w:rsidRPr="000841C6">
              <w:t xml:space="preserve">3.3. pašvaldību budžets </w:t>
            </w:r>
          </w:p>
        </w:tc>
        <w:tc>
          <w:tcPr>
            <w:tcW w:w="600" w:type="pct"/>
            <w:shd w:val="clear" w:color="auto" w:fill="auto"/>
            <w:vAlign w:val="center"/>
          </w:tcPr>
          <w:p w:rsidR="00B21F3A" w:rsidRPr="000841C6" w:rsidRDefault="00B21F3A" w:rsidP="00536B44">
            <w:pPr>
              <w:pStyle w:val="naisf"/>
              <w:spacing w:before="0" w:after="0"/>
              <w:ind w:firstLine="0"/>
              <w:jc w:val="center"/>
            </w:pPr>
            <w:r w:rsidRPr="000841C6">
              <w:t>0</w:t>
            </w:r>
          </w:p>
        </w:tc>
        <w:tc>
          <w:tcPr>
            <w:tcW w:w="699" w:type="pct"/>
            <w:vAlign w:val="center"/>
          </w:tcPr>
          <w:p w:rsidR="00B21F3A" w:rsidRPr="00F57C3B" w:rsidRDefault="00B21F3A" w:rsidP="00255F53">
            <w:pPr>
              <w:pStyle w:val="naisf"/>
              <w:spacing w:before="0" w:after="0"/>
              <w:ind w:firstLine="0"/>
              <w:jc w:val="center"/>
            </w:pPr>
            <w:r w:rsidRPr="00F57C3B">
              <w:t>0</w:t>
            </w:r>
          </w:p>
        </w:tc>
        <w:tc>
          <w:tcPr>
            <w:tcW w:w="699" w:type="pct"/>
            <w:vAlign w:val="center"/>
          </w:tcPr>
          <w:p w:rsidR="00B21F3A" w:rsidRPr="007E718A" w:rsidRDefault="00B21F3A" w:rsidP="00536B44">
            <w:pPr>
              <w:pStyle w:val="naisf"/>
              <w:spacing w:before="0" w:after="0"/>
              <w:ind w:firstLine="0"/>
              <w:jc w:val="center"/>
            </w:pPr>
            <w:r w:rsidRPr="007E718A">
              <w:t>0</w:t>
            </w:r>
          </w:p>
        </w:tc>
        <w:tc>
          <w:tcPr>
            <w:tcW w:w="699" w:type="pct"/>
            <w:vAlign w:val="center"/>
          </w:tcPr>
          <w:p w:rsidR="00B21F3A" w:rsidRPr="000841C6" w:rsidRDefault="00B21F3A" w:rsidP="00536B44">
            <w:pPr>
              <w:pStyle w:val="naisf"/>
              <w:spacing w:before="0" w:after="0"/>
              <w:ind w:firstLine="0"/>
              <w:jc w:val="center"/>
            </w:pPr>
            <w:r w:rsidRPr="000841C6">
              <w:t>0</w:t>
            </w:r>
          </w:p>
        </w:tc>
        <w:tc>
          <w:tcPr>
            <w:tcW w:w="731" w:type="pct"/>
            <w:vAlign w:val="center"/>
          </w:tcPr>
          <w:p w:rsidR="00B21F3A" w:rsidRPr="000841C6" w:rsidRDefault="00B21F3A" w:rsidP="00536B44">
            <w:pPr>
              <w:pStyle w:val="naisf"/>
              <w:spacing w:before="0" w:after="0"/>
              <w:ind w:firstLine="0"/>
              <w:jc w:val="center"/>
            </w:pPr>
            <w:r w:rsidRPr="000841C6">
              <w:t>0</w:t>
            </w:r>
          </w:p>
        </w:tc>
      </w:tr>
      <w:tr w:rsidR="00B21F3A" w:rsidRPr="000841C6" w:rsidTr="00D302B6">
        <w:trPr>
          <w:jc w:val="center"/>
        </w:trPr>
        <w:tc>
          <w:tcPr>
            <w:tcW w:w="1574" w:type="pct"/>
            <w:vMerge w:val="restart"/>
          </w:tcPr>
          <w:p w:rsidR="00B21F3A" w:rsidRPr="000841C6" w:rsidRDefault="00B21F3A" w:rsidP="00A54DFF">
            <w:pPr>
              <w:pStyle w:val="naiskr"/>
              <w:spacing w:before="0" w:after="0"/>
            </w:pPr>
            <w:r w:rsidRPr="000841C6">
              <w:t>4. Finanšu līdzekļi papildu izde</w:t>
            </w:r>
            <w:r w:rsidRPr="000841C6">
              <w:softHyphen/>
              <w:t>vumu finansēšanai (kompensējošu izdevumu samazinājumu norāda ar "+" zīmi)</w:t>
            </w:r>
          </w:p>
        </w:tc>
        <w:tc>
          <w:tcPr>
            <w:tcW w:w="600" w:type="pct"/>
            <w:vMerge w:val="restart"/>
            <w:vAlign w:val="center"/>
          </w:tcPr>
          <w:p w:rsidR="00B21F3A" w:rsidRPr="000841C6" w:rsidRDefault="00B21F3A" w:rsidP="00536B44">
            <w:pPr>
              <w:pStyle w:val="naisf"/>
              <w:spacing w:before="0" w:after="0"/>
              <w:ind w:firstLine="0"/>
              <w:jc w:val="center"/>
            </w:pPr>
            <w:r w:rsidRPr="000841C6">
              <w:t>X</w:t>
            </w:r>
          </w:p>
        </w:tc>
        <w:tc>
          <w:tcPr>
            <w:tcW w:w="699" w:type="pct"/>
            <w:vMerge w:val="restart"/>
            <w:vAlign w:val="center"/>
          </w:tcPr>
          <w:p w:rsidR="00B21F3A" w:rsidRPr="00F57C3B" w:rsidRDefault="00B21F3A" w:rsidP="00255F53">
            <w:pPr>
              <w:pStyle w:val="naisf"/>
              <w:spacing w:before="0" w:after="0"/>
              <w:ind w:firstLine="0"/>
              <w:jc w:val="center"/>
            </w:pPr>
            <w:r w:rsidRPr="00F57C3B">
              <w:t>0</w:t>
            </w:r>
          </w:p>
        </w:tc>
        <w:tc>
          <w:tcPr>
            <w:tcW w:w="699" w:type="pct"/>
            <w:vAlign w:val="center"/>
          </w:tcPr>
          <w:p w:rsidR="00B21F3A" w:rsidRPr="007E718A" w:rsidRDefault="00B21F3A" w:rsidP="00536B44">
            <w:pPr>
              <w:pStyle w:val="naisf"/>
              <w:spacing w:before="0" w:after="0"/>
              <w:ind w:firstLine="0"/>
              <w:jc w:val="center"/>
            </w:pPr>
            <w:r w:rsidRPr="007E718A">
              <w:t>0</w:t>
            </w:r>
          </w:p>
        </w:tc>
        <w:tc>
          <w:tcPr>
            <w:tcW w:w="699" w:type="pct"/>
            <w:vAlign w:val="center"/>
          </w:tcPr>
          <w:p w:rsidR="00B21F3A" w:rsidRPr="000841C6" w:rsidRDefault="00B21F3A" w:rsidP="00536B44">
            <w:pPr>
              <w:pStyle w:val="naisf"/>
              <w:spacing w:before="0" w:after="0"/>
              <w:ind w:firstLine="0"/>
              <w:jc w:val="center"/>
            </w:pPr>
            <w:r w:rsidRPr="000841C6">
              <w:t>0</w:t>
            </w:r>
          </w:p>
        </w:tc>
        <w:tc>
          <w:tcPr>
            <w:tcW w:w="731" w:type="pc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0</w:t>
            </w:r>
          </w:p>
        </w:tc>
      </w:tr>
      <w:tr w:rsidR="00B21F3A" w:rsidRPr="000841C6" w:rsidTr="00D302B6">
        <w:trPr>
          <w:jc w:val="center"/>
        </w:trPr>
        <w:tc>
          <w:tcPr>
            <w:tcW w:w="1574" w:type="pct"/>
            <w:vMerge/>
          </w:tcPr>
          <w:p w:rsidR="00B21F3A" w:rsidRPr="000841C6" w:rsidRDefault="00B21F3A" w:rsidP="00536B44">
            <w:pPr>
              <w:rPr>
                <w:rFonts w:ascii="Times New Roman" w:hAnsi="Times New Roman"/>
                <w:sz w:val="24"/>
                <w:szCs w:val="24"/>
              </w:rPr>
            </w:pPr>
          </w:p>
        </w:tc>
        <w:tc>
          <w:tcPr>
            <w:tcW w:w="600" w:type="pct"/>
            <w:vMerge/>
          </w:tcPr>
          <w:p w:rsidR="00B21F3A" w:rsidRPr="000841C6" w:rsidRDefault="00B21F3A" w:rsidP="00536B44">
            <w:pPr>
              <w:pStyle w:val="Header"/>
              <w:jc w:val="center"/>
              <w:rPr>
                <w:rFonts w:ascii="Times New Roman" w:hAnsi="Times New Roman"/>
                <w:sz w:val="24"/>
                <w:szCs w:val="24"/>
              </w:rPr>
            </w:pPr>
          </w:p>
        </w:tc>
        <w:tc>
          <w:tcPr>
            <w:tcW w:w="699" w:type="pct"/>
            <w:vMerge/>
            <w:vAlign w:val="center"/>
          </w:tcPr>
          <w:p w:rsidR="00B21F3A" w:rsidRPr="00F57C3B" w:rsidRDefault="00B21F3A" w:rsidP="00536B44">
            <w:pPr>
              <w:pStyle w:val="naisf"/>
              <w:jc w:val="center"/>
            </w:pPr>
          </w:p>
        </w:tc>
        <w:tc>
          <w:tcPr>
            <w:tcW w:w="699" w:type="pct"/>
            <w:vAlign w:val="center"/>
          </w:tcPr>
          <w:p w:rsidR="00B21F3A" w:rsidRPr="007E718A" w:rsidRDefault="00B21F3A" w:rsidP="00536B44">
            <w:pPr>
              <w:pStyle w:val="naisf"/>
              <w:spacing w:before="0" w:after="0"/>
              <w:ind w:firstLine="0"/>
              <w:jc w:val="center"/>
            </w:pPr>
            <w:r w:rsidRPr="007E718A">
              <w:t>0</w:t>
            </w:r>
          </w:p>
        </w:tc>
        <w:tc>
          <w:tcPr>
            <w:tcW w:w="699" w:type="pct"/>
            <w:vAlign w:val="center"/>
          </w:tcPr>
          <w:p w:rsidR="00B21F3A" w:rsidRPr="000841C6" w:rsidRDefault="00B21F3A" w:rsidP="00536B44">
            <w:pPr>
              <w:pStyle w:val="naisf"/>
              <w:spacing w:before="0" w:after="0"/>
              <w:ind w:firstLine="0"/>
              <w:jc w:val="center"/>
            </w:pPr>
            <w:r w:rsidRPr="000841C6">
              <w:t>0</w:t>
            </w:r>
          </w:p>
        </w:tc>
        <w:tc>
          <w:tcPr>
            <w:tcW w:w="731" w:type="pc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0</w:t>
            </w:r>
          </w:p>
        </w:tc>
      </w:tr>
      <w:tr w:rsidR="00B21F3A" w:rsidRPr="000841C6" w:rsidTr="00D302B6">
        <w:trPr>
          <w:jc w:val="center"/>
        </w:trPr>
        <w:tc>
          <w:tcPr>
            <w:tcW w:w="1574" w:type="pct"/>
            <w:vMerge/>
          </w:tcPr>
          <w:p w:rsidR="00B21F3A" w:rsidRPr="000841C6" w:rsidRDefault="00B21F3A" w:rsidP="00536B44">
            <w:pPr>
              <w:rPr>
                <w:rFonts w:ascii="Times New Roman" w:hAnsi="Times New Roman"/>
                <w:sz w:val="24"/>
                <w:szCs w:val="24"/>
              </w:rPr>
            </w:pPr>
          </w:p>
        </w:tc>
        <w:tc>
          <w:tcPr>
            <w:tcW w:w="600" w:type="pct"/>
            <w:vMerge/>
          </w:tcPr>
          <w:p w:rsidR="00B21F3A" w:rsidRPr="000841C6" w:rsidRDefault="00B21F3A" w:rsidP="00536B44">
            <w:pPr>
              <w:pStyle w:val="Header"/>
              <w:jc w:val="center"/>
              <w:rPr>
                <w:rFonts w:ascii="Times New Roman" w:hAnsi="Times New Roman"/>
                <w:sz w:val="24"/>
                <w:szCs w:val="24"/>
              </w:rPr>
            </w:pPr>
          </w:p>
        </w:tc>
        <w:tc>
          <w:tcPr>
            <w:tcW w:w="699" w:type="pct"/>
            <w:vMerge/>
            <w:vAlign w:val="center"/>
          </w:tcPr>
          <w:p w:rsidR="00B21F3A" w:rsidRPr="00F57C3B" w:rsidRDefault="00B21F3A" w:rsidP="00536B44">
            <w:pPr>
              <w:pStyle w:val="naisf"/>
              <w:spacing w:before="0" w:after="0"/>
              <w:ind w:firstLine="0"/>
              <w:jc w:val="center"/>
            </w:pPr>
          </w:p>
        </w:tc>
        <w:tc>
          <w:tcPr>
            <w:tcW w:w="699" w:type="pct"/>
            <w:vAlign w:val="center"/>
          </w:tcPr>
          <w:p w:rsidR="00B21F3A" w:rsidRPr="007E718A" w:rsidRDefault="00B21F3A" w:rsidP="00536B44">
            <w:pPr>
              <w:pStyle w:val="naislab"/>
              <w:spacing w:before="0" w:after="0"/>
              <w:jc w:val="center"/>
            </w:pPr>
            <w:r w:rsidRPr="007E718A">
              <w:t>0</w:t>
            </w:r>
          </w:p>
        </w:tc>
        <w:tc>
          <w:tcPr>
            <w:tcW w:w="699" w:type="pct"/>
            <w:vAlign w:val="center"/>
          </w:tcPr>
          <w:p w:rsidR="00B21F3A" w:rsidRPr="000841C6" w:rsidRDefault="00B21F3A" w:rsidP="00536B44">
            <w:pPr>
              <w:pStyle w:val="naislab"/>
              <w:spacing w:before="0" w:after="0"/>
              <w:jc w:val="center"/>
            </w:pPr>
            <w:r w:rsidRPr="000841C6">
              <w:t>0</w:t>
            </w:r>
          </w:p>
        </w:tc>
        <w:tc>
          <w:tcPr>
            <w:tcW w:w="731" w:type="pc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5. Precizēta finansiālā ietekme:</w:t>
            </w:r>
          </w:p>
        </w:tc>
        <w:tc>
          <w:tcPr>
            <w:tcW w:w="600" w:type="pct"/>
            <w:vMerge w:val="restart"/>
            <w:vAlign w:val="center"/>
          </w:tcPr>
          <w:p w:rsidR="007E718A" w:rsidRPr="000841C6" w:rsidRDefault="007E718A" w:rsidP="00536B44">
            <w:pPr>
              <w:pStyle w:val="Header"/>
              <w:jc w:val="center"/>
              <w:rPr>
                <w:rFonts w:ascii="Times New Roman" w:hAnsi="Times New Roman"/>
                <w:sz w:val="24"/>
                <w:szCs w:val="24"/>
              </w:rPr>
            </w:pPr>
            <w:r w:rsidRPr="000841C6">
              <w:rPr>
                <w:rFonts w:ascii="Times New Roman" w:hAnsi="Times New Roman"/>
                <w:sz w:val="24"/>
                <w:szCs w:val="24"/>
              </w:rPr>
              <w:t>X</w:t>
            </w: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tcPr>
          <w:p w:rsidR="007E718A" w:rsidRPr="007E718A" w:rsidRDefault="007E718A" w:rsidP="007E718A">
            <w:pPr>
              <w:pStyle w:val="naisf"/>
              <w:spacing w:before="0" w:after="0"/>
              <w:ind w:firstLine="0"/>
              <w:jc w:val="center"/>
            </w:pPr>
            <w:r w:rsidRPr="007E718A">
              <w:t>-</w:t>
            </w:r>
            <w:r w:rsidR="00B6238A">
              <w:t>74 632</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vAlign w:val="center"/>
          </w:tcPr>
          <w:p w:rsidR="007E718A" w:rsidRPr="000841C6" w:rsidRDefault="007E718A" w:rsidP="005F6A38">
            <w:pPr>
              <w:pStyle w:val="naisf"/>
              <w:spacing w:before="0" w:after="0"/>
              <w:ind w:firstLine="0"/>
              <w:jc w:val="center"/>
            </w:pPr>
            <w:r w:rsidRPr="000841C6">
              <w:t>0</w:t>
            </w:r>
          </w:p>
        </w:tc>
      </w:tr>
      <w:tr w:rsidR="007E718A" w:rsidRPr="000841C6" w:rsidTr="00D302B6">
        <w:trPr>
          <w:jc w:val="center"/>
        </w:trPr>
        <w:tc>
          <w:tcPr>
            <w:tcW w:w="1574" w:type="pct"/>
          </w:tcPr>
          <w:p w:rsidR="007E718A" w:rsidRPr="000841C6" w:rsidRDefault="007E718A" w:rsidP="00A54DFF">
            <w:pPr>
              <w:pStyle w:val="naiskr"/>
              <w:spacing w:before="0" w:after="0"/>
            </w:pPr>
            <w:r w:rsidRPr="000841C6">
              <w:t>5.1. valsts pamatbudžets</w:t>
            </w:r>
          </w:p>
        </w:tc>
        <w:tc>
          <w:tcPr>
            <w:tcW w:w="600" w:type="pct"/>
            <w:vMerge/>
            <w:vAlign w:val="center"/>
          </w:tcPr>
          <w:p w:rsidR="007E718A" w:rsidRPr="000841C6" w:rsidRDefault="007E718A" w:rsidP="00536B44">
            <w:pPr>
              <w:pStyle w:val="naisf"/>
              <w:spacing w:before="0" w:after="0"/>
              <w:ind w:firstLine="0"/>
              <w:jc w:val="center"/>
            </w:pPr>
          </w:p>
        </w:tc>
        <w:tc>
          <w:tcPr>
            <w:tcW w:w="699" w:type="pct"/>
            <w:vAlign w:val="center"/>
          </w:tcPr>
          <w:p w:rsidR="007E718A" w:rsidRPr="00F57C3B" w:rsidRDefault="007E718A" w:rsidP="00255F53">
            <w:pPr>
              <w:pStyle w:val="naisf"/>
              <w:spacing w:before="0" w:after="0"/>
              <w:ind w:firstLine="0"/>
              <w:jc w:val="center"/>
            </w:pPr>
            <w:r w:rsidRPr="00F57C3B">
              <w:t>0</w:t>
            </w:r>
          </w:p>
        </w:tc>
        <w:tc>
          <w:tcPr>
            <w:tcW w:w="699" w:type="pct"/>
          </w:tcPr>
          <w:p w:rsidR="007E718A" w:rsidRPr="007E718A" w:rsidRDefault="007E718A" w:rsidP="007E718A">
            <w:pPr>
              <w:pStyle w:val="naisf"/>
              <w:spacing w:before="0" w:after="0"/>
              <w:ind w:firstLine="0"/>
              <w:jc w:val="center"/>
            </w:pPr>
            <w:r w:rsidRPr="007E718A">
              <w:t>-</w:t>
            </w:r>
            <w:r w:rsidR="00B6238A">
              <w:t>74 632</w:t>
            </w:r>
          </w:p>
        </w:tc>
        <w:tc>
          <w:tcPr>
            <w:tcW w:w="699" w:type="pct"/>
            <w:vAlign w:val="center"/>
          </w:tcPr>
          <w:p w:rsidR="007E718A" w:rsidRPr="000841C6" w:rsidRDefault="007E718A" w:rsidP="007E718A">
            <w:pPr>
              <w:pStyle w:val="naisf"/>
              <w:spacing w:before="0" w:after="0"/>
              <w:ind w:firstLine="0"/>
              <w:jc w:val="center"/>
            </w:pPr>
            <w:r w:rsidRPr="000841C6">
              <w:t>0</w:t>
            </w:r>
          </w:p>
        </w:tc>
        <w:tc>
          <w:tcPr>
            <w:tcW w:w="731" w:type="pct"/>
            <w:vAlign w:val="center"/>
          </w:tcPr>
          <w:p w:rsidR="007E718A" w:rsidRPr="000841C6" w:rsidRDefault="007E718A" w:rsidP="00810317">
            <w:pPr>
              <w:pStyle w:val="naisf"/>
              <w:spacing w:before="0" w:after="0"/>
              <w:ind w:firstLine="0"/>
              <w:jc w:val="center"/>
            </w:pPr>
            <w:r w:rsidRPr="000841C6">
              <w:t>0</w:t>
            </w:r>
          </w:p>
        </w:tc>
      </w:tr>
      <w:tr w:rsidR="00973D4C" w:rsidRPr="000841C6" w:rsidTr="00D302B6">
        <w:trPr>
          <w:jc w:val="center"/>
        </w:trPr>
        <w:tc>
          <w:tcPr>
            <w:tcW w:w="1574" w:type="pct"/>
          </w:tcPr>
          <w:p w:rsidR="00973D4C" w:rsidRPr="000841C6" w:rsidRDefault="00973D4C" w:rsidP="00A54DFF">
            <w:pPr>
              <w:pStyle w:val="naiskr"/>
              <w:spacing w:before="0" w:after="0"/>
            </w:pPr>
            <w:r w:rsidRPr="000841C6">
              <w:t>5.2. speciālais budžets</w:t>
            </w:r>
          </w:p>
        </w:tc>
        <w:tc>
          <w:tcPr>
            <w:tcW w:w="600" w:type="pct"/>
            <w:vMerge/>
            <w:vAlign w:val="center"/>
          </w:tcPr>
          <w:p w:rsidR="00973D4C" w:rsidRPr="000841C6" w:rsidRDefault="00973D4C" w:rsidP="00536B44">
            <w:pPr>
              <w:pStyle w:val="naisf"/>
              <w:spacing w:before="0" w:after="0"/>
              <w:ind w:firstLine="0"/>
              <w:jc w:val="center"/>
            </w:pPr>
          </w:p>
        </w:tc>
        <w:tc>
          <w:tcPr>
            <w:tcW w:w="699" w:type="pct"/>
            <w:vAlign w:val="center"/>
          </w:tcPr>
          <w:p w:rsidR="00973D4C" w:rsidRPr="00F57C3B" w:rsidRDefault="00973D4C" w:rsidP="00536B44">
            <w:pPr>
              <w:pStyle w:val="naisf"/>
              <w:spacing w:before="0" w:after="0"/>
              <w:ind w:firstLine="0"/>
              <w:jc w:val="center"/>
              <w:rPr>
                <w:b/>
              </w:rPr>
            </w:pPr>
            <w:r w:rsidRPr="00F57C3B">
              <w:t>0</w:t>
            </w:r>
          </w:p>
        </w:tc>
        <w:tc>
          <w:tcPr>
            <w:tcW w:w="699" w:type="pct"/>
            <w:vAlign w:val="center"/>
          </w:tcPr>
          <w:p w:rsidR="00973D4C" w:rsidRPr="00F57C3B" w:rsidRDefault="00973D4C" w:rsidP="00536B44">
            <w:pPr>
              <w:pStyle w:val="naisf"/>
              <w:spacing w:before="0" w:after="0"/>
              <w:ind w:firstLine="0"/>
              <w:jc w:val="center"/>
              <w:rPr>
                <w:b/>
              </w:rPr>
            </w:pPr>
            <w:r w:rsidRPr="00F57C3B">
              <w:t>0</w:t>
            </w:r>
          </w:p>
        </w:tc>
        <w:tc>
          <w:tcPr>
            <w:tcW w:w="699" w:type="pct"/>
            <w:vAlign w:val="center"/>
          </w:tcPr>
          <w:p w:rsidR="00973D4C" w:rsidRPr="000841C6" w:rsidRDefault="00973D4C" w:rsidP="00536B44">
            <w:pPr>
              <w:pStyle w:val="naisf"/>
              <w:spacing w:before="0" w:after="0"/>
              <w:ind w:firstLine="0"/>
              <w:jc w:val="center"/>
              <w:rPr>
                <w:b/>
              </w:rPr>
            </w:pPr>
            <w:r w:rsidRPr="000841C6">
              <w:t>0</w:t>
            </w:r>
          </w:p>
        </w:tc>
        <w:tc>
          <w:tcPr>
            <w:tcW w:w="731" w:type="pct"/>
            <w:vAlign w:val="center"/>
          </w:tcPr>
          <w:p w:rsidR="00973D4C" w:rsidRPr="000841C6" w:rsidRDefault="00973D4C" w:rsidP="00536B44">
            <w:pPr>
              <w:pStyle w:val="naisf"/>
              <w:spacing w:before="0" w:after="0"/>
              <w:ind w:firstLine="0"/>
              <w:jc w:val="center"/>
              <w:rPr>
                <w:b/>
              </w:rPr>
            </w:pPr>
            <w:r w:rsidRPr="000841C6">
              <w:t>0</w:t>
            </w:r>
          </w:p>
        </w:tc>
      </w:tr>
      <w:tr w:rsidR="00973D4C" w:rsidRPr="000841C6" w:rsidTr="00D302B6">
        <w:trPr>
          <w:jc w:val="center"/>
        </w:trPr>
        <w:tc>
          <w:tcPr>
            <w:tcW w:w="1574" w:type="pct"/>
          </w:tcPr>
          <w:p w:rsidR="00973D4C" w:rsidRPr="000841C6" w:rsidRDefault="00973D4C" w:rsidP="00A54DFF">
            <w:pPr>
              <w:pStyle w:val="naiskr"/>
              <w:spacing w:before="0" w:after="0"/>
            </w:pPr>
            <w:r w:rsidRPr="000841C6">
              <w:t xml:space="preserve">5.3. pašvaldību budžets </w:t>
            </w:r>
          </w:p>
        </w:tc>
        <w:tc>
          <w:tcPr>
            <w:tcW w:w="600" w:type="pct"/>
            <w:vMerge/>
            <w:vAlign w:val="center"/>
          </w:tcPr>
          <w:p w:rsidR="00973D4C" w:rsidRPr="000841C6" w:rsidRDefault="00973D4C" w:rsidP="00536B44">
            <w:pPr>
              <w:pStyle w:val="naisf"/>
              <w:spacing w:before="0" w:after="0"/>
              <w:ind w:firstLine="0"/>
              <w:jc w:val="center"/>
            </w:pPr>
          </w:p>
        </w:tc>
        <w:tc>
          <w:tcPr>
            <w:tcW w:w="699" w:type="pct"/>
            <w:vAlign w:val="center"/>
          </w:tcPr>
          <w:p w:rsidR="00973D4C" w:rsidRPr="000841C6" w:rsidRDefault="00973D4C" w:rsidP="00536B44">
            <w:pPr>
              <w:pStyle w:val="naisf"/>
              <w:spacing w:before="0" w:after="0"/>
              <w:ind w:firstLine="0"/>
              <w:jc w:val="center"/>
              <w:rPr>
                <w:b/>
              </w:rPr>
            </w:pPr>
            <w:r w:rsidRPr="000841C6">
              <w:t>0</w:t>
            </w:r>
          </w:p>
        </w:tc>
        <w:tc>
          <w:tcPr>
            <w:tcW w:w="699" w:type="pct"/>
            <w:vAlign w:val="center"/>
          </w:tcPr>
          <w:p w:rsidR="00973D4C" w:rsidRPr="000841C6" w:rsidRDefault="00973D4C" w:rsidP="00536B44">
            <w:pPr>
              <w:pStyle w:val="naisf"/>
              <w:spacing w:before="0" w:after="0"/>
              <w:ind w:firstLine="0"/>
              <w:jc w:val="center"/>
              <w:rPr>
                <w:b/>
              </w:rPr>
            </w:pPr>
            <w:r w:rsidRPr="000841C6">
              <w:t>0</w:t>
            </w:r>
          </w:p>
        </w:tc>
        <w:tc>
          <w:tcPr>
            <w:tcW w:w="699" w:type="pct"/>
            <w:vAlign w:val="center"/>
          </w:tcPr>
          <w:p w:rsidR="00973D4C" w:rsidRPr="000841C6" w:rsidRDefault="00973D4C" w:rsidP="00536B44">
            <w:pPr>
              <w:pStyle w:val="naisf"/>
              <w:spacing w:before="0" w:after="0"/>
              <w:ind w:firstLine="0"/>
              <w:jc w:val="center"/>
              <w:rPr>
                <w:b/>
              </w:rPr>
            </w:pPr>
            <w:r w:rsidRPr="000841C6">
              <w:t>0</w:t>
            </w:r>
          </w:p>
        </w:tc>
        <w:tc>
          <w:tcPr>
            <w:tcW w:w="731" w:type="pct"/>
            <w:vAlign w:val="center"/>
          </w:tcPr>
          <w:p w:rsidR="00973D4C" w:rsidRPr="000841C6" w:rsidRDefault="00973D4C" w:rsidP="00536B44">
            <w:pPr>
              <w:pStyle w:val="naisf"/>
              <w:spacing w:before="0" w:after="0"/>
              <w:ind w:firstLine="0"/>
              <w:jc w:val="center"/>
              <w:rPr>
                <w:b/>
              </w:rPr>
            </w:pPr>
            <w:r w:rsidRPr="000841C6">
              <w:t>0</w:t>
            </w:r>
          </w:p>
        </w:tc>
      </w:tr>
      <w:tr w:rsidR="00973D4C" w:rsidRPr="000841C6" w:rsidTr="00D302B6">
        <w:trPr>
          <w:jc w:val="center"/>
        </w:trPr>
        <w:tc>
          <w:tcPr>
            <w:tcW w:w="1574" w:type="pct"/>
          </w:tcPr>
          <w:p w:rsidR="00973D4C" w:rsidRPr="000841C6" w:rsidRDefault="00973D4C" w:rsidP="00A54DFF">
            <w:pPr>
              <w:pStyle w:val="naiskr"/>
              <w:spacing w:before="0" w:after="0"/>
            </w:pPr>
            <w:r w:rsidRPr="000841C6">
              <w:t>6. Detalizēts ieņēmumu un izdevu</w:t>
            </w:r>
            <w:r w:rsidRPr="000841C6">
              <w:softHyphen/>
              <w:t>mu aprēķins (ja nepieciešams, detalizētu ieņēmumu un izdevumu aprēķinu var pievienot anotācijas pielikumā):</w:t>
            </w:r>
          </w:p>
        </w:tc>
        <w:tc>
          <w:tcPr>
            <w:tcW w:w="3426" w:type="pct"/>
            <w:gridSpan w:val="5"/>
            <w:vMerge w:val="restart"/>
          </w:tcPr>
          <w:p w:rsidR="007E718A" w:rsidRDefault="007E718A" w:rsidP="007E718A">
            <w:pPr>
              <w:spacing w:after="120" w:line="240" w:lineRule="auto"/>
              <w:ind w:right="102"/>
              <w:jc w:val="both"/>
              <w:rPr>
                <w:rFonts w:ascii="Times New Roman" w:eastAsia="Times New Roman" w:hAnsi="Times New Roman"/>
                <w:sz w:val="24"/>
                <w:szCs w:val="24"/>
                <w:lang w:eastAsia="lv-LV"/>
              </w:rPr>
            </w:pPr>
            <w:r w:rsidRPr="00954FCF">
              <w:rPr>
                <w:rFonts w:ascii="Times New Roman" w:hAnsi="Times New Roman"/>
                <w:sz w:val="24"/>
                <w:szCs w:val="24"/>
              </w:rPr>
              <w:t>2014.gadā finansējums budžeta programmas 41.00.00 „Maksājumu nodrošināšana citām valsts iestādēm un personām” apakšprogrammā 41.13.00 „Finansējums VAS „Valsts nekustamie īpašumi” īstenotajiem projektiem un pasākumiem” ilgtermiņa saistību pasākumam „</w:t>
            </w:r>
            <w:r w:rsidRPr="00546B9D">
              <w:rPr>
                <w:rFonts w:ascii="Times New Roman" w:hAnsi="Times New Roman"/>
                <w:color w:val="2A2A2A"/>
                <w:sz w:val="24"/>
                <w:szCs w:val="24"/>
              </w:rPr>
              <w:t xml:space="preserve">Dotācija VAS „Valsts nekustamie īpašumi” būvniecībai Jūras ielā 34, </w:t>
            </w:r>
            <w:r w:rsidRPr="00EF7504">
              <w:rPr>
                <w:rFonts w:ascii="Times New Roman" w:hAnsi="Times New Roman"/>
                <w:color w:val="2A2A2A"/>
                <w:sz w:val="24"/>
                <w:szCs w:val="24"/>
              </w:rPr>
              <w:t>Ventspilī</w:t>
            </w:r>
            <w:r w:rsidRPr="00EF7504">
              <w:rPr>
                <w:rFonts w:ascii="Times New Roman" w:hAnsi="Times New Roman"/>
                <w:sz w:val="24"/>
                <w:szCs w:val="24"/>
              </w:rPr>
              <w:t xml:space="preserve">” </w:t>
            </w:r>
            <w:r w:rsidR="00B6238A" w:rsidRPr="00EF7504">
              <w:rPr>
                <w:rFonts w:ascii="Times New Roman" w:hAnsi="Times New Roman"/>
                <w:sz w:val="24"/>
                <w:szCs w:val="24"/>
              </w:rPr>
              <w:t xml:space="preserve">74 632 </w:t>
            </w:r>
            <w:proofErr w:type="spellStart"/>
            <w:r w:rsidRPr="00EF7504">
              <w:rPr>
                <w:rFonts w:ascii="Times New Roman" w:hAnsi="Times New Roman"/>
                <w:i/>
                <w:sz w:val="24"/>
                <w:szCs w:val="24"/>
              </w:rPr>
              <w:t>euro</w:t>
            </w:r>
            <w:proofErr w:type="spellEnd"/>
            <w:r w:rsidRPr="00954FCF">
              <w:rPr>
                <w:rFonts w:ascii="Times New Roman" w:hAnsi="Times New Roman"/>
                <w:sz w:val="24"/>
                <w:szCs w:val="24"/>
              </w:rPr>
              <w:t xml:space="preserve"> apmērā tiks samazināts un pārdalīts budžeta apakšprogrammas </w:t>
            </w:r>
            <w:r>
              <w:rPr>
                <w:rFonts w:ascii="Times New Roman" w:hAnsi="Times New Roman"/>
                <w:sz w:val="24"/>
                <w:szCs w:val="24"/>
              </w:rPr>
              <w:t xml:space="preserve">ietvaros </w:t>
            </w:r>
            <w:r w:rsidRPr="00954FCF">
              <w:rPr>
                <w:rFonts w:ascii="Times New Roman" w:hAnsi="Times New Roman"/>
                <w:sz w:val="24"/>
                <w:szCs w:val="24"/>
              </w:rPr>
              <w:t>ilgtermiņa pasākumam „Dotācija VAS „Valsts nekustamie īpašumi” par kapitālieguldījumiem Rīgas pils Priekšpils būvniecībā”.</w:t>
            </w:r>
            <w:r>
              <w:rPr>
                <w:rFonts w:ascii="Times New Roman" w:hAnsi="Times New Roman"/>
                <w:sz w:val="24"/>
                <w:szCs w:val="24"/>
              </w:rPr>
              <w:t xml:space="preserve"> </w:t>
            </w:r>
          </w:p>
          <w:p w:rsidR="007E718A" w:rsidRPr="00954FCF" w:rsidRDefault="007E718A" w:rsidP="007E718A">
            <w:pPr>
              <w:spacing w:after="120" w:line="240" w:lineRule="auto"/>
              <w:ind w:right="102"/>
              <w:jc w:val="both"/>
              <w:rPr>
                <w:rFonts w:ascii="Times New Roman" w:hAnsi="Times New Roman"/>
                <w:sz w:val="24"/>
                <w:szCs w:val="24"/>
              </w:rPr>
            </w:pPr>
            <w:r w:rsidRPr="00954FCF">
              <w:rPr>
                <w:rFonts w:ascii="Times New Roman" w:hAnsi="Times New Roman"/>
                <w:sz w:val="24"/>
                <w:szCs w:val="24"/>
              </w:rPr>
              <w:t>Informācija par precizētajiem izdevumiem ilgtermiņa saistībām:</w:t>
            </w:r>
          </w:p>
          <w:tbl>
            <w:tblPr>
              <w:tblW w:w="6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970"/>
              <w:gridCol w:w="851"/>
              <w:gridCol w:w="708"/>
              <w:gridCol w:w="709"/>
              <w:gridCol w:w="851"/>
              <w:gridCol w:w="708"/>
              <w:gridCol w:w="709"/>
            </w:tblGrid>
            <w:tr w:rsidR="00183239" w:rsidRPr="00183239" w:rsidTr="00183239">
              <w:trPr>
                <w:trHeight w:val="389"/>
              </w:trPr>
              <w:tc>
                <w:tcPr>
                  <w:tcW w:w="567" w:type="dxa"/>
                  <w:vMerge w:val="restart"/>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Cs/>
                      <w:sz w:val="14"/>
                      <w:szCs w:val="14"/>
                      <w:lang w:eastAsia="lv-LV"/>
                    </w:rPr>
                  </w:pPr>
                  <w:r w:rsidRPr="00183239">
                    <w:rPr>
                      <w:rFonts w:ascii="Times New Roman" w:eastAsia="Times New Roman" w:hAnsi="Times New Roman"/>
                      <w:bCs/>
                      <w:sz w:val="14"/>
                      <w:szCs w:val="14"/>
                      <w:lang w:eastAsia="lv-LV"/>
                    </w:rPr>
                    <w:t>Nr.</w:t>
                  </w:r>
                  <w:r w:rsidRPr="00183239">
                    <w:rPr>
                      <w:rFonts w:ascii="Times New Roman" w:eastAsia="Times New Roman" w:hAnsi="Times New Roman"/>
                      <w:bCs/>
                      <w:sz w:val="14"/>
                      <w:szCs w:val="14"/>
                      <w:lang w:eastAsia="lv-LV"/>
                    </w:rPr>
                    <w:br/>
                    <w:t>p.k.</w:t>
                  </w:r>
                </w:p>
              </w:tc>
              <w:tc>
                <w:tcPr>
                  <w:tcW w:w="3096" w:type="dxa"/>
                  <w:gridSpan w:val="4"/>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Likumā „Par valsts budžetu 2014.gadam” apstiprinātais finansējums sadalījumā pa gadiem</w:t>
                  </w:r>
                </w:p>
              </w:tc>
              <w:tc>
                <w:tcPr>
                  <w:tcW w:w="709" w:type="dxa"/>
                  <w:vMerge w:val="restart"/>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Izmaiņas +/-</w:t>
                  </w:r>
                </w:p>
              </w:tc>
              <w:tc>
                <w:tcPr>
                  <w:tcW w:w="2268" w:type="dxa"/>
                  <w:gridSpan w:val="3"/>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Precizētais finansējums sadalījumā pa gadiem</w:t>
                  </w:r>
                </w:p>
              </w:tc>
            </w:tr>
            <w:tr w:rsidR="00183239" w:rsidRPr="00183239" w:rsidTr="00F925F3">
              <w:trPr>
                <w:trHeight w:val="1180"/>
              </w:trPr>
              <w:tc>
                <w:tcPr>
                  <w:tcW w:w="567" w:type="dxa"/>
                  <w:vMerge/>
                  <w:vAlign w:val="center"/>
                  <w:hideMark/>
                </w:tcPr>
                <w:p w:rsidR="00183239" w:rsidRPr="00183239" w:rsidRDefault="00183239" w:rsidP="00183239">
                  <w:pPr>
                    <w:spacing w:after="0" w:line="240" w:lineRule="auto"/>
                    <w:rPr>
                      <w:rFonts w:ascii="Times New Roman" w:eastAsia="Times New Roman" w:hAnsi="Times New Roman"/>
                      <w:b/>
                      <w:bCs/>
                      <w:sz w:val="14"/>
                      <w:szCs w:val="14"/>
                      <w:lang w:eastAsia="lv-LV"/>
                    </w:rPr>
                  </w:pPr>
                </w:p>
              </w:tc>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Cs/>
                      <w:sz w:val="14"/>
                      <w:szCs w:val="14"/>
                      <w:lang w:eastAsia="lv-LV"/>
                    </w:rPr>
                  </w:pPr>
                  <w:r w:rsidRPr="00183239">
                    <w:rPr>
                      <w:rFonts w:ascii="Times New Roman" w:eastAsia="Times New Roman" w:hAnsi="Times New Roman"/>
                      <w:bCs/>
                      <w:sz w:val="14"/>
                      <w:szCs w:val="14"/>
                      <w:lang w:eastAsia="lv-LV"/>
                    </w:rPr>
                    <w:t>Pārskata periods</w:t>
                  </w:r>
                  <w:r w:rsidRPr="00183239">
                    <w:rPr>
                      <w:rFonts w:ascii="Times New Roman" w:eastAsia="Times New Roman" w:hAnsi="Times New Roman"/>
                      <w:bCs/>
                      <w:sz w:val="14"/>
                      <w:szCs w:val="14"/>
                      <w:lang w:eastAsia="lv-LV"/>
                    </w:rPr>
                    <w:br/>
                    <w:t>(gads)</w:t>
                  </w:r>
                </w:p>
              </w:tc>
              <w:tc>
                <w:tcPr>
                  <w:tcW w:w="970" w:type="dxa"/>
                  <w:shd w:val="clear" w:color="000000" w:fill="FFFFFF"/>
                  <w:vAlign w:val="center"/>
                  <w:hideMark/>
                </w:tcPr>
                <w:p w:rsidR="00183239" w:rsidRPr="00183239" w:rsidRDefault="00F925F3" w:rsidP="00183239">
                  <w:pPr>
                    <w:spacing w:after="0" w:line="240" w:lineRule="auto"/>
                    <w:jc w:val="center"/>
                    <w:rPr>
                      <w:rFonts w:ascii="Times New Roman" w:eastAsia="Times New Roman" w:hAnsi="Times New Roman"/>
                      <w:b/>
                      <w:bCs/>
                      <w:sz w:val="14"/>
                      <w:szCs w:val="14"/>
                      <w:lang w:eastAsia="lv-LV"/>
                    </w:rPr>
                  </w:pPr>
                  <w:r>
                    <w:rPr>
                      <w:rFonts w:ascii="Times New Roman" w:eastAsia="Times New Roman" w:hAnsi="Times New Roman"/>
                      <w:b/>
                      <w:bCs/>
                      <w:sz w:val="14"/>
                      <w:szCs w:val="14"/>
                      <w:lang w:eastAsia="lv-LV"/>
                    </w:rPr>
                    <w:t>FM</w:t>
                  </w:r>
                  <w:r w:rsidR="00183239" w:rsidRPr="00183239">
                    <w:rPr>
                      <w:rFonts w:ascii="Times New Roman" w:eastAsia="Times New Roman" w:hAnsi="Times New Roman"/>
                      <w:b/>
                      <w:bCs/>
                      <w:sz w:val="14"/>
                      <w:szCs w:val="14"/>
                      <w:lang w:eastAsia="lv-LV"/>
                    </w:rPr>
                    <w:t xml:space="preserve"> ilgtermiņu saistības </w:t>
                  </w:r>
                  <w:r w:rsidR="00183239" w:rsidRPr="00183239">
                    <w:rPr>
                      <w:rFonts w:ascii="Times New Roman" w:eastAsia="Times New Roman" w:hAnsi="Times New Roman"/>
                      <w:b/>
                      <w:bCs/>
                      <w:sz w:val="14"/>
                      <w:szCs w:val="14"/>
                      <w:lang w:eastAsia="lv-LV"/>
                    </w:rPr>
                    <w:br/>
                    <w:t>būvniecības izdevumu segšanai</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Prokuratūrai</w:t>
                  </w:r>
                  <w:r w:rsidRPr="00183239">
                    <w:rPr>
                      <w:rFonts w:ascii="Times New Roman" w:eastAsia="Times New Roman" w:hAnsi="Times New Roman"/>
                      <w:b/>
                      <w:bCs/>
                      <w:sz w:val="14"/>
                      <w:szCs w:val="14"/>
                      <w:lang w:eastAsia="lv-LV"/>
                    </w:rPr>
                    <w:br/>
                    <w:t>nomas maksas segšanai VNĪ</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kopā:</w:t>
                  </w:r>
                </w:p>
              </w:tc>
              <w:tc>
                <w:tcPr>
                  <w:tcW w:w="709" w:type="dxa"/>
                  <w:vMerge/>
                  <w:vAlign w:val="center"/>
                  <w:hideMark/>
                </w:tcPr>
                <w:p w:rsidR="00183239" w:rsidRPr="00183239" w:rsidRDefault="00183239" w:rsidP="00183239">
                  <w:pPr>
                    <w:spacing w:after="0" w:line="240" w:lineRule="auto"/>
                    <w:rPr>
                      <w:rFonts w:ascii="Times New Roman" w:eastAsia="Times New Roman" w:hAnsi="Times New Roman"/>
                      <w:b/>
                      <w:bCs/>
                      <w:sz w:val="14"/>
                      <w:szCs w:val="14"/>
                      <w:lang w:eastAsia="lv-LV"/>
                    </w:rPr>
                  </w:pPr>
                </w:p>
              </w:tc>
              <w:tc>
                <w:tcPr>
                  <w:tcW w:w="851" w:type="dxa"/>
                  <w:shd w:val="clear" w:color="000000" w:fill="FFFFFF"/>
                  <w:vAlign w:val="center"/>
                  <w:hideMark/>
                </w:tcPr>
                <w:p w:rsidR="00183239" w:rsidRPr="00183239" w:rsidRDefault="00F925F3" w:rsidP="00183239">
                  <w:pPr>
                    <w:spacing w:after="0" w:line="240" w:lineRule="auto"/>
                    <w:jc w:val="center"/>
                    <w:rPr>
                      <w:rFonts w:ascii="Times New Roman" w:eastAsia="Times New Roman" w:hAnsi="Times New Roman"/>
                      <w:b/>
                      <w:bCs/>
                      <w:sz w:val="14"/>
                      <w:szCs w:val="14"/>
                      <w:lang w:eastAsia="lv-LV"/>
                    </w:rPr>
                  </w:pPr>
                  <w:r>
                    <w:rPr>
                      <w:rFonts w:ascii="Times New Roman" w:eastAsia="Times New Roman" w:hAnsi="Times New Roman"/>
                      <w:b/>
                      <w:bCs/>
                      <w:sz w:val="14"/>
                      <w:szCs w:val="14"/>
                      <w:lang w:eastAsia="lv-LV"/>
                    </w:rPr>
                    <w:t>FM</w:t>
                  </w:r>
                  <w:r w:rsidR="00183239" w:rsidRPr="00183239">
                    <w:rPr>
                      <w:rFonts w:ascii="Times New Roman" w:eastAsia="Times New Roman" w:hAnsi="Times New Roman"/>
                      <w:b/>
                      <w:bCs/>
                      <w:sz w:val="14"/>
                      <w:szCs w:val="14"/>
                      <w:lang w:eastAsia="lv-LV"/>
                    </w:rPr>
                    <w:t xml:space="preserve"> ilgtermiņu saistības </w:t>
                  </w:r>
                  <w:r w:rsidR="00183239" w:rsidRPr="00183239">
                    <w:rPr>
                      <w:rFonts w:ascii="Times New Roman" w:eastAsia="Times New Roman" w:hAnsi="Times New Roman"/>
                      <w:b/>
                      <w:bCs/>
                      <w:sz w:val="14"/>
                      <w:szCs w:val="14"/>
                      <w:lang w:eastAsia="lv-LV"/>
                    </w:rPr>
                    <w:br/>
                    <w:t>būvniecības izdevumu segšanai</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Prokuratūrai</w:t>
                  </w:r>
                  <w:r w:rsidRPr="00183239">
                    <w:rPr>
                      <w:rFonts w:ascii="Times New Roman" w:eastAsia="Times New Roman" w:hAnsi="Times New Roman"/>
                      <w:b/>
                      <w:bCs/>
                      <w:sz w:val="14"/>
                      <w:szCs w:val="14"/>
                      <w:lang w:eastAsia="lv-LV"/>
                    </w:rPr>
                    <w:br/>
                    <w:t>nomas maksas segšanai VNĪ</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kopā:</w:t>
                  </w:r>
                </w:p>
              </w:tc>
            </w:tr>
            <w:tr w:rsidR="00183239" w:rsidRPr="00183239" w:rsidTr="00183239">
              <w:trPr>
                <w:trHeight w:val="131"/>
              </w:trPr>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w:t>
                  </w:r>
                </w:p>
              </w:tc>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2.</w:t>
                  </w:r>
                </w:p>
              </w:tc>
              <w:tc>
                <w:tcPr>
                  <w:tcW w:w="970"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3.</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4.</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5.</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6.=9.-5.</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8.</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9.</w:t>
                  </w:r>
                </w:p>
              </w:tc>
            </w:tr>
            <w:tr w:rsidR="00183239" w:rsidRPr="00183239" w:rsidTr="00183239">
              <w:trPr>
                <w:trHeight w:val="300"/>
              </w:trPr>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w:t>
                  </w:r>
                </w:p>
              </w:tc>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2013</w:t>
                  </w:r>
                </w:p>
              </w:tc>
              <w:tc>
                <w:tcPr>
                  <w:tcW w:w="970"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w:t>
                  </w:r>
                  <w:r>
                    <w:rPr>
                      <w:rFonts w:ascii="Times New Roman" w:eastAsia="Times New Roman" w:hAnsi="Times New Roman"/>
                      <w:sz w:val="14"/>
                      <w:szCs w:val="14"/>
                      <w:lang w:eastAsia="lv-LV"/>
                    </w:rPr>
                    <w:t> </w:t>
                  </w:r>
                  <w:r w:rsidRPr="00183239">
                    <w:rPr>
                      <w:rFonts w:ascii="Times New Roman" w:eastAsia="Times New Roman" w:hAnsi="Times New Roman"/>
                      <w:sz w:val="14"/>
                      <w:szCs w:val="14"/>
                      <w:lang w:eastAsia="lv-LV"/>
                    </w:rPr>
                    <w:t>756</w:t>
                  </w:r>
                  <w:r>
                    <w:rPr>
                      <w:rFonts w:ascii="Times New Roman" w:eastAsia="Times New Roman" w:hAnsi="Times New Roman"/>
                      <w:sz w:val="14"/>
                      <w:szCs w:val="14"/>
                      <w:lang w:eastAsia="lv-LV"/>
                    </w:rPr>
                    <w:t>*</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 </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16 756</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0</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16 756</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 </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16 756</w:t>
                  </w:r>
                </w:p>
              </w:tc>
            </w:tr>
            <w:tr w:rsidR="00183239" w:rsidRPr="00183239" w:rsidTr="00183239">
              <w:trPr>
                <w:trHeight w:val="300"/>
              </w:trPr>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2</w:t>
                  </w:r>
                </w:p>
              </w:tc>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2014</w:t>
                  </w:r>
                </w:p>
              </w:tc>
              <w:tc>
                <w:tcPr>
                  <w:tcW w:w="970"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162 257</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 </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162 257</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-74 632</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87 625</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 </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87 625</w:t>
                  </w:r>
                </w:p>
              </w:tc>
            </w:tr>
            <w:tr w:rsidR="00183239" w:rsidRPr="00183239" w:rsidTr="00183239">
              <w:trPr>
                <w:trHeight w:val="300"/>
              </w:trPr>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3</w:t>
                  </w:r>
                </w:p>
              </w:tc>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2015</w:t>
                  </w:r>
                </w:p>
              </w:tc>
              <w:tc>
                <w:tcPr>
                  <w:tcW w:w="970"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708 515</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4 215</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712 730</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74 632</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783 147</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4 215</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787 362</w:t>
                  </w:r>
                </w:p>
              </w:tc>
            </w:tr>
            <w:tr w:rsidR="00183239" w:rsidRPr="00183239" w:rsidTr="00183239">
              <w:trPr>
                <w:trHeight w:val="630"/>
              </w:trPr>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lastRenderedPageBreak/>
                    <w:t>4</w:t>
                  </w:r>
                </w:p>
              </w:tc>
              <w:tc>
                <w:tcPr>
                  <w:tcW w:w="567"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2016 (un turpmāk ik gadu)</w:t>
                  </w:r>
                </w:p>
              </w:tc>
              <w:tc>
                <w:tcPr>
                  <w:tcW w:w="970"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 </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16 295</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16 295</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0</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 </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16 295</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sz w:val="14"/>
                      <w:szCs w:val="14"/>
                      <w:lang w:eastAsia="lv-LV"/>
                    </w:rPr>
                  </w:pPr>
                  <w:r w:rsidRPr="00183239">
                    <w:rPr>
                      <w:rFonts w:ascii="Times New Roman" w:eastAsia="Times New Roman" w:hAnsi="Times New Roman"/>
                      <w:sz w:val="14"/>
                      <w:szCs w:val="14"/>
                      <w:lang w:eastAsia="lv-LV"/>
                    </w:rPr>
                    <w:t>16 295</w:t>
                  </w:r>
                </w:p>
              </w:tc>
            </w:tr>
            <w:tr w:rsidR="00183239" w:rsidRPr="00183239" w:rsidTr="00183239">
              <w:trPr>
                <w:trHeight w:val="300"/>
              </w:trPr>
              <w:tc>
                <w:tcPr>
                  <w:tcW w:w="1134" w:type="dxa"/>
                  <w:gridSpan w:val="2"/>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PAVISAM KOPĀ:</w:t>
                  </w:r>
                </w:p>
              </w:tc>
              <w:tc>
                <w:tcPr>
                  <w:tcW w:w="970"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887 528</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20 510</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908 038</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0</w:t>
                  </w:r>
                </w:p>
              </w:tc>
              <w:tc>
                <w:tcPr>
                  <w:tcW w:w="851"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887 528</w:t>
                  </w:r>
                </w:p>
              </w:tc>
              <w:tc>
                <w:tcPr>
                  <w:tcW w:w="708"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20 510</w:t>
                  </w:r>
                </w:p>
              </w:tc>
              <w:tc>
                <w:tcPr>
                  <w:tcW w:w="709" w:type="dxa"/>
                  <w:shd w:val="clear" w:color="000000" w:fill="FFFFFF"/>
                  <w:vAlign w:val="center"/>
                  <w:hideMark/>
                </w:tcPr>
                <w:p w:rsidR="00183239" w:rsidRPr="00183239" w:rsidRDefault="00183239" w:rsidP="00183239">
                  <w:pPr>
                    <w:spacing w:after="0" w:line="240" w:lineRule="auto"/>
                    <w:jc w:val="center"/>
                    <w:rPr>
                      <w:rFonts w:ascii="Times New Roman" w:eastAsia="Times New Roman" w:hAnsi="Times New Roman"/>
                      <w:b/>
                      <w:bCs/>
                      <w:sz w:val="14"/>
                      <w:szCs w:val="14"/>
                      <w:lang w:eastAsia="lv-LV"/>
                    </w:rPr>
                  </w:pPr>
                  <w:r w:rsidRPr="00183239">
                    <w:rPr>
                      <w:rFonts w:ascii="Times New Roman" w:eastAsia="Times New Roman" w:hAnsi="Times New Roman"/>
                      <w:b/>
                      <w:bCs/>
                      <w:sz w:val="14"/>
                      <w:szCs w:val="14"/>
                      <w:lang w:eastAsia="lv-LV"/>
                    </w:rPr>
                    <w:t>908 038</w:t>
                  </w:r>
                </w:p>
              </w:tc>
            </w:tr>
          </w:tbl>
          <w:p w:rsidR="007E718A" w:rsidRPr="00C454BA" w:rsidRDefault="00B6238A" w:rsidP="00750BE8">
            <w:pPr>
              <w:spacing w:after="0" w:line="240" w:lineRule="auto"/>
              <w:jc w:val="both"/>
              <w:rPr>
                <w:bCs/>
                <w:sz w:val="24"/>
                <w:szCs w:val="24"/>
                <w:lang w:eastAsia="lv-LV"/>
              </w:rPr>
            </w:pPr>
            <w:r>
              <w:rPr>
                <w:rFonts w:ascii="Times New Roman" w:hAnsi="Times New Roman"/>
                <w:sz w:val="24"/>
                <w:szCs w:val="24"/>
              </w:rPr>
              <w:t>*</w:t>
            </w:r>
            <w:r w:rsidR="00750BE8" w:rsidRPr="00B6238A">
              <w:rPr>
                <w:rFonts w:ascii="Times New Roman" w:hAnsi="Times New Roman"/>
                <w:sz w:val="16"/>
                <w:szCs w:val="16"/>
              </w:rPr>
              <w:t xml:space="preserve">Saskaņā ar Ministru kabineta 2013.gada 17.septembra sēdes </w:t>
            </w:r>
            <w:proofErr w:type="spellStart"/>
            <w:r w:rsidR="00750BE8" w:rsidRPr="00B6238A">
              <w:rPr>
                <w:rFonts w:ascii="Times New Roman" w:hAnsi="Times New Roman"/>
                <w:sz w:val="16"/>
                <w:szCs w:val="16"/>
              </w:rPr>
              <w:t>protokollēmumu</w:t>
            </w:r>
            <w:proofErr w:type="spellEnd"/>
            <w:r w:rsidR="00750BE8" w:rsidRPr="00B6238A">
              <w:rPr>
                <w:rFonts w:ascii="Times New Roman" w:hAnsi="Times New Roman"/>
                <w:sz w:val="16"/>
                <w:szCs w:val="16"/>
              </w:rPr>
              <w:t xml:space="preserve"> (prot. Nr.49 88.§) 2013.gadam nepieciešamā finansējuma apmērs ēku </w:t>
            </w:r>
            <w:r w:rsidR="00750BE8" w:rsidRPr="00B6238A">
              <w:rPr>
                <w:rFonts w:ascii="Times New Roman" w:hAnsi="Times New Roman"/>
                <w:color w:val="2A2A2A"/>
                <w:sz w:val="16"/>
                <w:szCs w:val="16"/>
              </w:rPr>
              <w:t>Jūras ielā 34, Ventspilī,</w:t>
            </w:r>
            <w:r w:rsidR="00750BE8" w:rsidRPr="00B6238A">
              <w:rPr>
                <w:rFonts w:ascii="Times New Roman" w:hAnsi="Times New Roman"/>
                <w:sz w:val="16"/>
                <w:szCs w:val="16"/>
              </w:rPr>
              <w:t xml:space="preserve"> </w:t>
            </w:r>
            <w:r w:rsidR="00750BE8" w:rsidRPr="00B6238A">
              <w:rPr>
                <w:rFonts w:ascii="Times New Roman" w:hAnsi="Times New Roman"/>
                <w:color w:val="2A2A2A"/>
                <w:sz w:val="16"/>
                <w:szCs w:val="16"/>
              </w:rPr>
              <w:t>būvniecības</w:t>
            </w:r>
            <w:r w:rsidR="00750BE8" w:rsidRPr="00B6238A">
              <w:rPr>
                <w:rFonts w:ascii="Times New Roman" w:hAnsi="Times New Roman"/>
                <w:sz w:val="16"/>
                <w:szCs w:val="16"/>
              </w:rPr>
              <w:t xml:space="preserve"> izdevumu segšanai VNĪ atbilstoši plānotajiem darbiem tika noteikts 16 756 </w:t>
            </w:r>
            <w:proofErr w:type="spellStart"/>
            <w:r w:rsidR="00750BE8" w:rsidRPr="00B6238A">
              <w:rPr>
                <w:rFonts w:ascii="Times New Roman" w:hAnsi="Times New Roman"/>
                <w:i/>
                <w:sz w:val="16"/>
                <w:szCs w:val="16"/>
              </w:rPr>
              <w:t>euro</w:t>
            </w:r>
            <w:proofErr w:type="spellEnd"/>
            <w:r w:rsidR="00750BE8" w:rsidRPr="00B6238A">
              <w:rPr>
                <w:rFonts w:ascii="Times New Roman" w:hAnsi="Times New Roman"/>
                <w:sz w:val="16"/>
                <w:szCs w:val="16"/>
              </w:rPr>
              <w:t xml:space="preserve">, kopējais rekonstrukcijas izdevumu segšanai 2013.-2015.gadā paredzētais finansējuma apmērs ir 887 528 </w:t>
            </w:r>
            <w:proofErr w:type="spellStart"/>
            <w:r w:rsidR="00750BE8" w:rsidRPr="00B6238A">
              <w:rPr>
                <w:rFonts w:ascii="Times New Roman" w:hAnsi="Times New Roman"/>
                <w:i/>
                <w:sz w:val="16"/>
                <w:szCs w:val="16"/>
              </w:rPr>
              <w:t>euro</w:t>
            </w:r>
            <w:proofErr w:type="spellEnd"/>
            <w:r w:rsidR="00750BE8" w:rsidRPr="00B6238A">
              <w:rPr>
                <w:rFonts w:ascii="Times New Roman" w:hAnsi="Times New Roman"/>
                <w:sz w:val="16"/>
                <w:szCs w:val="16"/>
              </w:rPr>
              <w:t>.</w:t>
            </w:r>
          </w:p>
        </w:tc>
      </w:tr>
      <w:tr w:rsidR="00973D4C" w:rsidRPr="000841C6" w:rsidTr="00D302B6">
        <w:trPr>
          <w:jc w:val="center"/>
        </w:trPr>
        <w:tc>
          <w:tcPr>
            <w:tcW w:w="1574" w:type="pct"/>
          </w:tcPr>
          <w:p w:rsidR="00973D4C" w:rsidRPr="000841C6" w:rsidRDefault="00973D4C" w:rsidP="00A54DFF">
            <w:pPr>
              <w:pStyle w:val="naiskr"/>
              <w:spacing w:before="0" w:after="0"/>
            </w:pPr>
            <w:r w:rsidRPr="000841C6">
              <w:t>6.1. detalizēts ieņēmumu aprēķins</w:t>
            </w:r>
          </w:p>
        </w:tc>
        <w:tc>
          <w:tcPr>
            <w:tcW w:w="3426" w:type="pct"/>
            <w:gridSpan w:val="5"/>
            <w:vMerge/>
          </w:tcPr>
          <w:p w:rsidR="00973D4C" w:rsidRPr="00C454BA" w:rsidRDefault="00973D4C" w:rsidP="00536B44">
            <w:pPr>
              <w:pStyle w:val="naisf"/>
              <w:spacing w:before="0" w:after="0"/>
              <w:ind w:firstLine="0"/>
              <w:rPr>
                <w:b/>
              </w:rPr>
            </w:pPr>
          </w:p>
        </w:tc>
      </w:tr>
      <w:tr w:rsidR="00973D4C" w:rsidRPr="000841C6" w:rsidTr="00D302B6">
        <w:trPr>
          <w:jc w:val="center"/>
        </w:trPr>
        <w:tc>
          <w:tcPr>
            <w:tcW w:w="1574" w:type="pct"/>
          </w:tcPr>
          <w:p w:rsidR="00973D4C" w:rsidRPr="000841C6" w:rsidRDefault="00973D4C" w:rsidP="00A54DFF">
            <w:pPr>
              <w:pStyle w:val="naiskr"/>
              <w:spacing w:before="0" w:after="0"/>
            </w:pPr>
            <w:r w:rsidRPr="000841C6">
              <w:t>6.2. detalizēts izdevumu aprēķins</w:t>
            </w:r>
          </w:p>
        </w:tc>
        <w:tc>
          <w:tcPr>
            <w:tcW w:w="3426" w:type="pct"/>
            <w:gridSpan w:val="5"/>
            <w:vMerge/>
          </w:tcPr>
          <w:p w:rsidR="00973D4C" w:rsidRPr="00C454BA" w:rsidRDefault="00973D4C" w:rsidP="00536B44">
            <w:pPr>
              <w:pStyle w:val="naisf"/>
              <w:spacing w:before="0" w:after="0"/>
              <w:ind w:firstLine="0"/>
              <w:rPr>
                <w:b/>
              </w:rPr>
            </w:pPr>
          </w:p>
        </w:tc>
      </w:tr>
      <w:tr w:rsidR="00973D4C" w:rsidRPr="000841C6" w:rsidTr="00D302B6">
        <w:trPr>
          <w:jc w:val="center"/>
        </w:trPr>
        <w:tc>
          <w:tcPr>
            <w:tcW w:w="1574" w:type="pct"/>
          </w:tcPr>
          <w:p w:rsidR="00973D4C" w:rsidRPr="000841C6" w:rsidRDefault="00973D4C" w:rsidP="00A54DFF">
            <w:pPr>
              <w:pStyle w:val="naiskr"/>
              <w:spacing w:before="0" w:after="0"/>
            </w:pPr>
            <w:r w:rsidRPr="000841C6">
              <w:lastRenderedPageBreak/>
              <w:t>7. Cita informācija</w:t>
            </w:r>
          </w:p>
        </w:tc>
        <w:tc>
          <w:tcPr>
            <w:tcW w:w="3426" w:type="pct"/>
            <w:gridSpan w:val="5"/>
          </w:tcPr>
          <w:p w:rsidR="00086DEB" w:rsidRPr="00C454BA" w:rsidRDefault="00BE1D89" w:rsidP="00BE1D89">
            <w:pPr>
              <w:pStyle w:val="NormalWeb"/>
              <w:spacing w:before="0" w:after="0"/>
              <w:jc w:val="both"/>
            </w:pPr>
            <w:r>
              <w:rPr>
                <w:bCs/>
              </w:rPr>
              <w:t xml:space="preserve">MK </w:t>
            </w:r>
            <w:r w:rsidR="00FE227F" w:rsidRPr="00C454BA">
              <w:rPr>
                <w:bCs/>
              </w:rPr>
              <w:t>r</w:t>
            </w:r>
            <w:r w:rsidR="00FE227F" w:rsidRPr="00C454BA">
              <w:t>īkojuma projekta ietvaros provizoriski aprēķinātais kapitālieguldījumu apmērs var tikt precizēts pēc būvniecības tehniskā projekta izstrādes</w:t>
            </w:r>
            <w:r w:rsidR="00643E10" w:rsidRPr="00C454BA">
              <w:t xml:space="preserve">, </w:t>
            </w:r>
            <w:r w:rsidR="00FE227F" w:rsidRPr="00C454BA">
              <w:t>pēc būvniecības līguma noslēgšanas</w:t>
            </w:r>
            <w:r w:rsidR="00643E10" w:rsidRPr="00C454BA">
              <w:t>, vai būvniecības darbu laikā</w:t>
            </w:r>
            <w:r w:rsidR="00FE227F" w:rsidRPr="00C454BA">
              <w:t>.</w:t>
            </w:r>
          </w:p>
        </w:tc>
      </w:tr>
    </w:tbl>
    <w:p w:rsidR="00C94AB7" w:rsidRDefault="00C94AB7" w:rsidP="00CA7030">
      <w:pPr>
        <w:pStyle w:val="naiskr"/>
        <w:spacing w:before="0" w:after="0"/>
      </w:pPr>
    </w:p>
    <w:tbl>
      <w:tblPr>
        <w:tblW w:w="5036" w:type="pct"/>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49"/>
        <w:gridCol w:w="8382"/>
      </w:tblGrid>
      <w:tr w:rsidR="00CA7030" w:rsidRPr="004538DF" w:rsidTr="00CA7030">
        <w:trPr>
          <w:jc w:val="center"/>
        </w:trPr>
        <w:tc>
          <w:tcPr>
            <w:tcW w:w="5000" w:type="pct"/>
            <w:gridSpan w:val="2"/>
          </w:tcPr>
          <w:p w:rsidR="00CA7030" w:rsidRPr="004538DF" w:rsidRDefault="00CA7030" w:rsidP="00CA7030">
            <w:pPr>
              <w:pStyle w:val="naiskr"/>
              <w:spacing w:before="0" w:after="0"/>
              <w:jc w:val="center"/>
            </w:pPr>
            <w:r w:rsidRPr="004538DF">
              <w:t>IV. Tiesību akta projekta ietekme uz spēkā esošo tiesību normu sistēmu</w:t>
            </w:r>
          </w:p>
        </w:tc>
      </w:tr>
      <w:tr w:rsidR="00CA7030" w:rsidRPr="00CA7030" w:rsidTr="00CA7030">
        <w:trPr>
          <w:jc w:val="center"/>
        </w:trPr>
        <w:tc>
          <w:tcPr>
            <w:tcW w:w="780" w:type="pct"/>
          </w:tcPr>
          <w:p w:rsidR="00CA7030" w:rsidRPr="00CA7030" w:rsidRDefault="00CA7030" w:rsidP="00CA7030">
            <w:pPr>
              <w:pStyle w:val="naiskr"/>
              <w:spacing w:before="0" w:after="0"/>
            </w:pPr>
            <w:r w:rsidRPr="004538DF">
              <w:t>Nepieciešamie saistītie tiesību aktu projekti</w:t>
            </w:r>
          </w:p>
        </w:tc>
        <w:tc>
          <w:tcPr>
            <w:tcW w:w="4220" w:type="pct"/>
          </w:tcPr>
          <w:p w:rsidR="00CA7030" w:rsidRPr="00741936" w:rsidRDefault="00741936" w:rsidP="00EF7504">
            <w:pPr>
              <w:spacing w:after="120" w:line="240" w:lineRule="auto"/>
              <w:ind w:left="57" w:right="159" w:firstLine="11"/>
              <w:jc w:val="both"/>
              <w:rPr>
                <w:rFonts w:ascii="Times New Roman" w:hAnsi="Times New Roman"/>
                <w:sz w:val="24"/>
                <w:szCs w:val="24"/>
              </w:rPr>
            </w:pPr>
            <w:r>
              <w:rPr>
                <w:rFonts w:ascii="Times New Roman" w:hAnsi="Times New Roman"/>
                <w:iCs/>
                <w:sz w:val="24"/>
                <w:szCs w:val="24"/>
                <w:lang w:eastAsia="lv-LV"/>
              </w:rPr>
              <w:t>Saskaņā ar precizēto būvniecības darbu izpildes laika grafiku, a</w:t>
            </w:r>
            <w:r w:rsidRPr="000841C6">
              <w:rPr>
                <w:rFonts w:ascii="Times New Roman" w:hAnsi="Times New Roman"/>
                <w:iCs/>
                <w:sz w:val="24"/>
                <w:szCs w:val="24"/>
                <w:lang w:eastAsia="lv-LV"/>
              </w:rPr>
              <w:t>dministratīvās ēkas un garāžas ēkas Jūras ielā 34, Ventspilī, renovācijas izdevumu segšanai nepieciešamā finansējuma apmērs atbilstoši plānotajiem darbiem 201</w:t>
            </w:r>
            <w:r>
              <w:rPr>
                <w:rFonts w:ascii="Times New Roman" w:hAnsi="Times New Roman"/>
                <w:iCs/>
                <w:sz w:val="24"/>
                <w:szCs w:val="24"/>
                <w:lang w:eastAsia="lv-LV"/>
              </w:rPr>
              <w:t>4</w:t>
            </w:r>
            <w:r w:rsidRPr="000841C6">
              <w:rPr>
                <w:rFonts w:ascii="Times New Roman" w:hAnsi="Times New Roman"/>
                <w:iCs/>
                <w:sz w:val="24"/>
                <w:szCs w:val="24"/>
                <w:lang w:eastAsia="lv-LV"/>
              </w:rPr>
              <w:t xml:space="preserve">.gadā ir </w:t>
            </w:r>
            <w:r w:rsidRPr="00EF7504">
              <w:rPr>
                <w:rFonts w:ascii="Times New Roman" w:hAnsi="Times New Roman"/>
                <w:iCs/>
                <w:sz w:val="24"/>
                <w:szCs w:val="24"/>
                <w:lang w:eastAsia="lv-LV"/>
              </w:rPr>
              <w:t>87</w:t>
            </w:r>
            <w:r w:rsidR="00EF7504" w:rsidRPr="00EF7504">
              <w:rPr>
                <w:rFonts w:ascii="Times New Roman" w:hAnsi="Times New Roman"/>
                <w:iCs/>
                <w:sz w:val="24"/>
                <w:szCs w:val="24"/>
                <w:lang w:eastAsia="lv-LV"/>
              </w:rPr>
              <w:t> </w:t>
            </w:r>
            <w:r w:rsidRPr="00EF7504">
              <w:rPr>
                <w:rFonts w:ascii="Times New Roman" w:hAnsi="Times New Roman"/>
                <w:iCs/>
                <w:sz w:val="24"/>
                <w:szCs w:val="24"/>
                <w:lang w:eastAsia="lv-LV"/>
              </w:rPr>
              <w:t xml:space="preserve">625 </w:t>
            </w:r>
            <w:proofErr w:type="spellStart"/>
            <w:r w:rsidRPr="00EF7504">
              <w:rPr>
                <w:rFonts w:ascii="Times New Roman" w:hAnsi="Times New Roman"/>
                <w:i/>
                <w:iCs/>
                <w:sz w:val="24"/>
                <w:szCs w:val="24"/>
                <w:lang w:eastAsia="lv-LV"/>
              </w:rPr>
              <w:t>euro</w:t>
            </w:r>
            <w:proofErr w:type="spellEnd"/>
            <w:r w:rsidRPr="00EF7504">
              <w:rPr>
                <w:rFonts w:ascii="Times New Roman" w:hAnsi="Times New Roman"/>
                <w:iCs/>
                <w:sz w:val="24"/>
                <w:szCs w:val="24"/>
                <w:lang w:eastAsia="lv-LV"/>
              </w:rPr>
              <w:t xml:space="preserve"> (finansējums tehniskā projekta izstrādes un ekspertīzes izmaksu segšanai un projekta vadītāja atlīdzībai), līdz ar to nepieciešams </w:t>
            </w:r>
            <w:r w:rsidR="00892E32" w:rsidRPr="00EF7504">
              <w:rPr>
                <w:rFonts w:ascii="Times New Roman" w:hAnsi="Times New Roman"/>
                <w:iCs/>
                <w:sz w:val="24"/>
                <w:szCs w:val="24"/>
                <w:lang w:eastAsia="lv-LV"/>
              </w:rPr>
              <w:t>FM</w:t>
            </w:r>
            <w:r w:rsidRPr="00EF7504">
              <w:rPr>
                <w:rFonts w:ascii="Times New Roman" w:hAnsi="Times New Roman"/>
                <w:iCs/>
                <w:sz w:val="24"/>
                <w:szCs w:val="24"/>
                <w:lang w:eastAsia="lv-LV"/>
              </w:rPr>
              <w:t xml:space="preserve"> 2014.gadā samazināt finansējumu budžeta programmas 41.00.00 „Maksājumu nodrošināšana citām valsts iestādēm un personām” apakšprogrammā </w:t>
            </w:r>
            <w:r w:rsidRPr="00EF7504">
              <w:rPr>
                <w:rFonts w:ascii="Times New Roman" w:hAnsi="Times New Roman"/>
                <w:sz w:val="24"/>
                <w:szCs w:val="24"/>
              </w:rPr>
              <w:t xml:space="preserve"> 41.13.00 „Finansējums VAS „Valsts nekustamie īpašumi” īstenotajiem projektiem un pasākumiem” ilgtermiņa saistību pasākumam </w:t>
            </w:r>
            <w:r w:rsidRPr="00EF7504">
              <w:rPr>
                <w:rFonts w:ascii="Times New Roman" w:hAnsi="Times New Roman"/>
                <w:iCs/>
                <w:sz w:val="24"/>
                <w:szCs w:val="24"/>
                <w:lang w:eastAsia="lv-LV"/>
              </w:rPr>
              <w:t xml:space="preserve">„Dotācija </w:t>
            </w:r>
            <w:r w:rsidRPr="00EF7504">
              <w:rPr>
                <w:rFonts w:ascii="Times New Roman" w:hAnsi="Times New Roman"/>
                <w:sz w:val="24"/>
                <w:szCs w:val="24"/>
              </w:rPr>
              <w:t xml:space="preserve">VAS „Valsts nekustamie īpašumi” </w:t>
            </w:r>
            <w:r w:rsidRPr="00EF7504">
              <w:rPr>
                <w:rFonts w:ascii="Times New Roman" w:hAnsi="Times New Roman"/>
                <w:iCs/>
                <w:sz w:val="24"/>
                <w:szCs w:val="24"/>
                <w:lang w:eastAsia="lv-LV"/>
              </w:rPr>
              <w:t xml:space="preserve">būvniecībai Jūras ielā 34, Ventspilī” 74 632 </w:t>
            </w:r>
            <w:proofErr w:type="spellStart"/>
            <w:r w:rsidRPr="00EF7504">
              <w:rPr>
                <w:rFonts w:ascii="Times New Roman" w:hAnsi="Times New Roman"/>
                <w:i/>
                <w:iCs/>
                <w:sz w:val="24"/>
                <w:szCs w:val="24"/>
                <w:lang w:eastAsia="lv-LV"/>
              </w:rPr>
              <w:t>euro</w:t>
            </w:r>
            <w:proofErr w:type="spellEnd"/>
            <w:r w:rsidRPr="000841C6">
              <w:rPr>
                <w:rFonts w:ascii="Times New Roman" w:hAnsi="Times New Roman"/>
                <w:iCs/>
                <w:sz w:val="24"/>
                <w:szCs w:val="24"/>
                <w:lang w:eastAsia="lv-LV"/>
              </w:rPr>
              <w:t xml:space="preserve"> apmērā, pārdalot finansējumu </w:t>
            </w:r>
            <w:r>
              <w:rPr>
                <w:rFonts w:ascii="Times New Roman" w:hAnsi="Times New Roman"/>
                <w:iCs/>
                <w:sz w:val="24"/>
                <w:szCs w:val="24"/>
                <w:lang w:eastAsia="lv-LV"/>
              </w:rPr>
              <w:t xml:space="preserve">FM </w:t>
            </w:r>
            <w:r w:rsidRPr="000841C6">
              <w:rPr>
                <w:rFonts w:ascii="Times New Roman" w:hAnsi="Times New Roman"/>
                <w:iCs/>
                <w:sz w:val="24"/>
                <w:szCs w:val="24"/>
                <w:lang w:eastAsia="lv-LV"/>
              </w:rPr>
              <w:t xml:space="preserve">budžeta </w:t>
            </w:r>
            <w:r>
              <w:rPr>
                <w:rFonts w:ascii="Times New Roman" w:hAnsi="Times New Roman"/>
                <w:iCs/>
                <w:sz w:val="24"/>
                <w:szCs w:val="24"/>
                <w:lang w:eastAsia="lv-LV"/>
              </w:rPr>
              <w:t>apakš</w:t>
            </w:r>
            <w:r w:rsidRPr="000841C6">
              <w:rPr>
                <w:rFonts w:ascii="Times New Roman" w:hAnsi="Times New Roman"/>
                <w:iCs/>
                <w:sz w:val="24"/>
                <w:szCs w:val="24"/>
                <w:lang w:eastAsia="lv-LV"/>
              </w:rPr>
              <w:t>programmas</w:t>
            </w:r>
            <w:r>
              <w:rPr>
                <w:rFonts w:ascii="Times New Roman" w:hAnsi="Times New Roman"/>
                <w:iCs/>
                <w:sz w:val="24"/>
                <w:szCs w:val="24"/>
                <w:lang w:eastAsia="lv-LV"/>
              </w:rPr>
              <w:t xml:space="preserve"> ietvaros </w:t>
            </w:r>
            <w:r w:rsidRPr="00954FCF">
              <w:rPr>
                <w:rFonts w:ascii="Times New Roman" w:hAnsi="Times New Roman"/>
                <w:sz w:val="24"/>
                <w:szCs w:val="24"/>
              </w:rPr>
              <w:t>ilgtermiņa saistību pasākumam</w:t>
            </w:r>
            <w:r>
              <w:rPr>
                <w:rFonts w:ascii="Times New Roman" w:hAnsi="Times New Roman"/>
                <w:sz w:val="24"/>
                <w:szCs w:val="24"/>
              </w:rPr>
              <w:t xml:space="preserve"> </w:t>
            </w:r>
            <w:r w:rsidRPr="00954FCF">
              <w:rPr>
                <w:rFonts w:ascii="Times New Roman" w:hAnsi="Times New Roman"/>
                <w:sz w:val="24"/>
                <w:szCs w:val="24"/>
              </w:rPr>
              <w:t>„Dotācija VAS „Valsts nekustamie īpašumi” par kapitālieguldījumiem Rīgas pils Priekšpils būvniecībā”</w:t>
            </w:r>
            <w:r w:rsidR="00892E32">
              <w:rPr>
                <w:rFonts w:ascii="Times New Roman" w:hAnsi="Times New Roman"/>
                <w:sz w:val="24"/>
                <w:szCs w:val="24"/>
              </w:rPr>
              <w:t>.</w:t>
            </w:r>
            <w:r>
              <w:rPr>
                <w:rFonts w:ascii="Times New Roman" w:hAnsi="Times New Roman"/>
                <w:sz w:val="24"/>
                <w:szCs w:val="24"/>
              </w:rPr>
              <w:t xml:space="preserve"> </w:t>
            </w:r>
            <w:r w:rsidR="00892E32">
              <w:rPr>
                <w:rFonts w:ascii="Times New Roman" w:hAnsi="Times New Roman"/>
                <w:sz w:val="24"/>
                <w:szCs w:val="24"/>
              </w:rPr>
              <w:t>L</w:t>
            </w:r>
            <w:r w:rsidRPr="00741936">
              <w:rPr>
                <w:rFonts w:ascii="Times New Roman" w:hAnsi="Times New Roman"/>
                <w:sz w:val="24"/>
                <w:szCs w:val="24"/>
              </w:rPr>
              <w:t xml:space="preserve">īdz ar to </w:t>
            </w:r>
            <w:r w:rsidR="00CA7030" w:rsidRPr="00741936">
              <w:rPr>
                <w:rFonts w:ascii="Times New Roman" w:hAnsi="Times New Roman"/>
                <w:sz w:val="24"/>
                <w:szCs w:val="24"/>
              </w:rPr>
              <w:t>Ministru kabineta rīkojuma projekts ir saistīts un skatāms Ministru kabinetā kopā ar FM (VNĪ) izstrādāto Ministru kabineta rīkojuma projektu „Par finansējuma piešķiršanu Rīgas pils Priekšpils un Austrumu piebūves projekta izdevumu segšanai”.</w:t>
            </w:r>
          </w:p>
        </w:tc>
      </w:tr>
      <w:tr w:rsidR="00CA7030" w:rsidRPr="00755EDD" w:rsidTr="00CA7030">
        <w:trPr>
          <w:jc w:val="center"/>
        </w:trPr>
        <w:tc>
          <w:tcPr>
            <w:tcW w:w="780" w:type="pct"/>
          </w:tcPr>
          <w:p w:rsidR="00CA7030" w:rsidRPr="004538DF" w:rsidRDefault="00CA7030" w:rsidP="00CA7030">
            <w:pPr>
              <w:pStyle w:val="naiskr"/>
              <w:spacing w:before="0" w:after="0"/>
            </w:pPr>
            <w:r w:rsidRPr="004538DF">
              <w:t>Atbildīgā institūcija</w:t>
            </w:r>
          </w:p>
        </w:tc>
        <w:tc>
          <w:tcPr>
            <w:tcW w:w="4220" w:type="pct"/>
          </w:tcPr>
          <w:p w:rsidR="00CA7030" w:rsidRPr="00755EDD" w:rsidRDefault="00CA7030" w:rsidP="00CA7030">
            <w:pPr>
              <w:pStyle w:val="naiskr"/>
              <w:spacing w:before="0" w:after="0"/>
            </w:pPr>
            <w:r w:rsidRPr="00CA7030">
              <w:t>FM (VNĪ)</w:t>
            </w:r>
          </w:p>
        </w:tc>
      </w:tr>
      <w:tr w:rsidR="00CA7030" w:rsidRPr="00CA7030" w:rsidTr="00CA7030">
        <w:trPr>
          <w:jc w:val="center"/>
        </w:trPr>
        <w:tc>
          <w:tcPr>
            <w:tcW w:w="780" w:type="pct"/>
          </w:tcPr>
          <w:p w:rsidR="00CA7030" w:rsidRPr="00CA7030" w:rsidRDefault="00CA7030" w:rsidP="00CA7030">
            <w:pPr>
              <w:pStyle w:val="naiskr"/>
              <w:spacing w:before="0" w:after="0"/>
            </w:pPr>
            <w:r w:rsidRPr="004538DF">
              <w:t>Cita informācija</w:t>
            </w:r>
          </w:p>
        </w:tc>
        <w:tc>
          <w:tcPr>
            <w:tcW w:w="4220" w:type="pct"/>
          </w:tcPr>
          <w:p w:rsidR="00CA7030" w:rsidRPr="00CA7030" w:rsidRDefault="00CA7030" w:rsidP="00CA7030">
            <w:pPr>
              <w:pStyle w:val="naiskr"/>
              <w:spacing w:before="0" w:after="0"/>
            </w:pPr>
            <w:r w:rsidRPr="00755EDD">
              <w:t>Nav.</w:t>
            </w:r>
          </w:p>
        </w:tc>
      </w:tr>
    </w:tbl>
    <w:p w:rsidR="00CA7030" w:rsidRDefault="00CA7030" w:rsidP="00C94AB7">
      <w:pPr>
        <w:pStyle w:val="naisf"/>
        <w:tabs>
          <w:tab w:val="left" w:pos="7993"/>
        </w:tabs>
        <w:spacing w:before="0" w:after="0"/>
        <w:ind w:right="-1" w:firstLine="0"/>
      </w:pPr>
    </w:p>
    <w:tbl>
      <w:tblPr>
        <w:tblW w:w="9903" w:type="dxa"/>
        <w:jc w:val="center"/>
        <w:tblInd w:w="-5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firstRow="0" w:lastRow="0" w:firstColumn="0" w:lastColumn="0" w:noHBand="0" w:noVBand="0"/>
      </w:tblPr>
      <w:tblGrid>
        <w:gridCol w:w="564"/>
        <w:gridCol w:w="5526"/>
        <w:gridCol w:w="3813"/>
      </w:tblGrid>
      <w:tr w:rsidR="00C94AB7" w:rsidRPr="004538DF" w:rsidTr="00A66D48">
        <w:trPr>
          <w:jc w:val="center"/>
        </w:trPr>
        <w:tc>
          <w:tcPr>
            <w:tcW w:w="9903" w:type="dxa"/>
            <w:gridSpan w:val="3"/>
          </w:tcPr>
          <w:p w:rsidR="00C94AB7" w:rsidRPr="004538DF" w:rsidRDefault="00C94AB7" w:rsidP="00C94AB7">
            <w:pPr>
              <w:pStyle w:val="naisnod"/>
              <w:tabs>
                <w:tab w:val="left" w:pos="7993"/>
              </w:tabs>
              <w:spacing w:before="0" w:after="60"/>
              <w:ind w:right="-1"/>
              <w:jc w:val="center"/>
            </w:pPr>
            <w:r w:rsidRPr="004538DF">
              <w:t>VII. Tiesību akta projekta izpildes nodrošināšana un tās ietekme uz institūcijām</w:t>
            </w:r>
          </w:p>
        </w:tc>
      </w:tr>
      <w:tr w:rsidR="00C94AB7" w:rsidRPr="004538DF" w:rsidTr="00A66D48">
        <w:tblPrEx>
          <w:tblCellMar>
            <w:top w:w="30" w:type="dxa"/>
            <w:bottom w:w="30" w:type="dxa"/>
          </w:tblCellMar>
          <w:tblLook w:val="04A0" w:firstRow="1" w:lastRow="0" w:firstColumn="1" w:lastColumn="0" w:noHBand="0" w:noVBand="1"/>
        </w:tblPrEx>
        <w:trPr>
          <w:jc w:val="center"/>
        </w:trPr>
        <w:tc>
          <w:tcPr>
            <w:tcW w:w="564" w:type="dxa"/>
            <w:hideMark/>
          </w:tcPr>
          <w:p w:rsidR="00C94AB7" w:rsidRPr="004538DF" w:rsidRDefault="00C94AB7" w:rsidP="00C94AB7">
            <w:pPr>
              <w:pStyle w:val="NormalWeb"/>
              <w:tabs>
                <w:tab w:val="left" w:pos="7993"/>
              </w:tabs>
              <w:spacing w:before="0" w:after="0"/>
              <w:ind w:right="-1"/>
              <w:jc w:val="center"/>
            </w:pPr>
            <w:r w:rsidRPr="004538DF">
              <w:t>1.</w:t>
            </w:r>
          </w:p>
        </w:tc>
        <w:tc>
          <w:tcPr>
            <w:tcW w:w="5526" w:type="dxa"/>
            <w:hideMark/>
          </w:tcPr>
          <w:p w:rsidR="00C94AB7" w:rsidRPr="004538DF" w:rsidRDefault="00C94AB7" w:rsidP="00C94AB7">
            <w:pPr>
              <w:pStyle w:val="NormalWeb"/>
              <w:tabs>
                <w:tab w:val="left" w:pos="7993"/>
              </w:tabs>
              <w:spacing w:before="0" w:after="0"/>
              <w:ind w:right="-1"/>
            </w:pPr>
            <w:r w:rsidRPr="004538DF">
              <w:t>Projekta izpildē iesaistītās institūcijas</w:t>
            </w:r>
          </w:p>
        </w:tc>
        <w:tc>
          <w:tcPr>
            <w:tcW w:w="3813" w:type="dxa"/>
          </w:tcPr>
          <w:p w:rsidR="00C94AB7" w:rsidRPr="004538DF" w:rsidRDefault="00027E37" w:rsidP="00027E37">
            <w:pPr>
              <w:pStyle w:val="NormalWeb"/>
              <w:tabs>
                <w:tab w:val="left" w:pos="7993"/>
              </w:tabs>
              <w:spacing w:before="0" w:after="0"/>
              <w:ind w:right="-1"/>
              <w:jc w:val="both"/>
            </w:pPr>
            <w:r>
              <w:rPr>
                <w:bCs/>
              </w:rPr>
              <w:t xml:space="preserve">FM </w:t>
            </w:r>
            <w:r w:rsidR="00C94AB7" w:rsidRPr="00755EDD">
              <w:rPr>
                <w:bCs/>
              </w:rPr>
              <w:t>(VNĪ).</w:t>
            </w:r>
          </w:p>
        </w:tc>
      </w:tr>
      <w:tr w:rsidR="00C94AB7" w:rsidRPr="004538DF" w:rsidTr="00A66D48">
        <w:tblPrEx>
          <w:tblCellMar>
            <w:top w:w="30" w:type="dxa"/>
            <w:bottom w:w="30" w:type="dxa"/>
          </w:tblCellMar>
          <w:tblLook w:val="04A0" w:firstRow="1" w:lastRow="0" w:firstColumn="1" w:lastColumn="0" w:noHBand="0" w:noVBand="1"/>
        </w:tblPrEx>
        <w:trPr>
          <w:jc w:val="center"/>
        </w:trPr>
        <w:tc>
          <w:tcPr>
            <w:tcW w:w="564" w:type="dxa"/>
            <w:hideMark/>
          </w:tcPr>
          <w:p w:rsidR="00C94AB7" w:rsidRPr="004538DF" w:rsidRDefault="00C94AB7" w:rsidP="00C94AB7">
            <w:pPr>
              <w:pStyle w:val="NormalWeb"/>
              <w:tabs>
                <w:tab w:val="left" w:pos="7993"/>
              </w:tabs>
              <w:spacing w:before="0" w:after="0"/>
              <w:ind w:right="-1"/>
              <w:jc w:val="center"/>
            </w:pPr>
            <w:r w:rsidRPr="004538DF">
              <w:t>2.</w:t>
            </w:r>
          </w:p>
        </w:tc>
        <w:tc>
          <w:tcPr>
            <w:tcW w:w="5526" w:type="dxa"/>
            <w:hideMark/>
          </w:tcPr>
          <w:p w:rsidR="00C94AB7" w:rsidRPr="004538DF" w:rsidRDefault="00C94AB7" w:rsidP="00C94AB7">
            <w:pPr>
              <w:pStyle w:val="NormalWeb"/>
              <w:tabs>
                <w:tab w:val="left" w:pos="7993"/>
              </w:tabs>
              <w:spacing w:before="0" w:after="0"/>
              <w:ind w:right="-1"/>
            </w:pPr>
            <w:r w:rsidRPr="004538DF">
              <w:t>Projekta izpildes ietekme uz pārvaldes funkcijām un institucionālo struktūru.</w:t>
            </w:r>
          </w:p>
          <w:p w:rsidR="00C94AB7" w:rsidRPr="004538DF" w:rsidRDefault="00C94AB7" w:rsidP="00C94AB7">
            <w:pPr>
              <w:pStyle w:val="NormalWeb"/>
              <w:tabs>
                <w:tab w:val="left" w:pos="7993"/>
              </w:tabs>
              <w:spacing w:before="0" w:after="0"/>
              <w:ind w:right="-1"/>
            </w:pPr>
            <w:r w:rsidRPr="004538DF">
              <w:t>Jaunu institūciju izveide, esošu institūciju likvidācija vai reorganizācija, to ietekme uz institūcijas cilvēkresursiem</w:t>
            </w:r>
          </w:p>
        </w:tc>
        <w:tc>
          <w:tcPr>
            <w:tcW w:w="3813" w:type="dxa"/>
          </w:tcPr>
          <w:p w:rsidR="00C94AB7" w:rsidRPr="004538DF" w:rsidRDefault="00C94AB7" w:rsidP="00C94AB7">
            <w:pPr>
              <w:pStyle w:val="naiskr"/>
              <w:tabs>
                <w:tab w:val="left" w:pos="7993"/>
              </w:tabs>
              <w:spacing w:before="0" w:after="0"/>
              <w:ind w:right="-1"/>
              <w:jc w:val="both"/>
              <w:rPr>
                <w:iCs/>
              </w:rPr>
            </w:pPr>
            <w:r w:rsidRPr="004538DF">
              <w:t>Projekts šo jomu neskar.</w:t>
            </w:r>
          </w:p>
        </w:tc>
      </w:tr>
      <w:tr w:rsidR="00C94AB7" w:rsidRPr="009656DE" w:rsidTr="00A66D48">
        <w:tblPrEx>
          <w:tblCellMar>
            <w:top w:w="30" w:type="dxa"/>
            <w:bottom w:w="30" w:type="dxa"/>
          </w:tblCellMar>
          <w:tblLook w:val="04A0" w:firstRow="1" w:lastRow="0" w:firstColumn="1" w:lastColumn="0" w:noHBand="0" w:noVBand="1"/>
        </w:tblPrEx>
        <w:trPr>
          <w:jc w:val="center"/>
        </w:trPr>
        <w:tc>
          <w:tcPr>
            <w:tcW w:w="564" w:type="dxa"/>
            <w:hideMark/>
          </w:tcPr>
          <w:p w:rsidR="00C94AB7" w:rsidRPr="009656DE" w:rsidRDefault="00C94AB7" w:rsidP="00C94AB7">
            <w:pPr>
              <w:pStyle w:val="NormalWeb"/>
              <w:tabs>
                <w:tab w:val="left" w:pos="7993"/>
              </w:tabs>
              <w:spacing w:before="0" w:after="0"/>
              <w:ind w:right="-1"/>
              <w:jc w:val="center"/>
            </w:pPr>
            <w:r w:rsidRPr="009656DE">
              <w:t>3.</w:t>
            </w:r>
          </w:p>
        </w:tc>
        <w:tc>
          <w:tcPr>
            <w:tcW w:w="5526" w:type="dxa"/>
            <w:hideMark/>
          </w:tcPr>
          <w:p w:rsidR="00C94AB7" w:rsidRPr="009656DE" w:rsidRDefault="00C94AB7" w:rsidP="00C94AB7">
            <w:pPr>
              <w:pStyle w:val="NormalWeb"/>
              <w:tabs>
                <w:tab w:val="left" w:pos="7993"/>
              </w:tabs>
              <w:spacing w:before="0" w:after="60"/>
              <w:ind w:right="-1"/>
            </w:pPr>
            <w:r w:rsidRPr="009656DE">
              <w:t>Cita informācija</w:t>
            </w:r>
          </w:p>
        </w:tc>
        <w:tc>
          <w:tcPr>
            <w:tcW w:w="3813" w:type="dxa"/>
          </w:tcPr>
          <w:p w:rsidR="00C94AB7" w:rsidRPr="009656DE" w:rsidRDefault="00C94AB7" w:rsidP="00C94AB7">
            <w:pPr>
              <w:pStyle w:val="naiskr"/>
              <w:tabs>
                <w:tab w:val="left" w:pos="7993"/>
              </w:tabs>
              <w:spacing w:before="0" w:after="0"/>
              <w:ind w:right="-1"/>
              <w:jc w:val="both"/>
              <w:rPr>
                <w:iCs/>
              </w:rPr>
            </w:pPr>
            <w:r w:rsidRPr="009656DE">
              <w:rPr>
                <w:iCs/>
              </w:rPr>
              <w:t>Nav.</w:t>
            </w:r>
          </w:p>
        </w:tc>
      </w:tr>
    </w:tbl>
    <w:p w:rsidR="00C94AB7" w:rsidRPr="00FE0571" w:rsidRDefault="00810DD2" w:rsidP="00C94AB7">
      <w:pPr>
        <w:tabs>
          <w:tab w:val="left" w:pos="7993"/>
        </w:tabs>
        <w:spacing w:before="75" w:after="75" w:line="240" w:lineRule="auto"/>
        <w:ind w:right="-1"/>
        <w:rPr>
          <w:rFonts w:ascii="Times New Roman" w:eastAsia="Times New Roman" w:hAnsi="Times New Roman"/>
          <w:iCs/>
          <w:sz w:val="24"/>
          <w:szCs w:val="24"/>
        </w:rPr>
      </w:pPr>
      <w:r>
        <w:rPr>
          <w:rFonts w:ascii="Times New Roman" w:eastAsia="Times New Roman" w:hAnsi="Times New Roman"/>
          <w:iCs/>
          <w:sz w:val="24"/>
          <w:szCs w:val="24"/>
        </w:rPr>
        <w:t>Anotācijas II</w:t>
      </w:r>
      <w:r w:rsidR="007E718A">
        <w:rPr>
          <w:rFonts w:ascii="Times New Roman" w:eastAsia="Times New Roman" w:hAnsi="Times New Roman"/>
          <w:iCs/>
          <w:sz w:val="24"/>
          <w:szCs w:val="24"/>
        </w:rPr>
        <w:t>, V</w:t>
      </w:r>
      <w:r w:rsidR="00C94AB7" w:rsidRPr="00FE0571">
        <w:rPr>
          <w:rFonts w:ascii="Times New Roman" w:eastAsia="Times New Roman" w:hAnsi="Times New Roman"/>
          <w:iCs/>
          <w:sz w:val="24"/>
          <w:szCs w:val="24"/>
        </w:rPr>
        <w:t xml:space="preserve"> un VI sadaļa – projekts šīs jomas neskar. </w:t>
      </w:r>
    </w:p>
    <w:p w:rsidR="0000292B" w:rsidRDefault="0000292B" w:rsidP="00027E37">
      <w:pPr>
        <w:pStyle w:val="PlainText"/>
        <w:tabs>
          <w:tab w:val="left" w:pos="7200"/>
          <w:tab w:val="right" w:pos="9072"/>
        </w:tabs>
        <w:jc w:val="both"/>
        <w:rPr>
          <w:rFonts w:ascii="Times New Roman" w:hAnsi="Times New Roman"/>
          <w:sz w:val="24"/>
          <w:szCs w:val="24"/>
        </w:rPr>
      </w:pPr>
    </w:p>
    <w:p w:rsidR="0000292B" w:rsidRPr="007F24DB" w:rsidRDefault="00027E37" w:rsidP="007F24DB">
      <w:pPr>
        <w:pStyle w:val="PlainText"/>
        <w:tabs>
          <w:tab w:val="left" w:pos="7200"/>
          <w:tab w:val="right" w:pos="9072"/>
        </w:tabs>
        <w:jc w:val="both"/>
        <w:rPr>
          <w:rFonts w:ascii="Times New Roman" w:hAnsi="Times New Roman"/>
          <w:sz w:val="24"/>
          <w:szCs w:val="24"/>
        </w:rPr>
      </w:pPr>
      <w:r w:rsidRPr="00861823">
        <w:rPr>
          <w:rFonts w:ascii="Times New Roman" w:hAnsi="Times New Roman"/>
          <w:sz w:val="24"/>
          <w:szCs w:val="24"/>
        </w:rPr>
        <w:t>Finanšu ministrs</w:t>
      </w:r>
      <w:r w:rsidRPr="00861823">
        <w:rPr>
          <w:rFonts w:ascii="Times New Roman" w:hAnsi="Times New Roman"/>
          <w:sz w:val="24"/>
          <w:szCs w:val="24"/>
        </w:rPr>
        <w:tab/>
        <w:t xml:space="preserve">    A.Vilks</w:t>
      </w:r>
    </w:p>
    <w:p w:rsidR="0000292B" w:rsidRDefault="0000292B" w:rsidP="00027E37">
      <w:pPr>
        <w:pStyle w:val="Header"/>
        <w:tabs>
          <w:tab w:val="clear" w:pos="4153"/>
          <w:tab w:val="clear" w:pos="8306"/>
          <w:tab w:val="left" w:pos="7993"/>
        </w:tabs>
        <w:ind w:right="-1"/>
        <w:rPr>
          <w:rFonts w:ascii="Times New Roman" w:hAnsi="Times New Roman"/>
          <w:sz w:val="16"/>
          <w:szCs w:val="16"/>
        </w:rPr>
      </w:pPr>
    </w:p>
    <w:p w:rsidR="00027E37" w:rsidRPr="00750BE8" w:rsidRDefault="009A648E" w:rsidP="00027E37">
      <w:pPr>
        <w:pStyle w:val="Header"/>
        <w:tabs>
          <w:tab w:val="clear" w:pos="4153"/>
          <w:tab w:val="clear" w:pos="8306"/>
          <w:tab w:val="left" w:pos="7993"/>
        </w:tabs>
        <w:ind w:right="-1"/>
        <w:rPr>
          <w:rFonts w:ascii="Times New Roman" w:hAnsi="Times New Roman"/>
          <w:sz w:val="16"/>
          <w:szCs w:val="16"/>
        </w:rPr>
      </w:pPr>
      <w:r>
        <w:rPr>
          <w:rFonts w:ascii="Times New Roman" w:hAnsi="Times New Roman"/>
          <w:sz w:val="16"/>
          <w:szCs w:val="16"/>
        </w:rPr>
        <w:t>09.10</w:t>
      </w:r>
      <w:r w:rsidR="00027E37" w:rsidRPr="00750BE8">
        <w:rPr>
          <w:rFonts w:ascii="Times New Roman" w:hAnsi="Times New Roman"/>
          <w:sz w:val="16"/>
          <w:szCs w:val="16"/>
        </w:rPr>
        <w:t xml:space="preserve">.2014. </w:t>
      </w:r>
      <w:r w:rsidR="001E288B">
        <w:rPr>
          <w:rFonts w:ascii="Times New Roman" w:hAnsi="Times New Roman"/>
          <w:sz w:val="16"/>
          <w:szCs w:val="16"/>
        </w:rPr>
        <w:t>9:03</w:t>
      </w:r>
    </w:p>
    <w:p w:rsidR="00027E37" w:rsidRPr="00FA3B47" w:rsidRDefault="00FA3B47" w:rsidP="00027E37">
      <w:pPr>
        <w:pStyle w:val="PlainText"/>
        <w:tabs>
          <w:tab w:val="left" w:pos="7200"/>
          <w:tab w:val="left" w:pos="7993"/>
          <w:tab w:val="right" w:pos="9072"/>
        </w:tabs>
        <w:ind w:right="-1"/>
        <w:jc w:val="both"/>
        <w:rPr>
          <w:rFonts w:ascii="Times New Roman" w:hAnsi="Times New Roman"/>
          <w:sz w:val="16"/>
          <w:szCs w:val="16"/>
        </w:rPr>
      </w:pPr>
      <w:bookmarkStart w:id="11" w:name="OLE_LINK5"/>
      <w:r w:rsidRPr="00FA3B47">
        <w:rPr>
          <w:rFonts w:ascii="Times New Roman" w:hAnsi="Times New Roman"/>
          <w:sz w:val="16"/>
          <w:szCs w:val="16"/>
        </w:rPr>
        <w:t>1</w:t>
      </w:r>
      <w:r w:rsidR="001E288B">
        <w:rPr>
          <w:rFonts w:ascii="Times New Roman" w:hAnsi="Times New Roman"/>
          <w:sz w:val="16"/>
          <w:szCs w:val="16"/>
        </w:rPr>
        <w:t>4</w:t>
      </w:r>
      <w:r w:rsidR="00810DD2">
        <w:rPr>
          <w:rFonts w:ascii="Times New Roman" w:hAnsi="Times New Roman"/>
          <w:sz w:val="16"/>
          <w:szCs w:val="16"/>
        </w:rPr>
        <w:t>0</w:t>
      </w:r>
      <w:r w:rsidR="00EF7504">
        <w:rPr>
          <w:rFonts w:ascii="Times New Roman" w:hAnsi="Times New Roman"/>
          <w:sz w:val="16"/>
          <w:szCs w:val="16"/>
        </w:rPr>
        <w:t>8</w:t>
      </w:r>
      <w:bookmarkStart w:id="12" w:name="_GoBack"/>
      <w:bookmarkEnd w:id="12"/>
    </w:p>
    <w:p w:rsidR="00027E37" w:rsidRPr="00750BE8" w:rsidRDefault="00027E37" w:rsidP="00027E37">
      <w:pPr>
        <w:pStyle w:val="Header"/>
        <w:tabs>
          <w:tab w:val="clear" w:pos="4153"/>
          <w:tab w:val="clear" w:pos="8306"/>
          <w:tab w:val="left" w:pos="7993"/>
        </w:tabs>
        <w:ind w:right="-1"/>
        <w:rPr>
          <w:rFonts w:ascii="Times New Roman" w:hAnsi="Times New Roman"/>
          <w:sz w:val="16"/>
          <w:szCs w:val="16"/>
        </w:rPr>
      </w:pPr>
      <w:r w:rsidRPr="00750BE8">
        <w:rPr>
          <w:rFonts w:ascii="Times New Roman" w:hAnsi="Times New Roman"/>
          <w:sz w:val="16"/>
          <w:szCs w:val="16"/>
        </w:rPr>
        <w:t>A.Gulbe</w:t>
      </w:r>
    </w:p>
    <w:p w:rsidR="00927335" w:rsidRPr="00750BE8" w:rsidRDefault="00027E37" w:rsidP="00750BE8">
      <w:pPr>
        <w:pStyle w:val="Header"/>
        <w:tabs>
          <w:tab w:val="clear" w:pos="4153"/>
          <w:tab w:val="clear" w:pos="8306"/>
          <w:tab w:val="left" w:pos="7993"/>
        </w:tabs>
        <w:ind w:right="-1"/>
        <w:rPr>
          <w:rFonts w:ascii="Times New Roman" w:hAnsi="Times New Roman"/>
          <w:sz w:val="16"/>
          <w:szCs w:val="16"/>
        </w:rPr>
      </w:pPr>
      <w:r w:rsidRPr="00750BE8">
        <w:rPr>
          <w:rFonts w:ascii="Times New Roman" w:hAnsi="Times New Roman"/>
          <w:sz w:val="16"/>
          <w:szCs w:val="16"/>
        </w:rPr>
        <w:t xml:space="preserve">67024698, </w:t>
      </w:r>
      <w:hyperlink r:id="rId9" w:history="1">
        <w:r w:rsidR="00750BE8" w:rsidRPr="001538B1">
          <w:rPr>
            <w:rStyle w:val="Hyperlink"/>
            <w:rFonts w:ascii="Times New Roman" w:hAnsi="Times New Roman"/>
            <w:sz w:val="16"/>
            <w:szCs w:val="16"/>
          </w:rPr>
          <w:t>aiga.gulbe@vni.lv</w:t>
        </w:r>
      </w:hyperlink>
      <w:bookmarkEnd w:id="11"/>
    </w:p>
    <w:sectPr w:rsidR="00927335" w:rsidRPr="00750BE8" w:rsidSect="00750BE8">
      <w:headerReference w:type="default" r:id="rId10"/>
      <w:footerReference w:type="default" r:id="rId11"/>
      <w:headerReference w:type="first" r:id="rId12"/>
      <w:footerReference w:type="first" r:id="rId13"/>
      <w:pgSz w:w="11906" w:h="16838" w:code="9"/>
      <w:pgMar w:top="1440" w:right="1080" w:bottom="1134" w:left="1080" w:header="817"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CB" w:rsidRDefault="00906ECB" w:rsidP="00CC4CA4">
      <w:pPr>
        <w:spacing w:after="0" w:line="240" w:lineRule="auto"/>
      </w:pPr>
      <w:r>
        <w:separator/>
      </w:r>
    </w:p>
  </w:endnote>
  <w:endnote w:type="continuationSeparator" w:id="0">
    <w:p w:rsidR="00906ECB" w:rsidRDefault="00906ECB"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39" w:rsidRPr="005F44C1" w:rsidRDefault="002C089F" w:rsidP="00171E89">
    <w:pPr>
      <w:pStyle w:val="naisvisr"/>
      <w:spacing w:before="0" w:after="0" w:line="20" w:lineRule="atLeast"/>
      <w:jc w:val="both"/>
      <w:rPr>
        <w:sz w:val="16"/>
        <w:szCs w:val="16"/>
      </w:rPr>
    </w:pPr>
    <w:r w:rsidRPr="005F44C1">
      <w:rPr>
        <w:b w:val="0"/>
        <w:noProof/>
        <w:sz w:val="16"/>
        <w:szCs w:val="16"/>
      </w:rPr>
      <w:fldChar w:fldCharType="begin"/>
    </w:r>
    <w:r w:rsidR="00183239" w:rsidRPr="005F44C1">
      <w:rPr>
        <w:b w:val="0"/>
        <w:noProof/>
        <w:sz w:val="16"/>
        <w:szCs w:val="16"/>
      </w:rPr>
      <w:instrText xml:space="preserve"> FILENAME </w:instrText>
    </w:r>
    <w:r w:rsidRPr="005F44C1">
      <w:rPr>
        <w:b w:val="0"/>
        <w:noProof/>
        <w:sz w:val="16"/>
        <w:szCs w:val="16"/>
      </w:rPr>
      <w:fldChar w:fldCharType="separate"/>
    </w:r>
    <w:r w:rsidR="009A648E">
      <w:rPr>
        <w:b w:val="0"/>
        <w:noProof/>
        <w:sz w:val="16"/>
        <w:szCs w:val="16"/>
      </w:rPr>
      <w:t>FMAnot_100914_GrozMKRik465</w:t>
    </w:r>
    <w:r w:rsidRPr="005F44C1">
      <w:rPr>
        <w:b w:val="0"/>
        <w:noProof/>
        <w:sz w:val="16"/>
        <w:szCs w:val="16"/>
      </w:rPr>
      <w:fldChar w:fldCharType="end"/>
    </w:r>
    <w:r w:rsidR="00183239" w:rsidRPr="005F44C1">
      <w:rPr>
        <w:b w:val="0"/>
        <w:noProof/>
        <w:sz w:val="16"/>
        <w:szCs w:val="16"/>
      </w:rPr>
      <w:t xml:space="preserve">;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w:t>
    </w:r>
    <w:smartTag w:uri="schemas-tilde-lv/tildestengine" w:element="veidnes">
      <w:smartTagPr>
        <w:attr w:name="id" w:val="-1"/>
        <w:attr w:name="baseform" w:val="ziņojums"/>
        <w:attr w:name="text" w:val="ziņojums"/>
      </w:smartTagPr>
      <w:r w:rsidR="00183239" w:rsidRPr="005F44C1">
        <w:rPr>
          <w:b w:val="0"/>
          <w:noProof/>
          <w:sz w:val="16"/>
          <w:szCs w:val="16"/>
        </w:rPr>
        <w:t>ziņojums</w:t>
      </w:r>
    </w:smartTag>
    <w:r w:rsidR="00183239" w:rsidRPr="005F44C1">
      <w:rPr>
        <w:b w:val="0"/>
        <w:noProof/>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39" w:rsidRPr="005F44C1" w:rsidRDefault="002C089F" w:rsidP="00171E89">
    <w:pPr>
      <w:pStyle w:val="naisvisr"/>
      <w:spacing w:before="0" w:after="0" w:line="20" w:lineRule="atLeast"/>
      <w:jc w:val="both"/>
      <w:rPr>
        <w:b w:val="0"/>
        <w:noProof/>
        <w:sz w:val="16"/>
        <w:szCs w:val="16"/>
      </w:rPr>
    </w:pPr>
    <w:r w:rsidRPr="005F44C1">
      <w:rPr>
        <w:b w:val="0"/>
        <w:noProof/>
        <w:sz w:val="16"/>
        <w:szCs w:val="16"/>
      </w:rPr>
      <w:fldChar w:fldCharType="begin"/>
    </w:r>
    <w:r w:rsidR="00183239" w:rsidRPr="005F44C1">
      <w:rPr>
        <w:b w:val="0"/>
        <w:noProof/>
        <w:sz w:val="16"/>
        <w:szCs w:val="16"/>
      </w:rPr>
      <w:instrText xml:space="preserve"> FILENAME </w:instrText>
    </w:r>
    <w:r w:rsidRPr="005F44C1">
      <w:rPr>
        <w:b w:val="0"/>
        <w:noProof/>
        <w:sz w:val="16"/>
        <w:szCs w:val="16"/>
      </w:rPr>
      <w:fldChar w:fldCharType="separate"/>
    </w:r>
    <w:r w:rsidR="009A648E">
      <w:rPr>
        <w:b w:val="0"/>
        <w:noProof/>
        <w:sz w:val="16"/>
        <w:szCs w:val="16"/>
      </w:rPr>
      <w:t>FMAnot_100914_GrozMKRik465</w:t>
    </w:r>
    <w:r w:rsidRPr="005F44C1">
      <w:rPr>
        <w:b w:val="0"/>
        <w:noProof/>
        <w:sz w:val="16"/>
        <w:szCs w:val="16"/>
      </w:rPr>
      <w:fldChar w:fldCharType="end"/>
    </w:r>
    <w:r w:rsidR="00183239" w:rsidRPr="005F44C1">
      <w:rPr>
        <w:b w:val="0"/>
        <w:noProof/>
        <w:sz w:val="16"/>
        <w:szCs w:val="16"/>
      </w:rPr>
      <w:t xml:space="preserve">;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w:t>
    </w:r>
    <w:smartTag w:uri="schemas-tilde-lv/tildestengine" w:element="veidnes">
      <w:smartTagPr>
        <w:attr w:name="id" w:val="-1"/>
        <w:attr w:name="baseform" w:val="ziņojums"/>
        <w:attr w:name="text" w:val="ziņojums"/>
      </w:smartTagPr>
      <w:r w:rsidR="00183239" w:rsidRPr="005F44C1">
        <w:rPr>
          <w:b w:val="0"/>
          <w:noProof/>
          <w:sz w:val="16"/>
          <w:szCs w:val="16"/>
        </w:rPr>
        <w:t>ziņojums</w:t>
      </w:r>
    </w:smartTag>
    <w:r w:rsidR="00183239" w:rsidRPr="005F44C1">
      <w:rPr>
        <w:b w:val="0"/>
        <w:noProof/>
        <w:sz w:val="16"/>
        <w:szCs w:val="16"/>
      </w:rPr>
      <w:t xml:space="preserve"> (anotācija)</w:t>
    </w:r>
  </w:p>
  <w:p w:rsidR="00183239" w:rsidRPr="005F44C1" w:rsidRDefault="00183239" w:rsidP="00171E89">
    <w:pPr>
      <w:pStyle w:val="naisvisr"/>
      <w:spacing w:before="0" w:after="0" w:line="20" w:lineRule="atLeast"/>
      <w:jc w:val="both"/>
      <w:rPr>
        <w:b w:val="0"/>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CB" w:rsidRDefault="00906ECB" w:rsidP="00CC4CA4">
      <w:pPr>
        <w:spacing w:after="0" w:line="240" w:lineRule="auto"/>
      </w:pPr>
      <w:r>
        <w:separator/>
      </w:r>
    </w:p>
  </w:footnote>
  <w:footnote w:type="continuationSeparator" w:id="0">
    <w:p w:rsidR="00906ECB" w:rsidRDefault="00906ECB"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39" w:rsidRPr="005C4541" w:rsidRDefault="002C089F"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183239"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9A648E">
      <w:rPr>
        <w:rFonts w:ascii="Times New Roman" w:hAnsi="Times New Roman"/>
        <w:noProof/>
        <w:sz w:val="22"/>
      </w:rPr>
      <w:t>4</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39" w:rsidRDefault="00183239" w:rsidP="003873C4">
    <w:pPr>
      <w:pStyle w:val="Header"/>
      <w:tabs>
        <w:tab w:val="clear" w:pos="4153"/>
        <w:tab w:val="clear" w:pos="8306"/>
      </w:tabs>
    </w:pPr>
  </w:p>
  <w:p w:rsidR="00183239" w:rsidRDefault="00183239" w:rsidP="003873C4">
    <w:pPr>
      <w:pStyle w:val="Header"/>
      <w:tabs>
        <w:tab w:val="clear" w:pos="4153"/>
        <w:tab w:val="clear" w:pos="8306"/>
      </w:tabs>
    </w:pPr>
  </w:p>
  <w:p w:rsidR="00183239" w:rsidRDefault="00183239" w:rsidP="003873C4">
    <w:pPr>
      <w:pStyle w:val="Header"/>
      <w:tabs>
        <w:tab w:val="clear" w:pos="4153"/>
        <w:tab w:val="clear" w:pos="8306"/>
      </w:tabs>
    </w:pPr>
  </w:p>
  <w:p w:rsidR="00183239" w:rsidRPr="009D4758" w:rsidRDefault="00183239"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1">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4">
    <w:nsid w:val="1FBF29DC"/>
    <w:multiLevelType w:val="hybridMultilevel"/>
    <w:tmpl w:val="DB9EC98A"/>
    <w:lvl w:ilvl="0" w:tplc="560A1E1E">
      <w:start w:val="1"/>
      <w:numFmt w:val="bullet"/>
      <w:lvlText w:val="–"/>
      <w:lvlJc w:val="left"/>
      <w:pPr>
        <w:ind w:left="488" w:hanging="360"/>
      </w:pPr>
      <w:rPr>
        <w:rFonts w:ascii="Arial" w:eastAsia="Calibri" w:hAnsi="Arial" w:cs="Arial" w:hint="default"/>
        <w:sz w:val="20"/>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5">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7">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8">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3189151E"/>
    <w:multiLevelType w:val="hybridMultilevel"/>
    <w:tmpl w:val="A4C0C9D0"/>
    <w:lvl w:ilvl="0" w:tplc="04260011">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2">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3">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4F617641"/>
    <w:multiLevelType w:val="multilevel"/>
    <w:tmpl w:val="D486B4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6">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7">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18">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19">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20">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2"/>
  </w:num>
  <w:num w:numId="5">
    <w:abstractNumId w:val="6"/>
  </w:num>
  <w:num w:numId="6">
    <w:abstractNumId w:val="11"/>
  </w:num>
  <w:num w:numId="7">
    <w:abstractNumId w:val="3"/>
  </w:num>
  <w:num w:numId="8">
    <w:abstractNumId w:val="19"/>
  </w:num>
  <w:num w:numId="9">
    <w:abstractNumId w:val="16"/>
  </w:num>
  <w:num w:numId="10">
    <w:abstractNumId w:val="13"/>
  </w:num>
  <w:num w:numId="11">
    <w:abstractNumId w:val="8"/>
  </w:num>
  <w:num w:numId="12">
    <w:abstractNumId w:val="21"/>
  </w:num>
  <w:num w:numId="13">
    <w:abstractNumId w:val="0"/>
  </w:num>
  <w:num w:numId="14">
    <w:abstractNumId w:val="5"/>
  </w:num>
  <w:num w:numId="15">
    <w:abstractNumId w:val="18"/>
  </w:num>
  <w:num w:numId="16">
    <w:abstractNumId w:val="20"/>
  </w:num>
  <w:num w:numId="17">
    <w:abstractNumId w:val="1"/>
  </w:num>
  <w:num w:numId="18">
    <w:abstractNumId w:val="17"/>
  </w:num>
  <w:num w:numId="19">
    <w:abstractNumId w:val="14"/>
  </w:num>
  <w:num w:numId="20">
    <w:abstractNumId w:val="4"/>
  </w:num>
  <w:num w:numId="21">
    <w:abstractNumId w:val="9"/>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292B"/>
    <w:rsid w:val="00002C9A"/>
    <w:rsid w:val="00003B11"/>
    <w:rsid w:val="000077E5"/>
    <w:rsid w:val="00007938"/>
    <w:rsid w:val="0000793C"/>
    <w:rsid w:val="000107D1"/>
    <w:rsid w:val="000111C8"/>
    <w:rsid w:val="000117C7"/>
    <w:rsid w:val="00011A5E"/>
    <w:rsid w:val="00011E50"/>
    <w:rsid w:val="000172C8"/>
    <w:rsid w:val="0002066C"/>
    <w:rsid w:val="0002179E"/>
    <w:rsid w:val="00022ADA"/>
    <w:rsid w:val="00023908"/>
    <w:rsid w:val="00023B06"/>
    <w:rsid w:val="00023B66"/>
    <w:rsid w:val="00024E67"/>
    <w:rsid w:val="000269CA"/>
    <w:rsid w:val="00027E37"/>
    <w:rsid w:val="00030306"/>
    <w:rsid w:val="00030765"/>
    <w:rsid w:val="00031EB7"/>
    <w:rsid w:val="00033065"/>
    <w:rsid w:val="000340C1"/>
    <w:rsid w:val="000341B3"/>
    <w:rsid w:val="0003493A"/>
    <w:rsid w:val="000365F3"/>
    <w:rsid w:val="00036AE4"/>
    <w:rsid w:val="00037B7B"/>
    <w:rsid w:val="00037E38"/>
    <w:rsid w:val="00040B75"/>
    <w:rsid w:val="000430CC"/>
    <w:rsid w:val="000467C0"/>
    <w:rsid w:val="0004733A"/>
    <w:rsid w:val="00050574"/>
    <w:rsid w:val="00053157"/>
    <w:rsid w:val="00061F78"/>
    <w:rsid w:val="00062709"/>
    <w:rsid w:val="0006329E"/>
    <w:rsid w:val="00064A81"/>
    <w:rsid w:val="00065B9F"/>
    <w:rsid w:val="000669C9"/>
    <w:rsid w:val="00067147"/>
    <w:rsid w:val="000705B2"/>
    <w:rsid w:val="00070646"/>
    <w:rsid w:val="00070F24"/>
    <w:rsid w:val="00072FD8"/>
    <w:rsid w:val="00073078"/>
    <w:rsid w:val="00073FCD"/>
    <w:rsid w:val="00074B0E"/>
    <w:rsid w:val="00077E78"/>
    <w:rsid w:val="00082103"/>
    <w:rsid w:val="00082376"/>
    <w:rsid w:val="00083AD3"/>
    <w:rsid w:val="0008412E"/>
    <w:rsid w:val="000841C6"/>
    <w:rsid w:val="00085F05"/>
    <w:rsid w:val="00086AE4"/>
    <w:rsid w:val="00086DEB"/>
    <w:rsid w:val="00087B86"/>
    <w:rsid w:val="00090500"/>
    <w:rsid w:val="00091795"/>
    <w:rsid w:val="000930E7"/>
    <w:rsid w:val="000958BA"/>
    <w:rsid w:val="000A28CB"/>
    <w:rsid w:val="000A2CA3"/>
    <w:rsid w:val="000A5311"/>
    <w:rsid w:val="000B03C5"/>
    <w:rsid w:val="000B28F3"/>
    <w:rsid w:val="000B3290"/>
    <w:rsid w:val="000B4168"/>
    <w:rsid w:val="000B4864"/>
    <w:rsid w:val="000B4A80"/>
    <w:rsid w:val="000B678F"/>
    <w:rsid w:val="000B6F04"/>
    <w:rsid w:val="000B77B4"/>
    <w:rsid w:val="000C0569"/>
    <w:rsid w:val="000C247B"/>
    <w:rsid w:val="000C2961"/>
    <w:rsid w:val="000C30BE"/>
    <w:rsid w:val="000C735A"/>
    <w:rsid w:val="000D05D8"/>
    <w:rsid w:val="000D2975"/>
    <w:rsid w:val="000D3176"/>
    <w:rsid w:val="000D45EF"/>
    <w:rsid w:val="000D5863"/>
    <w:rsid w:val="000D59A2"/>
    <w:rsid w:val="000D59D4"/>
    <w:rsid w:val="000D5F9C"/>
    <w:rsid w:val="000D6591"/>
    <w:rsid w:val="000D6795"/>
    <w:rsid w:val="000D6EEF"/>
    <w:rsid w:val="000D73B9"/>
    <w:rsid w:val="000E032C"/>
    <w:rsid w:val="000E0748"/>
    <w:rsid w:val="000E1089"/>
    <w:rsid w:val="000E2CA6"/>
    <w:rsid w:val="000E53F5"/>
    <w:rsid w:val="000E6084"/>
    <w:rsid w:val="000E7113"/>
    <w:rsid w:val="000E7FCC"/>
    <w:rsid w:val="000F0CBC"/>
    <w:rsid w:val="000F348A"/>
    <w:rsid w:val="000F437A"/>
    <w:rsid w:val="000F46F8"/>
    <w:rsid w:val="000F4B31"/>
    <w:rsid w:val="000F5A87"/>
    <w:rsid w:val="000F7849"/>
    <w:rsid w:val="001002FE"/>
    <w:rsid w:val="00101697"/>
    <w:rsid w:val="0010468C"/>
    <w:rsid w:val="0011220C"/>
    <w:rsid w:val="00113FEC"/>
    <w:rsid w:val="00116874"/>
    <w:rsid w:val="00120D91"/>
    <w:rsid w:val="001227DF"/>
    <w:rsid w:val="00123E7A"/>
    <w:rsid w:val="00124B12"/>
    <w:rsid w:val="00125F40"/>
    <w:rsid w:val="0012662E"/>
    <w:rsid w:val="00126BA0"/>
    <w:rsid w:val="00126EA6"/>
    <w:rsid w:val="00130482"/>
    <w:rsid w:val="00135EFB"/>
    <w:rsid w:val="0013647D"/>
    <w:rsid w:val="0013795D"/>
    <w:rsid w:val="00137CF1"/>
    <w:rsid w:val="00140915"/>
    <w:rsid w:val="001418EC"/>
    <w:rsid w:val="001446E9"/>
    <w:rsid w:val="00146CA1"/>
    <w:rsid w:val="0014710B"/>
    <w:rsid w:val="00150F2D"/>
    <w:rsid w:val="001513D8"/>
    <w:rsid w:val="00152084"/>
    <w:rsid w:val="0015391E"/>
    <w:rsid w:val="00154D2A"/>
    <w:rsid w:val="001556E6"/>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15DD"/>
    <w:rsid w:val="00171E89"/>
    <w:rsid w:val="001744C8"/>
    <w:rsid w:val="00174773"/>
    <w:rsid w:val="001747CC"/>
    <w:rsid w:val="00174853"/>
    <w:rsid w:val="001764E7"/>
    <w:rsid w:val="00176C07"/>
    <w:rsid w:val="00180578"/>
    <w:rsid w:val="001828AC"/>
    <w:rsid w:val="00183239"/>
    <w:rsid w:val="00183977"/>
    <w:rsid w:val="00185150"/>
    <w:rsid w:val="00186D0E"/>
    <w:rsid w:val="0018716B"/>
    <w:rsid w:val="0019033D"/>
    <w:rsid w:val="0019197D"/>
    <w:rsid w:val="001929D8"/>
    <w:rsid w:val="00195D02"/>
    <w:rsid w:val="001966A0"/>
    <w:rsid w:val="00197D72"/>
    <w:rsid w:val="001A1C7F"/>
    <w:rsid w:val="001A3515"/>
    <w:rsid w:val="001A4176"/>
    <w:rsid w:val="001A4FD7"/>
    <w:rsid w:val="001A6720"/>
    <w:rsid w:val="001B335C"/>
    <w:rsid w:val="001C33E4"/>
    <w:rsid w:val="001C38C7"/>
    <w:rsid w:val="001C39FE"/>
    <w:rsid w:val="001C4C3A"/>
    <w:rsid w:val="001C4D38"/>
    <w:rsid w:val="001C6653"/>
    <w:rsid w:val="001C6C0E"/>
    <w:rsid w:val="001C6CD6"/>
    <w:rsid w:val="001C7D64"/>
    <w:rsid w:val="001D1086"/>
    <w:rsid w:val="001D2E0C"/>
    <w:rsid w:val="001D6235"/>
    <w:rsid w:val="001D6473"/>
    <w:rsid w:val="001D7DA4"/>
    <w:rsid w:val="001E1AC9"/>
    <w:rsid w:val="001E288B"/>
    <w:rsid w:val="001E3677"/>
    <w:rsid w:val="001E3816"/>
    <w:rsid w:val="001E554E"/>
    <w:rsid w:val="001E60B9"/>
    <w:rsid w:val="001F1C45"/>
    <w:rsid w:val="001F4354"/>
    <w:rsid w:val="001F5A29"/>
    <w:rsid w:val="001F6420"/>
    <w:rsid w:val="001F7369"/>
    <w:rsid w:val="00202A44"/>
    <w:rsid w:val="00202CDD"/>
    <w:rsid w:val="00203D0A"/>
    <w:rsid w:val="0020493D"/>
    <w:rsid w:val="00204D73"/>
    <w:rsid w:val="0020525E"/>
    <w:rsid w:val="0020708D"/>
    <w:rsid w:val="00207E6C"/>
    <w:rsid w:val="00213C5D"/>
    <w:rsid w:val="00215900"/>
    <w:rsid w:val="00215BD2"/>
    <w:rsid w:val="0021715E"/>
    <w:rsid w:val="00217507"/>
    <w:rsid w:val="002242B3"/>
    <w:rsid w:val="002265DB"/>
    <w:rsid w:val="00232461"/>
    <w:rsid w:val="00232E3F"/>
    <w:rsid w:val="002335A2"/>
    <w:rsid w:val="002353EC"/>
    <w:rsid w:val="00236BB7"/>
    <w:rsid w:val="0023751E"/>
    <w:rsid w:val="00237D6E"/>
    <w:rsid w:val="00240EA3"/>
    <w:rsid w:val="00240EF3"/>
    <w:rsid w:val="00244F01"/>
    <w:rsid w:val="002452E9"/>
    <w:rsid w:val="0024544B"/>
    <w:rsid w:val="00245664"/>
    <w:rsid w:val="0024613A"/>
    <w:rsid w:val="00251245"/>
    <w:rsid w:val="00251558"/>
    <w:rsid w:val="00251892"/>
    <w:rsid w:val="0025259D"/>
    <w:rsid w:val="00255913"/>
    <w:rsid w:val="00255F5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8004F"/>
    <w:rsid w:val="00280368"/>
    <w:rsid w:val="002808CE"/>
    <w:rsid w:val="00284F44"/>
    <w:rsid w:val="00286169"/>
    <w:rsid w:val="00286875"/>
    <w:rsid w:val="00287869"/>
    <w:rsid w:val="00287AEE"/>
    <w:rsid w:val="002929CC"/>
    <w:rsid w:val="00294240"/>
    <w:rsid w:val="002949C8"/>
    <w:rsid w:val="00296BA1"/>
    <w:rsid w:val="00297A4F"/>
    <w:rsid w:val="00297F4D"/>
    <w:rsid w:val="002A026B"/>
    <w:rsid w:val="002A2C16"/>
    <w:rsid w:val="002A57CC"/>
    <w:rsid w:val="002B25CC"/>
    <w:rsid w:val="002B73B1"/>
    <w:rsid w:val="002B73E3"/>
    <w:rsid w:val="002C089F"/>
    <w:rsid w:val="002C0D9C"/>
    <w:rsid w:val="002C1705"/>
    <w:rsid w:val="002C2A70"/>
    <w:rsid w:val="002C5837"/>
    <w:rsid w:val="002C5E96"/>
    <w:rsid w:val="002C7200"/>
    <w:rsid w:val="002D3FAD"/>
    <w:rsid w:val="002D5B2C"/>
    <w:rsid w:val="002E2516"/>
    <w:rsid w:val="002E4D46"/>
    <w:rsid w:val="002E53A3"/>
    <w:rsid w:val="002E558B"/>
    <w:rsid w:val="002E78D2"/>
    <w:rsid w:val="002F0721"/>
    <w:rsid w:val="002F1E10"/>
    <w:rsid w:val="002F372E"/>
    <w:rsid w:val="002F6C36"/>
    <w:rsid w:val="00303F3A"/>
    <w:rsid w:val="00306624"/>
    <w:rsid w:val="003100C6"/>
    <w:rsid w:val="003120F6"/>
    <w:rsid w:val="003125C2"/>
    <w:rsid w:val="00313016"/>
    <w:rsid w:val="00313048"/>
    <w:rsid w:val="0031551A"/>
    <w:rsid w:val="0031597C"/>
    <w:rsid w:val="00315B11"/>
    <w:rsid w:val="00317091"/>
    <w:rsid w:val="00321EE5"/>
    <w:rsid w:val="00323B34"/>
    <w:rsid w:val="003256E6"/>
    <w:rsid w:val="00330275"/>
    <w:rsid w:val="00331955"/>
    <w:rsid w:val="00331976"/>
    <w:rsid w:val="00332C59"/>
    <w:rsid w:val="003347B7"/>
    <w:rsid w:val="003363B2"/>
    <w:rsid w:val="0033751F"/>
    <w:rsid w:val="00340B81"/>
    <w:rsid w:val="0034297F"/>
    <w:rsid w:val="003429E1"/>
    <w:rsid w:val="00347A30"/>
    <w:rsid w:val="00353E8B"/>
    <w:rsid w:val="00360042"/>
    <w:rsid w:val="0036218A"/>
    <w:rsid w:val="00363CA9"/>
    <w:rsid w:val="003644D8"/>
    <w:rsid w:val="00364891"/>
    <w:rsid w:val="00366FAF"/>
    <w:rsid w:val="00370220"/>
    <w:rsid w:val="00370937"/>
    <w:rsid w:val="00370A2A"/>
    <w:rsid w:val="00371D42"/>
    <w:rsid w:val="003732D1"/>
    <w:rsid w:val="00373F08"/>
    <w:rsid w:val="00374FCA"/>
    <w:rsid w:val="0037637A"/>
    <w:rsid w:val="003769CA"/>
    <w:rsid w:val="003803B2"/>
    <w:rsid w:val="003841FB"/>
    <w:rsid w:val="003873C4"/>
    <w:rsid w:val="00387C51"/>
    <w:rsid w:val="00387FD0"/>
    <w:rsid w:val="00391F07"/>
    <w:rsid w:val="00392B37"/>
    <w:rsid w:val="00392C8E"/>
    <w:rsid w:val="00394EAF"/>
    <w:rsid w:val="00395B63"/>
    <w:rsid w:val="00397739"/>
    <w:rsid w:val="00397D8D"/>
    <w:rsid w:val="003A0920"/>
    <w:rsid w:val="003A1357"/>
    <w:rsid w:val="003A3284"/>
    <w:rsid w:val="003A45F3"/>
    <w:rsid w:val="003A51B8"/>
    <w:rsid w:val="003A5655"/>
    <w:rsid w:val="003A5CC1"/>
    <w:rsid w:val="003B0277"/>
    <w:rsid w:val="003B1348"/>
    <w:rsid w:val="003B32C0"/>
    <w:rsid w:val="003B3E6B"/>
    <w:rsid w:val="003B4DAB"/>
    <w:rsid w:val="003B58D7"/>
    <w:rsid w:val="003B5E7D"/>
    <w:rsid w:val="003B61C7"/>
    <w:rsid w:val="003C1513"/>
    <w:rsid w:val="003C7EAF"/>
    <w:rsid w:val="003D38CB"/>
    <w:rsid w:val="003D53C0"/>
    <w:rsid w:val="003D7508"/>
    <w:rsid w:val="003E1ED9"/>
    <w:rsid w:val="003E2006"/>
    <w:rsid w:val="003E219A"/>
    <w:rsid w:val="003E2F84"/>
    <w:rsid w:val="003E3673"/>
    <w:rsid w:val="003F20C7"/>
    <w:rsid w:val="003F283E"/>
    <w:rsid w:val="003F4055"/>
    <w:rsid w:val="003F4FB1"/>
    <w:rsid w:val="003F62BA"/>
    <w:rsid w:val="003F728A"/>
    <w:rsid w:val="00400877"/>
    <w:rsid w:val="00401E72"/>
    <w:rsid w:val="00403A1F"/>
    <w:rsid w:val="00403DF7"/>
    <w:rsid w:val="0040494A"/>
    <w:rsid w:val="00404E44"/>
    <w:rsid w:val="00404EA9"/>
    <w:rsid w:val="0040657E"/>
    <w:rsid w:val="00411B51"/>
    <w:rsid w:val="00411E60"/>
    <w:rsid w:val="00414A42"/>
    <w:rsid w:val="00416267"/>
    <w:rsid w:val="00416306"/>
    <w:rsid w:val="00421153"/>
    <w:rsid w:val="00422770"/>
    <w:rsid w:val="00422E2E"/>
    <w:rsid w:val="004234D3"/>
    <w:rsid w:val="00430F96"/>
    <w:rsid w:val="004311B0"/>
    <w:rsid w:val="00431FE1"/>
    <w:rsid w:val="00432A6C"/>
    <w:rsid w:val="004351DC"/>
    <w:rsid w:val="004376F8"/>
    <w:rsid w:val="00444BEE"/>
    <w:rsid w:val="0044576D"/>
    <w:rsid w:val="004461EB"/>
    <w:rsid w:val="00447B87"/>
    <w:rsid w:val="004532D3"/>
    <w:rsid w:val="00453F68"/>
    <w:rsid w:val="00454B64"/>
    <w:rsid w:val="004558D6"/>
    <w:rsid w:val="00456C1A"/>
    <w:rsid w:val="0045719A"/>
    <w:rsid w:val="0045742A"/>
    <w:rsid w:val="004574EC"/>
    <w:rsid w:val="00460045"/>
    <w:rsid w:val="00461622"/>
    <w:rsid w:val="00462253"/>
    <w:rsid w:val="00464692"/>
    <w:rsid w:val="00465C75"/>
    <w:rsid w:val="004663A2"/>
    <w:rsid w:val="0046646F"/>
    <w:rsid w:val="0046675F"/>
    <w:rsid w:val="0047102B"/>
    <w:rsid w:val="004712FD"/>
    <w:rsid w:val="00473EF4"/>
    <w:rsid w:val="00474F16"/>
    <w:rsid w:val="0047600A"/>
    <w:rsid w:val="00476166"/>
    <w:rsid w:val="00476E85"/>
    <w:rsid w:val="00477B41"/>
    <w:rsid w:val="00487C8C"/>
    <w:rsid w:val="004918F1"/>
    <w:rsid w:val="004920BB"/>
    <w:rsid w:val="00492530"/>
    <w:rsid w:val="0049649D"/>
    <w:rsid w:val="00496A7F"/>
    <w:rsid w:val="004972C0"/>
    <w:rsid w:val="004A0E04"/>
    <w:rsid w:val="004A1056"/>
    <w:rsid w:val="004A1E00"/>
    <w:rsid w:val="004A266D"/>
    <w:rsid w:val="004A348D"/>
    <w:rsid w:val="004A404E"/>
    <w:rsid w:val="004A5CDF"/>
    <w:rsid w:val="004B148C"/>
    <w:rsid w:val="004B2CB6"/>
    <w:rsid w:val="004B3872"/>
    <w:rsid w:val="004B40D4"/>
    <w:rsid w:val="004B42F5"/>
    <w:rsid w:val="004B4EE5"/>
    <w:rsid w:val="004B7D6D"/>
    <w:rsid w:val="004C0E53"/>
    <w:rsid w:val="004C3D9B"/>
    <w:rsid w:val="004C40DB"/>
    <w:rsid w:val="004C462A"/>
    <w:rsid w:val="004C5D0E"/>
    <w:rsid w:val="004C67F7"/>
    <w:rsid w:val="004C7A64"/>
    <w:rsid w:val="004C7FBC"/>
    <w:rsid w:val="004D0C91"/>
    <w:rsid w:val="004D15A2"/>
    <w:rsid w:val="004D22BE"/>
    <w:rsid w:val="004D3854"/>
    <w:rsid w:val="004D47DB"/>
    <w:rsid w:val="004D57C6"/>
    <w:rsid w:val="004D6D6C"/>
    <w:rsid w:val="004E1FB2"/>
    <w:rsid w:val="004E504C"/>
    <w:rsid w:val="004E678F"/>
    <w:rsid w:val="004E7096"/>
    <w:rsid w:val="004E7E99"/>
    <w:rsid w:val="004F115B"/>
    <w:rsid w:val="004F1F43"/>
    <w:rsid w:val="004F4655"/>
    <w:rsid w:val="004F7B3F"/>
    <w:rsid w:val="004F7E18"/>
    <w:rsid w:val="00501B2B"/>
    <w:rsid w:val="00504E16"/>
    <w:rsid w:val="005054BB"/>
    <w:rsid w:val="00514677"/>
    <w:rsid w:val="00514F3B"/>
    <w:rsid w:val="00515477"/>
    <w:rsid w:val="0051733E"/>
    <w:rsid w:val="005208E3"/>
    <w:rsid w:val="00524205"/>
    <w:rsid w:val="00525777"/>
    <w:rsid w:val="0052625B"/>
    <w:rsid w:val="00527576"/>
    <w:rsid w:val="00536B44"/>
    <w:rsid w:val="00540649"/>
    <w:rsid w:val="00545B81"/>
    <w:rsid w:val="00545E04"/>
    <w:rsid w:val="00550067"/>
    <w:rsid w:val="00553B66"/>
    <w:rsid w:val="0055703F"/>
    <w:rsid w:val="00560129"/>
    <w:rsid w:val="0056099D"/>
    <w:rsid w:val="00563C55"/>
    <w:rsid w:val="0057017B"/>
    <w:rsid w:val="00571C32"/>
    <w:rsid w:val="00574F85"/>
    <w:rsid w:val="005750D1"/>
    <w:rsid w:val="005753F0"/>
    <w:rsid w:val="00576689"/>
    <w:rsid w:val="00576F6C"/>
    <w:rsid w:val="00580144"/>
    <w:rsid w:val="00580861"/>
    <w:rsid w:val="00581F4A"/>
    <w:rsid w:val="00582C8A"/>
    <w:rsid w:val="005833BD"/>
    <w:rsid w:val="005867F5"/>
    <w:rsid w:val="005874E9"/>
    <w:rsid w:val="005A101F"/>
    <w:rsid w:val="005A1550"/>
    <w:rsid w:val="005A3B0F"/>
    <w:rsid w:val="005A444E"/>
    <w:rsid w:val="005A5B62"/>
    <w:rsid w:val="005B4424"/>
    <w:rsid w:val="005B5501"/>
    <w:rsid w:val="005B6280"/>
    <w:rsid w:val="005C013E"/>
    <w:rsid w:val="005C1D94"/>
    <w:rsid w:val="005C2C02"/>
    <w:rsid w:val="005C4541"/>
    <w:rsid w:val="005C4F47"/>
    <w:rsid w:val="005C5081"/>
    <w:rsid w:val="005C5874"/>
    <w:rsid w:val="005C6C4F"/>
    <w:rsid w:val="005C753B"/>
    <w:rsid w:val="005D0655"/>
    <w:rsid w:val="005D1951"/>
    <w:rsid w:val="005D25D1"/>
    <w:rsid w:val="005D29D5"/>
    <w:rsid w:val="005D2DF1"/>
    <w:rsid w:val="005D437F"/>
    <w:rsid w:val="005D7E1F"/>
    <w:rsid w:val="005E1097"/>
    <w:rsid w:val="005E114A"/>
    <w:rsid w:val="005E25FF"/>
    <w:rsid w:val="005E6236"/>
    <w:rsid w:val="005E70C2"/>
    <w:rsid w:val="005E762A"/>
    <w:rsid w:val="005F0BBD"/>
    <w:rsid w:val="005F1F8C"/>
    <w:rsid w:val="005F21CD"/>
    <w:rsid w:val="005F3640"/>
    <w:rsid w:val="005F44C1"/>
    <w:rsid w:val="005F6A38"/>
    <w:rsid w:val="00600C38"/>
    <w:rsid w:val="0060208A"/>
    <w:rsid w:val="0060334D"/>
    <w:rsid w:val="0060368F"/>
    <w:rsid w:val="00604453"/>
    <w:rsid w:val="006052B6"/>
    <w:rsid w:val="006056B1"/>
    <w:rsid w:val="0061013B"/>
    <w:rsid w:val="00610586"/>
    <w:rsid w:val="00611D79"/>
    <w:rsid w:val="00616863"/>
    <w:rsid w:val="00616AF9"/>
    <w:rsid w:val="00617F7A"/>
    <w:rsid w:val="0062080A"/>
    <w:rsid w:val="00623888"/>
    <w:rsid w:val="00623D41"/>
    <w:rsid w:val="006245A1"/>
    <w:rsid w:val="00625ACC"/>
    <w:rsid w:val="00632BE9"/>
    <w:rsid w:val="006333CE"/>
    <w:rsid w:val="006338E1"/>
    <w:rsid w:val="00633F77"/>
    <w:rsid w:val="00634938"/>
    <w:rsid w:val="00635A72"/>
    <w:rsid w:val="00636BBB"/>
    <w:rsid w:val="006373B2"/>
    <w:rsid w:val="00643612"/>
    <w:rsid w:val="006436C6"/>
    <w:rsid w:val="00643E10"/>
    <w:rsid w:val="00644F1B"/>
    <w:rsid w:val="00645DC0"/>
    <w:rsid w:val="00650F66"/>
    <w:rsid w:val="006533E2"/>
    <w:rsid w:val="006534FC"/>
    <w:rsid w:val="00660B39"/>
    <w:rsid w:val="00662A4D"/>
    <w:rsid w:val="0066385D"/>
    <w:rsid w:val="006645FA"/>
    <w:rsid w:val="00665778"/>
    <w:rsid w:val="00666725"/>
    <w:rsid w:val="00670428"/>
    <w:rsid w:val="00670ED6"/>
    <w:rsid w:val="00672F4A"/>
    <w:rsid w:val="0067395A"/>
    <w:rsid w:val="00674468"/>
    <w:rsid w:val="00675C6F"/>
    <w:rsid w:val="0067701B"/>
    <w:rsid w:val="0068144B"/>
    <w:rsid w:val="00682906"/>
    <w:rsid w:val="00685876"/>
    <w:rsid w:val="00686B7E"/>
    <w:rsid w:val="00691937"/>
    <w:rsid w:val="006954CD"/>
    <w:rsid w:val="00695C8D"/>
    <w:rsid w:val="00696A4C"/>
    <w:rsid w:val="006A12C3"/>
    <w:rsid w:val="006A19E3"/>
    <w:rsid w:val="006A5C6C"/>
    <w:rsid w:val="006A6980"/>
    <w:rsid w:val="006A7561"/>
    <w:rsid w:val="006A7F1B"/>
    <w:rsid w:val="006B1D12"/>
    <w:rsid w:val="006B266F"/>
    <w:rsid w:val="006B2FA0"/>
    <w:rsid w:val="006B4DD0"/>
    <w:rsid w:val="006B6803"/>
    <w:rsid w:val="006B684F"/>
    <w:rsid w:val="006B6B20"/>
    <w:rsid w:val="006B7153"/>
    <w:rsid w:val="006B74B3"/>
    <w:rsid w:val="006C10CA"/>
    <w:rsid w:val="006C192E"/>
    <w:rsid w:val="006C2604"/>
    <w:rsid w:val="006C5C2A"/>
    <w:rsid w:val="006C5E40"/>
    <w:rsid w:val="006C5FA8"/>
    <w:rsid w:val="006C617B"/>
    <w:rsid w:val="006C634D"/>
    <w:rsid w:val="006C6BB5"/>
    <w:rsid w:val="006D0759"/>
    <w:rsid w:val="006D0F58"/>
    <w:rsid w:val="006D250D"/>
    <w:rsid w:val="006D3452"/>
    <w:rsid w:val="006D3E4F"/>
    <w:rsid w:val="006D44A5"/>
    <w:rsid w:val="006D66AD"/>
    <w:rsid w:val="006D7AF1"/>
    <w:rsid w:val="006E117F"/>
    <w:rsid w:val="006E3D5B"/>
    <w:rsid w:val="006E4381"/>
    <w:rsid w:val="006E51CF"/>
    <w:rsid w:val="006E57C0"/>
    <w:rsid w:val="006E5C37"/>
    <w:rsid w:val="006E7972"/>
    <w:rsid w:val="006F2315"/>
    <w:rsid w:val="006F27D9"/>
    <w:rsid w:val="006F3C68"/>
    <w:rsid w:val="006F451B"/>
    <w:rsid w:val="006F5758"/>
    <w:rsid w:val="006F5CED"/>
    <w:rsid w:val="006F6264"/>
    <w:rsid w:val="0070001E"/>
    <w:rsid w:val="00700BBF"/>
    <w:rsid w:val="00706CD8"/>
    <w:rsid w:val="00706D2B"/>
    <w:rsid w:val="007109C0"/>
    <w:rsid w:val="00716BE8"/>
    <w:rsid w:val="00720C71"/>
    <w:rsid w:val="00722CB3"/>
    <w:rsid w:val="00724297"/>
    <w:rsid w:val="00731149"/>
    <w:rsid w:val="00733E6F"/>
    <w:rsid w:val="007343BC"/>
    <w:rsid w:val="00735D47"/>
    <w:rsid w:val="00737825"/>
    <w:rsid w:val="00737DEE"/>
    <w:rsid w:val="00741936"/>
    <w:rsid w:val="00741C27"/>
    <w:rsid w:val="00741DC9"/>
    <w:rsid w:val="007434ED"/>
    <w:rsid w:val="00744FDB"/>
    <w:rsid w:val="00750BE8"/>
    <w:rsid w:val="00750E9B"/>
    <w:rsid w:val="00752DAD"/>
    <w:rsid w:val="00753BF9"/>
    <w:rsid w:val="00754B91"/>
    <w:rsid w:val="00757FA8"/>
    <w:rsid w:val="00760612"/>
    <w:rsid w:val="00761EF8"/>
    <w:rsid w:val="007621B2"/>
    <w:rsid w:val="007631AA"/>
    <w:rsid w:val="00763A33"/>
    <w:rsid w:val="00764025"/>
    <w:rsid w:val="00764EAB"/>
    <w:rsid w:val="00765892"/>
    <w:rsid w:val="007717A1"/>
    <w:rsid w:val="007727C9"/>
    <w:rsid w:val="00772B17"/>
    <w:rsid w:val="0077473D"/>
    <w:rsid w:val="007747C5"/>
    <w:rsid w:val="00775366"/>
    <w:rsid w:val="007756A3"/>
    <w:rsid w:val="00777D8B"/>
    <w:rsid w:val="007833A4"/>
    <w:rsid w:val="007847E5"/>
    <w:rsid w:val="00785C28"/>
    <w:rsid w:val="00786F52"/>
    <w:rsid w:val="007908CD"/>
    <w:rsid w:val="00790A3B"/>
    <w:rsid w:val="00794B5F"/>
    <w:rsid w:val="007952B5"/>
    <w:rsid w:val="007974CE"/>
    <w:rsid w:val="007A0272"/>
    <w:rsid w:val="007A0F20"/>
    <w:rsid w:val="007A1787"/>
    <w:rsid w:val="007A1830"/>
    <w:rsid w:val="007A5498"/>
    <w:rsid w:val="007A5AD0"/>
    <w:rsid w:val="007A61A4"/>
    <w:rsid w:val="007A6551"/>
    <w:rsid w:val="007A6FB6"/>
    <w:rsid w:val="007A7A3C"/>
    <w:rsid w:val="007A7AEC"/>
    <w:rsid w:val="007B13C6"/>
    <w:rsid w:val="007B2A05"/>
    <w:rsid w:val="007B6C86"/>
    <w:rsid w:val="007C32A0"/>
    <w:rsid w:val="007C5A18"/>
    <w:rsid w:val="007D0F84"/>
    <w:rsid w:val="007D1723"/>
    <w:rsid w:val="007D17A2"/>
    <w:rsid w:val="007D1F23"/>
    <w:rsid w:val="007D2268"/>
    <w:rsid w:val="007D38C5"/>
    <w:rsid w:val="007D5AF4"/>
    <w:rsid w:val="007D62A3"/>
    <w:rsid w:val="007D6D35"/>
    <w:rsid w:val="007D76BC"/>
    <w:rsid w:val="007E6A68"/>
    <w:rsid w:val="007E718A"/>
    <w:rsid w:val="007E76C6"/>
    <w:rsid w:val="007F064F"/>
    <w:rsid w:val="007F24DB"/>
    <w:rsid w:val="007F2B6D"/>
    <w:rsid w:val="007F2B7E"/>
    <w:rsid w:val="007F2DEB"/>
    <w:rsid w:val="007F3BB1"/>
    <w:rsid w:val="007F4B81"/>
    <w:rsid w:val="007F6F2A"/>
    <w:rsid w:val="00801585"/>
    <w:rsid w:val="00801BE6"/>
    <w:rsid w:val="00805FC1"/>
    <w:rsid w:val="00810317"/>
    <w:rsid w:val="00810DD2"/>
    <w:rsid w:val="00811511"/>
    <w:rsid w:val="0081226D"/>
    <w:rsid w:val="00816F44"/>
    <w:rsid w:val="00822142"/>
    <w:rsid w:val="0082361A"/>
    <w:rsid w:val="00823ADD"/>
    <w:rsid w:val="00823C70"/>
    <w:rsid w:val="008267BB"/>
    <w:rsid w:val="0083240A"/>
    <w:rsid w:val="0083332A"/>
    <w:rsid w:val="00833757"/>
    <w:rsid w:val="008340F0"/>
    <w:rsid w:val="008353F0"/>
    <w:rsid w:val="00836237"/>
    <w:rsid w:val="0083696B"/>
    <w:rsid w:val="00842128"/>
    <w:rsid w:val="00846E7D"/>
    <w:rsid w:val="00847419"/>
    <w:rsid w:val="00853611"/>
    <w:rsid w:val="008540F9"/>
    <w:rsid w:val="008551BC"/>
    <w:rsid w:val="00856200"/>
    <w:rsid w:val="00861EC9"/>
    <w:rsid w:val="00861FAD"/>
    <w:rsid w:val="008640E8"/>
    <w:rsid w:val="0086499D"/>
    <w:rsid w:val="00865299"/>
    <w:rsid w:val="008659B8"/>
    <w:rsid w:val="00866292"/>
    <w:rsid w:val="008670CE"/>
    <w:rsid w:val="00871DBB"/>
    <w:rsid w:val="0087439B"/>
    <w:rsid w:val="0087453C"/>
    <w:rsid w:val="008751F2"/>
    <w:rsid w:val="0088001E"/>
    <w:rsid w:val="008856DA"/>
    <w:rsid w:val="00891207"/>
    <w:rsid w:val="00891B6F"/>
    <w:rsid w:val="00891BAC"/>
    <w:rsid w:val="00892507"/>
    <w:rsid w:val="00892E32"/>
    <w:rsid w:val="00893F99"/>
    <w:rsid w:val="008960FD"/>
    <w:rsid w:val="0089722F"/>
    <w:rsid w:val="00897F2C"/>
    <w:rsid w:val="008A0471"/>
    <w:rsid w:val="008A0E6C"/>
    <w:rsid w:val="008A170E"/>
    <w:rsid w:val="008A43F2"/>
    <w:rsid w:val="008A46A6"/>
    <w:rsid w:val="008A4BFF"/>
    <w:rsid w:val="008A53B7"/>
    <w:rsid w:val="008A64BF"/>
    <w:rsid w:val="008A6CC9"/>
    <w:rsid w:val="008A7176"/>
    <w:rsid w:val="008B13B0"/>
    <w:rsid w:val="008B1948"/>
    <w:rsid w:val="008B2F3E"/>
    <w:rsid w:val="008C1B42"/>
    <w:rsid w:val="008C5536"/>
    <w:rsid w:val="008C5808"/>
    <w:rsid w:val="008C5A08"/>
    <w:rsid w:val="008D16DE"/>
    <w:rsid w:val="008D5995"/>
    <w:rsid w:val="008D5BC6"/>
    <w:rsid w:val="008D6167"/>
    <w:rsid w:val="008D65CF"/>
    <w:rsid w:val="008D7055"/>
    <w:rsid w:val="008D73A5"/>
    <w:rsid w:val="008E00D8"/>
    <w:rsid w:val="008E0357"/>
    <w:rsid w:val="008E119E"/>
    <w:rsid w:val="008E12A5"/>
    <w:rsid w:val="008E160B"/>
    <w:rsid w:val="008E43A1"/>
    <w:rsid w:val="008E7774"/>
    <w:rsid w:val="008E77D5"/>
    <w:rsid w:val="008F0A61"/>
    <w:rsid w:val="008F18D6"/>
    <w:rsid w:val="008F24C6"/>
    <w:rsid w:val="008F5321"/>
    <w:rsid w:val="008F655B"/>
    <w:rsid w:val="008F6C8E"/>
    <w:rsid w:val="00900834"/>
    <w:rsid w:val="0090154C"/>
    <w:rsid w:val="00901CAE"/>
    <w:rsid w:val="009031E2"/>
    <w:rsid w:val="00904FE3"/>
    <w:rsid w:val="0090602E"/>
    <w:rsid w:val="00906601"/>
    <w:rsid w:val="00906ECB"/>
    <w:rsid w:val="0090773B"/>
    <w:rsid w:val="00907B26"/>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420F"/>
    <w:rsid w:val="009342A1"/>
    <w:rsid w:val="00934F6A"/>
    <w:rsid w:val="00935457"/>
    <w:rsid w:val="00935F91"/>
    <w:rsid w:val="00941984"/>
    <w:rsid w:val="009421EE"/>
    <w:rsid w:val="00947C2B"/>
    <w:rsid w:val="00952771"/>
    <w:rsid w:val="00955756"/>
    <w:rsid w:val="00960248"/>
    <w:rsid w:val="00960758"/>
    <w:rsid w:val="00961471"/>
    <w:rsid w:val="009621A6"/>
    <w:rsid w:val="0096237B"/>
    <w:rsid w:val="00964995"/>
    <w:rsid w:val="009654CA"/>
    <w:rsid w:val="009659AF"/>
    <w:rsid w:val="00966CA0"/>
    <w:rsid w:val="00967C81"/>
    <w:rsid w:val="0097120D"/>
    <w:rsid w:val="00972823"/>
    <w:rsid w:val="00973129"/>
    <w:rsid w:val="00973D4C"/>
    <w:rsid w:val="00974D24"/>
    <w:rsid w:val="00975044"/>
    <w:rsid w:val="00976AB3"/>
    <w:rsid w:val="009816F0"/>
    <w:rsid w:val="009837E9"/>
    <w:rsid w:val="00984D29"/>
    <w:rsid w:val="00985C5C"/>
    <w:rsid w:val="009863C5"/>
    <w:rsid w:val="00986EB5"/>
    <w:rsid w:val="00987773"/>
    <w:rsid w:val="00990616"/>
    <w:rsid w:val="00991D7B"/>
    <w:rsid w:val="00992AEA"/>
    <w:rsid w:val="009957A3"/>
    <w:rsid w:val="009A084F"/>
    <w:rsid w:val="009A0861"/>
    <w:rsid w:val="009A113E"/>
    <w:rsid w:val="009A2C64"/>
    <w:rsid w:val="009A2E37"/>
    <w:rsid w:val="009A38B9"/>
    <w:rsid w:val="009A5528"/>
    <w:rsid w:val="009A590D"/>
    <w:rsid w:val="009A6251"/>
    <w:rsid w:val="009A62EB"/>
    <w:rsid w:val="009A648E"/>
    <w:rsid w:val="009B0049"/>
    <w:rsid w:val="009B08A9"/>
    <w:rsid w:val="009B25C4"/>
    <w:rsid w:val="009B373E"/>
    <w:rsid w:val="009B3B35"/>
    <w:rsid w:val="009B42DB"/>
    <w:rsid w:val="009B73FF"/>
    <w:rsid w:val="009C10A0"/>
    <w:rsid w:val="009C1452"/>
    <w:rsid w:val="009C1D0D"/>
    <w:rsid w:val="009C500E"/>
    <w:rsid w:val="009C5EEA"/>
    <w:rsid w:val="009C6048"/>
    <w:rsid w:val="009C6E69"/>
    <w:rsid w:val="009D2551"/>
    <w:rsid w:val="009D27CA"/>
    <w:rsid w:val="009D4758"/>
    <w:rsid w:val="009D7074"/>
    <w:rsid w:val="009D7CA0"/>
    <w:rsid w:val="009E2380"/>
    <w:rsid w:val="009E2FE1"/>
    <w:rsid w:val="009E6617"/>
    <w:rsid w:val="009F1D9C"/>
    <w:rsid w:val="009F5379"/>
    <w:rsid w:val="009F5C58"/>
    <w:rsid w:val="00A025E9"/>
    <w:rsid w:val="00A02AA0"/>
    <w:rsid w:val="00A05F25"/>
    <w:rsid w:val="00A06537"/>
    <w:rsid w:val="00A066DE"/>
    <w:rsid w:val="00A117F8"/>
    <w:rsid w:val="00A11882"/>
    <w:rsid w:val="00A12991"/>
    <w:rsid w:val="00A12E00"/>
    <w:rsid w:val="00A1348A"/>
    <w:rsid w:val="00A13E78"/>
    <w:rsid w:val="00A15188"/>
    <w:rsid w:val="00A1698B"/>
    <w:rsid w:val="00A17C46"/>
    <w:rsid w:val="00A21BB4"/>
    <w:rsid w:val="00A228A7"/>
    <w:rsid w:val="00A2335F"/>
    <w:rsid w:val="00A23E28"/>
    <w:rsid w:val="00A246A1"/>
    <w:rsid w:val="00A254ED"/>
    <w:rsid w:val="00A25E24"/>
    <w:rsid w:val="00A270D7"/>
    <w:rsid w:val="00A33CC1"/>
    <w:rsid w:val="00A34668"/>
    <w:rsid w:val="00A358BD"/>
    <w:rsid w:val="00A36111"/>
    <w:rsid w:val="00A37960"/>
    <w:rsid w:val="00A415E2"/>
    <w:rsid w:val="00A420AF"/>
    <w:rsid w:val="00A42A82"/>
    <w:rsid w:val="00A42ADA"/>
    <w:rsid w:val="00A430C0"/>
    <w:rsid w:val="00A43F06"/>
    <w:rsid w:val="00A44286"/>
    <w:rsid w:val="00A50316"/>
    <w:rsid w:val="00A50558"/>
    <w:rsid w:val="00A523C4"/>
    <w:rsid w:val="00A52877"/>
    <w:rsid w:val="00A529BC"/>
    <w:rsid w:val="00A54DFF"/>
    <w:rsid w:val="00A606C1"/>
    <w:rsid w:val="00A64AF2"/>
    <w:rsid w:val="00A66D48"/>
    <w:rsid w:val="00A71FB5"/>
    <w:rsid w:val="00A72EC2"/>
    <w:rsid w:val="00A762A6"/>
    <w:rsid w:val="00A77580"/>
    <w:rsid w:val="00A775E1"/>
    <w:rsid w:val="00A778EC"/>
    <w:rsid w:val="00A81226"/>
    <w:rsid w:val="00A81F8B"/>
    <w:rsid w:val="00A8268B"/>
    <w:rsid w:val="00A82D88"/>
    <w:rsid w:val="00A8390B"/>
    <w:rsid w:val="00A84CCB"/>
    <w:rsid w:val="00A85253"/>
    <w:rsid w:val="00A85C63"/>
    <w:rsid w:val="00A87A31"/>
    <w:rsid w:val="00A90549"/>
    <w:rsid w:val="00A90AD3"/>
    <w:rsid w:val="00A90AE9"/>
    <w:rsid w:val="00A90FEF"/>
    <w:rsid w:val="00A91B36"/>
    <w:rsid w:val="00A93BE4"/>
    <w:rsid w:val="00A961A2"/>
    <w:rsid w:val="00A976F2"/>
    <w:rsid w:val="00AA043E"/>
    <w:rsid w:val="00AA0BF8"/>
    <w:rsid w:val="00AA208B"/>
    <w:rsid w:val="00AA3B24"/>
    <w:rsid w:val="00AA4A04"/>
    <w:rsid w:val="00AA55AC"/>
    <w:rsid w:val="00AA7C22"/>
    <w:rsid w:val="00AB0ED3"/>
    <w:rsid w:val="00AB13D2"/>
    <w:rsid w:val="00AB18D8"/>
    <w:rsid w:val="00AB2676"/>
    <w:rsid w:val="00AB3E9B"/>
    <w:rsid w:val="00AB492A"/>
    <w:rsid w:val="00AB4DE5"/>
    <w:rsid w:val="00AB552B"/>
    <w:rsid w:val="00AB56F3"/>
    <w:rsid w:val="00AC1298"/>
    <w:rsid w:val="00AC368C"/>
    <w:rsid w:val="00AC382C"/>
    <w:rsid w:val="00AC57D7"/>
    <w:rsid w:val="00AC7987"/>
    <w:rsid w:val="00AD1853"/>
    <w:rsid w:val="00AD4080"/>
    <w:rsid w:val="00AD5BD1"/>
    <w:rsid w:val="00AE15A4"/>
    <w:rsid w:val="00AE2A48"/>
    <w:rsid w:val="00AE2B26"/>
    <w:rsid w:val="00AE430B"/>
    <w:rsid w:val="00AF03FC"/>
    <w:rsid w:val="00AF17E2"/>
    <w:rsid w:val="00AF2CA2"/>
    <w:rsid w:val="00AF6163"/>
    <w:rsid w:val="00AF6894"/>
    <w:rsid w:val="00AF6AC7"/>
    <w:rsid w:val="00AF78F4"/>
    <w:rsid w:val="00B00958"/>
    <w:rsid w:val="00B00980"/>
    <w:rsid w:val="00B00A1F"/>
    <w:rsid w:val="00B00ECB"/>
    <w:rsid w:val="00B02F94"/>
    <w:rsid w:val="00B030C6"/>
    <w:rsid w:val="00B0511D"/>
    <w:rsid w:val="00B0566A"/>
    <w:rsid w:val="00B060F3"/>
    <w:rsid w:val="00B0662B"/>
    <w:rsid w:val="00B10611"/>
    <w:rsid w:val="00B10A55"/>
    <w:rsid w:val="00B11283"/>
    <w:rsid w:val="00B13AD0"/>
    <w:rsid w:val="00B14CF1"/>
    <w:rsid w:val="00B15D0B"/>
    <w:rsid w:val="00B174C1"/>
    <w:rsid w:val="00B211F8"/>
    <w:rsid w:val="00B21F3A"/>
    <w:rsid w:val="00B2247B"/>
    <w:rsid w:val="00B225A9"/>
    <w:rsid w:val="00B22FB5"/>
    <w:rsid w:val="00B2475F"/>
    <w:rsid w:val="00B26282"/>
    <w:rsid w:val="00B27762"/>
    <w:rsid w:val="00B31465"/>
    <w:rsid w:val="00B3150E"/>
    <w:rsid w:val="00B34CED"/>
    <w:rsid w:val="00B3547A"/>
    <w:rsid w:val="00B364FC"/>
    <w:rsid w:val="00B36A9E"/>
    <w:rsid w:val="00B37AB3"/>
    <w:rsid w:val="00B43844"/>
    <w:rsid w:val="00B4399F"/>
    <w:rsid w:val="00B46DF7"/>
    <w:rsid w:val="00B47220"/>
    <w:rsid w:val="00B51B93"/>
    <w:rsid w:val="00B528CB"/>
    <w:rsid w:val="00B55CDC"/>
    <w:rsid w:val="00B57D18"/>
    <w:rsid w:val="00B613F7"/>
    <w:rsid w:val="00B621D5"/>
    <w:rsid w:val="00B6238A"/>
    <w:rsid w:val="00B64DB1"/>
    <w:rsid w:val="00B654D5"/>
    <w:rsid w:val="00B657F0"/>
    <w:rsid w:val="00B66262"/>
    <w:rsid w:val="00B66926"/>
    <w:rsid w:val="00B67647"/>
    <w:rsid w:val="00B67CAA"/>
    <w:rsid w:val="00B715B9"/>
    <w:rsid w:val="00B71954"/>
    <w:rsid w:val="00B71D64"/>
    <w:rsid w:val="00B72B73"/>
    <w:rsid w:val="00B7366A"/>
    <w:rsid w:val="00B7395A"/>
    <w:rsid w:val="00B7419D"/>
    <w:rsid w:val="00B75C8D"/>
    <w:rsid w:val="00B80D31"/>
    <w:rsid w:val="00B82019"/>
    <w:rsid w:val="00B822B2"/>
    <w:rsid w:val="00B82497"/>
    <w:rsid w:val="00B82C6E"/>
    <w:rsid w:val="00B83567"/>
    <w:rsid w:val="00B84846"/>
    <w:rsid w:val="00B84D94"/>
    <w:rsid w:val="00B8569E"/>
    <w:rsid w:val="00B9000D"/>
    <w:rsid w:val="00B92273"/>
    <w:rsid w:val="00B96F72"/>
    <w:rsid w:val="00B97DB3"/>
    <w:rsid w:val="00BA1280"/>
    <w:rsid w:val="00BA2C09"/>
    <w:rsid w:val="00BA2F74"/>
    <w:rsid w:val="00BA5033"/>
    <w:rsid w:val="00BB00A3"/>
    <w:rsid w:val="00BB02A6"/>
    <w:rsid w:val="00BB1EFF"/>
    <w:rsid w:val="00BB200E"/>
    <w:rsid w:val="00BB3037"/>
    <w:rsid w:val="00BB607D"/>
    <w:rsid w:val="00BB61E8"/>
    <w:rsid w:val="00BB67B8"/>
    <w:rsid w:val="00BB7A03"/>
    <w:rsid w:val="00BC0A42"/>
    <w:rsid w:val="00BC1E52"/>
    <w:rsid w:val="00BC2B1D"/>
    <w:rsid w:val="00BC35DF"/>
    <w:rsid w:val="00BC5AC8"/>
    <w:rsid w:val="00BC680F"/>
    <w:rsid w:val="00BC6EEA"/>
    <w:rsid w:val="00BD03E6"/>
    <w:rsid w:val="00BD094D"/>
    <w:rsid w:val="00BD1292"/>
    <w:rsid w:val="00BD5E53"/>
    <w:rsid w:val="00BE0410"/>
    <w:rsid w:val="00BE1D89"/>
    <w:rsid w:val="00BE1E77"/>
    <w:rsid w:val="00BE2A98"/>
    <w:rsid w:val="00BE7685"/>
    <w:rsid w:val="00BE788E"/>
    <w:rsid w:val="00BF0A42"/>
    <w:rsid w:val="00BF4390"/>
    <w:rsid w:val="00BF758C"/>
    <w:rsid w:val="00C00E77"/>
    <w:rsid w:val="00C01F2B"/>
    <w:rsid w:val="00C045E3"/>
    <w:rsid w:val="00C057EB"/>
    <w:rsid w:val="00C072CB"/>
    <w:rsid w:val="00C0731A"/>
    <w:rsid w:val="00C10C76"/>
    <w:rsid w:val="00C11417"/>
    <w:rsid w:val="00C11437"/>
    <w:rsid w:val="00C12791"/>
    <w:rsid w:val="00C13293"/>
    <w:rsid w:val="00C13E0A"/>
    <w:rsid w:val="00C1546C"/>
    <w:rsid w:val="00C161E2"/>
    <w:rsid w:val="00C165E6"/>
    <w:rsid w:val="00C17C67"/>
    <w:rsid w:val="00C2228E"/>
    <w:rsid w:val="00C2237F"/>
    <w:rsid w:val="00C24BFD"/>
    <w:rsid w:val="00C31E73"/>
    <w:rsid w:val="00C3219A"/>
    <w:rsid w:val="00C34AC3"/>
    <w:rsid w:val="00C36965"/>
    <w:rsid w:val="00C3798B"/>
    <w:rsid w:val="00C418BC"/>
    <w:rsid w:val="00C42CCC"/>
    <w:rsid w:val="00C437E3"/>
    <w:rsid w:val="00C442FE"/>
    <w:rsid w:val="00C44304"/>
    <w:rsid w:val="00C45441"/>
    <w:rsid w:val="00C454BA"/>
    <w:rsid w:val="00C45F24"/>
    <w:rsid w:val="00C47EA8"/>
    <w:rsid w:val="00C523A9"/>
    <w:rsid w:val="00C524A9"/>
    <w:rsid w:val="00C52ADA"/>
    <w:rsid w:val="00C53363"/>
    <w:rsid w:val="00C56131"/>
    <w:rsid w:val="00C62172"/>
    <w:rsid w:val="00C66027"/>
    <w:rsid w:val="00C71318"/>
    <w:rsid w:val="00C729AB"/>
    <w:rsid w:val="00C731F3"/>
    <w:rsid w:val="00C74363"/>
    <w:rsid w:val="00C80562"/>
    <w:rsid w:val="00C80B56"/>
    <w:rsid w:val="00C83A1A"/>
    <w:rsid w:val="00C83DBD"/>
    <w:rsid w:val="00C85EDE"/>
    <w:rsid w:val="00C86F48"/>
    <w:rsid w:val="00C870AB"/>
    <w:rsid w:val="00C87318"/>
    <w:rsid w:val="00C92887"/>
    <w:rsid w:val="00C92C69"/>
    <w:rsid w:val="00C932EB"/>
    <w:rsid w:val="00C942AC"/>
    <w:rsid w:val="00C94AB7"/>
    <w:rsid w:val="00C95D8E"/>
    <w:rsid w:val="00CA1AA8"/>
    <w:rsid w:val="00CA1C58"/>
    <w:rsid w:val="00CA51C5"/>
    <w:rsid w:val="00CA7030"/>
    <w:rsid w:val="00CB166B"/>
    <w:rsid w:val="00CB48DD"/>
    <w:rsid w:val="00CB59DE"/>
    <w:rsid w:val="00CB7774"/>
    <w:rsid w:val="00CC083D"/>
    <w:rsid w:val="00CC1326"/>
    <w:rsid w:val="00CC239B"/>
    <w:rsid w:val="00CC2638"/>
    <w:rsid w:val="00CC34D0"/>
    <w:rsid w:val="00CC416F"/>
    <w:rsid w:val="00CC4CA4"/>
    <w:rsid w:val="00CC5813"/>
    <w:rsid w:val="00CC747F"/>
    <w:rsid w:val="00CC7767"/>
    <w:rsid w:val="00CD2F6C"/>
    <w:rsid w:val="00CD33BA"/>
    <w:rsid w:val="00CD486F"/>
    <w:rsid w:val="00CD4A41"/>
    <w:rsid w:val="00CD5184"/>
    <w:rsid w:val="00CD6957"/>
    <w:rsid w:val="00CD7E28"/>
    <w:rsid w:val="00CE2903"/>
    <w:rsid w:val="00CE3612"/>
    <w:rsid w:val="00CE4706"/>
    <w:rsid w:val="00CE7453"/>
    <w:rsid w:val="00CF0D2D"/>
    <w:rsid w:val="00CF4BBA"/>
    <w:rsid w:val="00CF7CCA"/>
    <w:rsid w:val="00D00D57"/>
    <w:rsid w:val="00D031C7"/>
    <w:rsid w:val="00D0782F"/>
    <w:rsid w:val="00D12E6E"/>
    <w:rsid w:val="00D135E8"/>
    <w:rsid w:val="00D13919"/>
    <w:rsid w:val="00D14669"/>
    <w:rsid w:val="00D15AE7"/>
    <w:rsid w:val="00D15C65"/>
    <w:rsid w:val="00D16B3A"/>
    <w:rsid w:val="00D20294"/>
    <w:rsid w:val="00D21E29"/>
    <w:rsid w:val="00D21FD5"/>
    <w:rsid w:val="00D22694"/>
    <w:rsid w:val="00D256F3"/>
    <w:rsid w:val="00D302B6"/>
    <w:rsid w:val="00D30A2B"/>
    <w:rsid w:val="00D30DEE"/>
    <w:rsid w:val="00D32F15"/>
    <w:rsid w:val="00D3484D"/>
    <w:rsid w:val="00D34E2E"/>
    <w:rsid w:val="00D35CA3"/>
    <w:rsid w:val="00D3710C"/>
    <w:rsid w:val="00D40219"/>
    <w:rsid w:val="00D40CD7"/>
    <w:rsid w:val="00D44495"/>
    <w:rsid w:val="00D51C4E"/>
    <w:rsid w:val="00D529DA"/>
    <w:rsid w:val="00D540B7"/>
    <w:rsid w:val="00D5483F"/>
    <w:rsid w:val="00D55FB6"/>
    <w:rsid w:val="00D608BD"/>
    <w:rsid w:val="00D60A3B"/>
    <w:rsid w:val="00D625A5"/>
    <w:rsid w:val="00D633FC"/>
    <w:rsid w:val="00D65563"/>
    <w:rsid w:val="00D65869"/>
    <w:rsid w:val="00D6799B"/>
    <w:rsid w:val="00D700E6"/>
    <w:rsid w:val="00D705A9"/>
    <w:rsid w:val="00D72E48"/>
    <w:rsid w:val="00D734F6"/>
    <w:rsid w:val="00D735D5"/>
    <w:rsid w:val="00D737D5"/>
    <w:rsid w:val="00D74CA5"/>
    <w:rsid w:val="00D7561E"/>
    <w:rsid w:val="00D763F9"/>
    <w:rsid w:val="00D77759"/>
    <w:rsid w:val="00D83075"/>
    <w:rsid w:val="00D83545"/>
    <w:rsid w:val="00D8450F"/>
    <w:rsid w:val="00D865EB"/>
    <w:rsid w:val="00D87271"/>
    <w:rsid w:val="00D91821"/>
    <w:rsid w:val="00D92816"/>
    <w:rsid w:val="00D950B3"/>
    <w:rsid w:val="00D956F5"/>
    <w:rsid w:val="00D95B86"/>
    <w:rsid w:val="00D976F8"/>
    <w:rsid w:val="00DA216D"/>
    <w:rsid w:val="00DA5633"/>
    <w:rsid w:val="00DA6DA3"/>
    <w:rsid w:val="00DB145F"/>
    <w:rsid w:val="00DB2F4E"/>
    <w:rsid w:val="00DB41F4"/>
    <w:rsid w:val="00DB4CBE"/>
    <w:rsid w:val="00DB5600"/>
    <w:rsid w:val="00DB62B4"/>
    <w:rsid w:val="00DC14C8"/>
    <w:rsid w:val="00DC42EF"/>
    <w:rsid w:val="00DC5A20"/>
    <w:rsid w:val="00DC76E9"/>
    <w:rsid w:val="00DD0B3E"/>
    <w:rsid w:val="00DD136B"/>
    <w:rsid w:val="00DD2214"/>
    <w:rsid w:val="00DD577F"/>
    <w:rsid w:val="00DD6DEC"/>
    <w:rsid w:val="00DE1BC5"/>
    <w:rsid w:val="00DE27BC"/>
    <w:rsid w:val="00DE43EA"/>
    <w:rsid w:val="00DE4493"/>
    <w:rsid w:val="00DF051D"/>
    <w:rsid w:val="00DF4AF4"/>
    <w:rsid w:val="00DF556A"/>
    <w:rsid w:val="00DF5E45"/>
    <w:rsid w:val="00E02232"/>
    <w:rsid w:val="00E13142"/>
    <w:rsid w:val="00E146A2"/>
    <w:rsid w:val="00E15122"/>
    <w:rsid w:val="00E15624"/>
    <w:rsid w:val="00E15E5C"/>
    <w:rsid w:val="00E15ED6"/>
    <w:rsid w:val="00E2161B"/>
    <w:rsid w:val="00E22610"/>
    <w:rsid w:val="00E227F0"/>
    <w:rsid w:val="00E23E9A"/>
    <w:rsid w:val="00E247EA"/>
    <w:rsid w:val="00E303BE"/>
    <w:rsid w:val="00E313A6"/>
    <w:rsid w:val="00E34F2D"/>
    <w:rsid w:val="00E351AA"/>
    <w:rsid w:val="00E40564"/>
    <w:rsid w:val="00E42FB4"/>
    <w:rsid w:val="00E43136"/>
    <w:rsid w:val="00E44D04"/>
    <w:rsid w:val="00E44D4D"/>
    <w:rsid w:val="00E451F6"/>
    <w:rsid w:val="00E534CD"/>
    <w:rsid w:val="00E54C72"/>
    <w:rsid w:val="00E551F6"/>
    <w:rsid w:val="00E5595A"/>
    <w:rsid w:val="00E55B67"/>
    <w:rsid w:val="00E57C4A"/>
    <w:rsid w:val="00E6028B"/>
    <w:rsid w:val="00E620F8"/>
    <w:rsid w:val="00E62F8B"/>
    <w:rsid w:val="00E64836"/>
    <w:rsid w:val="00E65A43"/>
    <w:rsid w:val="00E66153"/>
    <w:rsid w:val="00E6714B"/>
    <w:rsid w:val="00E700B0"/>
    <w:rsid w:val="00E7088D"/>
    <w:rsid w:val="00E73FFC"/>
    <w:rsid w:val="00E7484F"/>
    <w:rsid w:val="00E80953"/>
    <w:rsid w:val="00E820DE"/>
    <w:rsid w:val="00E852C6"/>
    <w:rsid w:val="00E85705"/>
    <w:rsid w:val="00E8776B"/>
    <w:rsid w:val="00E90E45"/>
    <w:rsid w:val="00E935F6"/>
    <w:rsid w:val="00EA03FB"/>
    <w:rsid w:val="00EA0D5B"/>
    <w:rsid w:val="00EA198A"/>
    <w:rsid w:val="00EA46EB"/>
    <w:rsid w:val="00EA48B6"/>
    <w:rsid w:val="00EB2B40"/>
    <w:rsid w:val="00EB30DD"/>
    <w:rsid w:val="00EB3353"/>
    <w:rsid w:val="00EB3E8D"/>
    <w:rsid w:val="00EB4046"/>
    <w:rsid w:val="00EC0F6D"/>
    <w:rsid w:val="00EC1846"/>
    <w:rsid w:val="00EC2DE8"/>
    <w:rsid w:val="00EC4F8B"/>
    <w:rsid w:val="00EC68EA"/>
    <w:rsid w:val="00ED18D8"/>
    <w:rsid w:val="00ED1DF8"/>
    <w:rsid w:val="00ED23CB"/>
    <w:rsid w:val="00ED2FE4"/>
    <w:rsid w:val="00ED3E94"/>
    <w:rsid w:val="00ED5970"/>
    <w:rsid w:val="00ED7A85"/>
    <w:rsid w:val="00EE0A3B"/>
    <w:rsid w:val="00EE1754"/>
    <w:rsid w:val="00EE2B65"/>
    <w:rsid w:val="00EE2F9C"/>
    <w:rsid w:val="00EE31D7"/>
    <w:rsid w:val="00EE4322"/>
    <w:rsid w:val="00EE65B7"/>
    <w:rsid w:val="00EE6A16"/>
    <w:rsid w:val="00EE7734"/>
    <w:rsid w:val="00EE7A80"/>
    <w:rsid w:val="00EF1959"/>
    <w:rsid w:val="00EF5073"/>
    <w:rsid w:val="00EF55C6"/>
    <w:rsid w:val="00EF5898"/>
    <w:rsid w:val="00EF6322"/>
    <w:rsid w:val="00EF6D95"/>
    <w:rsid w:val="00EF7504"/>
    <w:rsid w:val="00F015EA"/>
    <w:rsid w:val="00F0250E"/>
    <w:rsid w:val="00F02DA1"/>
    <w:rsid w:val="00F02DA4"/>
    <w:rsid w:val="00F044B4"/>
    <w:rsid w:val="00F05D86"/>
    <w:rsid w:val="00F07287"/>
    <w:rsid w:val="00F076CD"/>
    <w:rsid w:val="00F1048B"/>
    <w:rsid w:val="00F1243E"/>
    <w:rsid w:val="00F12802"/>
    <w:rsid w:val="00F13A28"/>
    <w:rsid w:val="00F150DB"/>
    <w:rsid w:val="00F156BC"/>
    <w:rsid w:val="00F15B24"/>
    <w:rsid w:val="00F17A9A"/>
    <w:rsid w:val="00F17BA2"/>
    <w:rsid w:val="00F21B5A"/>
    <w:rsid w:val="00F21FEE"/>
    <w:rsid w:val="00F22061"/>
    <w:rsid w:val="00F229CC"/>
    <w:rsid w:val="00F25971"/>
    <w:rsid w:val="00F26AC4"/>
    <w:rsid w:val="00F2771F"/>
    <w:rsid w:val="00F32596"/>
    <w:rsid w:val="00F32601"/>
    <w:rsid w:val="00F341D6"/>
    <w:rsid w:val="00F341EB"/>
    <w:rsid w:val="00F34A4D"/>
    <w:rsid w:val="00F45055"/>
    <w:rsid w:val="00F45234"/>
    <w:rsid w:val="00F478C2"/>
    <w:rsid w:val="00F478EF"/>
    <w:rsid w:val="00F51568"/>
    <w:rsid w:val="00F52FC3"/>
    <w:rsid w:val="00F53506"/>
    <w:rsid w:val="00F57C3B"/>
    <w:rsid w:val="00F57CD8"/>
    <w:rsid w:val="00F57D00"/>
    <w:rsid w:val="00F62C3B"/>
    <w:rsid w:val="00F64E32"/>
    <w:rsid w:val="00F65523"/>
    <w:rsid w:val="00F65750"/>
    <w:rsid w:val="00F65C0D"/>
    <w:rsid w:val="00F703FD"/>
    <w:rsid w:val="00F7064A"/>
    <w:rsid w:val="00F7168A"/>
    <w:rsid w:val="00F743DE"/>
    <w:rsid w:val="00F75A29"/>
    <w:rsid w:val="00F7785D"/>
    <w:rsid w:val="00F81EE2"/>
    <w:rsid w:val="00F83237"/>
    <w:rsid w:val="00F83B62"/>
    <w:rsid w:val="00F843C7"/>
    <w:rsid w:val="00F85367"/>
    <w:rsid w:val="00F860E2"/>
    <w:rsid w:val="00F867EF"/>
    <w:rsid w:val="00F86C90"/>
    <w:rsid w:val="00F87E3E"/>
    <w:rsid w:val="00F87FE2"/>
    <w:rsid w:val="00F903E5"/>
    <w:rsid w:val="00F925F3"/>
    <w:rsid w:val="00F93481"/>
    <w:rsid w:val="00F93B39"/>
    <w:rsid w:val="00F9406A"/>
    <w:rsid w:val="00F94A89"/>
    <w:rsid w:val="00F95665"/>
    <w:rsid w:val="00FA2751"/>
    <w:rsid w:val="00FA2842"/>
    <w:rsid w:val="00FA29D9"/>
    <w:rsid w:val="00FA3B47"/>
    <w:rsid w:val="00FA4C79"/>
    <w:rsid w:val="00FA777E"/>
    <w:rsid w:val="00FA7EBF"/>
    <w:rsid w:val="00FB0392"/>
    <w:rsid w:val="00FB18CE"/>
    <w:rsid w:val="00FB2195"/>
    <w:rsid w:val="00FB2E02"/>
    <w:rsid w:val="00FB32E0"/>
    <w:rsid w:val="00FB3F8B"/>
    <w:rsid w:val="00FB4596"/>
    <w:rsid w:val="00FB5A35"/>
    <w:rsid w:val="00FB654A"/>
    <w:rsid w:val="00FB7DB6"/>
    <w:rsid w:val="00FC139C"/>
    <w:rsid w:val="00FC31AF"/>
    <w:rsid w:val="00FC3DDC"/>
    <w:rsid w:val="00FC3FCA"/>
    <w:rsid w:val="00FC598A"/>
    <w:rsid w:val="00FC5DC8"/>
    <w:rsid w:val="00FC6CFB"/>
    <w:rsid w:val="00FC709E"/>
    <w:rsid w:val="00FD0CD5"/>
    <w:rsid w:val="00FD3CBC"/>
    <w:rsid w:val="00FD7080"/>
    <w:rsid w:val="00FD7873"/>
    <w:rsid w:val="00FD7E34"/>
    <w:rsid w:val="00FE227F"/>
    <w:rsid w:val="00FE3867"/>
    <w:rsid w:val="00FE3B30"/>
    <w:rsid w:val="00FE5CC7"/>
    <w:rsid w:val="00FE6B5F"/>
    <w:rsid w:val="00FE7143"/>
    <w:rsid w:val="00FF370F"/>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D2B3D-411E-4DEB-941F-E1A9C4CF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6766</Words>
  <Characters>3857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vector>
  </TitlesOfParts>
  <Manager>S.Bajāre</Manager>
  <Company>Finanšu ministrija (VNĪ)</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ziņojums (anotācija)</dc:title>
  <dc:subject>Anotācija</dc:subject>
  <dc:creator>Aiga Gulbe</dc:creator>
  <dc:description>A.Gulbe
67024698, aiga.gulbe@vni.lv</dc:description>
  <cp:lastModifiedBy>Santa Lūse</cp:lastModifiedBy>
  <cp:revision>3</cp:revision>
  <cp:lastPrinted>2014-10-09T07:53:00Z</cp:lastPrinted>
  <dcterms:created xsi:type="dcterms:W3CDTF">2014-09-11T08:26:00Z</dcterms:created>
  <dcterms:modified xsi:type="dcterms:W3CDTF">2014-10-09T07:56:00Z</dcterms:modified>
</cp:coreProperties>
</file>