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28" w:rsidRPr="00C90FF2" w:rsidRDefault="00F32B28" w:rsidP="00B61A29">
      <w:pPr>
        <w:jc w:val="center"/>
        <w:rPr>
          <w:i/>
          <w:iCs/>
          <w:sz w:val="28"/>
          <w:szCs w:val="28"/>
        </w:rPr>
      </w:pPr>
      <w:r w:rsidRPr="007A593B">
        <w:rPr>
          <w:b/>
          <w:sz w:val="28"/>
          <w:szCs w:val="28"/>
        </w:rPr>
        <w:t xml:space="preserve">Ministru kabineta rīkojuma projekta „Par apropriācijas pārdali starp </w:t>
      </w:r>
      <w:r w:rsidR="009A7EE9">
        <w:rPr>
          <w:b/>
          <w:sz w:val="28"/>
          <w:szCs w:val="28"/>
        </w:rPr>
        <w:t>Centrālās vēlēšanu komisijas</w:t>
      </w:r>
      <w:r w:rsidRPr="007A593B">
        <w:rPr>
          <w:b/>
          <w:sz w:val="28"/>
          <w:szCs w:val="28"/>
        </w:rPr>
        <w:t xml:space="preserve"> budžeta programmām”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A593B">
          <w:rPr>
            <w:b/>
            <w:sz w:val="28"/>
            <w:szCs w:val="28"/>
          </w:rPr>
          <w:t>ziņojums</w:t>
        </w:r>
      </w:smartTag>
      <w:r w:rsidRPr="007A593B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78"/>
        <w:gridCol w:w="5900"/>
      </w:tblGrid>
      <w:tr w:rsidR="009A7EE9" w:rsidRPr="006807F6" w:rsidTr="00A54AB7">
        <w:trPr>
          <w:trHeight w:val="419"/>
        </w:trPr>
        <w:tc>
          <w:tcPr>
            <w:tcW w:w="5000" w:type="pct"/>
            <w:gridSpan w:val="3"/>
            <w:vAlign w:val="center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6807F6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9A7EE9" w:rsidRPr="006807F6" w:rsidTr="00A54AB7">
        <w:trPr>
          <w:trHeight w:val="400"/>
        </w:trPr>
        <w:tc>
          <w:tcPr>
            <w:tcW w:w="22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</w:t>
            </w:r>
          </w:p>
        </w:tc>
        <w:tc>
          <w:tcPr>
            <w:tcW w:w="1565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Pamatojums</w:t>
            </w:r>
          </w:p>
        </w:tc>
        <w:tc>
          <w:tcPr>
            <w:tcW w:w="3207" w:type="pct"/>
          </w:tcPr>
          <w:p w:rsidR="009A7EE9" w:rsidRPr="0032120D" w:rsidRDefault="009A7EE9" w:rsidP="0032120D">
            <w:pPr>
              <w:pStyle w:val="Heading3"/>
              <w:shd w:val="clear" w:color="auto" w:fill="FFFFFF"/>
              <w:spacing w:before="0" w:beforeAutospacing="0" w:after="0" w:afterAutospacing="0"/>
              <w:ind w:right="57" w:firstLine="385"/>
              <w:jc w:val="both"/>
              <w:rPr>
                <w:b w:val="0"/>
                <w:sz w:val="26"/>
                <w:szCs w:val="26"/>
              </w:rPr>
            </w:pPr>
            <w:r w:rsidRPr="0032120D">
              <w:rPr>
                <w:b w:val="0"/>
                <w:sz w:val="26"/>
                <w:szCs w:val="26"/>
              </w:rPr>
              <w:t>Ņemot vērā, ka apropriācijas pārdale paredz Centrālās vēlēšanu komisijas budžeta programm</w:t>
            </w:r>
            <w:r w:rsidR="0099499C">
              <w:rPr>
                <w:b w:val="0"/>
                <w:sz w:val="26"/>
                <w:szCs w:val="26"/>
              </w:rPr>
              <w:t xml:space="preserve">as 02.00.00 „Saeimas vēlēšanas” </w:t>
            </w:r>
            <w:r w:rsidRPr="0032120D">
              <w:rPr>
                <w:b w:val="0"/>
                <w:sz w:val="26"/>
                <w:szCs w:val="26"/>
              </w:rPr>
              <w:t>apropriācijas palielinājumu vairāk nekā par 5 procentiem no programmai apstiprinātās gada apropriācijas apjoma, atbilstoši likuma „Par valsts budžetu 2014. gadam” 32. pantam, par apropriācijas pārdali, kas pārsniedz noteikto apmēru, lemj Ministru kabinets.</w:t>
            </w:r>
          </w:p>
          <w:p w:rsidR="009A7EE9" w:rsidRPr="0032120D" w:rsidRDefault="009A7EE9" w:rsidP="0032120D">
            <w:pPr>
              <w:pStyle w:val="Heading3"/>
              <w:shd w:val="clear" w:color="auto" w:fill="FFFFFF"/>
              <w:spacing w:before="0" w:beforeAutospacing="0" w:after="0" w:afterAutospacing="0"/>
              <w:ind w:right="57" w:firstLine="385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A7EE9" w:rsidRPr="006807F6" w:rsidTr="00A54AB7">
        <w:trPr>
          <w:trHeight w:val="472"/>
        </w:trPr>
        <w:tc>
          <w:tcPr>
            <w:tcW w:w="22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</w:t>
            </w: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9A7EE9" w:rsidRPr="006807F6" w:rsidRDefault="009A7EE9" w:rsidP="009A7EE9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:rsidR="009A7EE9" w:rsidRPr="006807F6" w:rsidRDefault="009A7EE9" w:rsidP="009A7EE9">
            <w:pPr>
              <w:jc w:val="center"/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3207" w:type="pct"/>
          </w:tcPr>
          <w:p w:rsidR="005437C3" w:rsidRDefault="009A7EE9" w:rsidP="005437C3">
            <w:pPr>
              <w:pStyle w:val="ListParagraph"/>
              <w:ind w:left="0" w:firstLine="380"/>
              <w:jc w:val="both"/>
              <w:rPr>
                <w:sz w:val="26"/>
                <w:szCs w:val="26"/>
              </w:rPr>
            </w:pPr>
            <w:r w:rsidRPr="0032120D">
              <w:rPr>
                <w:sz w:val="26"/>
                <w:szCs w:val="26"/>
              </w:rPr>
              <w:t xml:space="preserve">Centrālās velēšanu komisijas budžeta programmā 02.00.00 “Saeimas vēlēšanas” </w:t>
            </w:r>
            <w:r w:rsidR="0032120D" w:rsidRPr="0032120D">
              <w:rPr>
                <w:sz w:val="26"/>
                <w:szCs w:val="26"/>
              </w:rPr>
              <w:t xml:space="preserve"> un 05.00.00 “Eiropas Parlamenta vēlēšanas” </w:t>
            </w:r>
            <w:r w:rsidRPr="0032120D">
              <w:rPr>
                <w:sz w:val="26"/>
                <w:szCs w:val="26"/>
              </w:rPr>
              <w:t xml:space="preserve">finansējums 2014.gadam tika paredzēts atbilstoši  faktiski izlietotajam finansējuma apmēram </w:t>
            </w:r>
            <w:r w:rsidR="0032120D" w:rsidRPr="0032120D">
              <w:rPr>
                <w:sz w:val="26"/>
                <w:szCs w:val="26"/>
              </w:rPr>
              <w:t xml:space="preserve">2010.gada </w:t>
            </w:r>
            <w:r w:rsidRPr="0032120D">
              <w:rPr>
                <w:sz w:val="26"/>
                <w:szCs w:val="26"/>
              </w:rPr>
              <w:t>Saeimas velēšanās</w:t>
            </w:r>
            <w:r w:rsidR="0032120D" w:rsidRPr="0032120D">
              <w:rPr>
                <w:sz w:val="26"/>
                <w:szCs w:val="26"/>
              </w:rPr>
              <w:t xml:space="preserve"> un 2009.gada Eiropas parlamenta vēlēšanās</w:t>
            </w:r>
            <w:r w:rsidRPr="0032120D">
              <w:rPr>
                <w:sz w:val="26"/>
                <w:szCs w:val="26"/>
              </w:rPr>
              <w:t xml:space="preserve">. </w:t>
            </w:r>
          </w:p>
          <w:p w:rsidR="0032120D" w:rsidRPr="005437C3" w:rsidRDefault="0032120D" w:rsidP="005437C3">
            <w:pPr>
              <w:pStyle w:val="ListParagraph"/>
              <w:ind w:left="0" w:firstLine="380"/>
              <w:jc w:val="both"/>
              <w:rPr>
                <w:sz w:val="26"/>
                <w:szCs w:val="26"/>
              </w:rPr>
            </w:pPr>
            <w:r w:rsidRPr="0032120D">
              <w:rPr>
                <w:sz w:val="26"/>
                <w:szCs w:val="26"/>
              </w:rPr>
              <w:t>Tomēr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kopš iepriekšējām vēlēšanām ir mainījusies vēlēšanu 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 xml:space="preserve">organizatoriskā struktūra, kā arī palielinājies vēlēšanu iecirkņu skaits, 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>2010. gadā Saeimas vēlēšanās tika izveidoti 944 vēlēšanu iecirkņi Latvijā un 64 ārvalstīs, šogad Latvijā</w:t>
            </w:r>
            <w:r w:rsidR="00F95876">
              <w:rPr>
                <w:rFonts w:eastAsiaTheme="minorHAnsi"/>
                <w:sz w:val="26"/>
                <w:szCs w:val="26"/>
                <w:lang w:eastAsia="en-US"/>
              </w:rPr>
              <w:t xml:space="preserve"> paredzēti 954, bet ārvalstīs 99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vēlēšanu iecirkņi.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>Ņemot vērā minēto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 xml:space="preserve">2014.gada 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>Saeimas vēlēšanu</w:t>
            </w:r>
            <w:r w:rsidR="00B17BAC">
              <w:rPr>
                <w:rFonts w:eastAsiaTheme="minorHAnsi"/>
                <w:sz w:val="26"/>
                <w:szCs w:val="26"/>
                <w:lang w:eastAsia="en-US"/>
              </w:rPr>
              <w:t xml:space="preserve"> nodrošināšanai 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>ir nepieciešams papildu finansējums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235 345 </w:t>
            </w:r>
            <w:proofErr w:type="spellStart"/>
            <w:r w:rsidRPr="000C703D">
              <w:rPr>
                <w:rFonts w:eastAsiaTheme="minorHAnsi"/>
                <w:i/>
                <w:sz w:val="26"/>
                <w:szCs w:val="26"/>
                <w:lang w:eastAsia="en-US"/>
              </w:rPr>
              <w:t>euro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apmērā, tajā skaitā:</w:t>
            </w:r>
          </w:p>
          <w:p w:rsidR="00B17BAC" w:rsidRDefault="0032120D" w:rsidP="00321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2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117 834 </w:t>
            </w:r>
            <w:proofErr w:type="spellStart"/>
            <w:r w:rsidRPr="000C703D">
              <w:rPr>
                <w:rFonts w:eastAsiaTheme="minorHAnsi"/>
                <w:i/>
                <w:sz w:val="26"/>
                <w:szCs w:val="26"/>
                <w:lang w:eastAsia="en-US"/>
              </w:rPr>
              <w:t>euro</w:t>
            </w:r>
            <w:proofErr w:type="spellEnd"/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310DC">
              <w:rPr>
                <w:rFonts w:eastAsiaTheme="minorHAnsi"/>
                <w:sz w:val="26"/>
                <w:szCs w:val="26"/>
                <w:lang w:eastAsia="en-US"/>
              </w:rPr>
              <w:t xml:space="preserve">atlīdzībai, lai nodrošinātu darba samaksu </w:t>
            </w:r>
            <w:r w:rsidR="00B17BAC"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vēlēšanu iecirkņu </w:t>
            </w:r>
            <w:r w:rsidR="00B17BAC">
              <w:rPr>
                <w:rFonts w:eastAsiaTheme="minorHAnsi"/>
                <w:sz w:val="26"/>
                <w:szCs w:val="26"/>
                <w:lang w:eastAsia="en-US"/>
              </w:rPr>
              <w:t xml:space="preserve">komisijām </w:t>
            </w:r>
            <w:r w:rsidR="00B17BAC" w:rsidRPr="0032120D">
              <w:rPr>
                <w:rFonts w:eastAsiaTheme="minorHAnsi"/>
                <w:sz w:val="26"/>
                <w:szCs w:val="26"/>
                <w:lang w:eastAsia="en-US"/>
              </w:rPr>
              <w:t>Latvijā un ārvalstīs</w:t>
            </w:r>
            <w:r w:rsidR="00B17BAC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2120D" w:rsidRDefault="00B17BAC" w:rsidP="00321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2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112 511 </w:t>
            </w:r>
            <w:proofErr w:type="spellStart"/>
            <w:r w:rsidRPr="000C703D">
              <w:rPr>
                <w:rFonts w:eastAsiaTheme="minorHAnsi"/>
                <w:i/>
                <w:sz w:val="26"/>
                <w:szCs w:val="26"/>
                <w:lang w:eastAsia="en-US"/>
              </w:rPr>
              <w:t>euro</w:t>
            </w:r>
            <w:proofErr w:type="spellEnd"/>
            <w:r w:rsidR="0032120D"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lai nodrošinātu ārvalstīs izveidoto vēlēšanu iecirkņu komisiju darbību (pasta un sakaru pakalpojumus, materiālu kopēšanu, kancelejas preču iegādei), speciālo zīmogu izgatavošanu aplokšņu apzīmogošanai balsu nodošanai glabāšanā,  transporta izdevum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us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balsošanas apkalpošanai</w:t>
            </w:r>
            <w:r w:rsidR="0032120D"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mā</w:t>
            </w:r>
            <w:r w:rsidR="00A310DC">
              <w:rPr>
                <w:rFonts w:eastAsiaTheme="minorHAnsi"/>
                <w:sz w:val="26"/>
                <w:szCs w:val="26"/>
                <w:lang w:eastAsia="en-US"/>
              </w:rPr>
              <w:t>jā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 xml:space="preserve">s, kā arī </w:t>
            </w:r>
            <w:r w:rsidR="0032120D" w:rsidRPr="0032120D">
              <w:rPr>
                <w:rFonts w:eastAsiaTheme="minorHAnsi"/>
                <w:sz w:val="26"/>
                <w:szCs w:val="26"/>
                <w:lang w:eastAsia="en-US"/>
              </w:rPr>
              <w:t>pri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ekšvēlēšanu programmu tulkojumu</w:t>
            </w:r>
            <w:r w:rsidR="00A310DC">
              <w:rPr>
                <w:rFonts w:eastAsiaTheme="minorHAnsi"/>
                <w:sz w:val="26"/>
                <w:szCs w:val="26"/>
                <w:lang w:eastAsia="en-US"/>
              </w:rPr>
              <w:t>s</w:t>
            </w:r>
            <w:r w:rsidR="0032120D"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nedzirdīgo valodā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437C3" w:rsidRPr="0032120D" w:rsidRDefault="005437C3" w:rsidP="00321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2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5 000 </w:t>
            </w:r>
            <w:proofErr w:type="spellStart"/>
            <w:r w:rsidRPr="000C703D">
              <w:rPr>
                <w:rFonts w:eastAsiaTheme="minorHAnsi"/>
                <w:i/>
                <w:sz w:val="26"/>
                <w:szCs w:val="26"/>
                <w:lang w:eastAsia="en-US"/>
              </w:rPr>
              <w:t>euro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servera iegādei, lai nomainītu šobrīd izmantojamo astoņus gadus veco serveri un tādējādi izvairītos no riska, ka tas nespēs kvalitatīvi darboties vēlēšanu laikā. </w:t>
            </w:r>
          </w:p>
          <w:p w:rsidR="0032120D" w:rsidRPr="0032120D" w:rsidRDefault="0032120D" w:rsidP="00321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2120D" w:rsidRPr="0032120D" w:rsidRDefault="0032120D" w:rsidP="00321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120D">
              <w:rPr>
                <w:rFonts w:eastAsiaTheme="minorHAnsi"/>
                <w:sz w:val="26"/>
                <w:szCs w:val="26"/>
                <w:lang w:eastAsia="en-US"/>
              </w:rPr>
              <w:t>Ņemot vērā</w:t>
            </w:r>
            <w:r w:rsidR="005437C3"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zem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o</w:t>
            </w:r>
            <w:r w:rsidR="005437C3"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vēlētāju aktivitāt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i</w:t>
            </w:r>
            <w:r w:rsidR="000C703D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5437C3"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Eiropas Parlamenta vēlēšanām netika izlietos plānotais finansējums atlīdzībai un transporta pakalpojumiem pašvaldību vēlēšanu </w:t>
            </w:r>
            <w:r w:rsidR="005437C3" w:rsidRPr="0032120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komisijās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attiecīgi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izveidoju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šos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37C3">
              <w:rPr>
                <w:rFonts w:eastAsiaTheme="minorHAnsi"/>
                <w:sz w:val="26"/>
                <w:szCs w:val="26"/>
                <w:lang w:eastAsia="en-US"/>
              </w:rPr>
              <w:t>līdzekļu ekonomiju ir iespējams novirzīt</w:t>
            </w: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Saeimas vēlēšanu nodrošināšanai.</w:t>
            </w:r>
          </w:p>
          <w:p w:rsidR="0032120D" w:rsidRPr="0032120D" w:rsidRDefault="0032120D" w:rsidP="00321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2120D" w:rsidRPr="0032120D" w:rsidRDefault="0032120D" w:rsidP="00321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Rīkojuma projekts paredz apropriācijas pārdali 235 345 </w:t>
            </w:r>
            <w:proofErr w:type="spellStart"/>
            <w:r w:rsidRPr="000C703D">
              <w:rPr>
                <w:rFonts w:eastAsiaTheme="minorHAnsi"/>
                <w:i/>
                <w:sz w:val="26"/>
                <w:szCs w:val="26"/>
                <w:lang w:eastAsia="en-US"/>
              </w:rPr>
              <w:t>euro</w:t>
            </w:r>
            <w:proofErr w:type="spellEnd"/>
            <w:r w:rsidRPr="0032120D">
              <w:rPr>
                <w:rFonts w:eastAsiaTheme="minorHAnsi"/>
                <w:sz w:val="26"/>
                <w:szCs w:val="26"/>
                <w:lang w:eastAsia="en-US"/>
              </w:rPr>
              <w:t xml:space="preserve"> apmērā starp Centrālās vēlēšanu komisijas budžeta programmu 05.00.00 "Eiropas Parlamenta vēlēšanas" un programmu 02.00.00 "Saeimas vēlēšanas"</w:t>
            </w:r>
          </w:p>
          <w:p w:rsidR="0032120D" w:rsidRPr="0032120D" w:rsidRDefault="0032120D" w:rsidP="00321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A7EE9" w:rsidRPr="006807F6" w:rsidTr="00A54AB7">
        <w:trPr>
          <w:trHeight w:val="476"/>
        </w:trPr>
        <w:tc>
          <w:tcPr>
            <w:tcW w:w="22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565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07" w:type="pct"/>
          </w:tcPr>
          <w:p w:rsidR="009A7EE9" w:rsidRPr="006807F6" w:rsidRDefault="009A7EE9" w:rsidP="009A7EE9">
            <w:pPr>
              <w:ind w:left="57" w:right="57"/>
              <w:rPr>
                <w:b/>
                <w:sz w:val="26"/>
                <w:szCs w:val="26"/>
              </w:rPr>
            </w:pPr>
            <w:r w:rsidRPr="006807F6">
              <w:rPr>
                <w:bCs/>
                <w:color w:val="000000"/>
                <w:sz w:val="26"/>
                <w:szCs w:val="26"/>
              </w:rPr>
              <w:t>Centrālā vēlēšanu komisija, Finanšu ministrija.</w:t>
            </w:r>
          </w:p>
        </w:tc>
      </w:tr>
      <w:tr w:rsidR="009A7EE9" w:rsidRPr="006807F6" w:rsidTr="00A54AB7">
        <w:tc>
          <w:tcPr>
            <w:tcW w:w="22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4.</w:t>
            </w:r>
          </w:p>
        </w:tc>
        <w:tc>
          <w:tcPr>
            <w:tcW w:w="1565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Cita informācija</w:t>
            </w:r>
          </w:p>
        </w:tc>
        <w:tc>
          <w:tcPr>
            <w:tcW w:w="320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Nav.</w:t>
            </w:r>
          </w:p>
        </w:tc>
      </w:tr>
    </w:tbl>
    <w:p w:rsidR="009A7EE9" w:rsidRDefault="009A7EE9" w:rsidP="009A7EE9">
      <w:pPr>
        <w:rPr>
          <w:sz w:val="26"/>
          <w:szCs w:val="26"/>
        </w:rPr>
      </w:pPr>
    </w:p>
    <w:p w:rsidR="009A7EE9" w:rsidRPr="006807F6" w:rsidRDefault="009A7EE9" w:rsidP="009A7EE9">
      <w:pPr>
        <w:rPr>
          <w:sz w:val="26"/>
          <w:szCs w:val="26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258"/>
        <w:gridCol w:w="1280"/>
        <w:gridCol w:w="1227"/>
        <w:gridCol w:w="1227"/>
        <w:gridCol w:w="1227"/>
      </w:tblGrid>
      <w:tr w:rsidR="009A7EE9" w:rsidRPr="006807F6" w:rsidTr="00A54AB7">
        <w:trPr>
          <w:trHeight w:val="361"/>
          <w:jc w:val="center"/>
        </w:trPr>
        <w:tc>
          <w:tcPr>
            <w:tcW w:w="9257" w:type="dxa"/>
            <w:gridSpan w:val="6"/>
            <w:vAlign w:val="center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br w:type="page"/>
            </w:r>
            <w:r w:rsidRPr="006807F6">
              <w:rPr>
                <w:b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 w:val="restart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6807F6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6807F6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3495" w:type="dxa"/>
            <w:gridSpan w:val="3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Turpmākie trīs gadi (</w:t>
            </w:r>
            <w:proofErr w:type="spellStart"/>
            <w:r w:rsidRPr="006807F6">
              <w:rPr>
                <w:i/>
                <w:sz w:val="26"/>
                <w:szCs w:val="26"/>
              </w:rPr>
              <w:t>euro</w:t>
            </w:r>
            <w:proofErr w:type="spellEnd"/>
            <w:r w:rsidRPr="006807F6">
              <w:rPr>
                <w:sz w:val="26"/>
                <w:szCs w:val="26"/>
              </w:rPr>
              <w:t>)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195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b/>
                <w:bCs/>
                <w:sz w:val="26"/>
                <w:szCs w:val="26"/>
              </w:rPr>
              <w:t>2017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287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195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izmaiņas, salīdzinot ar kārtējo (n) gadu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87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6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1.1. valsts pamatbudžets, tai skaitā ieņēmumi no maksas pakalpojumiem un citi pašu ieņēmumi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1.2. valsts speciālais budžets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 Budžeta izdevumi: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276" w:type="dxa"/>
            <w:shd w:val="clear" w:color="auto" w:fill="auto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276" w:type="dxa"/>
            <w:shd w:val="clear" w:color="auto" w:fill="auto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276" w:type="dxa"/>
            <w:shd w:val="clear" w:color="auto" w:fill="auto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 w:val="restart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76" w:type="dxa"/>
            <w:vMerge w:val="restart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X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lastRenderedPageBreak/>
              <w:t>5. Precizēta finansiālā ietekme:</w:t>
            </w:r>
          </w:p>
        </w:tc>
        <w:tc>
          <w:tcPr>
            <w:tcW w:w="1276" w:type="dxa"/>
            <w:vMerge w:val="restart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X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1276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1276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1276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trHeight w:val="1571"/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6. Detalizēts ieņēmumu un izdevumu aprēķins (ja nepie</w:t>
            </w:r>
            <w:r w:rsidRPr="006807F6">
              <w:rPr>
                <w:sz w:val="26"/>
                <w:szCs w:val="26"/>
              </w:rPr>
              <w:softHyphen/>
              <w:t>ciešams, detalizētu ieņēmumu un izdevumu aprēķinu var pie</w:t>
            </w:r>
            <w:r w:rsidRPr="006807F6">
              <w:rPr>
                <w:sz w:val="26"/>
                <w:szCs w:val="26"/>
              </w:rPr>
              <w:softHyphen/>
              <w:t>vienot anotācijas pielikumā):</w:t>
            </w:r>
          </w:p>
        </w:tc>
        <w:tc>
          <w:tcPr>
            <w:tcW w:w="6058" w:type="dxa"/>
            <w:gridSpan w:val="5"/>
            <w:vMerge w:val="restart"/>
            <w:vAlign w:val="center"/>
          </w:tcPr>
          <w:p w:rsidR="009A7EE9" w:rsidRPr="006807F6" w:rsidRDefault="009A7EE9" w:rsidP="009A7EE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6.1. detalizēts ieņēmumu aprēķins</w:t>
            </w:r>
          </w:p>
        </w:tc>
        <w:tc>
          <w:tcPr>
            <w:tcW w:w="6058" w:type="dxa"/>
            <w:gridSpan w:val="5"/>
            <w:vMerge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6058" w:type="dxa"/>
            <w:gridSpan w:val="5"/>
            <w:vMerge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7. Cita informācija</w:t>
            </w:r>
          </w:p>
        </w:tc>
        <w:tc>
          <w:tcPr>
            <w:tcW w:w="6058" w:type="dxa"/>
            <w:gridSpan w:val="5"/>
          </w:tcPr>
          <w:p w:rsidR="009A7EE9" w:rsidRPr="005437C3" w:rsidRDefault="005437C3" w:rsidP="000C703D">
            <w:pPr>
              <w:pStyle w:val="naisf"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  <w:r w:rsidRPr="005437C3">
              <w:rPr>
                <w:sz w:val="26"/>
                <w:szCs w:val="26"/>
              </w:rPr>
              <w:t xml:space="preserve">Finansējums tiks pārdalīts </w:t>
            </w:r>
            <w:r>
              <w:rPr>
                <w:sz w:val="26"/>
                <w:szCs w:val="26"/>
              </w:rPr>
              <w:t>Centrālās vēlēšanu komisijas</w:t>
            </w:r>
            <w:r w:rsidRPr="005437C3">
              <w:rPr>
                <w:sz w:val="26"/>
                <w:szCs w:val="26"/>
              </w:rPr>
              <w:t xml:space="preserve"> budžeta ietvaros, samazinot izdevumus </w:t>
            </w:r>
            <w:r>
              <w:rPr>
                <w:sz w:val="26"/>
                <w:szCs w:val="26"/>
              </w:rPr>
              <w:t>235 345</w:t>
            </w:r>
            <w:r w:rsidRPr="005437C3">
              <w:rPr>
                <w:sz w:val="26"/>
                <w:szCs w:val="26"/>
              </w:rPr>
              <w:t xml:space="preserve"> </w:t>
            </w:r>
            <w:proofErr w:type="spellStart"/>
            <w:r w:rsidRPr="005437C3">
              <w:rPr>
                <w:i/>
                <w:iCs/>
                <w:sz w:val="26"/>
                <w:szCs w:val="26"/>
              </w:rPr>
              <w:t>euro</w:t>
            </w:r>
            <w:proofErr w:type="spellEnd"/>
            <w:r>
              <w:rPr>
                <w:sz w:val="26"/>
                <w:szCs w:val="26"/>
              </w:rPr>
              <w:t xml:space="preserve"> apmērā budžeta programmā 05</w:t>
            </w:r>
            <w:r w:rsidRPr="005437C3">
              <w:rPr>
                <w:sz w:val="26"/>
                <w:szCs w:val="26"/>
              </w:rPr>
              <w:t>.00.00 „</w:t>
            </w:r>
            <w:r>
              <w:rPr>
                <w:sz w:val="26"/>
                <w:szCs w:val="26"/>
              </w:rPr>
              <w:t>Eiropas parlamenta vēlēšanas</w:t>
            </w:r>
            <w:r w:rsidRPr="005437C3">
              <w:rPr>
                <w:sz w:val="26"/>
                <w:szCs w:val="26"/>
              </w:rPr>
              <w:t>” un attiecīgi palielino</w:t>
            </w:r>
            <w:r>
              <w:rPr>
                <w:sz w:val="26"/>
                <w:szCs w:val="26"/>
              </w:rPr>
              <w:t>t izdevumus budžeta programmā 02</w:t>
            </w:r>
            <w:r w:rsidRPr="005437C3">
              <w:rPr>
                <w:sz w:val="26"/>
                <w:szCs w:val="26"/>
              </w:rPr>
              <w:t>.00.00„</w:t>
            </w:r>
            <w:r>
              <w:rPr>
                <w:sz w:val="26"/>
                <w:szCs w:val="26"/>
              </w:rPr>
              <w:t>Saeimas vēlēšanas”</w:t>
            </w:r>
            <w:r w:rsidRPr="005437C3">
              <w:rPr>
                <w:sz w:val="26"/>
                <w:szCs w:val="26"/>
              </w:rPr>
              <w:t>.</w:t>
            </w:r>
          </w:p>
        </w:tc>
      </w:tr>
    </w:tbl>
    <w:p w:rsidR="009A7EE9" w:rsidRPr="006807F6" w:rsidRDefault="009A7EE9" w:rsidP="009A7EE9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9A7EE9" w:rsidRPr="006807F6" w:rsidRDefault="009A7EE9" w:rsidP="009A7EE9">
      <w:pPr>
        <w:pStyle w:val="naisf"/>
        <w:spacing w:before="0" w:beforeAutospacing="0" w:after="0" w:afterAutospacing="0"/>
        <w:rPr>
          <w:sz w:val="26"/>
          <w:szCs w:val="26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244"/>
      </w:tblGrid>
      <w:tr w:rsidR="009A7EE9" w:rsidRPr="006807F6" w:rsidTr="00A54AB7">
        <w:trPr>
          <w:trHeight w:val="381"/>
          <w:jc w:val="center"/>
        </w:trPr>
        <w:tc>
          <w:tcPr>
            <w:tcW w:w="9296" w:type="dxa"/>
            <w:gridSpan w:val="3"/>
            <w:vAlign w:val="center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9A7EE9" w:rsidRPr="006807F6" w:rsidTr="00A54AB7">
        <w:trPr>
          <w:trHeight w:val="427"/>
          <w:jc w:val="center"/>
        </w:trPr>
        <w:tc>
          <w:tcPr>
            <w:tcW w:w="437" w:type="dxa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244" w:type="dxa"/>
          </w:tcPr>
          <w:p w:rsidR="009A7EE9" w:rsidRPr="006807F6" w:rsidRDefault="009A7EE9" w:rsidP="009A7EE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807F6">
              <w:rPr>
                <w:bCs/>
                <w:color w:val="000000"/>
                <w:sz w:val="26"/>
                <w:szCs w:val="26"/>
              </w:rPr>
              <w:t>Centrālā vēlēšanu komisija, Finanšu ministrija.</w:t>
            </w:r>
          </w:p>
        </w:tc>
      </w:tr>
      <w:tr w:rsidR="009A7EE9" w:rsidRPr="006807F6" w:rsidTr="00A54AB7">
        <w:trPr>
          <w:trHeight w:val="463"/>
          <w:jc w:val="center"/>
        </w:trPr>
        <w:tc>
          <w:tcPr>
            <w:tcW w:w="437" w:type="dxa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Projekta izpildes ietekme uz pār</w:t>
            </w:r>
            <w:r w:rsidRPr="006807F6">
              <w:rPr>
                <w:sz w:val="26"/>
                <w:szCs w:val="26"/>
              </w:rPr>
              <w:softHyphen/>
              <w:t>valdes funkcijām un institucionālo struktūru.</w:t>
            </w:r>
          </w:p>
          <w:p w:rsidR="009A7EE9" w:rsidRPr="006807F6" w:rsidRDefault="009A7EE9" w:rsidP="009A7EE9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Jaunu institūciju izveide, esošu institūciju likvidācija vai reorga</w:t>
            </w:r>
            <w:r w:rsidRPr="006807F6">
              <w:rPr>
                <w:sz w:val="26"/>
                <w:szCs w:val="26"/>
              </w:rPr>
              <w:softHyphen/>
              <w:t>nizācija, to ietekme uz institūcijas cilvēkresursiem.</w:t>
            </w:r>
          </w:p>
        </w:tc>
        <w:tc>
          <w:tcPr>
            <w:tcW w:w="5244" w:type="dxa"/>
          </w:tcPr>
          <w:p w:rsidR="009A7EE9" w:rsidRPr="006807F6" w:rsidRDefault="009A7EE9" w:rsidP="009A7EE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Projekts šo jomu neskar.</w:t>
            </w:r>
          </w:p>
          <w:p w:rsidR="009A7EE9" w:rsidRPr="006807F6" w:rsidRDefault="009A7EE9" w:rsidP="009A7EE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Cita informācija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6807F6" w:rsidRDefault="009A7EE9" w:rsidP="009A7EE9">
            <w:pPr>
              <w:ind w:left="57" w:right="57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Nav.</w:t>
            </w:r>
          </w:p>
        </w:tc>
      </w:tr>
    </w:tbl>
    <w:p w:rsidR="009A7EE9" w:rsidRPr="006807F6" w:rsidRDefault="009A7EE9" w:rsidP="009A7EE9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9A7EE9" w:rsidRPr="006807F6" w:rsidRDefault="009A7EE9" w:rsidP="009A7EE9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9A7EE9" w:rsidRPr="00584E72" w:rsidRDefault="009A7EE9" w:rsidP="009A7EE9">
      <w:pPr>
        <w:pStyle w:val="naisf"/>
        <w:spacing w:before="0" w:beforeAutospacing="0" w:after="0" w:afterAutospacing="0"/>
        <w:rPr>
          <w:i/>
          <w:sz w:val="26"/>
          <w:szCs w:val="26"/>
        </w:rPr>
      </w:pPr>
      <w:r w:rsidRPr="00584E72">
        <w:rPr>
          <w:i/>
          <w:sz w:val="26"/>
          <w:szCs w:val="26"/>
        </w:rPr>
        <w:t xml:space="preserve">Anotācijas II, IV, V, </w:t>
      </w:r>
      <w:r w:rsidRPr="00584E72">
        <w:rPr>
          <w:bCs/>
          <w:i/>
          <w:sz w:val="26"/>
          <w:szCs w:val="26"/>
        </w:rPr>
        <w:t xml:space="preserve">VI </w:t>
      </w:r>
      <w:r w:rsidRPr="00584E72">
        <w:rPr>
          <w:i/>
          <w:sz w:val="26"/>
          <w:szCs w:val="26"/>
        </w:rPr>
        <w:t>sadaļa – projekts šīs jomas neskar.</w:t>
      </w:r>
    </w:p>
    <w:p w:rsidR="009A7EE9" w:rsidRPr="006807F6" w:rsidRDefault="009A7EE9" w:rsidP="009A7EE9">
      <w:pPr>
        <w:ind w:left="283" w:firstLine="437"/>
        <w:rPr>
          <w:sz w:val="26"/>
          <w:szCs w:val="26"/>
        </w:rPr>
      </w:pPr>
    </w:p>
    <w:p w:rsidR="009A7EE9" w:rsidRPr="006807F6" w:rsidRDefault="009A7EE9" w:rsidP="009A7EE9">
      <w:pPr>
        <w:ind w:left="283" w:firstLine="437"/>
        <w:rPr>
          <w:sz w:val="26"/>
          <w:szCs w:val="26"/>
        </w:rPr>
      </w:pPr>
    </w:p>
    <w:p w:rsidR="009A7EE9" w:rsidRPr="006807F6" w:rsidRDefault="009A7EE9" w:rsidP="009A7EE9">
      <w:pPr>
        <w:ind w:left="283" w:firstLine="437"/>
        <w:rPr>
          <w:sz w:val="26"/>
          <w:szCs w:val="26"/>
        </w:rPr>
      </w:pPr>
    </w:p>
    <w:p w:rsidR="0099499C" w:rsidRDefault="0099499C" w:rsidP="009A7EE9">
      <w:pPr>
        <w:pStyle w:val="naisf"/>
        <w:spacing w:before="0" w:beforeAutospacing="0" w:after="0" w:afterAutospacing="0"/>
        <w:ind w:left="57" w:right="57"/>
        <w:rPr>
          <w:sz w:val="26"/>
          <w:szCs w:val="26"/>
        </w:rPr>
      </w:pPr>
      <w:r>
        <w:rPr>
          <w:sz w:val="26"/>
          <w:szCs w:val="26"/>
        </w:rPr>
        <w:t>Finanšu ministra vietā –</w:t>
      </w:r>
    </w:p>
    <w:p w:rsidR="009A7EE9" w:rsidRPr="006807F6" w:rsidRDefault="00AA1528" w:rsidP="009A7EE9">
      <w:pPr>
        <w:pStyle w:val="naisf"/>
        <w:spacing w:before="0" w:beforeAutospacing="0" w:after="0" w:afterAutospacing="0"/>
        <w:ind w:left="57" w:right="57"/>
        <w:rPr>
          <w:sz w:val="26"/>
          <w:szCs w:val="26"/>
        </w:rPr>
      </w:pPr>
      <w:r>
        <w:rPr>
          <w:sz w:val="26"/>
          <w:szCs w:val="26"/>
        </w:rPr>
        <w:t>ārlietu</w:t>
      </w:r>
      <w:r w:rsidR="0099499C">
        <w:rPr>
          <w:sz w:val="26"/>
          <w:szCs w:val="26"/>
        </w:rPr>
        <w:t xml:space="preserve"> ministrs                                                                      </w:t>
      </w:r>
      <w:bookmarkStart w:id="0" w:name="_GoBack"/>
      <w:bookmarkEnd w:id="0"/>
      <w:r w:rsidR="0099499C">
        <w:rPr>
          <w:sz w:val="26"/>
          <w:szCs w:val="26"/>
        </w:rPr>
        <w:t xml:space="preserve">       </w:t>
      </w:r>
      <w:r w:rsidR="0099499C" w:rsidRPr="009949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E.Rinkēvičs</w:t>
      </w:r>
      <w:proofErr w:type="spellEnd"/>
      <w:r w:rsidR="009A7EE9" w:rsidRPr="006807F6">
        <w:rPr>
          <w:sz w:val="26"/>
          <w:szCs w:val="26"/>
        </w:rPr>
        <w:tab/>
        <w:t xml:space="preserve">                                                    </w:t>
      </w:r>
      <w:r w:rsidR="0099499C">
        <w:rPr>
          <w:sz w:val="26"/>
          <w:szCs w:val="26"/>
        </w:rPr>
        <w:t xml:space="preserve">                            </w:t>
      </w:r>
      <w:r w:rsidR="009A7EE9" w:rsidRPr="006807F6">
        <w:rPr>
          <w:sz w:val="26"/>
          <w:szCs w:val="26"/>
        </w:rPr>
        <w:tab/>
      </w:r>
    </w:p>
    <w:p w:rsidR="009A7EE9" w:rsidRPr="00BC3FCD" w:rsidRDefault="009A7EE9" w:rsidP="009A7EE9">
      <w:pPr>
        <w:pStyle w:val="BodyText"/>
        <w:jc w:val="both"/>
        <w:rPr>
          <w:sz w:val="24"/>
        </w:rPr>
      </w:pPr>
    </w:p>
    <w:p w:rsidR="000C703D" w:rsidRPr="00BC3FCD" w:rsidRDefault="0099499C" w:rsidP="000C703D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11</w:t>
      </w:r>
      <w:r w:rsidR="000C703D" w:rsidRPr="00F26FEB">
        <w:rPr>
          <w:sz w:val="20"/>
          <w:szCs w:val="20"/>
        </w:rPr>
        <w:t>.</w:t>
      </w:r>
      <w:r>
        <w:rPr>
          <w:sz w:val="20"/>
          <w:szCs w:val="20"/>
        </w:rPr>
        <w:t>09.2014. 13</w:t>
      </w:r>
      <w:r w:rsidR="000C703D">
        <w:rPr>
          <w:sz w:val="20"/>
          <w:szCs w:val="20"/>
        </w:rPr>
        <w:t>:</w:t>
      </w:r>
      <w:r w:rsidR="00A310DC">
        <w:rPr>
          <w:sz w:val="20"/>
          <w:szCs w:val="20"/>
        </w:rPr>
        <w:t>45</w:t>
      </w:r>
    </w:p>
    <w:p w:rsidR="000C703D" w:rsidRPr="00BC3FCD" w:rsidRDefault="0099499C" w:rsidP="000C703D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650</w:t>
      </w:r>
    </w:p>
    <w:p w:rsidR="000C703D" w:rsidRPr="00BC3FCD" w:rsidRDefault="000C703D" w:rsidP="000C703D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Elīna </w:t>
      </w:r>
      <w:r w:rsidRPr="00BC3FCD">
        <w:rPr>
          <w:sz w:val="20"/>
          <w:szCs w:val="20"/>
        </w:rPr>
        <w:t xml:space="preserve">Kobzeva </w:t>
      </w:r>
    </w:p>
    <w:p w:rsidR="000C703D" w:rsidRPr="00626BC3" w:rsidRDefault="000C703D" w:rsidP="000C703D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6</w:t>
      </w:r>
      <w:r w:rsidRPr="00BC3FCD">
        <w:rPr>
          <w:sz w:val="20"/>
          <w:szCs w:val="20"/>
        </w:rPr>
        <w:t xml:space="preserve">7083885; </w:t>
      </w:r>
      <w:hyperlink r:id="rId7" w:history="1">
        <w:r w:rsidRPr="00BC3FCD">
          <w:rPr>
            <w:rStyle w:val="Hyperlink"/>
            <w:sz w:val="20"/>
            <w:szCs w:val="20"/>
          </w:rPr>
          <w:t>Elina.Kobzeva@fm.gov.lv</w:t>
        </w:r>
      </w:hyperlink>
    </w:p>
    <w:p w:rsidR="002204E8" w:rsidRDefault="002204E8" w:rsidP="000C703D">
      <w:pPr>
        <w:pStyle w:val="BodyText"/>
        <w:jc w:val="left"/>
      </w:pPr>
    </w:p>
    <w:sectPr w:rsidR="002204E8" w:rsidSect="009A7EE9">
      <w:footerReference w:type="default" r:id="rId8"/>
      <w:pgSz w:w="11906" w:h="16838"/>
      <w:pgMar w:top="993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E9" w:rsidRDefault="009A7EE9" w:rsidP="009A7EE9">
      <w:r>
        <w:separator/>
      </w:r>
    </w:p>
  </w:endnote>
  <w:endnote w:type="continuationSeparator" w:id="0">
    <w:p w:rsidR="009A7EE9" w:rsidRDefault="009A7EE9" w:rsidP="009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4D" w:rsidRPr="002A4B44" w:rsidRDefault="0099499C">
    <w:pPr>
      <w:pStyle w:val="Footer"/>
      <w:rPr>
        <w:sz w:val="20"/>
        <w:szCs w:val="20"/>
      </w:rPr>
    </w:pPr>
    <w:r>
      <w:rPr>
        <w:sz w:val="20"/>
        <w:szCs w:val="20"/>
      </w:rPr>
      <w:t>FMAnot_11</w:t>
    </w:r>
    <w:r w:rsidR="000C703D">
      <w:rPr>
        <w:sz w:val="20"/>
        <w:szCs w:val="20"/>
      </w:rPr>
      <w:t>09</w:t>
    </w:r>
    <w:r w:rsidR="000C703D" w:rsidRPr="00BC0C53">
      <w:rPr>
        <w:sz w:val="20"/>
        <w:szCs w:val="20"/>
      </w:rPr>
      <w:t>1</w:t>
    </w:r>
    <w:r w:rsidR="000C703D">
      <w:rPr>
        <w:sz w:val="20"/>
        <w:szCs w:val="20"/>
      </w:rPr>
      <w:t>4</w:t>
    </w:r>
    <w:r w:rsidR="000C703D" w:rsidRPr="00F43C80">
      <w:rPr>
        <w:sz w:val="20"/>
        <w:szCs w:val="20"/>
      </w:rPr>
      <w:t>;</w:t>
    </w:r>
    <w:r w:rsidR="000C703D">
      <w:rPr>
        <w:sz w:val="20"/>
        <w:szCs w:val="20"/>
      </w:rPr>
      <w:t xml:space="preserve"> </w:t>
    </w:r>
    <w:r w:rsidR="000C703D" w:rsidRPr="00E65A72">
      <w:rPr>
        <w:sz w:val="20"/>
        <w:szCs w:val="20"/>
      </w:rPr>
      <w:t xml:space="preserve">Ministru kabineta rīkojuma </w:t>
    </w:r>
    <w:r w:rsidR="000C703D">
      <w:rPr>
        <w:sz w:val="20"/>
        <w:szCs w:val="20"/>
      </w:rPr>
      <w:t>projekta</w:t>
    </w:r>
    <w:r w:rsidR="000C703D" w:rsidRPr="006033B7">
      <w:rPr>
        <w:sz w:val="20"/>
        <w:szCs w:val="20"/>
      </w:rPr>
      <w:t xml:space="preserve"> „</w:t>
    </w:r>
    <w:r w:rsidR="000C703D" w:rsidRPr="006033B7">
      <w:rPr>
        <w:sz w:val="18"/>
        <w:szCs w:val="18"/>
      </w:rPr>
      <w:t xml:space="preserve">Par apropriācijas pārdali starp </w:t>
    </w:r>
    <w:r w:rsidR="000C703D">
      <w:rPr>
        <w:sz w:val="18"/>
        <w:szCs w:val="18"/>
      </w:rPr>
      <w:t>Centrālās vēlēšanu komisijas</w:t>
    </w:r>
    <w:r w:rsidR="000C703D" w:rsidRPr="006033B7">
      <w:rPr>
        <w:sz w:val="18"/>
        <w:szCs w:val="18"/>
      </w:rPr>
      <w:t xml:space="preserve"> budžeta programmām”</w:t>
    </w:r>
    <w:r w:rsidR="000C703D">
      <w:rPr>
        <w:sz w:val="18"/>
        <w:szCs w:val="18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E9" w:rsidRDefault="009A7EE9" w:rsidP="009A7EE9">
      <w:r>
        <w:separator/>
      </w:r>
    </w:p>
  </w:footnote>
  <w:footnote w:type="continuationSeparator" w:id="0">
    <w:p w:rsidR="009A7EE9" w:rsidRDefault="009A7EE9" w:rsidP="009A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14B55F3"/>
    <w:multiLevelType w:val="hybridMultilevel"/>
    <w:tmpl w:val="4AB684FE"/>
    <w:lvl w:ilvl="0" w:tplc="0426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3794730D"/>
    <w:multiLevelType w:val="hybridMultilevel"/>
    <w:tmpl w:val="FF646ABE"/>
    <w:lvl w:ilvl="0" w:tplc="0426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28"/>
    <w:rsid w:val="000C703D"/>
    <w:rsid w:val="002204E8"/>
    <w:rsid w:val="0032120D"/>
    <w:rsid w:val="005437C3"/>
    <w:rsid w:val="0099499C"/>
    <w:rsid w:val="009A7EE9"/>
    <w:rsid w:val="00A310DC"/>
    <w:rsid w:val="00AA1528"/>
    <w:rsid w:val="00B17BAC"/>
    <w:rsid w:val="00B61A29"/>
    <w:rsid w:val="00F32B28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C429-3305-472F-9C79-4996D4D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A7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2B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2B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3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A7EE9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A7EE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9A7EE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9A7EE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EE9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A7EE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0C7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2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a.Kobzev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apropriācijas pārdali starp Centrālās vēlēšanu komisijas budžeta programmām” sākotnējās ietekmes novērtējuma ziņojums (anotācija)</vt:lpstr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apropriācijas pārdali starp Centrālās vēlēšanu komisijas budžeta programmām” sākotnējās ietekmes novērtējuma ziņojums (anotācija)</dc:title>
  <dc:subject>Anotācija</dc:subject>
  <dc:creator>Elīna Kobzeva</dc:creator>
  <cp:keywords/>
  <dc:description>Elina.Kobzeva@fm.gov.lv
67083885</dc:description>
  <cp:lastModifiedBy>Elīna Kobzeva</cp:lastModifiedBy>
  <cp:revision>5</cp:revision>
  <cp:lastPrinted>2014-09-11T13:24:00Z</cp:lastPrinted>
  <dcterms:created xsi:type="dcterms:W3CDTF">2014-09-08T08:28:00Z</dcterms:created>
  <dcterms:modified xsi:type="dcterms:W3CDTF">2014-09-11T13:24:00Z</dcterms:modified>
</cp:coreProperties>
</file>