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426" w:type="dxa"/>
        <w:shd w:val="clear" w:color="auto" w:fill="FFFFFF"/>
        <w:tblCellMar>
          <w:left w:w="0" w:type="dxa"/>
          <w:right w:w="0" w:type="dxa"/>
        </w:tblCellMar>
        <w:tblLook w:val="04A0" w:firstRow="1" w:lastRow="0" w:firstColumn="1" w:lastColumn="0" w:noHBand="0" w:noVBand="1"/>
      </w:tblPr>
      <w:tblGrid>
        <w:gridCol w:w="9215"/>
      </w:tblGrid>
      <w:tr w:rsidR="00882930" w:rsidRPr="00882930" w:rsidTr="006C72FC">
        <w:tc>
          <w:tcPr>
            <w:tcW w:w="9215" w:type="dxa"/>
            <w:shd w:val="clear" w:color="auto" w:fill="FFFFFF"/>
            <w:hideMark/>
          </w:tcPr>
          <w:p w:rsidR="006C72FC" w:rsidRPr="00882930" w:rsidRDefault="00B75596" w:rsidP="00B75596">
            <w:pPr>
              <w:shd w:val="clear" w:color="auto" w:fill="FFFFFF"/>
              <w:jc w:val="center"/>
              <w:rPr>
                <w:rFonts w:ascii="Times New Roman" w:hAnsi="Times New Roman" w:cs="Times New Roman"/>
                <w:sz w:val="28"/>
                <w:szCs w:val="28"/>
              </w:rPr>
            </w:pPr>
            <w:r w:rsidRPr="00882930">
              <w:rPr>
                <w:rFonts w:ascii="Times New Roman" w:hAnsi="Times New Roman" w:cs="Times New Roman"/>
                <w:b/>
                <w:bCs/>
                <w:sz w:val="28"/>
                <w:szCs w:val="28"/>
              </w:rPr>
              <w:t>Likumprojekta</w:t>
            </w:r>
            <w:r w:rsidRPr="00882930">
              <w:rPr>
                <w:rFonts w:ascii="Times New Roman" w:hAnsi="Times New Roman" w:cs="Times New Roman"/>
                <w:sz w:val="28"/>
                <w:szCs w:val="28"/>
              </w:rPr>
              <w:t xml:space="preserve"> </w:t>
            </w:r>
            <w:bookmarkStart w:id="0" w:name="_GoBack"/>
            <w:r w:rsidRPr="00882930">
              <w:rPr>
                <w:rFonts w:ascii="Times New Roman" w:hAnsi="Times New Roman" w:cs="Times New Roman"/>
                <w:b/>
                <w:bCs/>
                <w:sz w:val="28"/>
                <w:szCs w:val="28"/>
              </w:rPr>
              <w:t>"Grozījumi Finanšu instrumentu tirgus likumā"</w:t>
            </w:r>
            <w:bookmarkEnd w:id="0"/>
            <w:r w:rsidRPr="00882930">
              <w:rPr>
                <w:rFonts w:ascii="Times New Roman" w:hAnsi="Times New Roman" w:cs="Times New Roman"/>
                <w:b/>
                <w:bCs/>
                <w:sz w:val="28"/>
                <w:szCs w:val="28"/>
              </w:rPr>
              <w:t xml:space="preserve"> sākotnējās ietekmes novērtējuma ziņojums</w:t>
            </w:r>
            <w:r w:rsidRPr="00882930">
              <w:rPr>
                <w:rFonts w:ascii="Times New Roman" w:hAnsi="Times New Roman" w:cs="Times New Roman"/>
                <w:sz w:val="28"/>
                <w:szCs w:val="28"/>
              </w:rPr>
              <w:t xml:space="preserve"> </w:t>
            </w:r>
            <w:r w:rsidRPr="00882930">
              <w:rPr>
                <w:rFonts w:ascii="Times New Roman" w:hAnsi="Times New Roman" w:cs="Times New Roman"/>
                <w:b/>
                <w:bCs/>
                <w:sz w:val="28"/>
                <w:szCs w:val="28"/>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0"/>
              <w:gridCol w:w="2587"/>
              <w:gridCol w:w="5622"/>
            </w:tblGrid>
            <w:tr w:rsidR="00882930" w:rsidRPr="00882930" w:rsidTr="006C72FC">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C72FC" w:rsidRPr="00882930" w:rsidRDefault="006C72FC" w:rsidP="006C72FC">
                  <w:pPr>
                    <w:spacing w:before="100" w:beforeAutospacing="1" w:after="100" w:afterAutospacing="1" w:line="265" w:lineRule="atLeast"/>
                    <w:jc w:val="center"/>
                    <w:rPr>
                      <w:rFonts w:ascii="Times New Roman" w:eastAsia="Times New Roman" w:hAnsi="Times New Roman" w:cs="Times New Roman"/>
                      <w:b/>
                      <w:bCs/>
                      <w:sz w:val="28"/>
                      <w:szCs w:val="28"/>
                      <w:lang w:eastAsia="lv-LV"/>
                    </w:rPr>
                  </w:pPr>
                  <w:r w:rsidRPr="00882930">
                    <w:rPr>
                      <w:rFonts w:ascii="Times New Roman" w:eastAsia="Times New Roman" w:hAnsi="Times New Roman" w:cs="Times New Roman"/>
                      <w:b/>
                      <w:bCs/>
                      <w:sz w:val="28"/>
                      <w:szCs w:val="28"/>
                      <w:lang w:eastAsia="lv-LV"/>
                    </w:rPr>
                    <w:t>I. Tiesību akta projekta izstrādes nepieciešamība</w:t>
                  </w:r>
                </w:p>
              </w:tc>
            </w:tr>
            <w:tr w:rsidR="00882930" w:rsidRPr="00882930" w:rsidTr="006C72FC">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C72FC" w:rsidRPr="00882930" w:rsidRDefault="00D16F0F" w:rsidP="006C72FC">
                  <w:pPr>
                    <w:spacing w:before="100" w:beforeAutospacing="1" w:after="100" w:afterAutospacing="1" w:line="265" w:lineRule="atLeast"/>
                    <w:jc w:val="center"/>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ab/>
                  </w:r>
                  <w:r w:rsidRPr="00882930">
                    <w:rPr>
                      <w:rFonts w:ascii="Times New Roman" w:eastAsia="Times New Roman" w:hAnsi="Times New Roman" w:cs="Times New Roman"/>
                      <w:sz w:val="28"/>
                      <w:szCs w:val="28"/>
                      <w:lang w:eastAsia="lv-LV"/>
                    </w:rPr>
                    <w:tab/>
                  </w:r>
                  <w:r w:rsidR="006C72FC" w:rsidRPr="00882930">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D16F0F" w:rsidRPr="00882930" w:rsidRDefault="006C72FC" w:rsidP="006C72FC">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Pamatojums</w:t>
                  </w: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6C72FC" w:rsidRPr="00882930" w:rsidRDefault="006C72FC" w:rsidP="00D16F0F">
                  <w:pPr>
                    <w:jc w:val="center"/>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7F4B04" w:rsidRPr="00882930" w:rsidRDefault="007F4B04" w:rsidP="007F4B04">
                  <w:pPr>
                    <w:pStyle w:val="default"/>
                    <w:numPr>
                      <w:ilvl w:val="0"/>
                      <w:numId w:val="1"/>
                    </w:numPr>
                    <w:shd w:val="clear" w:color="auto" w:fill="FFFFFF"/>
                    <w:spacing w:before="0" w:beforeAutospacing="0" w:after="0" w:afterAutospacing="0"/>
                    <w:ind w:right="15"/>
                    <w:jc w:val="both"/>
                    <w:rPr>
                      <w:sz w:val="28"/>
                      <w:szCs w:val="28"/>
                    </w:rPr>
                  </w:pPr>
                  <w:r w:rsidRPr="00882930">
                    <w:rPr>
                      <w:sz w:val="28"/>
                      <w:szCs w:val="28"/>
                    </w:rPr>
                    <w:t xml:space="preserve">Likumprojekts "Grozījumi Finanšu instrumentu tirgus likumā" (turpmāk - Likumprojekts) izstrādāts, lai </w:t>
                  </w:r>
                  <w:r w:rsidRPr="00882930">
                    <w:rPr>
                      <w:sz w:val="28"/>
                      <w:szCs w:val="28"/>
                      <w:shd w:val="clear" w:color="auto" w:fill="FFFFFF"/>
                    </w:rPr>
                    <w:t xml:space="preserve">nacionālajos normatīvajos </w:t>
                  </w:r>
                  <w:r w:rsidR="00A65FC4" w:rsidRPr="00882930">
                    <w:rPr>
                      <w:sz w:val="28"/>
                      <w:szCs w:val="28"/>
                      <w:shd w:val="clear" w:color="auto" w:fill="FFFFFF"/>
                    </w:rPr>
                    <w:t>ieviestu</w:t>
                  </w:r>
                  <w:r w:rsidRPr="00882930">
                    <w:rPr>
                      <w:sz w:val="28"/>
                      <w:szCs w:val="28"/>
                      <w:shd w:val="clear" w:color="auto" w:fill="FFFFFF"/>
                    </w:rPr>
                    <w:t xml:space="preserve"> </w:t>
                  </w:r>
                  <w:r w:rsidR="00A65FC4" w:rsidRPr="00882930">
                    <w:rPr>
                      <w:sz w:val="28"/>
                      <w:szCs w:val="28"/>
                      <w:shd w:val="clear" w:color="auto" w:fill="FFFFFF"/>
                    </w:rPr>
                    <w:t>prasības</w:t>
                  </w:r>
                  <w:r w:rsidRPr="00882930">
                    <w:rPr>
                      <w:sz w:val="28"/>
                      <w:szCs w:val="28"/>
                    </w:rPr>
                    <w:t xml:space="preserve">, kas noteiktas </w:t>
                  </w:r>
                  <w:r w:rsidRPr="00882930">
                    <w:rPr>
                      <w:i/>
                      <w:sz w:val="28"/>
                      <w:szCs w:val="28"/>
                    </w:rPr>
                    <w:t>Eiropas Parlamenta un Padomes 2014.gada 15.maija direktīvā</w:t>
                  </w:r>
                  <w:r w:rsidRPr="00882930">
                    <w:rPr>
                      <w:rStyle w:val="apple-converted-space"/>
                      <w:i/>
                      <w:sz w:val="28"/>
                      <w:szCs w:val="28"/>
                    </w:rPr>
                    <w:t> </w:t>
                  </w:r>
                  <w:hyperlink r:id="rId7" w:tgtFrame="_blank" w:history="1">
                    <w:r w:rsidRPr="00882930">
                      <w:rPr>
                        <w:rStyle w:val="Hyperlink"/>
                        <w:i/>
                        <w:color w:val="auto"/>
                        <w:sz w:val="28"/>
                        <w:szCs w:val="28"/>
                      </w:rPr>
                      <w:t>2014/59/ES</w:t>
                    </w:r>
                  </w:hyperlink>
                  <w:r w:rsidRPr="00882930">
                    <w:rPr>
                      <w:rStyle w:val="apple-converted-space"/>
                      <w:i/>
                      <w:sz w:val="28"/>
                      <w:szCs w:val="28"/>
                    </w:rPr>
                    <w:t xml:space="preserve">, </w:t>
                  </w:r>
                  <w:r w:rsidRPr="00882930">
                    <w:rPr>
                      <w:bCs/>
                      <w:i/>
                      <w:sz w:val="28"/>
                      <w:szCs w:val="28"/>
                    </w:rPr>
                    <w:t>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w:t>
                  </w:r>
                  <w:r w:rsidRPr="00882930">
                    <w:rPr>
                      <w:i/>
                      <w:sz w:val="28"/>
                      <w:szCs w:val="28"/>
                    </w:rPr>
                    <w:t xml:space="preserve"> (</w:t>
                  </w:r>
                  <w:r w:rsidR="002242CF" w:rsidRPr="00882930">
                    <w:rPr>
                      <w:i/>
                      <w:sz w:val="28"/>
                      <w:szCs w:val="28"/>
                    </w:rPr>
                    <w:t>turpmāk arī</w:t>
                  </w:r>
                  <w:r w:rsidRPr="00882930">
                    <w:rPr>
                      <w:i/>
                      <w:sz w:val="28"/>
                      <w:szCs w:val="28"/>
                    </w:rPr>
                    <w:t xml:space="preserve"> – Direktīva 2014/59/ES)</w:t>
                  </w:r>
                  <w:r w:rsidRPr="00882930">
                    <w:rPr>
                      <w:sz w:val="28"/>
                      <w:szCs w:val="28"/>
                    </w:rPr>
                    <w:t xml:space="preserve">, ciktāl tās </w:t>
                  </w:r>
                  <w:r w:rsidR="00B75596" w:rsidRPr="00882930">
                    <w:rPr>
                      <w:sz w:val="28"/>
                      <w:szCs w:val="28"/>
                    </w:rPr>
                    <w:t xml:space="preserve">atsevišķos jautājumos </w:t>
                  </w:r>
                  <w:r w:rsidRPr="00882930">
                    <w:rPr>
                      <w:sz w:val="28"/>
                      <w:szCs w:val="28"/>
                    </w:rPr>
                    <w:t>attiecināmas uz ieguldījumu brokeru sabiedrībām.</w:t>
                  </w:r>
                </w:p>
                <w:p w:rsidR="007F4B04" w:rsidRPr="00882930" w:rsidRDefault="007F4B04" w:rsidP="007F4B04">
                  <w:pPr>
                    <w:pStyle w:val="default"/>
                    <w:numPr>
                      <w:ilvl w:val="0"/>
                      <w:numId w:val="1"/>
                    </w:numPr>
                    <w:shd w:val="clear" w:color="auto" w:fill="FFFFFF"/>
                    <w:spacing w:before="0" w:beforeAutospacing="0" w:after="0" w:afterAutospacing="0"/>
                    <w:ind w:right="15"/>
                    <w:jc w:val="both"/>
                    <w:rPr>
                      <w:sz w:val="28"/>
                      <w:szCs w:val="28"/>
                    </w:rPr>
                  </w:pPr>
                  <w:r w:rsidRPr="00882930">
                    <w:rPr>
                      <w:sz w:val="28"/>
                      <w:szCs w:val="28"/>
                    </w:rPr>
                    <w:t xml:space="preserve">Likumprojekts ievieš arī </w:t>
                  </w:r>
                  <w:r w:rsidRPr="00882930">
                    <w:rPr>
                      <w:bCs/>
                      <w:i/>
                      <w:sz w:val="28"/>
                      <w:szCs w:val="28"/>
                    </w:rPr>
                    <w:t xml:space="preserve">Eiropas Parlamenta un Padomes Direktīvas </w:t>
                  </w:r>
                  <w:r w:rsidRPr="00882930">
                    <w:rPr>
                      <w:i/>
                      <w:sz w:val="28"/>
                      <w:szCs w:val="28"/>
                      <w:shd w:val="clear" w:color="auto" w:fill="FFFFFF"/>
                    </w:rPr>
                    <w:t xml:space="preserve">2007/36/EK </w:t>
                  </w:r>
                  <w:r w:rsidR="002428F2" w:rsidRPr="00882930">
                    <w:rPr>
                      <w:rFonts w:eastAsia="Arial Unicode MS"/>
                      <w:bCs/>
                      <w:i/>
                      <w:sz w:val="28"/>
                      <w:szCs w:val="28"/>
                    </w:rPr>
                    <w:t>(2007.gada 11.</w:t>
                  </w:r>
                  <w:r w:rsidRPr="00882930">
                    <w:rPr>
                      <w:rFonts w:eastAsia="Arial Unicode MS"/>
                      <w:bCs/>
                      <w:i/>
                      <w:sz w:val="28"/>
                      <w:szCs w:val="28"/>
                    </w:rPr>
                    <w:t>jūlijs)</w:t>
                  </w:r>
                  <w:r w:rsidRPr="00882930">
                    <w:rPr>
                      <w:rFonts w:eastAsia="Arial Unicode MS"/>
                      <w:b/>
                      <w:bCs/>
                      <w:i/>
                      <w:sz w:val="28"/>
                      <w:szCs w:val="28"/>
                    </w:rPr>
                    <w:t xml:space="preserve"> </w:t>
                  </w:r>
                  <w:r w:rsidRPr="00882930">
                    <w:rPr>
                      <w:rFonts w:eastAsia="Arial Unicode MS"/>
                      <w:i/>
                      <w:sz w:val="28"/>
                      <w:szCs w:val="28"/>
                    </w:rPr>
                    <w:t>par biržu sarakstos iekļautu sabiedrību akcionāru konkrētu tiesību izmantošanu</w:t>
                  </w:r>
                  <w:r w:rsidRPr="00882930">
                    <w:rPr>
                      <w:sz w:val="28"/>
                      <w:szCs w:val="28"/>
                      <w:shd w:val="clear" w:color="auto" w:fill="FFFFFF"/>
                    </w:rPr>
                    <w:t xml:space="preserve"> 5.panta </w:t>
                  </w:r>
                  <w:r w:rsidR="00F67794" w:rsidRPr="00882930">
                    <w:rPr>
                      <w:sz w:val="28"/>
                      <w:szCs w:val="28"/>
                      <w:shd w:val="clear" w:color="auto" w:fill="FFFFFF"/>
                    </w:rPr>
                    <w:t>5.</w:t>
                  </w:r>
                  <w:r w:rsidRPr="00882930">
                    <w:rPr>
                      <w:sz w:val="28"/>
                      <w:szCs w:val="28"/>
                      <w:shd w:val="clear" w:color="auto" w:fill="FFFFFF"/>
                    </w:rPr>
                    <w:t xml:space="preserve">punktā minēto </w:t>
                  </w:r>
                  <w:r w:rsidR="002E4018" w:rsidRPr="00882930">
                    <w:rPr>
                      <w:sz w:val="28"/>
                      <w:szCs w:val="28"/>
                      <w:shd w:val="clear" w:color="auto" w:fill="FFFFFF"/>
                    </w:rPr>
                    <w:t xml:space="preserve">kredītiestādes vai ieguldījumu brokeru sabiedrības </w:t>
                  </w:r>
                  <w:r w:rsidRPr="00882930">
                    <w:rPr>
                      <w:sz w:val="28"/>
                      <w:szCs w:val="28"/>
                      <w:shd w:val="clear" w:color="auto" w:fill="FFFFFF"/>
                    </w:rPr>
                    <w:t xml:space="preserve">akcionāru sapulces sasaukšanas speciālu kārtību gadījumos, ja pret </w:t>
                  </w:r>
                  <w:r w:rsidR="008F1A2D" w:rsidRPr="00882930">
                    <w:rPr>
                      <w:sz w:val="28"/>
                      <w:szCs w:val="28"/>
                      <w:shd w:val="clear" w:color="auto" w:fill="FFFFFF"/>
                    </w:rPr>
                    <w:t>kredītiestādi vai ieguldījumu brokeru sabiedrību</w:t>
                  </w:r>
                  <w:r w:rsidRPr="00882930">
                    <w:rPr>
                      <w:sz w:val="28"/>
                      <w:szCs w:val="28"/>
                      <w:shd w:val="clear" w:color="auto" w:fill="FFFFFF"/>
                    </w:rPr>
                    <w:t xml:space="preserve"> tiek vai varētu tikt piemērots kāds no </w:t>
                  </w:r>
                  <w:r w:rsidRPr="00882930">
                    <w:rPr>
                      <w:sz w:val="28"/>
                      <w:szCs w:val="28"/>
                    </w:rPr>
                    <w:t>Direktīvā 2014/59/ES minētiem noregulējuma nosacījumiem.</w:t>
                  </w:r>
                </w:p>
                <w:p w:rsidR="00014305" w:rsidRPr="00882930" w:rsidRDefault="0009293F" w:rsidP="007F4B04">
                  <w:pPr>
                    <w:pStyle w:val="default"/>
                    <w:numPr>
                      <w:ilvl w:val="0"/>
                      <w:numId w:val="1"/>
                    </w:numPr>
                    <w:shd w:val="clear" w:color="auto" w:fill="FFFFFF"/>
                    <w:spacing w:before="0" w:beforeAutospacing="0" w:after="0" w:afterAutospacing="0"/>
                    <w:ind w:right="15"/>
                    <w:jc w:val="both"/>
                    <w:rPr>
                      <w:sz w:val="28"/>
                      <w:szCs w:val="28"/>
                    </w:rPr>
                  </w:pPr>
                  <w:r w:rsidRPr="00882930">
                    <w:rPr>
                      <w:sz w:val="28"/>
                      <w:szCs w:val="28"/>
                    </w:rPr>
                    <w:t>Vienlaikus L</w:t>
                  </w:r>
                  <w:r w:rsidR="007F4B04" w:rsidRPr="00882930">
                    <w:rPr>
                      <w:sz w:val="28"/>
                      <w:szCs w:val="28"/>
                    </w:rPr>
                    <w:t xml:space="preserve">ikumprojekts </w:t>
                  </w:r>
                  <w:r w:rsidR="00C6329F" w:rsidRPr="00882930">
                    <w:rPr>
                      <w:sz w:val="28"/>
                      <w:szCs w:val="28"/>
                    </w:rPr>
                    <w:t>paredz</w:t>
                  </w:r>
                  <w:r w:rsidR="00014305" w:rsidRPr="00882930">
                    <w:rPr>
                      <w:sz w:val="28"/>
                      <w:szCs w:val="28"/>
                    </w:rPr>
                    <w:t>:</w:t>
                  </w:r>
                  <w:r w:rsidR="00C6329F" w:rsidRPr="00882930">
                    <w:rPr>
                      <w:sz w:val="28"/>
                      <w:szCs w:val="28"/>
                    </w:rPr>
                    <w:t xml:space="preserve"> </w:t>
                  </w:r>
                </w:p>
                <w:p w:rsidR="00014305" w:rsidRPr="00882930" w:rsidRDefault="007F4B04" w:rsidP="00D16F0F">
                  <w:pPr>
                    <w:pStyle w:val="default"/>
                    <w:numPr>
                      <w:ilvl w:val="0"/>
                      <w:numId w:val="5"/>
                    </w:numPr>
                    <w:shd w:val="clear" w:color="auto" w:fill="FFFFFF"/>
                    <w:tabs>
                      <w:tab w:val="left" w:pos="2009"/>
                      <w:tab w:val="center" w:pos="4607"/>
                    </w:tabs>
                    <w:spacing w:before="0" w:beforeAutospacing="0" w:after="0" w:afterAutospacing="0"/>
                    <w:ind w:right="15"/>
                    <w:rPr>
                      <w:sz w:val="28"/>
                      <w:szCs w:val="28"/>
                    </w:rPr>
                  </w:pPr>
                  <w:r w:rsidRPr="00882930">
                    <w:rPr>
                      <w:sz w:val="28"/>
                      <w:szCs w:val="28"/>
                    </w:rPr>
                    <w:t>normatīv</w:t>
                  </w:r>
                  <w:r w:rsidR="00C6329F" w:rsidRPr="00882930">
                    <w:rPr>
                      <w:sz w:val="28"/>
                      <w:szCs w:val="28"/>
                    </w:rPr>
                    <w:t>ā regulējuma</w:t>
                  </w:r>
                  <w:r w:rsidRPr="00882930">
                    <w:rPr>
                      <w:sz w:val="28"/>
                      <w:szCs w:val="28"/>
                    </w:rPr>
                    <w:t xml:space="preserve"> </w:t>
                  </w:r>
                  <w:r w:rsidR="00C6329F" w:rsidRPr="00882930">
                    <w:rPr>
                      <w:sz w:val="28"/>
                      <w:szCs w:val="28"/>
                    </w:rPr>
                    <w:t xml:space="preserve">pilnveidošanu </w:t>
                  </w:r>
                  <w:r w:rsidRPr="00882930">
                    <w:rPr>
                      <w:sz w:val="28"/>
                      <w:szCs w:val="28"/>
                    </w:rPr>
                    <w:t>ieguldījumu brokeru sabiedrību likvidācij</w:t>
                  </w:r>
                  <w:r w:rsidR="0009293F" w:rsidRPr="00882930">
                    <w:rPr>
                      <w:sz w:val="28"/>
                      <w:szCs w:val="28"/>
                    </w:rPr>
                    <w:t xml:space="preserve">as un maksātnespējas </w:t>
                  </w:r>
                  <w:r w:rsidR="00C6329F" w:rsidRPr="00882930">
                    <w:rPr>
                      <w:sz w:val="28"/>
                      <w:szCs w:val="28"/>
                    </w:rPr>
                    <w:t>jautājumos, t.</w:t>
                  </w:r>
                  <w:r w:rsidR="00631163" w:rsidRPr="00882930">
                    <w:rPr>
                      <w:sz w:val="28"/>
                      <w:szCs w:val="28"/>
                    </w:rPr>
                    <w:t>sk</w:t>
                  </w:r>
                  <w:r w:rsidR="00C6329F" w:rsidRPr="00882930">
                    <w:rPr>
                      <w:sz w:val="28"/>
                      <w:szCs w:val="28"/>
                    </w:rPr>
                    <w:t>. precizē</w:t>
                  </w:r>
                  <w:r w:rsidR="0009293F" w:rsidRPr="00882930">
                    <w:rPr>
                      <w:sz w:val="28"/>
                      <w:szCs w:val="28"/>
                    </w:rPr>
                    <w:t xml:space="preserve"> kreditoru prasījumu segšanas kārtību</w:t>
                  </w:r>
                  <w:r w:rsidR="00014305" w:rsidRPr="00882930">
                    <w:rPr>
                      <w:sz w:val="28"/>
                      <w:szCs w:val="28"/>
                    </w:rPr>
                    <w:t>,</w:t>
                  </w:r>
                  <w:r w:rsidR="00D16F0F" w:rsidRPr="00882930">
                    <w:rPr>
                      <w:sz w:val="28"/>
                      <w:szCs w:val="28"/>
                    </w:rPr>
                    <w:tab/>
                  </w:r>
                  <w:r w:rsidR="00D16F0F" w:rsidRPr="00882930">
                    <w:rPr>
                      <w:sz w:val="28"/>
                      <w:szCs w:val="28"/>
                    </w:rPr>
                    <w:tab/>
                  </w:r>
                </w:p>
                <w:p w:rsidR="001F15A6" w:rsidRPr="00882930" w:rsidRDefault="00014305" w:rsidP="00014305">
                  <w:pPr>
                    <w:pStyle w:val="default"/>
                    <w:numPr>
                      <w:ilvl w:val="0"/>
                      <w:numId w:val="5"/>
                    </w:numPr>
                    <w:shd w:val="clear" w:color="auto" w:fill="FFFFFF"/>
                    <w:spacing w:before="0" w:beforeAutospacing="0" w:after="0" w:afterAutospacing="0"/>
                    <w:ind w:right="15"/>
                    <w:jc w:val="both"/>
                    <w:rPr>
                      <w:sz w:val="28"/>
                      <w:szCs w:val="28"/>
                    </w:rPr>
                  </w:pPr>
                  <w:r w:rsidRPr="00882930">
                    <w:rPr>
                      <w:sz w:val="28"/>
                      <w:szCs w:val="28"/>
                    </w:rPr>
                    <w:lastRenderedPageBreak/>
                    <w:t>atsauces uz Banku pārņemšanas likumu izslēgšanu</w:t>
                  </w:r>
                  <w:r w:rsidR="001F15A6" w:rsidRPr="00882930">
                    <w:rPr>
                      <w:sz w:val="28"/>
                      <w:szCs w:val="28"/>
                    </w:rPr>
                    <w:t>,</w:t>
                  </w:r>
                </w:p>
                <w:p w:rsidR="007F4B04" w:rsidRPr="00882930" w:rsidRDefault="001F15A6" w:rsidP="00014305">
                  <w:pPr>
                    <w:pStyle w:val="default"/>
                    <w:numPr>
                      <w:ilvl w:val="0"/>
                      <w:numId w:val="5"/>
                    </w:numPr>
                    <w:shd w:val="clear" w:color="auto" w:fill="FFFFFF"/>
                    <w:spacing w:before="0" w:beforeAutospacing="0" w:after="0" w:afterAutospacing="0"/>
                    <w:ind w:right="15"/>
                    <w:jc w:val="both"/>
                    <w:rPr>
                      <w:sz w:val="28"/>
                      <w:szCs w:val="28"/>
                    </w:rPr>
                  </w:pPr>
                  <w:r w:rsidRPr="00882930">
                    <w:rPr>
                      <w:sz w:val="28"/>
                      <w:szCs w:val="28"/>
                    </w:rPr>
                    <w:t>I sadaļas nosaukuma precizēšanu</w:t>
                  </w:r>
                  <w:r w:rsidR="00014305" w:rsidRPr="00882930">
                    <w:rPr>
                      <w:sz w:val="28"/>
                      <w:szCs w:val="28"/>
                    </w:rPr>
                    <w:t>.</w:t>
                  </w:r>
                </w:p>
                <w:p w:rsidR="006C72FC" w:rsidRPr="00882930" w:rsidRDefault="006C72FC" w:rsidP="007F4B04">
                  <w:pPr>
                    <w:spacing w:after="0" w:line="240" w:lineRule="auto"/>
                    <w:rPr>
                      <w:rFonts w:ascii="Times New Roman" w:eastAsia="Times New Roman" w:hAnsi="Times New Roman" w:cs="Times New Roman"/>
                      <w:sz w:val="28"/>
                      <w:szCs w:val="28"/>
                      <w:lang w:eastAsia="lv-LV"/>
                    </w:rPr>
                  </w:pPr>
                </w:p>
              </w:tc>
            </w:tr>
            <w:tr w:rsidR="00882930" w:rsidRPr="00882930" w:rsidTr="006C72F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2428F2">
                  <w:pPr>
                    <w:spacing w:before="100" w:beforeAutospacing="1" w:after="100" w:afterAutospacing="1" w:line="265" w:lineRule="atLeast"/>
                    <w:jc w:val="center"/>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D16F0F" w:rsidRPr="00882930" w:rsidRDefault="006C72F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jc w:val="cente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D16F0F" w:rsidRPr="00882930" w:rsidRDefault="00D16F0F" w:rsidP="00D16F0F">
                  <w:pPr>
                    <w:rPr>
                      <w:rFonts w:ascii="Times New Roman" w:eastAsia="Times New Roman" w:hAnsi="Times New Roman" w:cs="Times New Roman"/>
                      <w:sz w:val="28"/>
                      <w:szCs w:val="28"/>
                      <w:lang w:eastAsia="lv-LV"/>
                    </w:rPr>
                  </w:pPr>
                </w:p>
                <w:p w:rsidR="006C72FC" w:rsidRPr="00882930" w:rsidRDefault="006C72FC" w:rsidP="00D16F0F">
                  <w:pPr>
                    <w:rPr>
                      <w:rFonts w:ascii="Times New Roman" w:eastAsia="Times New Roman" w:hAnsi="Times New Roman" w:cs="Times New Roman"/>
                      <w:sz w:val="28"/>
                      <w:szCs w:val="28"/>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2242CF" w:rsidRPr="00882930" w:rsidRDefault="00622874" w:rsidP="00B606B5">
                  <w:pPr>
                    <w:pStyle w:val="ListParagraph"/>
                    <w:numPr>
                      <w:ilvl w:val="0"/>
                      <w:numId w:val="4"/>
                    </w:numPr>
                    <w:shd w:val="clear" w:color="auto" w:fill="FFFFFF"/>
                    <w:spacing w:after="0" w:line="240" w:lineRule="auto"/>
                    <w:ind w:right="135"/>
                    <w:jc w:val="both"/>
                    <w:rPr>
                      <w:rFonts w:ascii="Times New Roman" w:hAnsi="Times New Roman" w:cs="Times New Roman"/>
                      <w:sz w:val="28"/>
                      <w:szCs w:val="28"/>
                    </w:rPr>
                  </w:pPr>
                  <w:r w:rsidRPr="00882930">
                    <w:rPr>
                      <w:rFonts w:ascii="Times New Roman" w:hAnsi="Times New Roman" w:cs="Times New Roman"/>
                      <w:sz w:val="28"/>
                      <w:szCs w:val="28"/>
                    </w:rPr>
                    <w:t xml:space="preserve">Šobrīd ieguldījumu brokeru sabiedrībām maksātnespējas procesā piemērojams Maksātnespējas likums. Ņemot vērā, ka turpmāk </w:t>
                  </w:r>
                  <w:r w:rsidRPr="00882930">
                    <w:rPr>
                      <w:rFonts w:ascii="Times New Roman" w:hAnsi="Times New Roman" w:cs="Times New Roman"/>
                      <w:i/>
                      <w:sz w:val="28"/>
                      <w:szCs w:val="28"/>
                    </w:rPr>
                    <w:t>Kredītiestāžu un ieguldījumu brokeru sabiedrību darbības atjaunošanas un noregulējuma likums</w:t>
                  </w:r>
                  <w:r w:rsidRPr="00882930">
                    <w:rPr>
                      <w:rFonts w:ascii="Times New Roman" w:hAnsi="Times New Roman" w:cs="Times New Roman"/>
                      <w:sz w:val="28"/>
                      <w:szCs w:val="28"/>
                    </w:rPr>
                    <w:t xml:space="preserve"> Finanšu un kapitāla tirgus komisijai paredz dažādus pienākumus un tiesības saistībā ar agrīnās intervences pasākumu un noregulējuma instrumentu piemērošanu </w:t>
                  </w:r>
                  <w:r w:rsidR="002242CF" w:rsidRPr="00882930">
                    <w:rPr>
                      <w:rFonts w:ascii="Times New Roman" w:hAnsi="Times New Roman" w:cs="Times New Roman"/>
                      <w:sz w:val="28"/>
                      <w:szCs w:val="28"/>
                    </w:rPr>
                    <w:t xml:space="preserve">arī </w:t>
                  </w:r>
                  <w:r w:rsidRPr="00882930">
                    <w:rPr>
                      <w:rFonts w:ascii="Times New Roman" w:hAnsi="Times New Roman" w:cs="Times New Roman"/>
                      <w:sz w:val="28"/>
                      <w:szCs w:val="28"/>
                    </w:rPr>
                    <w:t xml:space="preserve">attiecībā uz ieguldījumu brokeru sabiedrībām, nepieciešams </w:t>
                  </w:r>
                  <w:r w:rsidR="008F1A2D" w:rsidRPr="00882930">
                    <w:rPr>
                      <w:rFonts w:ascii="Times New Roman" w:hAnsi="Times New Roman" w:cs="Times New Roman"/>
                      <w:sz w:val="28"/>
                      <w:szCs w:val="28"/>
                    </w:rPr>
                    <w:t>paredzēt</w:t>
                  </w:r>
                  <w:r w:rsidR="00863898" w:rsidRPr="00882930">
                    <w:rPr>
                      <w:rFonts w:ascii="Times New Roman" w:hAnsi="Times New Roman" w:cs="Times New Roman"/>
                      <w:sz w:val="28"/>
                      <w:szCs w:val="28"/>
                    </w:rPr>
                    <w:t>, ka</w:t>
                  </w:r>
                  <w:r w:rsidR="00631163" w:rsidRPr="00882930">
                    <w:rPr>
                      <w:rFonts w:ascii="Times New Roman" w:hAnsi="Times New Roman" w:cs="Times New Roman"/>
                      <w:sz w:val="28"/>
                      <w:szCs w:val="28"/>
                    </w:rPr>
                    <w:t xml:space="preserve"> </w:t>
                  </w:r>
                  <w:r w:rsidR="00552D5A" w:rsidRPr="00882930">
                    <w:rPr>
                      <w:rFonts w:ascii="Times New Roman" w:hAnsi="Times New Roman" w:cs="Times New Roman"/>
                      <w:sz w:val="28"/>
                      <w:szCs w:val="28"/>
                    </w:rPr>
                    <w:t>noteiktus</w:t>
                  </w:r>
                  <w:r w:rsidR="00CC1926" w:rsidRPr="00882930">
                    <w:rPr>
                      <w:rFonts w:ascii="Times New Roman" w:hAnsi="Times New Roman" w:cs="Times New Roman"/>
                      <w:sz w:val="28"/>
                      <w:szCs w:val="28"/>
                    </w:rPr>
                    <w:t>,</w:t>
                  </w:r>
                  <w:r w:rsidR="00631163" w:rsidRPr="00882930">
                    <w:rPr>
                      <w:rFonts w:ascii="Times New Roman" w:hAnsi="Times New Roman" w:cs="Times New Roman"/>
                      <w:sz w:val="28"/>
                      <w:szCs w:val="28"/>
                    </w:rPr>
                    <w:t xml:space="preserve"> ar ieguldījumu brokeru sabiedrību likvidāciju un maksātnespēju saistītus jautājumus regulē </w:t>
                  </w:r>
                  <w:r w:rsidR="002242CF" w:rsidRPr="00882930">
                    <w:rPr>
                      <w:rFonts w:ascii="Times New Roman" w:hAnsi="Times New Roman" w:cs="Times New Roman"/>
                      <w:i/>
                      <w:sz w:val="28"/>
                      <w:szCs w:val="28"/>
                    </w:rPr>
                    <w:t>Kredītiestāžu un ieguldījumu brokeru sabiedrību darbības atjaunošanas un noregulējuma likums</w:t>
                  </w:r>
                  <w:r w:rsidR="00631163" w:rsidRPr="00882930">
                    <w:rPr>
                      <w:rFonts w:ascii="Times New Roman" w:hAnsi="Times New Roman" w:cs="Times New Roman"/>
                      <w:sz w:val="28"/>
                      <w:szCs w:val="28"/>
                    </w:rPr>
                    <w:t>.</w:t>
                  </w:r>
                </w:p>
                <w:p w:rsidR="00B606B5" w:rsidRPr="00882930" w:rsidRDefault="00552D5A" w:rsidP="002242CF">
                  <w:pPr>
                    <w:pStyle w:val="ListParagraph"/>
                    <w:numPr>
                      <w:ilvl w:val="0"/>
                      <w:numId w:val="4"/>
                    </w:numPr>
                    <w:shd w:val="clear" w:color="auto" w:fill="FFFFFF"/>
                    <w:spacing w:after="0" w:line="240" w:lineRule="auto"/>
                    <w:ind w:right="135"/>
                    <w:jc w:val="both"/>
                    <w:rPr>
                      <w:rFonts w:ascii="Times New Roman" w:hAnsi="Times New Roman" w:cs="Times New Roman"/>
                      <w:sz w:val="28"/>
                      <w:szCs w:val="28"/>
                    </w:rPr>
                  </w:pPr>
                  <w:r w:rsidRPr="00882930">
                    <w:rPr>
                      <w:rFonts w:ascii="Times New Roman" w:hAnsi="Times New Roman" w:cs="Times New Roman"/>
                      <w:sz w:val="28"/>
                      <w:szCs w:val="28"/>
                    </w:rPr>
                    <w:t xml:space="preserve">Šobrīd Finanšu instrumentu tirgus likums </w:t>
                  </w:r>
                  <w:r w:rsidRPr="00882930">
                    <w:rPr>
                      <w:rFonts w:ascii="Times New Roman" w:hAnsi="Times New Roman" w:cs="Times New Roman"/>
                      <w:sz w:val="28"/>
                      <w:szCs w:val="28"/>
                      <w:shd w:val="clear" w:color="auto" w:fill="FFFFFF"/>
                    </w:rPr>
                    <w:t xml:space="preserve">paredz akcionāru procesuālās tiesības, kas saistītas ar pilnsapulcēm, tajā skaitā arī minimālo laikposmu, kādā ir jāpaziņo par </w:t>
                  </w:r>
                  <w:r w:rsidR="002A16B4" w:rsidRPr="00882930">
                    <w:rPr>
                      <w:rFonts w:ascii="Times New Roman" w:hAnsi="Times New Roman" w:cs="Times New Roman"/>
                      <w:sz w:val="28"/>
                      <w:szCs w:val="28"/>
                      <w:shd w:val="clear" w:color="auto" w:fill="FFFFFF"/>
                    </w:rPr>
                    <w:t>akcionāru sapulci</w:t>
                  </w:r>
                  <w:r w:rsidRPr="00882930">
                    <w:rPr>
                      <w:rFonts w:ascii="Times New Roman" w:hAnsi="Times New Roman" w:cs="Times New Roman"/>
                      <w:sz w:val="28"/>
                      <w:szCs w:val="28"/>
                      <w:shd w:val="clear" w:color="auto" w:fill="FFFFFF"/>
                    </w:rPr>
                    <w:t xml:space="preserve">, un šāda paziņojuma saturu. Minētie noteikumi var apgrūtināt noregulējuma iestādes ātru rīcību saskaņā ar </w:t>
                  </w:r>
                  <w:r w:rsidRPr="00882930">
                    <w:rPr>
                      <w:rFonts w:ascii="Times New Roman" w:hAnsi="Times New Roman" w:cs="Times New Roman"/>
                      <w:i/>
                      <w:sz w:val="28"/>
                      <w:szCs w:val="28"/>
                    </w:rPr>
                    <w:t xml:space="preserve">Kredītiestāžu un ieguldījumu brokeru sabiedrību darbības atjaunošanas un noregulējuma likumā </w:t>
                  </w:r>
                  <w:r w:rsidRPr="00882930">
                    <w:rPr>
                      <w:rFonts w:ascii="Times New Roman" w:hAnsi="Times New Roman" w:cs="Times New Roman"/>
                      <w:sz w:val="28"/>
                      <w:szCs w:val="28"/>
                    </w:rPr>
                    <w:t>noteikto</w:t>
                  </w:r>
                  <w:r w:rsidRPr="00882930">
                    <w:rPr>
                      <w:rFonts w:ascii="Times New Roman" w:hAnsi="Times New Roman" w:cs="Times New Roman"/>
                      <w:sz w:val="28"/>
                      <w:szCs w:val="28"/>
                      <w:shd w:val="clear" w:color="auto" w:fill="FFFFFF"/>
                    </w:rPr>
                    <w:t xml:space="preserve">, un tāpēc ir jāparedz atbilstošas atkāpes no šā brīža spēkā esošajām normām. Pirms noregulējuma sākšanas var būt nepieciešams ātri palielināt pamatkapitālu, ja kapitāla palielināšana, iespējams, atjaunos agrāko finansiālo stāvokli un novērsīs situāciju, kad ir izpildīti nosacījumi noregulējuma uzsākšanai. Šādās situācijās ir jāparedz iespēja nekavējoties sasaukt </w:t>
                  </w:r>
                  <w:r w:rsidR="00F435C9" w:rsidRPr="00882930">
                    <w:rPr>
                      <w:rFonts w:ascii="Times New Roman" w:hAnsi="Times New Roman" w:cs="Times New Roman"/>
                      <w:sz w:val="28"/>
                      <w:szCs w:val="28"/>
                      <w:shd w:val="clear" w:color="auto" w:fill="FFFFFF"/>
                    </w:rPr>
                    <w:t xml:space="preserve">kredītiestādes </w:t>
                  </w:r>
                  <w:r w:rsidR="00F435C9" w:rsidRPr="00882930">
                    <w:rPr>
                      <w:rFonts w:ascii="Times New Roman" w:hAnsi="Times New Roman" w:cs="Times New Roman"/>
                      <w:sz w:val="28"/>
                      <w:szCs w:val="28"/>
                      <w:shd w:val="clear" w:color="auto" w:fill="FFFFFF"/>
                    </w:rPr>
                    <w:lastRenderedPageBreak/>
                    <w:t xml:space="preserve">vai ieguldījumu brokeru sabiedrības </w:t>
                  </w:r>
                  <w:r w:rsidRPr="00882930">
                    <w:rPr>
                      <w:rFonts w:ascii="Times New Roman" w:hAnsi="Times New Roman" w:cs="Times New Roman"/>
                      <w:sz w:val="28"/>
                      <w:szCs w:val="28"/>
                      <w:shd w:val="clear" w:color="auto" w:fill="FFFFFF"/>
                    </w:rPr>
                    <w:t>akcionāru pilnsapulci</w:t>
                  </w:r>
                  <w:r w:rsidR="001F15A6" w:rsidRPr="00882930">
                    <w:rPr>
                      <w:rFonts w:ascii="Times New Roman" w:hAnsi="Times New Roman" w:cs="Times New Roman"/>
                      <w:sz w:val="28"/>
                      <w:szCs w:val="28"/>
                      <w:shd w:val="clear" w:color="auto" w:fill="FFFFFF"/>
                    </w:rPr>
                    <w:t xml:space="preserve">, </w:t>
                  </w:r>
                  <w:r w:rsidRPr="00882930">
                    <w:rPr>
                      <w:rFonts w:ascii="Times New Roman" w:hAnsi="Times New Roman" w:cs="Times New Roman"/>
                      <w:sz w:val="28"/>
                      <w:szCs w:val="28"/>
                      <w:shd w:val="clear" w:color="auto" w:fill="FFFFFF"/>
                    </w:rPr>
                    <w:t xml:space="preserve"> </w:t>
                  </w:r>
                  <w:r w:rsidR="001F15A6" w:rsidRPr="00882930">
                    <w:rPr>
                      <w:rFonts w:ascii="Times New Roman" w:hAnsi="Times New Roman" w:cs="Times New Roman"/>
                      <w:sz w:val="28"/>
                      <w:szCs w:val="28"/>
                      <w:shd w:val="clear" w:color="auto" w:fill="FFFFFF"/>
                    </w:rPr>
                    <w:t xml:space="preserve">saglabājot </w:t>
                  </w:r>
                  <w:r w:rsidRPr="00882930">
                    <w:rPr>
                      <w:rFonts w:ascii="Times New Roman" w:hAnsi="Times New Roman" w:cs="Times New Roman"/>
                      <w:sz w:val="28"/>
                      <w:szCs w:val="28"/>
                      <w:shd w:val="clear" w:color="auto" w:fill="FFFFFF"/>
                    </w:rPr>
                    <w:t xml:space="preserve">akcionāriem pilnvaras pieņemt lēmumu par paziņojuma par pilnsapulci izsludināšanas laikposma pagarināšanu vai saīsināšanu. </w:t>
                  </w:r>
                </w:p>
                <w:p w:rsidR="002242CF" w:rsidRPr="00882930" w:rsidRDefault="00531A0E" w:rsidP="00C60AD6">
                  <w:pPr>
                    <w:pStyle w:val="ListParagraph"/>
                    <w:numPr>
                      <w:ilvl w:val="0"/>
                      <w:numId w:val="4"/>
                    </w:numPr>
                    <w:shd w:val="clear" w:color="auto" w:fill="FFFFFF"/>
                    <w:spacing w:after="0" w:line="240" w:lineRule="auto"/>
                    <w:ind w:right="135"/>
                    <w:jc w:val="both"/>
                    <w:rPr>
                      <w:rFonts w:ascii="Times New Roman" w:hAnsi="Times New Roman" w:cs="Times New Roman"/>
                      <w:sz w:val="28"/>
                      <w:szCs w:val="28"/>
                    </w:rPr>
                  </w:pPr>
                  <w:r w:rsidRPr="00882930">
                    <w:rPr>
                      <w:rFonts w:ascii="Times New Roman" w:hAnsi="Times New Roman" w:cs="Times New Roman"/>
                      <w:sz w:val="28"/>
                      <w:szCs w:val="28"/>
                    </w:rPr>
                    <w:t>Pašreiz</w:t>
                  </w:r>
                  <w:r w:rsidR="00C60AD6" w:rsidRPr="00882930">
                    <w:rPr>
                      <w:rFonts w:ascii="Times New Roman" w:hAnsi="Times New Roman" w:cs="Times New Roman"/>
                      <w:sz w:val="28"/>
                      <w:szCs w:val="28"/>
                    </w:rPr>
                    <w:t xml:space="preserve"> ieguldījumu brokeru sabiedrību maksātnespēj</w:t>
                  </w:r>
                  <w:r w:rsidR="001F15A6" w:rsidRPr="00882930">
                    <w:rPr>
                      <w:rFonts w:ascii="Times New Roman" w:hAnsi="Times New Roman" w:cs="Times New Roman"/>
                      <w:sz w:val="28"/>
                      <w:szCs w:val="28"/>
                    </w:rPr>
                    <w:t>as gadījumā ir piemērojams</w:t>
                  </w:r>
                  <w:r w:rsidR="00C60AD6" w:rsidRPr="00882930">
                    <w:rPr>
                      <w:rFonts w:ascii="Times New Roman" w:hAnsi="Times New Roman" w:cs="Times New Roman"/>
                      <w:sz w:val="28"/>
                      <w:szCs w:val="28"/>
                    </w:rPr>
                    <w:t xml:space="preserve"> Maksātnespējas likums</w:t>
                  </w:r>
                  <w:r w:rsidR="00CB6BB0" w:rsidRPr="00882930">
                    <w:rPr>
                      <w:rFonts w:ascii="Times New Roman" w:hAnsi="Times New Roman" w:cs="Times New Roman"/>
                      <w:sz w:val="28"/>
                      <w:szCs w:val="28"/>
                    </w:rPr>
                    <w:t xml:space="preserve">, tādējādi kreditoru prasījumu segšanas kārtībai </w:t>
                  </w:r>
                  <w:r w:rsidR="001F15A6" w:rsidRPr="00882930">
                    <w:rPr>
                      <w:rFonts w:ascii="Times New Roman" w:hAnsi="Times New Roman" w:cs="Times New Roman"/>
                      <w:sz w:val="28"/>
                      <w:szCs w:val="28"/>
                    </w:rPr>
                    <w:t>paredzot</w:t>
                  </w:r>
                  <w:r w:rsidR="00CB6BB0" w:rsidRPr="00882930">
                    <w:rPr>
                      <w:rFonts w:ascii="Times New Roman" w:hAnsi="Times New Roman" w:cs="Times New Roman"/>
                      <w:sz w:val="28"/>
                      <w:szCs w:val="28"/>
                    </w:rPr>
                    <w:t xml:space="preserve"> standarta regulējum</w:t>
                  </w:r>
                  <w:r w:rsidR="001F15A6" w:rsidRPr="00882930">
                    <w:rPr>
                      <w:rFonts w:ascii="Times New Roman" w:hAnsi="Times New Roman" w:cs="Times New Roman"/>
                      <w:sz w:val="28"/>
                      <w:szCs w:val="28"/>
                    </w:rPr>
                    <w:t>u</w:t>
                  </w:r>
                  <w:r w:rsidR="00C60AD6" w:rsidRPr="00882930">
                    <w:rPr>
                      <w:rFonts w:ascii="Times New Roman" w:hAnsi="Times New Roman" w:cs="Times New Roman"/>
                      <w:sz w:val="28"/>
                      <w:szCs w:val="28"/>
                    </w:rPr>
                    <w:t xml:space="preserve">. </w:t>
                  </w:r>
                  <w:r w:rsidR="00CB6BB0" w:rsidRPr="00882930">
                    <w:rPr>
                      <w:rFonts w:ascii="Times New Roman" w:hAnsi="Times New Roman" w:cs="Times New Roman"/>
                      <w:sz w:val="28"/>
                      <w:szCs w:val="28"/>
                    </w:rPr>
                    <w:t xml:space="preserve">Lai nodrošinātu </w:t>
                  </w:r>
                  <w:r w:rsidRPr="00882930">
                    <w:rPr>
                      <w:rFonts w:ascii="Times New Roman" w:hAnsi="Times New Roman" w:cs="Times New Roman"/>
                      <w:sz w:val="28"/>
                      <w:szCs w:val="28"/>
                    </w:rPr>
                    <w:t>kompensācijas izmaksas ieguldītājiem</w:t>
                  </w:r>
                  <w:r w:rsidR="00CB6BB0" w:rsidRPr="00882930">
                    <w:rPr>
                      <w:rFonts w:ascii="Times New Roman" w:hAnsi="Times New Roman" w:cs="Times New Roman"/>
                      <w:sz w:val="28"/>
                      <w:szCs w:val="28"/>
                    </w:rPr>
                    <w:t xml:space="preserve"> saskaņā ar Ieguldītāju aizsardzības likumā noteikto, </w:t>
                  </w:r>
                  <w:r w:rsidR="00C60AD6" w:rsidRPr="00882930">
                    <w:rPr>
                      <w:rFonts w:ascii="Times New Roman" w:hAnsi="Times New Roman" w:cs="Times New Roman"/>
                      <w:sz w:val="28"/>
                      <w:szCs w:val="28"/>
                    </w:rPr>
                    <w:t xml:space="preserve">Likumprojektā tiek ietverts </w:t>
                  </w:r>
                  <w:r w:rsidR="002242CF" w:rsidRPr="00882930">
                    <w:rPr>
                      <w:rFonts w:ascii="Times New Roman" w:hAnsi="Times New Roman" w:cs="Times New Roman"/>
                      <w:sz w:val="28"/>
                      <w:szCs w:val="28"/>
                    </w:rPr>
                    <w:t xml:space="preserve">noteikums </w:t>
                  </w:r>
                  <w:r w:rsidR="00C60AD6" w:rsidRPr="00882930">
                    <w:rPr>
                      <w:rFonts w:ascii="Times New Roman" w:hAnsi="Times New Roman" w:cs="Times New Roman"/>
                      <w:sz w:val="28"/>
                      <w:szCs w:val="28"/>
                    </w:rPr>
                    <w:t>attiecībā uz kreditoru prasījumu segšanas kārtību</w:t>
                  </w:r>
                  <w:r w:rsidR="00686FB1" w:rsidRPr="00882930">
                    <w:rPr>
                      <w:rFonts w:ascii="Times New Roman" w:hAnsi="Times New Roman" w:cs="Times New Roman"/>
                      <w:sz w:val="28"/>
                      <w:szCs w:val="28"/>
                    </w:rPr>
                    <w:t xml:space="preserve"> ieguldījumu brokeru sabiedrības</w:t>
                  </w:r>
                  <w:r w:rsidR="00C60AD6" w:rsidRPr="00882930">
                    <w:rPr>
                      <w:rFonts w:ascii="Times New Roman" w:hAnsi="Times New Roman" w:cs="Times New Roman"/>
                      <w:sz w:val="28"/>
                      <w:szCs w:val="28"/>
                    </w:rPr>
                    <w:t xml:space="preserve"> </w:t>
                  </w:r>
                  <w:r w:rsidR="005D2E6F" w:rsidRPr="00882930">
                    <w:rPr>
                      <w:rFonts w:ascii="Times New Roman" w:hAnsi="Times New Roman" w:cs="Times New Roman"/>
                      <w:sz w:val="28"/>
                      <w:szCs w:val="28"/>
                    </w:rPr>
                    <w:t xml:space="preserve">likvidācijas vai </w:t>
                  </w:r>
                  <w:r w:rsidR="00C60AD6" w:rsidRPr="00882930">
                    <w:rPr>
                      <w:rFonts w:ascii="Times New Roman" w:hAnsi="Times New Roman" w:cs="Times New Roman"/>
                      <w:sz w:val="28"/>
                      <w:szCs w:val="28"/>
                    </w:rPr>
                    <w:t>maksātnespējas procesā</w:t>
                  </w:r>
                  <w:r w:rsidR="00686FB1" w:rsidRPr="00882930">
                    <w:rPr>
                      <w:rFonts w:ascii="Times New Roman" w:hAnsi="Times New Roman" w:cs="Times New Roman"/>
                      <w:sz w:val="28"/>
                      <w:szCs w:val="28"/>
                    </w:rPr>
                    <w:t xml:space="preserve"> (līdzīgi kā tas paredzēts Kredītiestāžu likum</w:t>
                  </w:r>
                  <w:r w:rsidR="001F15A6" w:rsidRPr="00882930">
                    <w:rPr>
                      <w:rFonts w:ascii="Times New Roman" w:hAnsi="Times New Roman" w:cs="Times New Roman"/>
                      <w:sz w:val="28"/>
                      <w:szCs w:val="28"/>
                    </w:rPr>
                    <w:t>a 192. pantā</w:t>
                  </w:r>
                  <w:r w:rsidR="00686FB1" w:rsidRPr="00882930">
                    <w:rPr>
                      <w:rFonts w:ascii="Times New Roman" w:hAnsi="Times New Roman" w:cs="Times New Roman"/>
                      <w:sz w:val="28"/>
                      <w:szCs w:val="28"/>
                    </w:rPr>
                    <w:t xml:space="preserve"> attiecībā uz izmaksām noguldītājiem, kuriem saskaņā ar Noguldī</w:t>
                  </w:r>
                  <w:r w:rsidR="00CC1926" w:rsidRPr="00882930">
                    <w:rPr>
                      <w:rFonts w:ascii="Times New Roman" w:hAnsi="Times New Roman" w:cs="Times New Roman"/>
                      <w:sz w:val="28"/>
                      <w:szCs w:val="28"/>
                    </w:rPr>
                    <w:t>jumu</w:t>
                  </w:r>
                  <w:r w:rsidR="00686FB1" w:rsidRPr="00882930">
                    <w:rPr>
                      <w:rFonts w:ascii="Times New Roman" w:hAnsi="Times New Roman" w:cs="Times New Roman"/>
                      <w:sz w:val="28"/>
                      <w:szCs w:val="28"/>
                    </w:rPr>
                    <w:t xml:space="preserve"> garantiju likumu pienākas garantētā atlīdzība)</w:t>
                  </w:r>
                  <w:r w:rsidR="00C60AD6" w:rsidRPr="00882930">
                    <w:rPr>
                      <w:rFonts w:ascii="Times New Roman" w:hAnsi="Times New Roman" w:cs="Times New Roman"/>
                      <w:sz w:val="28"/>
                      <w:szCs w:val="28"/>
                    </w:rPr>
                    <w:t>.</w:t>
                  </w:r>
                </w:p>
                <w:p w:rsidR="001F15A6" w:rsidRPr="00882930" w:rsidRDefault="002242CF" w:rsidP="00C60AD6">
                  <w:pPr>
                    <w:pStyle w:val="ListParagraph"/>
                    <w:numPr>
                      <w:ilvl w:val="0"/>
                      <w:numId w:val="4"/>
                    </w:numPr>
                    <w:shd w:val="clear" w:color="auto" w:fill="FFFFFF"/>
                    <w:spacing w:after="0" w:line="240" w:lineRule="auto"/>
                    <w:ind w:right="135"/>
                    <w:jc w:val="both"/>
                    <w:rPr>
                      <w:rFonts w:ascii="Times New Roman" w:hAnsi="Times New Roman" w:cs="Times New Roman"/>
                      <w:sz w:val="28"/>
                      <w:szCs w:val="28"/>
                    </w:rPr>
                  </w:pPr>
                  <w:r w:rsidRPr="00882930">
                    <w:rPr>
                      <w:rFonts w:ascii="Times New Roman" w:hAnsi="Times New Roman" w:cs="Times New Roman"/>
                      <w:sz w:val="28"/>
                      <w:szCs w:val="28"/>
                    </w:rPr>
                    <w:t xml:space="preserve">Sakarā ar to, ka līdz ar </w:t>
                  </w:r>
                  <w:r w:rsidRPr="00882930">
                    <w:rPr>
                      <w:rFonts w:ascii="Times New Roman" w:hAnsi="Times New Roman" w:cs="Times New Roman"/>
                      <w:i/>
                      <w:sz w:val="28"/>
                      <w:szCs w:val="28"/>
                    </w:rPr>
                    <w:t>Kredītiestāžu un ieguldījumu brokeru sabiedrību darbības atjaunošanas un noregulējuma likuma</w:t>
                  </w:r>
                  <w:r w:rsidRPr="00882930">
                    <w:rPr>
                      <w:rFonts w:ascii="Times New Roman" w:hAnsi="Times New Roman" w:cs="Times New Roman"/>
                      <w:sz w:val="28"/>
                      <w:szCs w:val="28"/>
                    </w:rPr>
                    <w:t xml:space="preserve"> spēkā stāšanos, spēku zaudēs Banku pārņemšanas likums, atsauce uz to Finanšu instrumentu tirgus likumā tiek izslēgta.</w:t>
                  </w:r>
                </w:p>
                <w:p w:rsidR="006C72FC" w:rsidRPr="00882930" w:rsidRDefault="001F15A6" w:rsidP="003F261C">
                  <w:pPr>
                    <w:pStyle w:val="ListParagraph"/>
                    <w:numPr>
                      <w:ilvl w:val="0"/>
                      <w:numId w:val="4"/>
                    </w:numPr>
                    <w:shd w:val="clear" w:color="auto" w:fill="FFFFFF"/>
                    <w:spacing w:after="0" w:line="240" w:lineRule="auto"/>
                    <w:ind w:right="135"/>
                    <w:jc w:val="both"/>
                    <w:rPr>
                      <w:rFonts w:ascii="Times New Roman" w:hAnsi="Times New Roman" w:cs="Times New Roman"/>
                      <w:sz w:val="28"/>
                      <w:szCs w:val="28"/>
                    </w:rPr>
                  </w:pPr>
                  <w:r w:rsidRPr="00882930">
                    <w:rPr>
                      <w:rFonts w:ascii="Times New Roman" w:hAnsi="Times New Roman" w:cs="Times New Roman"/>
                      <w:sz w:val="28"/>
                      <w:szCs w:val="28"/>
                    </w:rPr>
                    <w:t>Ņemot</w:t>
                  </w:r>
                  <w:r w:rsidR="00CA7081" w:rsidRPr="00882930">
                    <w:rPr>
                      <w:rFonts w:ascii="Times New Roman" w:hAnsi="Times New Roman" w:cs="Times New Roman"/>
                      <w:sz w:val="28"/>
                      <w:szCs w:val="28"/>
                    </w:rPr>
                    <w:t xml:space="preserve"> vērā to, ka </w:t>
                  </w:r>
                  <w:r w:rsidRPr="00882930">
                    <w:rPr>
                      <w:rFonts w:ascii="Times New Roman" w:hAnsi="Times New Roman" w:cs="Times New Roman"/>
                      <w:sz w:val="28"/>
                      <w:szCs w:val="28"/>
                    </w:rPr>
                    <w:t xml:space="preserve">likums tiks papildināts ar </w:t>
                  </w:r>
                  <w:r w:rsidR="00CA7081" w:rsidRPr="00882930">
                    <w:rPr>
                      <w:rFonts w:ascii="Times New Roman" w:hAnsi="Times New Roman" w:cs="Times New Roman"/>
                      <w:sz w:val="28"/>
                      <w:szCs w:val="28"/>
                    </w:rPr>
                    <w:t xml:space="preserve">speciāliem </w:t>
                  </w:r>
                  <w:r w:rsidR="00CA7081" w:rsidRPr="00882930">
                    <w:rPr>
                      <w:rFonts w:ascii="Times New Roman" w:hAnsi="Times New Roman" w:cs="Times New Roman"/>
                      <w:bCs/>
                      <w:sz w:val="28"/>
                      <w:szCs w:val="28"/>
                      <w:shd w:val="clear" w:color="auto" w:fill="FFFFFF"/>
                    </w:rPr>
                    <w:t>ieguldījumu brokeru sabiedrības likvidācijas un maksātnespējas noteikumiem</w:t>
                  </w:r>
                  <w:r w:rsidRPr="00882930">
                    <w:rPr>
                      <w:rFonts w:ascii="Times New Roman" w:hAnsi="Times New Roman" w:cs="Times New Roman"/>
                      <w:sz w:val="28"/>
                      <w:szCs w:val="28"/>
                    </w:rPr>
                    <w:t xml:space="preserve">, </w:t>
                  </w:r>
                  <w:r w:rsidR="00CA7081" w:rsidRPr="00882930">
                    <w:rPr>
                      <w:rFonts w:ascii="Times New Roman" w:hAnsi="Times New Roman" w:cs="Times New Roman"/>
                      <w:sz w:val="28"/>
                      <w:szCs w:val="28"/>
                    </w:rPr>
                    <w:t>attiecīgi jāprecizē likuma I sadaļas nosaukums.</w:t>
                  </w:r>
                  <w:r w:rsidR="002242CF" w:rsidRPr="00882930">
                    <w:rPr>
                      <w:rFonts w:ascii="Times New Roman" w:hAnsi="Times New Roman" w:cs="Times New Roman"/>
                      <w:sz w:val="28"/>
                      <w:szCs w:val="28"/>
                    </w:rPr>
                    <w:t xml:space="preserve">   </w:t>
                  </w:r>
                  <w:r w:rsidR="00C60AD6" w:rsidRPr="00882930">
                    <w:rPr>
                      <w:rFonts w:ascii="Times New Roman" w:hAnsi="Times New Roman" w:cs="Times New Roman"/>
                      <w:sz w:val="28"/>
                      <w:szCs w:val="28"/>
                    </w:rPr>
                    <w:t xml:space="preserve"> </w:t>
                  </w:r>
                </w:p>
              </w:tc>
            </w:tr>
            <w:tr w:rsidR="00882930" w:rsidRPr="00882930" w:rsidTr="006C72F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6C72FC">
                  <w:pPr>
                    <w:spacing w:before="100" w:beforeAutospacing="1" w:after="100" w:afterAutospacing="1" w:line="265" w:lineRule="atLeast"/>
                    <w:jc w:val="center"/>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6C72FC" w:rsidRPr="00882930" w:rsidRDefault="00B75596"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hAnsi="Times New Roman" w:cs="Times New Roman"/>
                      <w:sz w:val="28"/>
                      <w:szCs w:val="28"/>
                      <w:shd w:val="clear" w:color="auto" w:fill="FFFFFF"/>
                    </w:rPr>
                    <w:t>Finanšu un kapitāla tirgus komisija, Finanšu ministrija</w:t>
                  </w:r>
                  <w:r w:rsidR="00CC1926" w:rsidRPr="00882930">
                    <w:rPr>
                      <w:rFonts w:ascii="Times New Roman" w:hAnsi="Times New Roman" w:cs="Times New Roman"/>
                      <w:sz w:val="28"/>
                      <w:szCs w:val="28"/>
                      <w:shd w:val="clear" w:color="auto" w:fill="FFFFFF"/>
                    </w:rPr>
                    <w:t>.</w:t>
                  </w:r>
                </w:p>
              </w:tc>
            </w:tr>
            <w:tr w:rsidR="00882930" w:rsidRPr="00882930" w:rsidTr="006C72FC">
              <w:tc>
                <w:tcPr>
                  <w:tcW w:w="25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6C72FC">
                  <w:pPr>
                    <w:spacing w:before="100" w:beforeAutospacing="1" w:after="100" w:afterAutospacing="1" w:line="265" w:lineRule="atLeast"/>
                    <w:jc w:val="center"/>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C1926" w:rsidRPr="00882930" w:rsidRDefault="00CC1926">
                  <w:pPr>
                    <w:spacing w:before="100" w:beforeAutospacing="1" w:after="100" w:afterAutospacing="1" w:line="265" w:lineRule="atLeast"/>
                    <w:jc w:val="both"/>
                    <w:rPr>
                      <w:rFonts w:ascii="Times New Roman" w:hAnsi="Times New Roman" w:cs="Times New Roman"/>
                      <w:sz w:val="28"/>
                      <w:szCs w:val="28"/>
                    </w:rPr>
                  </w:pPr>
                  <w:r w:rsidRPr="00882930">
                    <w:rPr>
                      <w:rFonts w:ascii="Times New Roman" w:hAnsi="Times New Roman" w:cs="Times New Roman"/>
                      <w:sz w:val="28"/>
                      <w:szCs w:val="28"/>
                    </w:rPr>
                    <w:t>Nav.</w:t>
                  </w:r>
                </w:p>
                <w:p w:rsidR="006C72FC" w:rsidRPr="00882930" w:rsidRDefault="006C72FC">
                  <w:pPr>
                    <w:spacing w:before="100" w:beforeAutospacing="1" w:after="100" w:afterAutospacing="1" w:line="265" w:lineRule="atLeast"/>
                    <w:jc w:val="both"/>
                    <w:rPr>
                      <w:rFonts w:ascii="Times New Roman" w:hAnsi="Times New Roman" w:cs="Times New Roman"/>
                      <w:sz w:val="28"/>
                      <w:szCs w:val="28"/>
                    </w:rPr>
                  </w:pPr>
                </w:p>
              </w:tc>
            </w:tr>
          </w:tbl>
          <w:tbl>
            <w:tblPr>
              <w:tblpPr w:leftFromText="180" w:rightFromText="180" w:vertAnchor="text" w:horzAnchor="margin" w:tblpY="155"/>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52"/>
              <w:gridCol w:w="5887"/>
            </w:tblGrid>
            <w:tr w:rsidR="00882930" w:rsidRPr="00882930" w:rsidTr="00CF079C">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F079C" w:rsidRPr="00882930" w:rsidRDefault="00CF079C" w:rsidP="00C86B42">
                  <w:pPr>
                    <w:spacing w:before="100" w:beforeAutospacing="1" w:after="100" w:afterAutospacing="1" w:line="265" w:lineRule="atLeast"/>
                    <w:jc w:val="center"/>
                    <w:rPr>
                      <w:rFonts w:ascii="Times New Roman" w:eastAsia="Times New Roman" w:hAnsi="Times New Roman" w:cs="Times New Roman"/>
                      <w:b/>
                      <w:bCs/>
                      <w:sz w:val="28"/>
                      <w:szCs w:val="28"/>
                      <w:lang w:eastAsia="lv-LV"/>
                    </w:rPr>
                  </w:pPr>
                  <w:r w:rsidRPr="00882930">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882930" w:rsidRPr="00882930" w:rsidTr="00CF079C">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F079C" w:rsidRPr="00882930" w:rsidRDefault="00CF079C" w:rsidP="00C86B42">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rsidR="00CF079C" w:rsidRPr="00882930" w:rsidRDefault="00CF079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 xml:space="preserve">Sabiedrības </w:t>
                  </w:r>
                  <w:proofErr w:type="spellStart"/>
                  <w:r w:rsidRPr="00882930">
                    <w:rPr>
                      <w:rFonts w:ascii="Times New Roman" w:eastAsia="Times New Roman" w:hAnsi="Times New Roman" w:cs="Times New Roman"/>
                      <w:sz w:val="28"/>
                      <w:szCs w:val="28"/>
                      <w:lang w:eastAsia="lv-LV"/>
                    </w:rPr>
                    <w:t>mērķgrupas</w:t>
                  </w:r>
                  <w:proofErr w:type="spellEnd"/>
                  <w:r w:rsidRPr="00882930">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F079C" w:rsidRPr="00882930" w:rsidRDefault="00CF079C" w:rsidP="00C86B42">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Kredītiestādes un ieguldījumu brokeru sabiedrības</w:t>
                  </w:r>
                  <w:r w:rsidR="00CC1926" w:rsidRPr="00882930">
                    <w:rPr>
                      <w:rFonts w:ascii="Times New Roman" w:eastAsia="Times New Roman" w:hAnsi="Times New Roman" w:cs="Times New Roman"/>
                      <w:sz w:val="28"/>
                      <w:szCs w:val="28"/>
                      <w:lang w:eastAsia="lv-LV"/>
                    </w:rPr>
                    <w:t>.</w:t>
                  </w:r>
                </w:p>
                <w:p w:rsidR="00CF079C" w:rsidRPr="00882930" w:rsidRDefault="00CF079C" w:rsidP="003F261C">
                  <w:pPr>
                    <w:spacing w:after="0" w:line="240" w:lineRule="auto"/>
                    <w:jc w:val="both"/>
                    <w:rPr>
                      <w:rFonts w:ascii="Times New Roman" w:eastAsia="Times New Roman" w:hAnsi="Times New Roman" w:cs="Times New Roman"/>
                      <w:sz w:val="28"/>
                      <w:szCs w:val="28"/>
                      <w:lang w:eastAsia="lv-LV"/>
                    </w:rPr>
                  </w:pPr>
                </w:p>
              </w:tc>
            </w:tr>
            <w:tr w:rsidR="00882930" w:rsidRPr="00882930" w:rsidTr="00CF079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F079C" w:rsidRPr="00882930" w:rsidRDefault="00CF079C" w:rsidP="00C86B42">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CF079C" w:rsidRPr="00882930" w:rsidRDefault="00CF079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F079C" w:rsidRPr="00882930" w:rsidRDefault="00CF079C" w:rsidP="00C86B42">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Projekts šo jomu neskar</w:t>
                  </w:r>
                  <w:r w:rsidR="00CC1926" w:rsidRPr="00882930">
                    <w:rPr>
                      <w:rFonts w:ascii="Times New Roman" w:eastAsia="Times New Roman" w:hAnsi="Times New Roman" w:cs="Times New Roman"/>
                      <w:sz w:val="28"/>
                      <w:szCs w:val="28"/>
                      <w:lang w:eastAsia="lv-LV"/>
                    </w:rPr>
                    <w:t>.</w:t>
                  </w:r>
                </w:p>
                <w:p w:rsidR="00CF079C" w:rsidRPr="00882930" w:rsidRDefault="00CF079C" w:rsidP="003F261C">
                  <w:pPr>
                    <w:spacing w:after="0" w:line="240" w:lineRule="auto"/>
                    <w:jc w:val="both"/>
                    <w:rPr>
                      <w:rFonts w:ascii="Times New Roman" w:eastAsia="Times New Roman" w:hAnsi="Times New Roman" w:cs="Times New Roman"/>
                      <w:sz w:val="28"/>
                      <w:szCs w:val="28"/>
                      <w:lang w:eastAsia="lv-LV"/>
                    </w:rPr>
                  </w:pPr>
                </w:p>
              </w:tc>
            </w:tr>
            <w:tr w:rsidR="00882930" w:rsidRPr="00882930" w:rsidTr="00CF079C">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F079C" w:rsidRPr="00882930" w:rsidRDefault="00CF079C" w:rsidP="00C86B42">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CF079C" w:rsidRPr="00882930" w:rsidRDefault="00CF079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F079C" w:rsidRPr="00882930" w:rsidRDefault="00CF079C" w:rsidP="00C86B42">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Projekts šo jomu neskar</w:t>
                  </w:r>
                  <w:r w:rsidR="00CC1926" w:rsidRPr="00882930">
                    <w:rPr>
                      <w:rFonts w:ascii="Times New Roman" w:eastAsia="Times New Roman" w:hAnsi="Times New Roman" w:cs="Times New Roman"/>
                      <w:sz w:val="28"/>
                      <w:szCs w:val="28"/>
                      <w:lang w:eastAsia="lv-LV"/>
                    </w:rPr>
                    <w:t>.</w:t>
                  </w:r>
                </w:p>
                <w:p w:rsidR="00CF079C" w:rsidRPr="00882930" w:rsidRDefault="00CF079C" w:rsidP="00C86B42">
                  <w:pPr>
                    <w:spacing w:after="0" w:line="240" w:lineRule="auto"/>
                    <w:rPr>
                      <w:rFonts w:ascii="Times New Roman" w:eastAsia="Times New Roman" w:hAnsi="Times New Roman" w:cs="Times New Roman"/>
                      <w:sz w:val="28"/>
                      <w:szCs w:val="28"/>
                      <w:lang w:eastAsia="lv-LV"/>
                    </w:rPr>
                  </w:pPr>
                </w:p>
              </w:tc>
            </w:tr>
            <w:tr w:rsidR="00882930" w:rsidRPr="00882930" w:rsidTr="00CF079C">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CF079C" w:rsidRPr="00882930" w:rsidRDefault="00CF079C" w:rsidP="00C86B42">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CF079C" w:rsidRPr="00882930" w:rsidRDefault="00CF079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F079C" w:rsidRPr="00882930" w:rsidRDefault="00CF079C" w:rsidP="00C86B42">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Nav</w:t>
                  </w:r>
                  <w:r w:rsidR="00CC1926" w:rsidRPr="00882930">
                    <w:rPr>
                      <w:rFonts w:ascii="Times New Roman" w:eastAsia="Times New Roman" w:hAnsi="Times New Roman" w:cs="Times New Roman"/>
                      <w:sz w:val="28"/>
                      <w:szCs w:val="28"/>
                      <w:lang w:eastAsia="lv-LV"/>
                    </w:rPr>
                    <w:t>.</w:t>
                  </w:r>
                </w:p>
              </w:tc>
            </w:tr>
          </w:tbl>
          <w:p w:rsidR="00F67794" w:rsidRPr="00882930" w:rsidRDefault="00F67794" w:rsidP="00F67794">
            <w:pPr>
              <w:keepNext/>
              <w:keepLines/>
              <w:widowControl w:val="0"/>
              <w:spacing w:before="100" w:beforeAutospacing="1" w:after="100" w:afterAutospacing="1" w:line="360" w:lineRule="auto"/>
              <w:ind w:firstLine="272"/>
              <w:rPr>
                <w:rFonts w:ascii="Times New Roman" w:eastAsia="Times New Roman" w:hAnsi="Times New Roman" w:cs="Times New Roman"/>
                <w:sz w:val="28"/>
                <w:szCs w:val="28"/>
                <w:lang w:eastAsia="lv-LV"/>
              </w:rPr>
            </w:pPr>
          </w:p>
          <w:tbl>
            <w:tblPr>
              <w:tblpPr w:leftFromText="180" w:rightFromText="180" w:vertAnchor="text" w:horzAnchor="margin" w:tblpY="-208"/>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99"/>
            </w:tblGrid>
            <w:tr w:rsidR="00882930" w:rsidRPr="00882930" w:rsidTr="0067373D">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67794" w:rsidRPr="00882930" w:rsidRDefault="00F67794" w:rsidP="00F67794">
                  <w:pPr>
                    <w:keepNext/>
                    <w:keepLines/>
                    <w:widowControl w:val="0"/>
                    <w:spacing w:before="100" w:beforeAutospacing="1" w:after="100" w:afterAutospacing="1" w:line="265" w:lineRule="atLeast"/>
                    <w:jc w:val="center"/>
                    <w:rPr>
                      <w:rFonts w:ascii="Times New Roman" w:eastAsia="Times New Roman" w:hAnsi="Times New Roman" w:cs="Times New Roman"/>
                      <w:b/>
                      <w:bCs/>
                      <w:sz w:val="28"/>
                      <w:szCs w:val="28"/>
                      <w:lang w:eastAsia="lv-LV"/>
                    </w:rPr>
                  </w:pPr>
                  <w:r w:rsidRPr="00882930">
                    <w:rPr>
                      <w:rFonts w:ascii="Times New Roman" w:eastAsia="Times New Roman" w:hAnsi="Times New Roman" w:cs="Times New Roman"/>
                      <w:b/>
                      <w:bCs/>
                      <w:sz w:val="28"/>
                      <w:szCs w:val="28"/>
                      <w:lang w:eastAsia="lv-LV"/>
                    </w:rPr>
                    <w:t>III. Tiesību akta projekta ietekme uz valsts budžetu un pašvaldību budžetiem</w:t>
                  </w:r>
                </w:p>
              </w:tc>
            </w:tr>
            <w:tr w:rsidR="00882930" w:rsidRPr="00882930" w:rsidTr="0067373D">
              <w:trPr>
                <w:trHeight w:val="36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67794" w:rsidRPr="00882930" w:rsidRDefault="00F67794" w:rsidP="00F67794">
                  <w:pPr>
                    <w:keepNext/>
                    <w:keepLines/>
                    <w:widowControl w:val="0"/>
                    <w:spacing w:before="100" w:beforeAutospacing="1" w:after="100" w:afterAutospacing="1" w:line="265" w:lineRule="atLeast"/>
                    <w:jc w:val="center"/>
                    <w:rPr>
                      <w:rFonts w:ascii="Times New Roman" w:eastAsia="Times New Roman" w:hAnsi="Times New Roman" w:cs="Times New Roman"/>
                      <w:b/>
                      <w:bCs/>
                      <w:sz w:val="28"/>
                      <w:szCs w:val="28"/>
                      <w:lang w:eastAsia="lv-LV"/>
                    </w:rPr>
                  </w:pPr>
                  <w:r w:rsidRPr="00882930">
                    <w:rPr>
                      <w:rFonts w:ascii="Times New Roman" w:eastAsia="Times New Roman" w:hAnsi="Times New Roman" w:cs="Times New Roman"/>
                      <w:bCs/>
                      <w:i/>
                      <w:sz w:val="28"/>
                      <w:szCs w:val="28"/>
                      <w:lang w:eastAsia="lv-LV"/>
                    </w:rPr>
                    <w:t>Projekts šo jomu neskar</w:t>
                  </w:r>
                </w:p>
              </w:tc>
            </w:tr>
            <w:tr w:rsidR="00882930" w:rsidRPr="00882930" w:rsidTr="0067373D">
              <w:trPr>
                <w:trHeight w:val="360"/>
              </w:trPr>
              <w:tc>
                <w:tcPr>
                  <w:tcW w:w="5000" w:type="pct"/>
                  <w:tcBorders>
                    <w:top w:val="outset" w:sz="6" w:space="0" w:color="414142"/>
                    <w:left w:val="outset" w:sz="6" w:space="0" w:color="414142"/>
                    <w:bottom w:val="outset" w:sz="6" w:space="0" w:color="414142"/>
                    <w:right w:val="outset" w:sz="6" w:space="0" w:color="414142"/>
                  </w:tcBorders>
                  <w:vAlign w:val="center"/>
                </w:tcPr>
                <w:p w:rsidR="00F67794" w:rsidRPr="00882930" w:rsidRDefault="00F67794" w:rsidP="00F67794">
                  <w:pPr>
                    <w:keepNext/>
                    <w:keepLines/>
                    <w:widowControl w:val="0"/>
                    <w:spacing w:before="100" w:beforeAutospacing="1" w:after="100" w:afterAutospacing="1" w:line="265" w:lineRule="atLeast"/>
                    <w:rPr>
                      <w:rFonts w:ascii="Times New Roman" w:eastAsia="Times New Roman" w:hAnsi="Times New Roman" w:cs="Times New Roman"/>
                      <w:bCs/>
                      <w:i/>
                      <w:sz w:val="28"/>
                      <w:szCs w:val="28"/>
                      <w:lang w:eastAsia="lv-LV"/>
                    </w:rPr>
                  </w:pPr>
                </w:p>
              </w:tc>
            </w:tr>
          </w:tbl>
          <w:p w:rsidR="00F67794" w:rsidRPr="00882930" w:rsidRDefault="00F67794" w:rsidP="00F67794">
            <w:pPr>
              <w:spacing w:before="100" w:beforeAutospacing="1" w:after="100" w:afterAutospacing="1" w:line="360" w:lineRule="auto"/>
              <w:rPr>
                <w:rFonts w:ascii="Arial" w:eastAsia="Times New Roman" w:hAnsi="Arial" w:cs="Arial"/>
                <w:sz w:val="20"/>
                <w:szCs w:val="20"/>
                <w:lang w:eastAsia="lv-LV"/>
              </w:rPr>
            </w:pPr>
            <w:r w:rsidRPr="00882930">
              <w:rPr>
                <w:rFonts w:ascii="Arial" w:eastAsia="Times New Roman" w:hAnsi="Arial" w:cs="Arial"/>
                <w:sz w:val="20"/>
                <w:szCs w:val="20"/>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9"/>
              <w:gridCol w:w="2665"/>
              <w:gridCol w:w="6041"/>
            </w:tblGrid>
            <w:tr w:rsidR="00882930" w:rsidRPr="00882930" w:rsidTr="0067373D">
              <w:trPr>
                <w:trHeight w:val="450"/>
                <w:tblCellSpacing w:w="15" w:type="dxa"/>
                <w:jc w:val="cent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7794" w:rsidRPr="00882930" w:rsidRDefault="00F67794" w:rsidP="00F67794">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82930">
                    <w:rPr>
                      <w:rFonts w:ascii="Times New Roman" w:eastAsia="Times New Roman" w:hAnsi="Times New Roman" w:cs="Times New Roman"/>
                      <w:b/>
                      <w:bCs/>
                      <w:sz w:val="28"/>
                      <w:szCs w:val="28"/>
                      <w:lang w:eastAsia="lv-LV"/>
                    </w:rPr>
                    <w:t>IV. Tiesību akta projekta ietekme uz spēkā esošo tiesību normu sistēmu</w:t>
                  </w:r>
                </w:p>
              </w:tc>
            </w:tr>
            <w:tr w:rsidR="00882930" w:rsidRPr="00882930" w:rsidTr="0067373D">
              <w:trPr>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rsidR="00F67794" w:rsidRPr="00882930" w:rsidRDefault="00F67794" w:rsidP="00F67794">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1.</w:t>
                  </w:r>
                </w:p>
              </w:tc>
              <w:tc>
                <w:tcPr>
                  <w:tcW w:w="1450" w:type="pct"/>
                  <w:tcBorders>
                    <w:top w:val="single" w:sz="4" w:space="0" w:color="auto"/>
                    <w:left w:val="single" w:sz="4" w:space="0" w:color="auto"/>
                    <w:bottom w:val="single" w:sz="4" w:space="0" w:color="auto"/>
                    <w:right w:val="single" w:sz="4" w:space="0" w:color="auto"/>
                  </w:tcBorders>
                  <w:hideMark/>
                </w:tcPr>
                <w:p w:rsidR="00F67794" w:rsidRPr="00882930" w:rsidRDefault="00F67794" w:rsidP="00F67794">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Nepieciešamie saistītie tiesību aktu projekti</w:t>
                  </w:r>
                </w:p>
              </w:tc>
              <w:tc>
                <w:tcPr>
                  <w:tcW w:w="3300" w:type="pct"/>
                  <w:tcBorders>
                    <w:top w:val="single" w:sz="4" w:space="0" w:color="auto"/>
                    <w:left w:val="single" w:sz="4" w:space="0" w:color="auto"/>
                    <w:bottom w:val="single" w:sz="4" w:space="0" w:color="auto"/>
                    <w:right w:val="single" w:sz="4" w:space="0" w:color="auto"/>
                  </w:tcBorders>
                  <w:hideMark/>
                </w:tcPr>
                <w:p w:rsidR="00F67794" w:rsidRPr="00882930" w:rsidRDefault="00F67794" w:rsidP="00F67794">
                  <w:pPr>
                    <w:spacing w:after="0" w:line="240" w:lineRule="auto"/>
                    <w:jc w:val="both"/>
                    <w:rPr>
                      <w:rFonts w:ascii="Times New Roman" w:eastAsia="Times New Roman" w:hAnsi="Times New Roman" w:cs="Times New Roman"/>
                      <w:sz w:val="28"/>
                      <w:szCs w:val="28"/>
                      <w:lang w:eastAsia="lv-LV"/>
                    </w:rPr>
                  </w:pPr>
                  <w:r w:rsidRPr="00882930">
                    <w:rPr>
                      <w:rFonts w:ascii="Times New Roman" w:hAnsi="Times New Roman" w:cs="Times New Roman"/>
                      <w:sz w:val="28"/>
                      <w:szCs w:val="28"/>
                    </w:rPr>
                    <w:t>Izstrādātais likumprojekts tiek virzīts pieņemšanai vienlaicīgi ar likumprojektu “Grozījumi Kredītiestāžu likumā”, likumprojektu “Grozījumi Finanšu un kapitāla tirgus komisijas likumā”, likumprojektu “Noguldījumu garantiju likums” un likumprojektu “Kredītiestāžu un ieguldījumu brokeru sabiedrību darbības atjaunošanas un noregulējuma likums”.</w:t>
                  </w:r>
                </w:p>
              </w:tc>
            </w:tr>
            <w:tr w:rsidR="00882930" w:rsidRPr="00882930" w:rsidTr="0067373D">
              <w:trPr>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rsidR="00F67794" w:rsidRPr="00882930" w:rsidRDefault="00F67794" w:rsidP="00F67794">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2.</w:t>
                  </w:r>
                </w:p>
              </w:tc>
              <w:tc>
                <w:tcPr>
                  <w:tcW w:w="1450" w:type="pct"/>
                  <w:tcBorders>
                    <w:top w:val="single" w:sz="4" w:space="0" w:color="auto"/>
                    <w:left w:val="single" w:sz="4" w:space="0" w:color="auto"/>
                    <w:bottom w:val="single" w:sz="4" w:space="0" w:color="auto"/>
                    <w:right w:val="single" w:sz="4" w:space="0" w:color="auto"/>
                  </w:tcBorders>
                  <w:hideMark/>
                </w:tcPr>
                <w:p w:rsidR="00F67794" w:rsidRPr="00882930" w:rsidRDefault="00F67794" w:rsidP="00F67794">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Atbildīgā institūcija</w:t>
                  </w:r>
                </w:p>
              </w:tc>
              <w:tc>
                <w:tcPr>
                  <w:tcW w:w="3300" w:type="pct"/>
                  <w:tcBorders>
                    <w:top w:val="single" w:sz="4" w:space="0" w:color="auto"/>
                    <w:left w:val="single" w:sz="4" w:space="0" w:color="auto"/>
                    <w:bottom w:val="single" w:sz="4" w:space="0" w:color="auto"/>
                    <w:right w:val="single" w:sz="4" w:space="0" w:color="auto"/>
                  </w:tcBorders>
                  <w:hideMark/>
                </w:tcPr>
                <w:p w:rsidR="00F67794" w:rsidRPr="00882930" w:rsidRDefault="00F67794" w:rsidP="00F67794">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Finanšu ministrija.</w:t>
                  </w:r>
                </w:p>
              </w:tc>
            </w:tr>
            <w:tr w:rsidR="00882930" w:rsidRPr="00882930" w:rsidTr="0067373D">
              <w:trPr>
                <w:tblCellSpacing w:w="15" w:type="dxa"/>
                <w:jc w:val="center"/>
              </w:trPr>
              <w:tc>
                <w:tcPr>
                  <w:tcW w:w="250" w:type="pct"/>
                  <w:tcBorders>
                    <w:top w:val="single" w:sz="4" w:space="0" w:color="auto"/>
                    <w:left w:val="single" w:sz="4" w:space="0" w:color="auto"/>
                    <w:bottom w:val="single" w:sz="4" w:space="0" w:color="auto"/>
                    <w:right w:val="single" w:sz="4" w:space="0" w:color="auto"/>
                  </w:tcBorders>
                  <w:hideMark/>
                </w:tcPr>
                <w:p w:rsidR="00F67794" w:rsidRPr="00882930" w:rsidRDefault="00F67794" w:rsidP="00F67794">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3.</w:t>
                  </w:r>
                </w:p>
              </w:tc>
              <w:tc>
                <w:tcPr>
                  <w:tcW w:w="1450" w:type="pct"/>
                  <w:tcBorders>
                    <w:top w:val="single" w:sz="4" w:space="0" w:color="auto"/>
                    <w:left w:val="single" w:sz="4" w:space="0" w:color="auto"/>
                    <w:bottom w:val="single" w:sz="4" w:space="0" w:color="auto"/>
                    <w:right w:val="single" w:sz="4" w:space="0" w:color="auto"/>
                  </w:tcBorders>
                  <w:hideMark/>
                </w:tcPr>
                <w:p w:rsidR="00F67794" w:rsidRPr="00882930" w:rsidRDefault="00F67794" w:rsidP="00F67794">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Cita informācija</w:t>
                  </w:r>
                </w:p>
              </w:tc>
              <w:tc>
                <w:tcPr>
                  <w:tcW w:w="3300" w:type="pct"/>
                  <w:tcBorders>
                    <w:top w:val="single" w:sz="4" w:space="0" w:color="auto"/>
                    <w:left w:val="single" w:sz="4" w:space="0" w:color="auto"/>
                    <w:bottom w:val="single" w:sz="4" w:space="0" w:color="auto"/>
                    <w:right w:val="single" w:sz="4" w:space="0" w:color="auto"/>
                  </w:tcBorders>
                  <w:hideMark/>
                </w:tcPr>
                <w:p w:rsidR="00F67794" w:rsidRPr="00882930" w:rsidRDefault="00F67794" w:rsidP="00F67794">
                  <w:pPr>
                    <w:spacing w:before="100" w:beforeAutospacing="1" w:after="100" w:afterAutospacing="1" w:line="36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Nav.</w:t>
                  </w:r>
                </w:p>
              </w:tc>
            </w:tr>
          </w:tbl>
          <w:p w:rsidR="00F67794" w:rsidRPr="00882930" w:rsidRDefault="00F67794" w:rsidP="00F67794">
            <w:pPr>
              <w:keepNext/>
              <w:keepLines/>
              <w:widowControl w:val="0"/>
              <w:spacing w:before="100" w:beforeAutospacing="1" w:after="100" w:afterAutospacing="1" w:line="360" w:lineRule="auto"/>
              <w:rPr>
                <w:rFonts w:ascii="Times New Roman" w:eastAsia="Times New Roman" w:hAnsi="Times New Roman" w:cs="Times New Roman"/>
                <w:sz w:val="28"/>
                <w:szCs w:val="28"/>
                <w:lang w:eastAsia="lv-LV"/>
              </w:rPr>
            </w:pPr>
          </w:p>
          <w:p w:rsidR="00A7155F" w:rsidRPr="00882930" w:rsidRDefault="00A7155F" w:rsidP="00F67794">
            <w:pPr>
              <w:spacing w:before="100" w:beforeAutospacing="1" w:after="100" w:afterAutospacing="1" w:line="265" w:lineRule="atLeast"/>
              <w:ind w:firstLine="272"/>
              <w:rPr>
                <w:rFonts w:ascii="Times New Roman" w:eastAsia="Times New Roman" w:hAnsi="Times New Roman" w:cs="Times New Roman"/>
                <w:sz w:val="28"/>
                <w:szCs w:val="28"/>
                <w:lang w:eastAsia="lv-LV"/>
              </w:rPr>
            </w:pPr>
          </w:p>
          <w:p w:rsidR="00F67794" w:rsidRPr="00882930" w:rsidRDefault="00F67794" w:rsidP="006C72FC">
            <w:pPr>
              <w:spacing w:before="100" w:beforeAutospacing="1" w:after="100" w:afterAutospacing="1" w:line="265" w:lineRule="atLeast"/>
              <w:ind w:firstLine="272"/>
              <w:rPr>
                <w:rFonts w:ascii="Times New Roman" w:eastAsia="Times New Roman" w:hAnsi="Times New Roman" w:cs="Times New Roman"/>
                <w:sz w:val="28"/>
                <w:szCs w:val="28"/>
                <w:lang w:eastAsia="lv-LV"/>
              </w:rPr>
            </w:pPr>
          </w:p>
          <w:tbl>
            <w:tblPr>
              <w:tblpPr w:leftFromText="180" w:rightFromText="180" w:vertAnchor="text" w:horzAnchor="margin" w:tblpY="-292"/>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668"/>
              <w:gridCol w:w="6071"/>
            </w:tblGrid>
            <w:tr w:rsidR="00882930" w:rsidRPr="00882930" w:rsidTr="00A7155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7155F" w:rsidRPr="00882930" w:rsidRDefault="00A7155F" w:rsidP="00A7155F">
                  <w:pPr>
                    <w:spacing w:before="100" w:beforeAutospacing="1" w:after="100" w:afterAutospacing="1" w:line="265" w:lineRule="atLeast"/>
                    <w:jc w:val="center"/>
                    <w:rPr>
                      <w:rFonts w:ascii="Times New Roman" w:eastAsia="Times New Roman" w:hAnsi="Times New Roman" w:cs="Times New Roman"/>
                      <w:b/>
                      <w:bCs/>
                      <w:sz w:val="28"/>
                      <w:szCs w:val="28"/>
                      <w:lang w:eastAsia="lv-LV"/>
                    </w:rPr>
                  </w:pPr>
                  <w:r w:rsidRPr="00882930">
                    <w:rPr>
                      <w:rFonts w:ascii="Times New Roman" w:eastAsia="Times New Roman" w:hAnsi="Times New Roman" w:cs="Times New Roman"/>
                      <w:b/>
                      <w:bCs/>
                      <w:sz w:val="28"/>
                      <w:szCs w:val="28"/>
                      <w:lang w:eastAsia="lv-LV"/>
                    </w:rPr>
                    <w:lastRenderedPageBreak/>
                    <w:t>V. Tiesību akta projekta atbilstība Latvijas Republikas starptautiskajām saistībām</w:t>
                  </w:r>
                </w:p>
              </w:tc>
            </w:tr>
            <w:tr w:rsidR="00882930" w:rsidRPr="00882930" w:rsidTr="00A7155F">
              <w:tc>
                <w:tcPr>
                  <w:tcW w:w="250" w:type="pct"/>
                  <w:tcBorders>
                    <w:top w:val="outset" w:sz="6" w:space="0" w:color="414142"/>
                    <w:left w:val="outset" w:sz="6" w:space="0" w:color="414142"/>
                    <w:bottom w:val="outset" w:sz="6" w:space="0" w:color="414142"/>
                    <w:right w:val="outset" w:sz="6" w:space="0" w:color="414142"/>
                  </w:tcBorders>
                  <w:hideMark/>
                </w:tcPr>
                <w:p w:rsidR="00A7155F" w:rsidRPr="00882930" w:rsidRDefault="00A7155F" w:rsidP="00A7155F">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7155F" w:rsidRPr="00882930" w:rsidRDefault="00A7155F"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A7155F" w:rsidRPr="00882930" w:rsidRDefault="00A7155F" w:rsidP="003F261C">
                  <w:pPr>
                    <w:spacing w:after="0" w:line="240" w:lineRule="auto"/>
                    <w:jc w:val="both"/>
                    <w:rPr>
                      <w:rFonts w:ascii="Times New Roman" w:hAnsi="Times New Roman" w:cs="Times New Roman"/>
                      <w:sz w:val="28"/>
                      <w:szCs w:val="28"/>
                    </w:rPr>
                  </w:pPr>
                  <w:r w:rsidRPr="00882930">
                    <w:rPr>
                      <w:rFonts w:ascii="Times New Roman" w:hAnsi="Times New Roman" w:cs="Times New Roman"/>
                      <w:sz w:val="28"/>
                      <w:szCs w:val="28"/>
                    </w:rPr>
                    <w:t>Eiropas Parlamenta un Padomes 2014.gada 15.maija direktīva</w:t>
                  </w:r>
                  <w:r w:rsidRPr="00882930">
                    <w:rPr>
                      <w:rStyle w:val="apple-converted-space"/>
                      <w:rFonts w:ascii="Times New Roman" w:hAnsi="Times New Roman" w:cs="Times New Roman"/>
                      <w:sz w:val="28"/>
                      <w:szCs w:val="28"/>
                    </w:rPr>
                    <w:t> </w:t>
                  </w:r>
                  <w:hyperlink r:id="rId8" w:tgtFrame="_blank" w:history="1">
                    <w:r w:rsidRPr="00882930">
                      <w:rPr>
                        <w:rStyle w:val="Hyperlink"/>
                        <w:rFonts w:ascii="Times New Roman" w:hAnsi="Times New Roman" w:cs="Times New Roman"/>
                        <w:color w:val="auto"/>
                        <w:sz w:val="28"/>
                        <w:szCs w:val="28"/>
                      </w:rPr>
                      <w:t>2014/59/ES</w:t>
                    </w:r>
                  </w:hyperlink>
                  <w:r w:rsidRPr="00882930">
                    <w:rPr>
                      <w:rStyle w:val="apple-converted-space"/>
                      <w:rFonts w:ascii="Times New Roman" w:hAnsi="Times New Roman" w:cs="Times New Roman"/>
                      <w:sz w:val="28"/>
                      <w:szCs w:val="28"/>
                    </w:rPr>
                    <w:t xml:space="preserve">, </w:t>
                  </w:r>
                  <w:r w:rsidRPr="00882930">
                    <w:rPr>
                      <w:rFonts w:ascii="Times New Roman" w:hAnsi="Times New Roman" w:cs="Times New Roman"/>
                      <w:bCs/>
                      <w:sz w:val="28"/>
                      <w:szCs w:val="28"/>
                    </w:rPr>
                    <w:t>ar ko izveido 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w:t>
                  </w:r>
                  <w:r w:rsidRPr="00882930">
                    <w:rPr>
                      <w:rFonts w:ascii="Times New Roman" w:hAnsi="Times New Roman" w:cs="Times New Roman"/>
                      <w:sz w:val="28"/>
                      <w:szCs w:val="28"/>
                    </w:rPr>
                    <w:t>.</w:t>
                  </w:r>
                </w:p>
                <w:p w:rsidR="00A7155F" w:rsidRPr="00882930" w:rsidRDefault="00A7155F" w:rsidP="003F261C">
                  <w:pPr>
                    <w:spacing w:after="0" w:line="240" w:lineRule="auto"/>
                    <w:jc w:val="both"/>
                    <w:rPr>
                      <w:rFonts w:ascii="Times New Roman" w:hAnsi="Times New Roman" w:cs="Times New Roman"/>
                      <w:sz w:val="28"/>
                      <w:szCs w:val="28"/>
                    </w:rPr>
                  </w:pPr>
                  <w:r w:rsidRPr="00882930">
                    <w:rPr>
                      <w:rFonts w:ascii="Times New Roman" w:hAnsi="Times New Roman" w:cs="Times New Roman"/>
                      <w:sz w:val="28"/>
                      <w:szCs w:val="28"/>
                    </w:rPr>
                    <w:t xml:space="preserve"> Direktīvas </w:t>
                  </w:r>
                  <w:r w:rsidRPr="00882930">
                    <w:rPr>
                      <w:rFonts w:ascii="Times New Roman" w:hAnsi="Times New Roman" w:cs="Times New Roman"/>
                      <w:sz w:val="28"/>
                      <w:szCs w:val="28"/>
                      <w:shd w:val="clear" w:color="auto" w:fill="FFFFFF"/>
                    </w:rPr>
                    <w:t>prasības jāpārņem un jāpiemēro, sākot ar 2015. gada 1. janvāri.</w:t>
                  </w:r>
                </w:p>
                <w:p w:rsidR="00A7155F" w:rsidRPr="00882930" w:rsidRDefault="00A7155F" w:rsidP="003F261C">
                  <w:pPr>
                    <w:spacing w:after="0" w:line="240" w:lineRule="auto"/>
                    <w:jc w:val="both"/>
                    <w:rPr>
                      <w:rFonts w:ascii="Times New Roman" w:hAnsi="Times New Roman" w:cs="Times New Roman"/>
                      <w:sz w:val="28"/>
                      <w:szCs w:val="28"/>
                      <w:shd w:val="clear" w:color="auto" w:fill="FFFFFF"/>
                    </w:rPr>
                  </w:pPr>
                  <w:r w:rsidRPr="00882930">
                    <w:rPr>
                      <w:rFonts w:ascii="Times New Roman" w:hAnsi="Times New Roman" w:cs="Times New Roman"/>
                      <w:sz w:val="28"/>
                      <w:szCs w:val="28"/>
                      <w:shd w:val="clear" w:color="auto" w:fill="FFFFFF"/>
                    </w:rPr>
                    <w:t>Likumprojekts jāpieņem līdz 2015. gada 1. janvārim.</w:t>
                  </w:r>
                </w:p>
              </w:tc>
            </w:tr>
            <w:tr w:rsidR="00882930" w:rsidRPr="00882930" w:rsidTr="00A7155F">
              <w:tc>
                <w:tcPr>
                  <w:tcW w:w="250" w:type="pct"/>
                  <w:tcBorders>
                    <w:top w:val="outset" w:sz="6" w:space="0" w:color="414142"/>
                    <w:left w:val="outset" w:sz="6" w:space="0" w:color="414142"/>
                    <w:bottom w:val="outset" w:sz="6" w:space="0" w:color="414142"/>
                    <w:right w:val="outset" w:sz="6" w:space="0" w:color="414142"/>
                  </w:tcBorders>
                  <w:hideMark/>
                </w:tcPr>
                <w:p w:rsidR="00A7155F" w:rsidRPr="00882930" w:rsidRDefault="00A7155F" w:rsidP="00A7155F">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7155F" w:rsidRPr="00882930" w:rsidRDefault="00A7155F"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A7155F" w:rsidRPr="00882930" w:rsidRDefault="00A7155F"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Projekts šo jomu neskar</w:t>
                  </w:r>
                  <w:r w:rsidR="006826C1" w:rsidRPr="00882930">
                    <w:rPr>
                      <w:rFonts w:ascii="Times New Roman" w:eastAsia="Times New Roman" w:hAnsi="Times New Roman" w:cs="Times New Roman"/>
                      <w:sz w:val="28"/>
                      <w:szCs w:val="28"/>
                      <w:lang w:eastAsia="lv-LV"/>
                    </w:rPr>
                    <w:t>.</w:t>
                  </w:r>
                </w:p>
                <w:p w:rsidR="00A7155F" w:rsidRPr="00882930" w:rsidRDefault="00A7155F" w:rsidP="003F261C">
                  <w:pPr>
                    <w:spacing w:after="0" w:line="240" w:lineRule="auto"/>
                    <w:jc w:val="both"/>
                    <w:rPr>
                      <w:rFonts w:ascii="Times New Roman" w:eastAsia="Times New Roman" w:hAnsi="Times New Roman" w:cs="Times New Roman"/>
                      <w:sz w:val="28"/>
                      <w:szCs w:val="28"/>
                      <w:lang w:eastAsia="lv-LV"/>
                    </w:rPr>
                  </w:pPr>
                </w:p>
              </w:tc>
            </w:tr>
            <w:tr w:rsidR="00882930" w:rsidRPr="00882930" w:rsidTr="00A7155F">
              <w:tc>
                <w:tcPr>
                  <w:tcW w:w="250" w:type="pct"/>
                  <w:tcBorders>
                    <w:top w:val="outset" w:sz="6" w:space="0" w:color="414142"/>
                    <w:left w:val="outset" w:sz="6" w:space="0" w:color="414142"/>
                    <w:bottom w:val="outset" w:sz="6" w:space="0" w:color="414142"/>
                    <w:right w:val="outset" w:sz="6" w:space="0" w:color="414142"/>
                  </w:tcBorders>
                  <w:hideMark/>
                </w:tcPr>
                <w:p w:rsidR="00A7155F" w:rsidRPr="00882930" w:rsidRDefault="00A7155F" w:rsidP="00A7155F">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7155F" w:rsidRPr="00882930" w:rsidRDefault="00A7155F"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7155F" w:rsidRPr="00882930" w:rsidRDefault="00A7155F"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Nav</w:t>
                  </w:r>
                  <w:r w:rsidR="006826C1" w:rsidRPr="00882930">
                    <w:rPr>
                      <w:rFonts w:ascii="Times New Roman" w:eastAsia="Times New Roman" w:hAnsi="Times New Roman" w:cs="Times New Roman"/>
                      <w:sz w:val="28"/>
                      <w:szCs w:val="28"/>
                      <w:lang w:eastAsia="lv-LV"/>
                    </w:rPr>
                    <w:t>.</w:t>
                  </w:r>
                  <w:r w:rsidRPr="00882930">
                    <w:rPr>
                      <w:rFonts w:ascii="Times New Roman" w:eastAsia="Times New Roman" w:hAnsi="Times New Roman" w:cs="Times New Roman"/>
                      <w:sz w:val="28"/>
                      <w:szCs w:val="28"/>
                      <w:lang w:eastAsia="lv-LV"/>
                    </w:rPr>
                    <w:t xml:space="preserve"> </w:t>
                  </w:r>
                </w:p>
              </w:tc>
            </w:tr>
          </w:tbl>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5"/>
              <w:gridCol w:w="2024"/>
              <w:gridCol w:w="2576"/>
              <w:gridCol w:w="2484"/>
            </w:tblGrid>
            <w:tr w:rsidR="00882930" w:rsidRPr="00882930" w:rsidTr="006C72FC">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C72FC" w:rsidRPr="00882930" w:rsidRDefault="006C72FC" w:rsidP="006C72FC">
                  <w:pPr>
                    <w:spacing w:before="100" w:beforeAutospacing="1" w:after="100" w:afterAutospacing="1" w:line="265" w:lineRule="atLeast"/>
                    <w:jc w:val="center"/>
                    <w:rPr>
                      <w:rFonts w:ascii="Times New Roman" w:eastAsia="Times New Roman" w:hAnsi="Times New Roman" w:cs="Times New Roman"/>
                      <w:b/>
                      <w:bCs/>
                      <w:sz w:val="28"/>
                      <w:szCs w:val="28"/>
                      <w:lang w:eastAsia="lv-LV"/>
                    </w:rPr>
                  </w:pPr>
                  <w:r w:rsidRPr="00882930">
                    <w:rPr>
                      <w:rFonts w:ascii="Times New Roman" w:eastAsia="Times New Roman" w:hAnsi="Times New Roman" w:cs="Times New Roman"/>
                      <w:b/>
                      <w:bCs/>
                      <w:sz w:val="28"/>
                      <w:szCs w:val="28"/>
                      <w:lang w:eastAsia="lv-LV"/>
                    </w:rPr>
                    <w:t>1.tabula</w:t>
                  </w:r>
                  <w:r w:rsidRPr="00882930">
                    <w:rPr>
                      <w:rFonts w:ascii="Times New Roman" w:eastAsia="Times New Roman" w:hAnsi="Times New Roman" w:cs="Times New Roman"/>
                      <w:b/>
                      <w:bCs/>
                      <w:sz w:val="28"/>
                      <w:szCs w:val="28"/>
                      <w:lang w:eastAsia="lv-LV"/>
                    </w:rPr>
                    <w:br/>
                    <w:t>Tiesību akta projekta atbilstība ES tiesību aktiem</w:t>
                  </w:r>
                </w:p>
              </w:tc>
            </w:tr>
            <w:tr w:rsidR="00882930" w:rsidRPr="00882930" w:rsidTr="006C72FC">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Aizpilda, ja ar projektu tiek pārņemts vai ieviests vairāk nekā viens ES tiesību akts, – jānorāda tā pati informācija, kas prasīta instrukcijas 55.1.apakšpunktā un jau tikusi norādīta arī V sadaļas 1.punktā</w:t>
                  </w:r>
                </w:p>
              </w:tc>
            </w:tr>
            <w:tr w:rsidR="00882930" w:rsidRPr="00882930" w:rsidTr="005E06C7">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6C72FC" w:rsidRPr="00882930" w:rsidRDefault="006C72FC" w:rsidP="003F261C">
                  <w:pPr>
                    <w:spacing w:before="100" w:beforeAutospacing="1" w:after="100" w:afterAutospacing="1" w:line="265" w:lineRule="atLeast"/>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6C72FC" w:rsidRPr="00882930" w:rsidRDefault="006C72FC" w:rsidP="003F261C">
                  <w:pPr>
                    <w:spacing w:before="100" w:beforeAutospacing="1" w:after="100" w:afterAutospacing="1" w:line="265" w:lineRule="atLeast"/>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6C72FC" w:rsidRPr="00882930" w:rsidRDefault="006C72FC" w:rsidP="003F261C">
                  <w:pPr>
                    <w:spacing w:before="100" w:beforeAutospacing="1" w:after="100" w:afterAutospacing="1" w:line="265" w:lineRule="atLeast"/>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6C72FC" w:rsidRPr="00882930" w:rsidRDefault="006C72FC" w:rsidP="003F261C">
                  <w:pPr>
                    <w:spacing w:before="100" w:beforeAutospacing="1" w:after="100" w:afterAutospacing="1" w:line="265" w:lineRule="atLeast"/>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D</w:t>
                  </w:r>
                </w:p>
              </w:tc>
            </w:tr>
            <w:tr w:rsidR="00882930" w:rsidRPr="00882930" w:rsidTr="005E06C7">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Informācija par to, vai šīs tabulas A ailē minētās ES tiesību akta vienības tiek pārņemtas vai ieviestas pilnībā vai daļēji.</w:t>
                  </w:r>
                </w:p>
                <w:p w:rsidR="006C72FC" w:rsidRPr="00882930" w:rsidRDefault="006C72FC" w:rsidP="003F261C">
                  <w:pPr>
                    <w:spacing w:before="100" w:beforeAutospacing="1" w:after="100" w:afterAutospacing="1" w:line="265" w:lineRule="atLeast"/>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 xml:space="preserve">Ja attiecīgā ES tiesību akta vienība tiek pārņemta vai ieviesta daļēji, sniedz attiecīgu skaidrojumu, kā arī precīzi norāda, kad un kādā veidā ES tiesību akta vienība tiks </w:t>
                  </w:r>
                  <w:r w:rsidRPr="00882930">
                    <w:rPr>
                      <w:rFonts w:ascii="Times New Roman" w:eastAsia="Times New Roman" w:hAnsi="Times New Roman" w:cs="Times New Roman"/>
                      <w:sz w:val="28"/>
                      <w:szCs w:val="28"/>
                      <w:lang w:eastAsia="lv-LV"/>
                    </w:rPr>
                    <w:lastRenderedPageBreak/>
                    <w:t>pārņemta vai ieviesta pilnībā.</w:t>
                  </w:r>
                </w:p>
                <w:p w:rsidR="006C72FC" w:rsidRPr="00882930" w:rsidRDefault="006C72FC" w:rsidP="003F261C">
                  <w:pPr>
                    <w:spacing w:before="100" w:beforeAutospacing="1" w:after="100" w:afterAutospacing="1" w:line="265" w:lineRule="atLeast"/>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lastRenderedPageBreak/>
                    <w:t>Informācija par to, vai šīs tabulas B ailē minētās projekta vienības paredz stingrākas prasības nekā šīs tabulas A ailē minētās ES tiesību akta vienības.</w:t>
                  </w:r>
                </w:p>
                <w:p w:rsidR="006C72FC" w:rsidRPr="00882930" w:rsidRDefault="006C72FC" w:rsidP="003F261C">
                  <w:pPr>
                    <w:spacing w:before="100" w:beforeAutospacing="1" w:after="100" w:afterAutospacing="1" w:line="265" w:lineRule="atLeast"/>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Ja projekts satur stingrākas prasības nekā attiecīgais ES tiesību akts, norāda pamatojumu un samērīgumu.</w:t>
                  </w:r>
                </w:p>
                <w:p w:rsidR="006C72FC" w:rsidRPr="00882930" w:rsidRDefault="006C72FC" w:rsidP="003F261C">
                  <w:pPr>
                    <w:spacing w:before="100" w:beforeAutospacing="1" w:after="100" w:afterAutospacing="1" w:line="265" w:lineRule="atLeast"/>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lastRenderedPageBreak/>
                    <w:t>Norāda iespējamās alternatīvas (t.sk. alternatīvas, kas neparedz tiesiskā regulējuma izstrādi) – kādos gadījumos būtu iespējams izvairīties no stingrāku prasību noteikšanas, nekā paredzēts attiecīgajos ES tiesību aktos</w:t>
                  </w:r>
                </w:p>
                <w:p w:rsidR="0078592F" w:rsidRPr="00882930" w:rsidRDefault="0078592F" w:rsidP="003F261C">
                  <w:pPr>
                    <w:spacing w:before="100" w:beforeAutospacing="1" w:after="100" w:afterAutospacing="1" w:line="265" w:lineRule="atLeast"/>
                    <w:jc w:val="both"/>
                    <w:rPr>
                      <w:rFonts w:ascii="Times New Roman" w:eastAsia="Times New Roman" w:hAnsi="Times New Roman" w:cs="Times New Roman"/>
                      <w:sz w:val="28"/>
                      <w:szCs w:val="28"/>
                      <w:lang w:eastAsia="lv-LV"/>
                    </w:rPr>
                  </w:pPr>
                </w:p>
              </w:tc>
            </w:tr>
            <w:tr w:rsidR="00882930" w:rsidRPr="00882930" w:rsidTr="0084512C">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006BB8" w:rsidRPr="00882930" w:rsidRDefault="00006BB8" w:rsidP="003F261C">
                  <w:pPr>
                    <w:pStyle w:val="CommentText"/>
                    <w:jc w:val="both"/>
                    <w:rPr>
                      <w:rFonts w:ascii="Times New Roman" w:hAnsi="Times New Roman" w:cs="Times New Roman"/>
                      <w:sz w:val="28"/>
                      <w:szCs w:val="28"/>
                    </w:rPr>
                  </w:pPr>
                  <w:r w:rsidRPr="00882930">
                    <w:rPr>
                      <w:rStyle w:val="CommentReference"/>
                      <w:rFonts w:ascii="Times New Roman" w:hAnsi="Times New Roman" w:cs="Times New Roman"/>
                      <w:sz w:val="28"/>
                      <w:szCs w:val="28"/>
                    </w:rPr>
                    <w:lastRenderedPageBreak/>
                    <w:t xml:space="preserve">Direktīvas </w:t>
                  </w:r>
                  <w:r w:rsidRPr="00882930">
                    <w:rPr>
                      <w:rFonts w:ascii="Times New Roman" w:hAnsi="Times New Roman" w:cs="Times New Roman"/>
                      <w:sz w:val="28"/>
                      <w:szCs w:val="28"/>
                    </w:rPr>
                    <w:t xml:space="preserve">2014/59/ES 121.panta </w:t>
                  </w:r>
                  <w:r w:rsidR="005E06C7" w:rsidRPr="00882930">
                    <w:rPr>
                      <w:rFonts w:ascii="Times New Roman" w:hAnsi="Times New Roman" w:cs="Times New Roman"/>
                      <w:sz w:val="28"/>
                      <w:szCs w:val="28"/>
                    </w:rPr>
                    <w:t>2.</w:t>
                  </w:r>
                  <w:r w:rsidRPr="00882930">
                    <w:rPr>
                      <w:rFonts w:ascii="Times New Roman" w:hAnsi="Times New Roman" w:cs="Times New Roman"/>
                      <w:sz w:val="28"/>
                      <w:szCs w:val="28"/>
                    </w:rPr>
                    <w:t xml:space="preserve"> </w:t>
                  </w:r>
                  <w:r w:rsidR="00636E5D" w:rsidRPr="00882930">
                    <w:rPr>
                      <w:rFonts w:ascii="Times New Roman" w:hAnsi="Times New Roman" w:cs="Times New Roman"/>
                      <w:sz w:val="28"/>
                      <w:szCs w:val="28"/>
                    </w:rPr>
                    <w:t>daļa</w:t>
                  </w:r>
                </w:p>
                <w:p w:rsidR="007E6A9A" w:rsidRPr="00882930" w:rsidRDefault="005E06C7"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hAnsi="Times New Roman" w:cs="Times New Roman"/>
                      <w:sz w:val="28"/>
                      <w:szCs w:val="28"/>
                    </w:rPr>
                    <w:t xml:space="preserve">[attiecīgi Direktīvas 2007/36/EK </w:t>
                  </w:r>
                  <w:r w:rsidR="003318E4" w:rsidRPr="00882930">
                    <w:rPr>
                      <w:rFonts w:ascii="Times New Roman" w:hAnsi="Times New Roman" w:cs="Times New Roman"/>
                      <w:sz w:val="28"/>
                      <w:szCs w:val="28"/>
                    </w:rPr>
                    <w:t xml:space="preserve">5.panta </w:t>
                  </w:r>
                  <w:r w:rsidRPr="00882930">
                    <w:rPr>
                      <w:rFonts w:ascii="Times New Roman" w:hAnsi="Times New Roman" w:cs="Times New Roman"/>
                      <w:sz w:val="28"/>
                      <w:szCs w:val="28"/>
                    </w:rPr>
                    <w:t>5. punkts]</w:t>
                  </w:r>
                </w:p>
              </w:tc>
              <w:tc>
                <w:tcPr>
                  <w:tcW w:w="1100" w:type="pct"/>
                  <w:tcBorders>
                    <w:top w:val="outset" w:sz="6" w:space="0" w:color="414142"/>
                    <w:left w:val="outset" w:sz="6" w:space="0" w:color="414142"/>
                    <w:bottom w:val="outset" w:sz="6" w:space="0" w:color="414142"/>
                    <w:right w:val="outset" w:sz="6" w:space="0" w:color="414142"/>
                  </w:tcBorders>
                  <w:shd w:val="clear" w:color="auto" w:fill="auto"/>
                  <w:hideMark/>
                </w:tcPr>
                <w:p w:rsidR="00006BB8" w:rsidRPr="00882930" w:rsidRDefault="00516BE5" w:rsidP="003F261C">
                  <w:pPr>
                    <w:spacing w:after="0" w:line="240" w:lineRule="auto"/>
                    <w:jc w:val="both"/>
                    <w:rPr>
                      <w:rFonts w:ascii="Times New Roman" w:hAnsi="Times New Roman" w:cs="Times New Roman"/>
                      <w:bCs/>
                      <w:sz w:val="28"/>
                      <w:szCs w:val="28"/>
                      <w:shd w:val="clear" w:color="auto" w:fill="F1F1F1"/>
                    </w:rPr>
                  </w:pPr>
                  <w:r w:rsidRPr="00882930">
                    <w:rPr>
                      <w:rFonts w:ascii="Times New Roman" w:hAnsi="Times New Roman" w:cs="Times New Roman"/>
                      <w:bCs/>
                      <w:sz w:val="28"/>
                      <w:szCs w:val="28"/>
                    </w:rPr>
                    <w:t>Likumprojekta</w:t>
                  </w:r>
                  <w:r w:rsidR="00591467" w:rsidRPr="00882930">
                    <w:rPr>
                      <w:rFonts w:ascii="Times New Roman" w:hAnsi="Times New Roman" w:cs="Times New Roman"/>
                      <w:bCs/>
                      <w:sz w:val="28"/>
                      <w:szCs w:val="28"/>
                    </w:rPr>
                    <w:t xml:space="preserve"> 2. pants</w:t>
                  </w:r>
                  <w:r w:rsidRPr="00882930">
                    <w:rPr>
                      <w:rFonts w:ascii="Times New Roman" w:hAnsi="Times New Roman" w:cs="Times New Roman"/>
                      <w:bCs/>
                      <w:sz w:val="28"/>
                      <w:szCs w:val="28"/>
                    </w:rPr>
                    <w:t xml:space="preserve"> </w:t>
                  </w:r>
                  <w:r w:rsidR="00591467" w:rsidRPr="00882930">
                    <w:rPr>
                      <w:rFonts w:ascii="Times New Roman" w:hAnsi="Times New Roman" w:cs="Times New Roman"/>
                      <w:bCs/>
                      <w:sz w:val="28"/>
                      <w:szCs w:val="28"/>
                    </w:rPr>
                    <w:t xml:space="preserve">(likuma </w:t>
                  </w:r>
                  <w:r w:rsidRPr="00882930">
                    <w:rPr>
                      <w:rFonts w:ascii="Times New Roman" w:hAnsi="Times New Roman" w:cs="Times New Roman"/>
                      <w:bCs/>
                      <w:sz w:val="28"/>
                      <w:szCs w:val="28"/>
                    </w:rPr>
                    <w:t>54.panta</w:t>
                  </w:r>
                  <w:r w:rsidR="003D1D8E" w:rsidRPr="00882930">
                    <w:rPr>
                      <w:rFonts w:ascii="Times New Roman" w:hAnsi="Times New Roman" w:cs="Times New Roman"/>
                      <w:sz w:val="28"/>
                      <w:szCs w:val="28"/>
                    </w:rPr>
                    <w:t xml:space="preserve"> </w:t>
                  </w:r>
                  <w:r w:rsidRPr="00882930">
                    <w:rPr>
                      <w:rFonts w:ascii="Times New Roman" w:hAnsi="Times New Roman" w:cs="Times New Roman"/>
                      <w:sz w:val="28"/>
                      <w:szCs w:val="28"/>
                    </w:rPr>
                    <w:t>2</w:t>
                  </w:r>
                  <w:r w:rsidR="003D1D8E" w:rsidRPr="00882930">
                    <w:rPr>
                      <w:rFonts w:ascii="Times New Roman" w:hAnsi="Times New Roman" w:cs="Times New Roman"/>
                      <w:sz w:val="28"/>
                      <w:szCs w:val="28"/>
                    </w:rPr>
                    <w:t>.</w:t>
                  </w:r>
                  <w:r w:rsidRPr="00882930">
                    <w:rPr>
                      <w:rFonts w:ascii="Times New Roman" w:hAnsi="Times New Roman" w:cs="Times New Roman"/>
                      <w:sz w:val="28"/>
                      <w:szCs w:val="28"/>
                      <w:vertAlign w:val="superscript"/>
                    </w:rPr>
                    <w:t>2</w:t>
                  </w:r>
                  <w:r w:rsidRPr="00882930">
                    <w:rPr>
                      <w:rFonts w:ascii="Times New Roman" w:hAnsi="Times New Roman" w:cs="Times New Roman"/>
                      <w:bCs/>
                      <w:sz w:val="28"/>
                      <w:szCs w:val="28"/>
                    </w:rPr>
                    <w:t xml:space="preserve"> daļa</w:t>
                  </w:r>
                  <w:r w:rsidR="00591467" w:rsidRPr="00882930">
                    <w:rPr>
                      <w:rFonts w:ascii="Times New Roman" w:hAnsi="Times New Roman" w:cs="Times New Roman"/>
                      <w:bCs/>
                      <w:sz w:val="28"/>
                      <w:szCs w:val="28"/>
                    </w:rPr>
                    <w:t>)</w:t>
                  </w:r>
                  <w:r w:rsidRPr="00882930">
                    <w:rPr>
                      <w:rFonts w:ascii="Times New Roman" w:hAnsi="Times New Roman" w:cs="Times New Roman"/>
                      <w:bCs/>
                      <w:sz w:val="28"/>
                      <w:szCs w:val="28"/>
                      <w:shd w:val="clear" w:color="auto" w:fill="F1F1F1"/>
                    </w:rPr>
                    <w:t xml:space="preserve"> </w:t>
                  </w:r>
                </w:p>
                <w:p w:rsidR="00206FC6" w:rsidRPr="00882930" w:rsidRDefault="00206FC6" w:rsidP="003F261C">
                  <w:pPr>
                    <w:spacing w:after="0" w:line="240" w:lineRule="auto"/>
                    <w:jc w:val="both"/>
                    <w:rPr>
                      <w:rFonts w:ascii="Times New Roman" w:hAnsi="Times New Roman" w:cs="Times New Roman"/>
                      <w:bCs/>
                      <w:sz w:val="28"/>
                      <w:szCs w:val="28"/>
                      <w:shd w:val="clear" w:color="auto" w:fill="F1F1F1"/>
                    </w:rPr>
                  </w:pPr>
                </w:p>
                <w:p w:rsidR="00206FC6" w:rsidRPr="00882930" w:rsidRDefault="00206FC6" w:rsidP="003F261C">
                  <w:pPr>
                    <w:spacing w:after="0" w:line="240" w:lineRule="auto"/>
                    <w:jc w:val="both"/>
                    <w:rPr>
                      <w:rFonts w:ascii="Times New Roman" w:hAnsi="Times New Roman" w:cs="Times New Roman"/>
                      <w:bCs/>
                      <w:sz w:val="28"/>
                      <w:szCs w:val="28"/>
                      <w:shd w:val="clear" w:color="auto" w:fill="F1F1F1"/>
                    </w:rPr>
                  </w:pPr>
                </w:p>
                <w:p w:rsidR="00206FC6" w:rsidRPr="00882930" w:rsidRDefault="00206FC6" w:rsidP="003F261C">
                  <w:pPr>
                    <w:spacing w:after="0" w:line="240" w:lineRule="auto"/>
                    <w:jc w:val="both"/>
                    <w:rPr>
                      <w:rFonts w:ascii="Times New Roman" w:eastAsia="Times New Roman" w:hAnsi="Times New Roman" w:cs="Times New Roman"/>
                      <w:sz w:val="28"/>
                      <w:szCs w:val="28"/>
                      <w:lang w:eastAsia="lv-LV"/>
                    </w:rPr>
                  </w:pPr>
                </w:p>
              </w:tc>
              <w:tc>
                <w:tcPr>
                  <w:tcW w:w="1400" w:type="pct"/>
                  <w:tcBorders>
                    <w:top w:val="outset" w:sz="6" w:space="0" w:color="414142"/>
                    <w:left w:val="outset" w:sz="6" w:space="0" w:color="414142"/>
                    <w:bottom w:val="outset" w:sz="6" w:space="0" w:color="414142"/>
                    <w:right w:val="outset" w:sz="6" w:space="0" w:color="414142"/>
                  </w:tcBorders>
                  <w:hideMark/>
                </w:tcPr>
                <w:p w:rsidR="00206FC6" w:rsidRPr="00882930" w:rsidRDefault="00F435C9"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ES tiesību akta vienība tiek pārņemta/ ieviesta pilnībā</w:t>
                  </w:r>
                  <w:r w:rsidRPr="00882930" w:rsidDel="00F435C9">
                    <w:rPr>
                      <w:rFonts w:ascii="Times New Roman" w:eastAsia="Times New Roman" w:hAnsi="Times New Roman" w:cs="Times New Roman"/>
                      <w:sz w:val="28"/>
                      <w:szCs w:val="28"/>
                      <w:lang w:eastAsia="lv-LV"/>
                    </w:rPr>
                    <w:t xml:space="preserve"> </w:t>
                  </w:r>
                </w:p>
                <w:p w:rsidR="00206FC6" w:rsidRPr="00882930" w:rsidRDefault="00206FC6" w:rsidP="003F261C">
                  <w:pPr>
                    <w:spacing w:after="0" w:line="240" w:lineRule="auto"/>
                    <w:jc w:val="both"/>
                    <w:rPr>
                      <w:rFonts w:ascii="Times New Roman" w:eastAsia="Times New Roman" w:hAnsi="Times New Roman" w:cs="Times New Roman"/>
                      <w:sz w:val="28"/>
                      <w:szCs w:val="28"/>
                      <w:lang w:eastAsia="lv-LV"/>
                    </w:rPr>
                  </w:pPr>
                </w:p>
                <w:p w:rsidR="00206FC6" w:rsidRPr="00882930" w:rsidRDefault="00206FC6" w:rsidP="003F261C">
                  <w:pPr>
                    <w:spacing w:after="0" w:line="240" w:lineRule="auto"/>
                    <w:jc w:val="both"/>
                    <w:rPr>
                      <w:rFonts w:ascii="Times New Roman" w:eastAsia="Times New Roman" w:hAnsi="Times New Roman" w:cs="Times New Roman"/>
                      <w:sz w:val="28"/>
                      <w:szCs w:val="28"/>
                      <w:lang w:eastAsia="lv-LV"/>
                    </w:rPr>
                  </w:pPr>
                </w:p>
                <w:p w:rsidR="00206FC6" w:rsidRPr="00882930" w:rsidRDefault="00206FC6" w:rsidP="003F261C">
                  <w:pPr>
                    <w:spacing w:after="0" w:line="240" w:lineRule="auto"/>
                    <w:jc w:val="both"/>
                    <w:rPr>
                      <w:rFonts w:ascii="Times New Roman" w:eastAsia="Times New Roman" w:hAnsi="Times New Roman" w:cs="Times New Roman"/>
                      <w:sz w:val="28"/>
                      <w:szCs w:val="28"/>
                      <w:lang w:eastAsia="lv-LV"/>
                    </w:rPr>
                  </w:pPr>
                </w:p>
              </w:tc>
              <w:tc>
                <w:tcPr>
                  <w:tcW w:w="1350" w:type="pct"/>
                  <w:tcBorders>
                    <w:top w:val="outset" w:sz="6" w:space="0" w:color="414142"/>
                    <w:left w:val="outset" w:sz="6" w:space="0" w:color="414142"/>
                    <w:bottom w:val="outset" w:sz="6" w:space="0" w:color="414142"/>
                    <w:right w:val="outset" w:sz="6" w:space="0" w:color="414142"/>
                  </w:tcBorders>
                  <w:hideMark/>
                </w:tcPr>
                <w:p w:rsidR="00006BB8" w:rsidRPr="00882930" w:rsidRDefault="00F435C9"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hAnsi="Times New Roman" w:cs="Times New Roman"/>
                      <w:spacing w:val="-2"/>
                      <w:sz w:val="28"/>
                      <w:szCs w:val="28"/>
                    </w:rPr>
                    <w:t>Likumprojekts stingrākas prasības neparedz</w:t>
                  </w:r>
                </w:p>
                <w:p w:rsidR="00206FC6" w:rsidRPr="00882930" w:rsidRDefault="00206FC6" w:rsidP="003F261C">
                  <w:pPr>
                    <w:spacing w:after="0" w:line="240" w:lineRule="auto"/>
                    <w:jc w:val="both"/>
                    <w:rPr>
                      <w:rFonts w:ascii="Times New Roman" w:eastAsia="Times New Roman" w:hAnsi="Times New Roman" w:cs="Times New Roman"/>
                      <w:sz w:val="28"/>
                      <w:szCs w:val="28"/>
                      <w:lang w:eastAsia="lv-LV"/>
                    </w:rPr>
                  </w:pPr>
                </w:p>
                <w:p w:rsidR="00206FC6" w:rsidRPr="00882930" w:rsidRDefault="00206FC6" w:rsidP="003F261C">
                  <w:pPr>
                    <w:spacing w:after="0" w:line="240" w:lineRule="auto"/>
                    <w:jc w:val="both"/>
                    <w:rPr>
                      <w:rFonts w:ascii="Times New Roman" w:eastAsia="Times New Roman" w:hAnsi="Times New Roman" w:cs="Times New Roman"/>
                      <w:sz w:val="28"/>
                      <w:szCs w:val="28"/>
                      <w:lang w:eastAsia="lv-LV"/>
                    </w:rPr>
                  </w:pPr>
                </w:p>
                <w:p w:rsidR="00206FC6" w:rsidRPr="00882930" w:rsidRDefault="00206FC6" w:rsidP="003F261C">
                  <w:pPr>
                    <w:spacing w:after="0" w:line="240" w:lineRule="auto"/>
                    <w:jc w:val="both"/>
                    <w:rPr>
                      <w:rFonts w:ascii="Times New Roman" w:eastAsia="Times New Roman" w:hAnsi="Times New Roman" w:cs="Times New Roman"/>
                      <w:sz w:val="28"/>
                      <w:szCs w:val="28"/>
                      <w:lang w:eastAsia="lv-LV"/>
                    </w:rPr>
                  </w:pPr>
                </w:p>
                <w:p w:rsidR="00206FC6" w:rsidRPr="00882930" w:rsidRDefault="00206FC6" w:rsidP="003F261C">
                  <w:pPr>
                    <w:spacing w:after="0" w:line="240" w:lineRule="auto"/>
                    <w:jc w:val="both"/>
                    <w:rPr>
                      <w:rFonts w:ascii="Times New Roman" w:eastAsia="Times New Roman" w:hAnsi="Times New Roman" w:cs="Times New Roman"/>
                      <w:sz w:val="28"/>
                      <w:szCs w:val="28"/>
                      <w:lang w:eastAsia="lv-LV"/>
                    </w:rPr>
                  </w:pPr>
                </w:p>
                <w:p w:rsidR="00206FC6" w:rsidRPr="00882930" w:rsidRDefault="00206FC6" w:rsidP="003F261C">
                  <w:pPr>
                    <w:spacing w:after="0" w:line="240" w:lineRule="auto"/>
                    <w:jc w:val="both"/>
                    <w:rPr>
                      <w:rFonts w:ascii="Times New Roman" w:eastAsia="Times New Roman" w:hAnsi="Times New Roman" w:cs="Times New Roman"/>
                      <w:sz w:val="28"/>
                      <w:szCs w:val="28"/>
                      <w:lang w:eastAsia="lv-LV"/>
                    </w:rPr>
                  </w:pPr>
                </w:p>
                <w:p w:rsidR="00206FC6" w:rsidRPr="00882930" w:rsidRDefault="00206FC6" w:rsidP="003F261C">
                  <w:pPr>
                    <w:spacing w:after="0" w:line="240" w:lineRule="auto"/>
                    <w:jc w:val="both"/>
                    <w:rPr>
                      <w:rFonts w:ascii="Times New Roman" w:eastAsia="Times New Roman" w:hAnsi="Times New Roman" w:cs="Times New Roman"/>
                      <w:sz w:val="28"/>
                      <w:szCs w:val="28"/>
                      <w:lang w:eastAsia="lv-LV"/>
                    </w:rPr>
                  </w:pPr>
                </w:p>
              </w:tc>
            </w:tr>
            <w:tr w:rsidR="00882930" w:rsidRPr="00882930" w:rsidTr="006C72FC">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Kā ir izmantota ES tiesību aktā paredzētā rīcības brīvība dalībvalstij pārņemt vai ieviest noteiktas ES tiesību akta normas?</w:t>
                  </w:r>
                  <w:r w:rsidRPr="00882930">
                    <w:rPr>
                      <w:rFonts w:ascii="Times New Roman" w:eastAsia="Times New Roman" w:hAnsi="Times New Roman" w:cs="Times New Roman"/>
                      <w:sz w:val="28"/>
                      <w:szCs w:val="28"/>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F435C9" w:rsidRPr="00882930" w:rsidRDefault="00F435C9" w:rsidP="003F261C">
                  <w:pPr>
                    <w:spacing w:after="0" w:line="240" w:lineRule="auto"/>
                    <w:jc w:val="both"/>
                    <w:rPr>
                      <w:rFonts w:ascii="Times New Roman" w:eastAsia="Times New Roman" w:hAnsi="Times New Roman" w:cs="Times New Roman"/>
                      <w:bCs/>
                      <w:sz w:val="28"/>
                      <w:szCs w:val="28"/>
                      <w:lang w:eastAsia="lv-LV"/>
                    </w:rPr>
                  </w:pPr>
                  <w:r w:rsidRPr="00882930">
                    <w:rPr>
                      <w:rFonts w:ascii="Times New Roman" w:eastAsia="Times New Roman" w:hAnsi="Times New Roman" w:cs="Times New Roman"/>
                      <w:bCs/>
                      <w:sz w:val="28"/>
                      <w:szCs w:val="28"/>
                      <w:lang w:eastAsia="lv-LV"/>
                    </w:rPr>
                    <w:t>Projekts šo jomu neskar</w:t>
                  </w:r>
                  <w:r w:rsidR="006826C1" w:rsidRPr="00882930">
                    <w:rPr>
                      <w:rFonts w:ascii="Times New Roman" w:eastAsia="Times New Roman" w:hAnsi="Times New Roman" w:cs="Times New Roman"/>
                      <w:bCs/>
                      <w:sz w:val="28"/>
                      <w:szCs w:val="28"/>
                      <w:lang w:eastAsia="lv-LV"/>
                    </w:rPr>
                    <w:t>.</w:t>
                  </w:r>
                </w:p>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p>
              </w:tc>
            </w:tr>
            <w:tr w:rsidR="00882930" w:rsidRPr="00882930" w:rsidTr="006C72FC">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 xml:space="preserve">Saistības sniegt paziņojumu ES institūcijām un ES dalībvalstīm atbilstoši normatīvajiem aktiem, kas regulē informācijas sniegšanu par tehnisko </w:t>
                  </w:r>
                  <w:r w:rsidRPr="00882930">
                    <w:rPr>
                      <w:rFonts w:ascii="Times New Roman" w:eastAsia="Times New Roman" w:hAnsi="Times New Roman" w:cs="Times New Roman"/>
                      <w:sz w:val="28"/>
                      <w:szCs w:val="28"/>
                      <w:lang w:eastAsia="lv-LV"/>
                    </w:rPr>
                    <w:lastRenderedPageBreak/>
                    <w:t>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F435C9" w:rsidRPr="00882930" w:rsidRDefault="00F435C9" w:rsidP="003F261C">
                  <w:pPr>
                    <w:spacing w:after="0" w:line="240" w:lineRule="auto"/>
                    <w:jc w:val="both"/>
                    <w:rPr>
                      <w:rFonts w:ascii="Times New Roman" w:eastAsia="Times New Roman" w:hAnsi="Times New Roman" w:cs="Times New Roman"/>
                      <w:bCs/>
                      <w:sz w:val="28"/>
                      <w:szCs w:val="28"/>
                      <w:lang w:eastAsia="lv-LV"/>
                    </w:rPr>
                  </w:pPr>
                  <w:r w:rsidRPr="00882930">
                    <w:rPr>
                      <w:rFonts w:ascii="Times New Roman" w:eastAsia="Times New Roman" w:hAnsi="Times New Roman" w:cs="Times New Roman"/>
                      <w:bCs/>
                      <w:sz w:val="28"/>
                      <w:szCs w:val="28"/>
                      <w:lang w:eastAsia="lv-LV"/>
                    </w:rPr>
                    <w:lastRenderedPageBreak/>
                    <w:t>Projekts šo jomu neskar</w:t>
                  </w:r>
                  <w:r w:rsidR="006826C1" w:rsidRPr="00882930">
                    <w:rPr>
                      <w:rFonts w:ascii="Times New Roman" w:eastAsia="Times New Roman" w:hAnsi="Times New Roman" w:cs="Times New Roman"/>
                      <w:bCs/>
                      <w:sz w:val="28"/>
                      <w:szCs w:val="28"/>
                      <w:lang w:eastAsia="lv-LV"/>
                    </w:rPr>
                    <w:t>.</w:t>
                  </w:r>
                </w:p>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p>
              </w:tc>
            </w:tr>
            <w:tr w:rsidR="00882930" w:rsidRPr="00882930" w:rsidTr="006C72FC">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6C72FC" w:rsidRPr="00882930" w:rsidRDefault="006C72FC"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lastRenderedPageBreak/>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rsidR="006C72FC" w:rsidRPr="00882930" w:rsidRDefault="00F435C9"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Nav</w:t>
                  </w:r>
                  <w:r w:rsidR="006826C1" w:rsidRPr="00882930">
                    <w:rPr>
                      <w:rFonts w:ascii="Times New Roman" w:eastAsia="Times New Roman" w:hAnsi="Times New Roman" w:cs="Times New Roman"/>
                      <w:sz w:val="28"/>
                      <w:szCs w:val="28"/>
                      <w:lang w:eastAsia="lv-LV"/>
                    </w:rPr>
                    <w:t>.</w:t>
                  </w:r>
                </w:p>
              </w:tc>
            </w:tr>
            <w:tr w:rsidR="00882930" w:rsidRPr="00882930" w:rsidTr="006C72FC">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C72FC" w:rsidRPr="00882930" w:rsidRDefault="006C72FC" w:rsidP="00816B14">
                  <w:pPr>
                    <w:spacing w:before="100" w:beforeAutospacing="1" w:after="100" w:afterAutospacing="1" w:line="265" w:lineRule="atLeast"/>
                    <w:jc w:val="center"/>
                    <w:rPr>
                      <w:rFonts w:ascii="Times New Roman" w:eastAsia="Times New Roman" w:hAnsi="Times New Roman" w:cs="Times New Roman"/>
                      <w:b/>
                      <w:bCs/>
                      <w:sz w:val="28"/>
                      <w:szCs w:val="28"/>
                      <w:lang w:eastAsia="lv-LV"/>
                    </w:rPr>
                  </w:pPr>
                  <w:r w:rsidRPr="00882930">
                    <w:rPr>
                      <w:rFonts w:ascii="Times New Roman" w:eastAsia="Times New Roman" w:hAnsi="Times New Roman" w:cs="Times New Roman"/>
                      <w:b/>
                      <w:bCs/>
                      <w:sz w:val="28"/>
                      <w:szCs w:val="28"/>
                      <w:lang w:eastAsia="lv-LV"/>
                    </w:rPr>
                    <w:t>2.tabula</w:t>
                  </w:r>
                  <w:r w:rsidR="0038169D" w:rsidRPr="00882930">
                    <w:rPr>
                      <w:rFonts w:ascii="Times New Roman" w:eastAsia="Times New Roman" w:hAnsi="Times New Roman" w:cs="Times New Roman"/>
                      <w:b/>
                      <w:bCs/>
                      <w:sz w:val="28"/>
                      <w:szCs w:val="28"/>
                      <w:lang w:eastAsia="lv-LV"/>
                    </w:rPr>
                    <w:t xml:space="preserve"> </w:t>
                  </w:r>
                  <w:r w:rsidRPr="00882930">
                    <w:rPr>
                      <w:rFonts w:ascii="Times New Roman" w:eastAsia="Times New Roman" w:hAnsi="Times New Roman" w:cs="Times New Roman"/>
                      <w:b/>
                      <w:bCs/>
                      <w:sz w:val="28"/>
                      <w:szCs w:val="28"/>
                      <w:lang w:eastAsia="lv-LV"/>
                    </w:rPr>
                    <w:br/>
                    <w:t>Ar tiesību akta projektu izpildītās vai uzņemtās saistības, kas izriet no starptautiskajiem tiesību aktiem vai starptautiskas institūcijas vai organizācijas dokumentiem.</w:t>
                  </w:r>
                  <w:r w:rsidRPr="00882930">
                    <w:rPr>
                      <w:rFonts w:ascii="Times New Roman" w:eastAsia="Times New Roman" w:hAnsi="Times New Roman" w:cs="Times New Roman"/>
                      <w:b/>
                      <w:bCs/>
                      <w:sz w:val="28"/>
                      <w:szCs w:val="28"/>
                      <w:lang w:eastAsia="lv-LV"/>
                    </w:rPr>
                    <w:br/>
                    <w:t>Pasākumi šo saistību izpildei</w:t>
                  </w:r>
                </w:p>
              </w:tc>
            </w:tr>
            <w:tr w:rsidR="00882930" w:rsidRPr="00882930" w:rsidTr="006C72FC">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561046" w:rsidRPr="00882930" w:rsidRDefault="00561046" w:rsidP="00561046">
                  <w:pPr>
                    <w:jc w:val="center"/>
                    <w:rPr>
                      <w:rFonts w:ascii="Times New Roman" w:hAnsi="Times New Roman" w:cs="Times New Roman"/>
                      <w:sz w:val="28"/>
                      <w:szCs w:val="28"/>
                    </w:rPr>
                  </w:pPr>
                  <w:r w:rsidRPr="00882930">
                    <w:rPr>
                      <w:rFonts w:ascii="Times New Roman" w:eastAsia="Times New Roman" w:hAnsi="Times New Roman" w:cs="Times New Roman"/>
                      <w:i/>
                      <w:sz w:val="28"/>
                      <w:szCs w:val="28"/>
                      <w:lang w:eastAsia="lv-LV"/>
                    </w:rPr>
                    <w:t>Projekts šo jomu neskar</w:t>
                  </w:r>
                </w:p>
              </w:tc>
            </w:tr>
          </w:tbl>
          <w:tbl>
            <w:tblPr>
              <w:tblpPr w:leftFromText="180" w:rightFromText="180" w:vertAnchor="text" w:horzAnchor="margin" w:tblpY="12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760"/>
              <w:gridCol w:w="5979"/>
            </w:tblGrid>
            <w:tr w:rsidR="00882930" w:rsidRPr="00882930" w:rsidTr="00A445A1">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445A1" w:rsidRPr="00882930" w:rsidRDefault="00A445A1" w:rsidP="00FA687D">
                  <w:pPr>
                    <w:spacing w:before="100" w:beforeAutospacing="1" w:after="100" w:afterAutospacing="1" w:line="265" w:lineRule="atLeast"/>
                    <w:jc w:val="center"/>
                    <w:rPr>
                      <w:rFonts w:ascii="Times New Roman" w:eastAsia="Times New Roman" w:hAnsi="Times New Roman" w:cs="Times New Roman"/>
                      <w:b/>
                      <w:bCs/>
                      <w:sz w:val="28"/>
                      <w:szCs w:val="28"/>
                      <w:lang w:eastAsia="lv-LV"/>
                    </w:rPr>
                  </w:pPr>
                  <w:r w:rsidRPr="00882930">
                    <w:rPr>
                      <w:rFonts w:ascii="Times New Roman" w:eastAsia="Times New Roman" w:hAnsi="Times New Roman" w:cs="Times New Roman"/>
                      <w:b/>
                      <w:bCs/>
                      <w:sz w:val="28"/>
                      <w:szCs w:val="28"/>
                      <w:lang w:eastAsia="lv-LV"/>
                    </w:rPr>
                    <w:t>VI. Sabiedrības līdzdalība un komunikācijas aktivitātes</w:t>
                  </w:r>
                </w:p>
              </w:tc>
            </w:tr>
            <w:tr w:rsidR="00882930" w:rsidRPr="00882930" w:rsidTr="00A445A1">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FA687D">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b/>
                      <w:sz w:val="28"/>
                      <w:szCs w:val="28"/>
                      <w:lang w:eastAsia="lv-LV"/>
                    </w:rPr>
                  </w:pPr>
                  <w:r w:rsidRPr="00882930">
                    <w:rPr>
                      <w:rFonts w:ascii="Times New Roman" w:hAnsi="Times New Roman" w:cs="Times New Roman"/>
                      <w:sz w:val="28"/>
                      <w:szCs w:val="28"/>
                    </w:rPr>
                    <w:t>Par Likumprojekta izstrādi tika informēta Latvijas Komercbanku asociācija</w:t>
                  </w:r>
                  <w:r w:rsidR="006826C1" w:rsidRPr="00882930">
                    <w:rPr>
                      <w:rFonts w:ascii="Times New Roman" w:hAnsi="Times New Roman" w:cs="Times New Roman"/>
                      <w:sz w:val="28"/>
                      <w:szCs w:val="28"/>
                    </w:rPr>
                    <w:t>.</w:t>
                  </w:r>
                  <w:r w:rsidRPr="00882930" w:rsidDel="00AE061D">
                    <w:rPr>
                      <w:rFonts w:ascii="Times New Roman" w:eastAsia="Times New Roman" w:hAnsi="Times New Roman" w:cs="Times New Roman"/>
                      <w:b/>
                      <w:sz w:val="28"/>
                      <w:szCs w:val="28"/>
                      <w:lang w:eastAsia="lv-LV"/>
                    </w:rPr>
                    <w:t xml:space="preserve"> </w:t>
                  </w:r>
                </w:p>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p>
              </w:tc>
            </w:tr>
            <w:tr w:rsidR="00882930" w:rsidRPr="00882930" w:rsidTr="00A445A1">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FA687D">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hAnsi="Times New Roman" w:cs="Times New Roman"/>
                      <w:sz w:val="28"/>
                      <w:szCs w:val="28"/>
                    </w:rPr>
                    <w:t>Likumprojekta saskaņošanas procesā Latvijas Komercbanku asociācija iebildumus vai priekšlikumus par Likumprojektu neizteica</w:t>
                  </w:r>
                  <w:r w:rsidR="006826C1" w:rsidRPr="00882930">
                    <w:rPr>
                      <w:rFonts w:ascii="Times New Roman" w:hAnsi="Times New Roman" w:cs="Times New Roman"/>
                      <w:sz w:val="28"/>
                      <w:szCs w:val="28"/>
                    </w:rPr>
                    <w:t>.</w:t>
                  </w:r>
                </w:p>
              </w:tc>
            </w:tr>
            <w:tr w:rsidR="00882930" w:rsidRPr="00882930" w:rsidTr="00A445A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FA687D">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hAnsi="Times New Roman" w:cs="Times New Roman"/>
                      <w:sz w:val="28"/>
                      <w:szCs w:val="28"/>
                    </w:rPr>
                  </w:pPr>
                  <w:r w:rsidRPr="00882930">
                    <w:rPr>
                      <w:rFonts w:ascii="Times New Roman" w:hAnsi="Times New Roman" w:cs="Times New Roman"/>
                      <w:sz w:val="28"/>
                      <w:szCs w:val="28"/>
                    </w:rPr>
                    <w:t>Likumprojekts saskaņots</w:t>
                  </w:r>
                  <w:r w:rsidR="00F67794" w:rsidRPr="00882930">
                    <w:rPr>
                      <w:rFonts w:ascii="Times New Roman" w:eastAsia="Times New Roman" w:hAnsi="Times New Roman" w:cs="Times New Roman"/>
                      <w:sz w:val="28"/>
                      <w:szCs w:val="28"/>
                      <w:lang w:eastAsia="lv-LV"/>
                    </w:rPr>
                    <w:t xml:space="preserve"> ar </w:t>
                  </w:r>
                  <w:r w:rsidR="00F67794" w:rsidRPr="00882930">
                    <w:rPr>
                      <w:rFonts w:ascii="Times New Roman" w:hAnsi="Times New Roman" w:cs="Times New Roman"/>
                      <w:sz w:val="28"/>
                      <w:szCs w:val="28"/>
                    </w:rPr>
                    <w:t>Latvijas Komercbanku asociāciju</w:t>
                  </w:r>
                  <w:r w:rsidR="006826C1" w:rsidRPr="00882930">
                    <w:rPr>
                      <w:rFonts w:ascii="Times New Roman" w:hAnsi="Times New Roman" w:cs="Times New Roman"/>
                      <w:sz w:val="28"/>
                      <w:szCs w:val="28"/>
                    </w:rPr>
                    <w:t>.</w:t>
                  </w:r>
                </w:p>
              </w:tc>
            </w:tr>
            <w:tr w:rsidR="00882930" w:rsidRPr="00882930" w:rsidTr="00A445A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FA687D">
                  <w:pPr>
                    <w:spacing w:after="0" w:line="240" w:lineRule="auto"/>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Nav</w:t>
                  </w:r>
                  <w:r w:rsidR="006826C1" w:rsidRPr="00882930">
                    <w:rPr>
                      <w:rFonts w:ascii="Times New Roman" w:eastAsia="Times New Roman" w:hAnsi="Times New Roman" w:cs="Times New Roman"/>
                      <w:sz w:val="28"/>
                      <w:szCs w:val="28"/>
                      <w:lang w:eastAsia="lv-LV"/>
                    </w:rPr>
                    <w:t>.</w:t>
                  </w:r>
                </w:p>
              </w:tc>
            </w:tr>
          </w:tbl>
          <w:p w:rsidR="00561046" w:rsidRPr="00882930" w:rsidRDefault="00561046" w:rsidP="00A445A1">
            <w:pPr>
              <w:spacing w:before="100" w:beforeAutospacing="1" w:after="100" w:afterAutospacing="1" w:line="265" w:lineRule="atLeast"/>
              <w:rPr>
                <w:rFonts w:ascii="Times New Roman" w:eastAsia="Times New Roman" w:hAnsi="Times New Roman" w:cs="Times New Roman"/>
                <w:sz w:val="28"/>
                <w:szCs w:val="28"/>
                <w:lang w:eastAsia="lv-LV"/>
              </w:rPr>
            </w:pPr>
          </w:p>
          <w:tbl>
            <w:tblPr>
              <w:tblpPr w:leftFromText="180" w:rightFromText="180" w:vertAnchor="text" w:horzAnchor="margin" w:tblpY="-275"/>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3496"/>
              <w:gridCol w:w="5243"/>
            </w:tblGrid>
            <w:tr w:rsidR="00882930" w:rsidRPr="00882930" w:rsidTr="00A445A1">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445A1" w:rsidRPr="00882930" w:rsidRDefault="00A445A1">
                  <w:pPr>
                    <w:spacing w:before="100" w:beforeAutospacing="1" w:after="100" w:afterAutospacing="1" w:line="265" w:lineRule="atLeast"/>
                    <w:jc w:val="center"/>
                    <w:rPr>
                      <w:rFonts w:ascii="Times New Roman" w:eastAsia="Times New Roman" w:hAnsi="Times New Roman" w:cs="Times New Roman"/>
                      <w:b/>
                      <w:bCs/>
                      <w:sz w:val="28"/>
                      <w:szCs w:val="28"/>
                      <w:lang w:eastAsia="lv-LV"/>
                    </w:rPr>
                  </w:pPr>
                  <w:r w:rsidRPr="00882930">
                    <w:rPr>
                      <w:rFonts w:ascii="Times New Roman" w:eastAsia="Times New Roman" w:hAnsi="Times New Roman" w:cs="Times New Roman"/>
                      <w:b/>
                      <w:bCs/>
                      <w:sz w:val="28"/>
                      <w:szCs w:val="28"/>
                      <w:lang w:eastAsia="lv-LV"/>
                    </w:rPr>
                    <w:lastRenderedPageBreak/>
                    <w:t>VII. Tiesību akta projekta izpildes nodrošināšana un tās ietekme uz institūcijām</w:t>
                  </w:r>
                </w:p>
              </w:tc>
            </w:tr>
            <w:tr w:rsidR="00882930" w:rsidRPr="00882930" w:rsidTr="00A445A1">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hAnsi="Times New Roman" w:cs="Times New Roman"/>
                      <w:sz w:val="28"/>
                      <w:szCs w:val="28"/>
                    </w:rPr>
                    <w:t>Finanšu un kapitāla tirgus komisija</w:t>
                  </w:r>
                  <w:r w:rsidR="006826C1" w:rsidRPr="00882930">
                    <w:rPr>
                      <w:rFonts w:ascii="Times New Roman" w:hAnsi="Times New Roman" w:cs="Times New Roman"/>
                      <w:sz w:val="28"/>
                      <w:szCs w:val="28"/>
                    </w:rPr>
                    <w:t>.</w:t>
                  </w:r>
                </w:p>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p>
              </w:tc>
            </w:tr>
            <w:tr w:rsidR="00882930" w:rsidRPr="00882930" w:rsidTr="00A445A1">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Projekta izpildes ietekme uz pārvaldes funkcijām un institucionālo struktūru.</w:t>
                  </w:r>
                </w:p>
                <w:p w:rsidR="00A445A1" w:rsidRPr="00882930" w:rsidRDefault="00A445A1" w:rsidP="003F261C">
                  <w:pPr>
                    <w:spacing w:before="100" w:beforeAutospacing="1" w:after="100" w:afterAutospacing="1" w:line="265" w:lineRule="atLeast"/>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Projekts šo jomu neskar</w:t>
                  </w:r>
                  <w:r w:rsidR="006826C1" w:rsidRPr="00882930">
                    <w:rPr>
                      <w:rFonts w:ascii="Times New Roman" w:eastAsia="Times New Roman" w:hAnsi="Times New Roman" w:cs="Times New Roman"/>
                      <w:sz w:val="28"/>
                      <w:szCs w:val="28"/>
                      <w:lang w:eastAsia="lv-LV"/>
                    </w:rPr>
                    <w:t>.</w:t>
                  </w:r>
                </w:p>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p>
              </w:tc>
            </w:tr>
            <w:tr w:rsidR="00882930" w:rsidRPr="00882930" w:rsidTr="00A445A1">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A445A1" w:rsidRPr="00882930" w:rsidRDefault="00A445A1" w:rsidP="003F261C">
                  <w:pPr>
                    <w:spacing w:after="0" w:line="240" w:lineRule="auto"/>
                    <w:jc w:val="both"/>
                    <w:rPr>
                      <w:rFonts w:ascii="Times New Roman" w:eastAsia="Times New Roman" w:hAnsi="Times New Roman" w:cs="Times New Roman"/>
                      <w:sz w:val="28"/>
                      <w:szCs w:val="28"/>
                      <w:lang w:eastAsia="lv-LV"/>
                    </w:rPr>
                  </w:pPr>
                  <w:r w:rsidRPr="00882930">
                    <w:rPr>
                      <w:rFonts w:ascii="Times New Roman" w:eastAsia="Times New Roman" w:hAnsi="Times New Roman" w:cs="Times New Roman"/>
                      <w:sz w:val="28"/>
                      <w:szCs w:val="28"/>
                      <w:lang w:eastAsia="lv-LV"/>
                    </w:rPr>
                    <w:t>Nav</w:t>
                  </w:r>
                  <w:r w:rsidR="006826C1" w:rsidRPr="00882930">
                    <w:rPr>
                      <w:rFonts w:ascii="Times New Roman" w:eastAsia="Times New Roman" w:hAnsi="Times New Roman" w:cs="Times New Roman"/>
                      <w:sz w:val="28"/>
                      <w:szCs w:val="28"/>
                      <w:lang w:eastAsia="lv-LV"/>
                    </w:rPr>
                    <w:t>.</w:t>
                  </w:r>
                </w:p>
              </w:tc>
            </w:tr>
          </w:tbl>
          <w:p w:rsidR="006C72FC" w:rsidRPr="00882930" w:rsidRDefault="006C72FC" w:rsidP="00A445A1">
            <w:pPr>
              <w:spacing w:before="100" w:beforeAutospacing="1" w:after="100" w:afterAutospacing="1" w:line="265" w:lineRule="atLeast"/>
              <w:ind w:firstLine="272"/>
              <w:rPr>
                <w:rFonts w:ascii="Times New Roman" w:eastAsia="Times New Roman" w:hAnsi="Times New Roman" w:cs="Times New Roman"/>
                <w:sz w:val="28"/>
                <w:szCs w:val="28"/>
                <w:lang w:eastAsia="lv-LV"/>
              </w:rPr>
            </w:pPr>
          </w:p>
        </w:tc>
      </w:tr>
    </w:tbl>
    <w:p w:rsidR="003F261C" w:rsidRPr="00882930" w:rsidRDefault="003F261C" w:rsidP="00206FC6">
      <w:pPr>
        <w:pStyle w:val="naisf"/>
        <w:tabs>
          <w:tab w:val="left" w:pos="5760"/>
        </w:tabs>
        <w:spacing w:before="0" w:after="0"/>
        <w:ind w:firstLine="0"/>
        <w:rPr>
          <w:rFonts w:eastAsiaTheme="minorHAnsi"/>
          <w:sz w:val="28"/>
          <w:szCs w:val="28"/>
          <w:lang w:eastAsia="en-US"/>
        </w:rPr>
      </w:pPr>
    </w:p>
    <w:p w:rsidR="00C03CBD" w:rsidRPr="00882930" w:rsidRDefault="00C03CBD" w:rsidP="00C03CBD">
      <w:pPr>
        <w:pStyle w:val="NormalWeb"/>
        <w:spacing w:before="0" w:beforeAutospacing="0" w:after="0" w:afterAutospacing="0"/>
        <w:ind w:left="540"/>
        <w:rPr>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220"/>
      </w:tblGrid>
      <w:tr w:rsidR="00882930" w:rsidRPr="00882930" w:rsidTr="00D52B79">
        <w:tc>
          <w:tcPr>
            <w:tcW w:w="4962" w:type="dxa"/>
          </w:tcPr>
          <w:tbl>
            <w:tblPr>
              <w:tblW w:w="10395" w:type="dxa"/>
              <w:tblLook w:val="04A0" w:firstRow="1" w:lastRow="0" w:firstColumn="1" w:lastColumn="0" w:noHBand="0" w:noVBand="1"/>
            </w:tblPr>
            <w:tblGrid>
              <w:gridCol w:w="4157"/>
              <w:gridCol w:w="6238"/>
            </w:tblGrid>
            <w:tr w:rsidR="00882930" w:rsidRPr="00882930" w:rsidTr="0067373D">
              <w:trPr>
                <w:trHeight w:val="252"/>
              </w:trPr>
              <w:tc>
                <w:tcPr>
                  <w:tcW w:w="4157" w:type="dxa"/>
                </w:tcPr>
                <w:p w:rsidR="002428F2" w:rsidRPr="00882930" w:rsidRDefault="002428F2" w:rsidP="002428F2">
                  <w:pPr>
                    <w:pStyle w:val="NormalWeb"/>
                    <w:spacing w:before="0" w:beforeAutospacing="0" w:after="0" w:afterAutospacing="0"/>
                    <w:rPr>
                      <w:sz w:val="28"/>
                      <w:szCs w:val="28"/>
                    </w:rPr>
                  </w:pPr>
                  <w:r w:rsidRPr="00882930">
                    <w:rPr>
                      <w:sz w:val="28"/>
                      <w:szCs w:val="28"/>
                    </w:rPr>
                    <w:t>Finanšu ministrs</w:t>
                  </w:r>
                </w:p>
              </w:tc>
              <w:tc>
                <w:tcPr>
                  <w:tcW w:w="6238" w:type="dxa"/>
                </w:tcPr>
                <w:p w:rsidR="002428F2" w:rsidRPr="00882930" w:rsidRDefault="002428F2" w:rsidP="002428F2">
                  <w:pPr>
                    <w:pStyle w:val="NormalWeb"/>
                    <w:spacing w:before="0" w:beforeAutospacing="0" w:after="0" w:afterAutospacing="0"/>
                    <w:rPr>
                      <w:sz w:val="28"/>
                      <w:szCs w:val="28"/>
                    </w:rPr>
                  </w:pPr>
                  <w:r w:rsidRPr="00882930">
                    <w:rPr>
                      <w:sz w:val="28"/>
                      <w:szCs w:val="28"/>
                    </w:rPr>
                    <w:t xml:space="preserve">                                  </w:t>
                  </w:r>
                  <w:proofErr w:type="spellStart"/>
                  <w:r w:rsidRPr="00882930">
                    <w:rPr>
                      <w:sz w:val="28"/>
                      <w:szCs w:val="28"/>
                    </w:rPr>
                    <w:t>J.Reirs</w:t>
                  </w:r>
                  <w:proofErr w:type="spellEnd"/>
                </w:p>
                <w:p w:rsidR="002428F2" w:rsidRPr="00882930" w:rsidRDefault="002428F2" w:rsidP="002428F2">
                  <w:pPr>
                    <w:pStyle w:val="NormalWeb"/>
                    <w:spacing w:before="0" w:beforeAutospacing="0" w:after="0" w:afterAutospacing="0"/>
                    <w:rPr>
                      <w:sz w:val="28"/>
                      <w:szCs w:val="28"/>
                    </w:rPr>
                  </w:pPr>
                </w:p>
              </w:tc>
            </w:tr>
            <w:tr w:rsidR="00882930" w:rsidRPr="00882930" w:rsidTr="0067373D">
              <w:trPr>
                <w:trHeight w:val="264"/>
              </w:trPr>
              <w:tc>
                <w:tcPr>
                  <w:tcW w:w="4157" w:type="dxa"/>
                </w:tcPr>
                <w:p w:rsidR="002428F2" w:rsidRPr="00882930" w:rsidRDefault="002428F2" w:rsidP="002428F2">
                  <w:pPr>
                    <w:pStyle w:val="NormalWeb"/>
                    <w:spacing w:before="0" w:beforeAutospacing="0" w:after="0" w:afterAutospacing="0"/>
                    <w:rPr>
                      <w:sz w:val="28"/>
                      <w:szCs w:val="28"/>
                    </w:rPr>
                  </w:pPr>
                  <w:r w:rsidRPr="00882930">
                    <w:rPr>
                      <w:sz w:val="28"/>
                      <w:szCs w:val="28"/>
                    </w:rPr>
                    <w:t>Vīza:</w:t>
                  </w:r>
                </w:p>
                <w:p w:rsidR="002428F2" w:rsidRPr="00882930" w:rsidRDefault="002428F2" w:rsidP="002428F2">
                  <w:pPr>
                    <w:pStyle w:val="NormalWeb"/>
                    <w:spacing w:before="0" w:beforeAutospacing="0" w:after="0" w:afterAutospacing="0"/>
                    <w:rPr>
                      <w:sz w:val="28"/>
                      <w:szCs w:val="28"/>
                    </w:rPr>
                  </w:pPr>
                  <w:r w:rsidRPr="00882930">
                    <w:rPr>
                      <w:sz w:val="28"/>
                      <w:szCs w:val="28"/>
                    </w:rPr>
                    <w:t xml:space="preserve">Valsts sekretāres </w:t>
                  </w:r>
                  <w:proofErr w:type="spellStart"/>
                  <w:r w:rsidRPr="00882930">
                    <w:rPr>
                      <w:sz w:val="28"/>
                      <w:szCs w:val="28"/>
                    </w:rPr>
                    <w:t>p.i</w:t>
                  </w:r>
                  <w:proofErr w:type="spellEnd"/>
                  <w:r w:rsidRPr="00882930">
                    <w:rPr>
                      <w:sz w:val="28"/>
                      <w:szCs w:val="28"/>
                    </w:rPr>
                    <w:t>.</w:t>
                  </w:r>
                  <w:r w:rsidR="00882930">
                    <w:rPr>
                      <w:sz w:val="28"/>
                      <w:szCs w:val="28"/>
                    </w:rPr>
                    <w:t xml:space="preserve">                             </w:t>
                  </w:r>
                </w:p>
                <w:p w:rsidR="002428F2" w:rsidRPr="00882930" w:rsidRDefault="002428F2" w:rsidP="002428F2">
                  <w:pPr>
                    <w:pStyle w:val="NormalWeb"/>
                    <w:spacing w:before="0" w:beforeAutospacing="0" w:after="0" w:afterAutospacing="0"/>
                    <w:rPr>
                      <w:sz w:val="28"/>
                      <w:szCs w:val="28"/>
                    </w:rPr>
                  </w:pPr>
                </w:p>
              </w:tc>
              <w:tc>
                <w:tcPr>
                  <w:tcW w:w="6238" w:type="dxa"/>
                </w:tcPr>
                <w:p w:rsidR="002428F2" w:rsidRPr="00882930" w:rsidRDefault="002428F2" w:rsidP="002428F2">
                  <w:pPr>
                    <w:pStyle w:val="NormalWeb"/>
                    <w:spacing w:before="0" w:beforeAutospacing="0" w:after="0" w:afterAutospacing="0"/>
                    <w:rPr>
                      <w:sz w:val="28"/>
                      <w:szCs w:val="28"/>
                    </w:rPr>
                  </w:pPr>
                </w:p>
                <w:p w:rsidR="002428F2" w:rsidRPr="00882930" w:rsidRDefault="00882930" w:rsidP="00882930">
                  <w:pPr>
                    <w:rPr>
                      <w:rFonts w:ascii="Times New Roman" w:hAnsi="Times New Roman"/>
                      <w:sz w:val="28"/>
                      <w:szCs w:val="28"/>
                      <w:lang w:eastAsia="lv-LV"/>
                    </w:rPr>
                  </w:pPr>
                  <w:r>
                    <w:rPr>
                      <w:rFonts w:ascii="Times New Roman" w:hAnsi="Times New Roman"/>
                      <w:sz w:val="28"/>
                      <w:szCs w:val="28"/>
                      <w:lang w:eastAsia="lv-LV"/>
                    </w:rPr>
                    <w:t xml:space="preserve">                          </w:t>
                  </w:r>
                  <w:proofErr w:type="spellStart"/>
                  <w:r w:rsidR="002428F2" w:rsidRPr="00882930">
                    <w:rPr>
                      <w:rFonts w:ascii="Times New Roman" w:hAnsi="Times New Roman"/>
                      <w:sz w:val="28"/>
                      <w:szCs w:val="28"/>
                      <w:lang w:eastAsia="lv-LV"/>
                    </w:rPr>
                    <w:t>I.Braunfeld</w:t>
                  </w:r>
                  <w:r>
                    <w:rPr>
                      <w:rFonts w:ascii="Times New Roman" w:hAnsi="Times New Roman"/>
                      <w:sz w:val="28"/>
                      <w:szCs w:val="28"/>
                      <w:lang w:eastAsia="lv-LV"/>
                    </w:rPr>
                    <w:t>e</w:t>
                  </w:r>
                  <w:proofErr w:type="spellEnd"/>
                </w:p>
              </w:tc>
            </w:tr>
          </w:tbl>
          <w:p w:rsidR="002428F2" w:rsidRPr="00882930" w:rsidRDefault="002428F2" w:rsidP="002428F2">
            <w:pPr>
              <w:pStyle w:val="NormalWeb"/>
              <w:spacing w:before="0" w:beforeAutospacing="0" w:after="0" w:afterAutospacing="0"/>
              <w:rPr>
                <w:sz w:val="20"/>
                <w:szCs w:val="20"/>
              </w:rPr>
            </w:pPr>
          </w:p>
          <w:p w:rsidR="003318E4" w:rsidRPr="00882930" w:rsidRDefault="003318E4" w:rsidP="002428F2">
            <w:pPr>
              <w:pStyle w:val="NormalWeb"/>
              <w:spacing w:before="0" w:beforeAutospacing="0" w:after="0" w:afterAutospacing="0"/>
              <w:rPr>
                <w:sz w:val="20"/>
                <w:szCs w:val="20"/>
              </w:rPr>
            </w:pPr>
          </w:p>
          <w:p w:rsidR="003318E4" w:rsidRPr="00882930" w:rsidRDefault="003318E4" w:rsidP="002428F2">
            <w:pPr>
              <w:pStyle w:val="NormalWeb"/>
              <w:spacing w:before="0" w:beforeAutospacing="0" w:after="0" w:afterAutospacing="0"/>
              <w:rPr>
                <w:sz w:val="20"/>
                <w:szCs w:val="20"/>
              </w:rPr>
            </w:pPr>
          </w:p>
          <w:p w:rsidR="002428F2" w:rsidRPr="00882930" w:rsidRDefault="002428F2" w:rsidP="002428F2">
            <w:pPr>
              <w:tabs>
                <w:tab w:val="left" w:pos="7088"/>
              </w:tabs>
              <w:rPr>
                <w:rFonts w:ascii="Times New Roman" w:hAnsi="Times New Roman" w:cs="Times New Roman"/>
                <w:sz w:val="20"/>
                <w:szCs w:val="20"/>
              </w:rPr>
            </w:pPr>
            <w:r w:rsidRPr="00882930">
              <w:rPr>
                <w:rFonts w:ascii="Times New Roman" w:hAnsi="Times New Roman" w:cs="Times New Roman"/>
                <w:sz w:val="20"/>
                <w:szCs w:val="20"/>
              </w:rPr>
              <w:t xml:space="preserve">11.12.2014.  </w:t>
            </w:r>
            <w:r w:rsidR="003318E4" w:rsidRPr="00882930">
              <w:rPr>
                <w:rFonts w:ascii="Times New Roman" w:hAnsi="Times New Roman" w:cs="Times New Roman"/>
                <w:sz w:val="20"/>
                <w:szCs w:val="20"/>
              </w:rPr>
              <w:t>13</w:t>
            </w:r>
            <w:r w:rsidRPr="00882930">
              <w:rPr>
                <w:rFonts w:ascii="Times New Roman" w:hAnsi="Times New Roman" w:cs="Times New Roman"/>
                <w:sz w:val="20"/>
                <w:szCs w:val="20"/>
              </w:rPr>
              <w:t>:34</w:t>
            </w:r>
          </w:p>
          <w:p w:rsidR="002428F2" w:rsidRPr="00882930" w:rsidRDefault="002428F2" w:rsidP="002428F2">
            <w:pPr>
              <w:rPr>
                <w:rFonts w:ascii="Times New Roman" w:hAnsi="Times New Roman" w:cs="Times New Roman"/>
                <w:sz w:val="20"/>
                <w:szCs w:val="20"/>
              </w:rPr>
            </w:pPr>
            <w:r w:rsidRPr="00882930">
              <w:rPr>
                <w:rFonts w:ascii="Times New Roman" w:hAnsi="Times New Roman" w:cs="Times New Roman"/>
                <w:sz w:val="20"/>
                <w:szCs w:val="20"/>
              </w:rPr>
              <w:t>1</w:t>
            </w:r>
            <w:r w:rsidR="003318E4" w:rsidRPr="00882930">
              <w:rPr>
                <w:rFonts w:ascii="Times New Roman" w:hAnsi="Times New Roman" w:cs="Times New Roman"/>
                <w:sz w:val="20"/>
                <w:szCs w:val="20"/>
              </w:rPr>
              <w:t>218</w:t>
            </w:r>
          </w:p>
          <w:p w:rsidR="002428F2" w:rsidRPr="00882930" w:rsidRDefault="002428F2" w:rsidP="002428F2">
            <w:pPr>
              <w:rPr>
                <w:rFonts w:ascii="Times New Roman" w:hAnsi="Times New Roman" w:cs="Times New Roman"/>
                <w:sz w:val="20"/>
                <w:szCs w:val="20"/>
              </w:rPr>
            </w:pPr>
            <w:r w:rsidRPr="00882930">
              <w:rPr>
                <w:rFonts w:ascii="Times New Roman" w:hAnsi="Times New Roman" w:cs="Times New Roman"/>
                <w:sz w:val="20"/>
                <w:szCs w:val="20"/>
              </w:rPr>
              <w:t xml:space="preserve">L. </w:t>
            </w:r>
            <w:proofErr w:type="spellStart"/>
            <w:r w:rsidRPr="00882930">
              <w:rPr>
                <w:rFonts w:ascii="Times New Roman" w:hAnsi="Times New Roman" w:cs="Times New Roman"/>
                <w:sz w:val="20"/>
                <w:szCs w:val="20"/>
              </w:rPr>
              <w:t>Guļkeviča</w:t>
            </w:r>
            <w:proofErr w:type="spellEnd"/>
          </w:p>
          <w:p w:rsidR="003D1D8E" w:rsidRPr="00882930" w:rsidRDefault="002428F2" w:rsidP="002428F2">
            <w:pPr>
              <w:pStyle w:val="naisf"/>
              <w:tabs>
                <w:tab w:val="left" w:pos="5760"/>
              </w:tabs>
              <w:spacing w:before="0" w:after="0"/>
              <w:ind w:firstLine="0"/>
              <w:rPr>
                <w:i/>
              </w:rPr>
            </w:pPr>
            <w:r w:rsidRPr="00882930">
              <w:rPr>
                <w:sz w:val="20"/>
                <w:szCs w:val="20"/>
              </w:rPr>
              <w:t>67774875, Linda.Gulkevica@fktk.lv</w:t>
            </w:r>
          </w:p>
        </w:tc>
        <w:tc>
          <w:tcPr>
            <w:tcW w:w="3685" w:type="dxa"/>
          </w:tcPr>
          <w:p w:rsidR="003D1D8E" w:rsidRPr="00882930" w:rsidRDefault="003D1D8E" w:rsidP="00D52B79">
            <w:pPr>
              <w:pStyle w:val="NormalWeb"/>
              <w:rPr>
                <w:sz w:val="28"/>
                <w:szCs w:val="28"/>
              </w:rPr>
            </w:pPr>
          </w:p>
        </w:tc>
      </w:tr>
    </w:tbl>
    <w:p w:rsidR="00206FC6" w:rsidRPr="000B50AC" w:rsidRDefault="00206FC6"/>
    <w:sectPr w:rsidR="00206FC6" w:rsidRPr="000B50AC" w:rsidSect="006C72FC">
      <w:footerReference w:type="default" r:id="rId9"/>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3E" w:rsidRDefault="0008013E" w:rsidP="0002444C">
      <w:pPr>
        <w:spacing w:after="0" w:line="240" w:lineRule="auto"/>
      </w:pPr>
      <w:r>
        <w:separator/>
      </w:r>
    </w:p>
  </w:endnote>
  <w:endnote w:type="continuationSeparator" w:id="0">
    <w:p w:rsidR="0008013E" w:rsidRDefault="0008013E" w:rsidP="0002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97545"/>
      <w:docPartObj>
        <w:docPartGallery w:val="Page Numbers (Bottom of Page)"/>
        <w:docPartUnique/>
      </w:docPartObj>
    </w:sdtPr>
    <w:sdtEndPr>
      <w:rPr>
        <w:noProof/>
      </w:rPr>
    </w:sdtEndPr>
    <w:sdtContent>
      <w:p w:rsidR="00730152" w:rsidRDefault="00730152">
        <w:pPr>
          <w:pStyle w:val="Footer"/>
          <w:jc w:val="right"/>
        </w:pPr>
        <w:r>
          <w:fldChar w:fldCharType="begin"/>
        </w:r>
        <w:r>
          <w:instrText xml:space="preserve"> PAGE   \* MERGEFORMAT </w:instrText>
        </w:r>
        <w:r>
          <w:fldChar w:fldCharType="separate"/>
        </w:r>
        <w:r w:rsidR="00F47270">
          <w:rPr>
            <w:noProof/>
          </w:rPr>
          <w:t>7</w:t>
        </w:r>
        <w:r>
          <w:rPr>
            <w:noProof/>
          </w:rPr>
          <w:fldChar w:fldCharType="end"/>
        </w:r>
      </w:p>
    </w:sdtContent>
  </w:sdt>
  <w:p w:rsidR="00730152" w:rsidRPr="00882930" w:rsidRDefault="002428F2" w:rsidP="00730152">
    <w:pPr>
      <w:pStyle w:val="Footer"/>
      <w:jc w:val="both"/>
      <w:rPr>
        <w:sz w:val="18"/>
        <w:szCs w:val="18"/>
      </w:rPr>
    </w:pPr>
    <w:r w:rsidRPr="00882930">
      <w:rPr>
        <w:rFonts w:ascii="Times New Roman" w:hAnsi="Times New Roman" w:cs="Times New Roman"/>
        <w:bCs/>
        <w:sz w:val="18"/>
        <w:szCs w:val="18"/>
      </w:rPr>
      <w:t>FMA</w:t>
    </w:r>
    <w:r w:rsidR="00730152" w:rsidRPr="00882930">
      <w:rPr>
        <w:rFonts w:ascii="Times New Roman" w:hAnsi="Times New Roman" w:cs="Times New Roman"/>
        <w:bCs/>
        <w:sz w:val="18"/>
        <w:szCs w:val="18"/>
      </w:rPr>
      <w:t>not_</w:t>
    </w:r>
    <w:r w:rsidRPr="00882930">
      <w:rPr>
        <w:rFonts w:ascii="Times New Roman" w:hAnsi="Times New Roman" w:cs="Times New Roman"/>
        <w:bCs/>
        <w:sz w:val="18"/>
        <w:szCs w:val="18"/>
      </w:rPr>
      <w:t>1112</w:t>
    </w:r>
    <w:r w:rsidR="00730152" w:rsidRPr="00882930">
      <w:rPr>
        <w:rFonts w:ascii="Times New Roman" w:hAnsi="Times New Roman" w:cs="Times New Roman"/>
        <w:bCs/>
        <w:sz w:val="18"/>
        <w:szCs w:val="18"/>
      </w:rPr>
      <w:t>14_FITL</w:t>
    </w:r>
    <w:r w:rsidRPr="00882930">
      <w:rPr>
        <w:rFonts w:ascii="Times New Roman" w:hAnsi="Times New Roman" w:cs="Times New Roman"/>
        <w:bCs/>
        <w:sz w:val="18"/>
        <w:szCs w:val="18"/>
      </w:rPr>
      <w:t>_BRRD</w:t>
    </w:r>
    <w:r w:rsidR="00730152" w:rsidRPr="00882930">
      <w:rPr>
        <w:rFonts w:ascii="Times New Roman" w:hAnsi="Times New Roman" w:cs="Times New Roman"/>
        <w:bCs/>
        <w:sz w:val="18"/>
        <w:szCs w:val="18"/>
      </w:rPr>
      <w:t>; Likumprojekta</w:t>
    </w:r>
    <w:r w:rsidR="00730152" w:rsidRPr="00882930">
      <w:rPr>
        <w:rFonts w:ascii="Times New Roman" w:hAnsi="Times New Roman" w:cs="Times New Roman"/>
        <w:sz w:val="18"/>
        <w:szCs w:val="18"/>
      </w:rPr>
      <w:t xml:space="preserve"> </w:t>
    </w:r>
    <w:r w:rsidR="00730152" w:rsidRPr="00882930">
      <w:rPr>
        <w:rFonts w:ascii="Times New Roman" w:hAnsi="Times New Roman" w:cs="Times New Roman"/>
        <w:bCs/>
        <w:sz w:val="18"/>
        <w:szCs w:val="18"/>
      </w:rPr>
      <w:t>"</w:t>
    </w:r>
    <w:r w:rsidR="00730152" w:rsidRPr="00882930">
      <w:rPr>
        <w:rFonts w:ascii="Times New Roman" w:eastAsia="Calibri" w:hAnsi="Times New Roman" w:cs="Times New Roman"/>
        <w:sz w:val="18"/>
        <w:szCs w:val="18"/>
      </w:rPr>
      <w:t>Grozījumi Finanšu instrumentu tirgus likumā</w:t>
    </w:r>
    <w:r w:rsidR="00730152" w:rsidRPr="00882930">
      <w:rPr>
        <w:rFonts w:ascii="Times New Roman" w:hAnsi="Times New Roman" w:cs="Times New Roman"/>
        <w:bCs/>
        <w:sz w:val="18"/>
        <w:szCs w:val="18"/>
      </w:rPr>
      <w:t>" sākotnējās ietekmes novērtējuma ziņojums</w:t>
    </w:r>
    <w:r w:rsidR="00730152" w:rsidRPr="00882930">
      <w:rPr>
        <w:rFonts w:ascii="Times New Roman" w:hAnsi="Times New Roman" w:cs="Times New Roman"/>
        <w:sz w:val="18"/>
        <w:szCs w:val="18"/>
      </w:rPr>
      <w:t xml:space="preserve"> </w:t>
    </w:r>
    <w:r w:rsidR="00730152" w:rsidRPr="00882930">
      <w:rPr>
        <w:rFonts w:ascii="Times New Roman" w:hAnsi="Times New Roman" w:cs="Times New Roman"/>
        <w:bCs/>
        <w:sz w:val="18"/>
        <w:szCs w:val="18"/>
      </w:rPr>
      <w:t>(anotācija)</w:t>
    </w:r>
  </w:p>
  <w:p w:rsidR="00561046" w:rsidRDefault="00561046" w:rsidP="00A445A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3E" w:rsidRDefault="0008013E" w:rsidP="0002444C">
      <w:pPr>
        <w:spacing w:after="0" w:line="240" w:lineRule="auto"/>
      </w:pPr>
      <w:r>
        <w:separator/>
      </w:r>
    </w:p>
  </w:footnote>
  <w:footnote w:type="continuationSeparator" w:id="0">
    <w:p w:rsidR="0008013E" w:rsidRDefault="0008013E" w:rsidP="00024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63CE"/>
    <w:multiLevelType w:val="hybridMultilevel"/>
    <w:tmpl w:val="31423F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383F9C"/>
    <w:multiLevelType w:val="hybridMultilevel"/>
    <w:tmpl w:val="C1FA18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3A00CE"/>
    <w:multiLevelType w:val="hybridMultilevel"/>
    <w:tmpl w:val="BA68B54A"/>
    <w:lvl w:ilvl="0" w:tplc="07E2E1D8">
      <w:start w:val="1"/>
      <w:numFmt w:val="bullet"/>
      <w:lvlText w:val="-"/>
      <w:lvlJc w:val="left"/>
      <w:pPr>
        <w:ind w:left="720" w:hanging="360"/>
      </w:pPr>
      <w:rPr>
        <w:rFonts w:ascii="Calibri" w:eastAsiaTheme="minorHAnsi" w:hAnsi="Calibri" w:cstheme="minorBid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D1C7428"/>
    <w:multiLevelType w:val="hybridMultilevel"/>
    <w:tmpl w:val="936C1E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2461D57"/>
    <w:multiLevelType w:val="hybridMultilevel"/>
    <w:tmpl w:val="A9603DA2"/>
    <w:lvl w:ilvl="0" w:tplc="D094582A">
      <w:numFmt w:val="bullet"/>
      <w:lvlText w:val="-"/>
      <w:lvlJc w:val="left"/>
      <w:pPr>
        <w:ind w:left="1080" w:hanging="360"/>
      </w:pPr>
      <w:rPr>
        <w:rFonts w:ascii="Times New Roman" w:eastAsia="Times New Roman" w:hAnsi="Times New Roman" w:cs="Times New Roman" w:hint="default"/>
        <w:color w:val="365F91" w:themeColor="accent1" w:themeShade="BF"/>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FC"/>
    <w:rsid w:val="00001B8F"/>
    <w:rsid w:val="00006BB8"/>
    <w:rsid w:val="00014305"/>
    <w:rsid w:val="0002444C"/>
    <w:rsid w:val="00031F12"/>
    <w:rsid w:val="000445A0"/>
    <w:rsid w:val="0008013E"/>
    <w:rsid w:val="0009293F"/>
    <w:rsid w:val="00092991"/>
    <w:rsid w:val="000A5490"/>
    <w:rsid w:val="000B50AC"/>
    <w:rsid w:val="0011066F"/>
    <w:rsid w:val="00122283"/>
    <w:rsid w:val="001843D5"/>
    <w:rsid w:val="001900C3"/>
    <w:rsid w:val="00195369"/>
    <w:rsid w:val="001B274D"/>
    <w:rsid w:val="001D0E86"/>
    <w:rsid w:val="001E132F"/>
    <w:rsid w:val="001F15A6"/>
    <w:rsid w:val="001F6A2E"/>
    <w:rsid w:val="00206FC6"/>
    <w:rsid w:val="00223629"/>
    <w:rsid w:val="002242CF"/>
    <w:rsid w:val="00226E45"/>
    <w:rsid w:val="002428F2"/>
    <w:rsid w:val="002509DD"/>
    <w:rsid w:val="00281DC1"/>
    <w:rsid w:val="002A16B4"/>
    <w:rsid w:val="002B5FD4"/>
    <w:rsid w:val="002E4018"/>
    <w:rsid w:val="00327A47"/>
    <w:rsid w:val="00331411"/>
    <w:rsid w:val="003318E4"/>
    <w:rsid w:val="00352E6B"/>
    <w:rsid w:val="0038169D"/>
    <w:rsid w:val="00395280"/>
    <w:rsid w:val="003D1D8E"/>
    <w:rsid w:val="003D4BC6"/>
    <w:rsid w:val="003F261C"/>
    <w:rsid w:val="003F4653"/>
    <w:rsid w:val="004424BB"/>
    <w:rsid w:val="00472139"/>
    <w:rsid w:val="00481D13"/>
    <w:rsid w:val="00497B92"/>
    <w:rsid w:val="00516BE5"/>
    <w:rsid w:val="00521824"/>
    <w:rsid w:val="005236C6"/>
    <w:rsid w:val="00531A0E"/>
    <w:rsid w:val="00552D5A"/>
    <w:rsid w:val="00561046"/>
    <w:rsid w:val="00565205"/>
    <w:rsid w:val="0057202A"/>
    <w:rsid w:val="00591467"/>
    <w:rsid w:val="00597B7F"/>
    <w:rsid w:val="005B6ABE"/>
    <w:rsid w:val="005C397A"/>
    <w:rsid w:val="005D2E6F"/>
    <w:rsid w:val="005E06C7"/>
    <w:rsid w:val="0061267C"/>
    <w:rsid w:val="0062212B"/>
    <w:rsid w:val="00622874"/>
    <w:rsid w:val="00631163"/>
    <w:rsid w:val="00632BE1"/>
    <w:rsid w:val="00636E5D"/>
    <w:rsid w:val="00667D8C"/>
    <w:rsid w:val="006826C1"/>
    <w:rsid w:val="00686FB1"/>
    <w:rsid w:val="006C72FC"/>
    <w:rsid w:val="006F0A03"/>
    <w:rsid w:val="006F1B53"/>
    <w:rsid w:val="006F2F35"/>
    <w:rsid w:val="00722AF5"/>
    <w:rsid w:val="00730152"/>
    <w:rsid w:val="007425BA"/>
    <w:rsid w:val="0078592F"/>
    <w:rsid w:val="007E1BD9"/>
    <w:rsid w:val="007E2474"/>
    <w:rsid w:val="007E6A9A"/>
    <w:rsid w:val="007E6AD7"/>
    <w:rsid w:val="007F4B04"/>
    <w:rsid w:val="00816B14"/>
    <w:rsid w:val="0084512C"/>
    <w:rsid w:val="00863753"/>
    <w:rsid w:val="00863898"/>
    <w:rsid w:val="00870EF3"/>
    <w:rsid w:val="00882930"/>
    <w:rsid w:val="00893C1F"/>
    <w:rsid w:val="008B7BFD"/>
    <w:rsid w:val="008F1A2D"/>
    <w:rsid w:val="00964D31"/>
    <w:rsid w:val="009678B3"/>
    <w:rsid w:val="009B5536"/>
    <w:rsid w:val="00A1519F"/>
    <w:rsid w:val="00A445A1"/>
    <w:rsid w:val="00A65FC4"/>
    <w:rsid w:val="00A7155F"/>
    <w:rsid w:val="00AA00C1"/>
    <w:rsid w:val="00AE061D"/>
    <w:rsid w:val="00AF4484"/>
    <w:rsid w:val="00B606B5"/>
    <w:rsid w:val="00B66460"/>
    <w:rsid w:val="00B75596"/>
    <w:rsid w:val="00B969AD"/>
    <w:rsid w:val="00BB34E4"/>
    <w:rsid w:val="00BC1F4F"/>
    <w:rsid w:val="00BD5BCE"/>
    <w:rsid w:val="00C03CBD"/>
    <w:rsid w:val="00C472EF"/>
    <w:rsid w:val="00C60AD6"/>
    <w:rsid w:val="00C6329F"/>
    <w:rsid w:val="00CA7081"/>
    <w:rsid w:val="00CB6BB0"/>
    <w:rsid w:val="00CC1926"/>
    <w:rsid w:val="00CF079C"/>
    <w:rsid w:val="00CF6CDA"/>
    <w:rsid w:val="00D16F0F"/>
    <w:rsid w:val="00D228E5"/>
    <w:rsid w:val="00D3135C"/>
    <w:rsid w:val="00D52D5D"/>
    <w:rsid w:val="00DB00C7"/>
    <w:rsid w:val="00DD5D2B"/>
    <w:rsid w:val="00DF1911"/>
    <w:rsid w:val="00E22290"/>
    <w:rsid w:val="00E3550D"/>
    <w:rsid w:val="00EB58A2"/>
    <w:rsid w:val="00EF2A43"/>
    <w:rsid w:val="00F2221F"/>
    <w:rsid w:val="00F222EE"/>
    <w:rsid w:val="00F24298"/>
    <w:rsid w:val="00F435C9"/>
    <w:rsid w:val="00F47270"/>
    <w:rsid w:val="00F529ED"/>
    <w:rsid w:val="00F677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6015DC-0228-4E16-A7CA-ABFBCB62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6C72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C72FC"/>
  </w:style>
  <w:style w:type="character" w:styleId="Hyperlink">
    <w:name w:val="Hyperlink"/>
    <w:basedOn w:val="DefaultParagraphFont"/>
    <w:uiPriority w:val="99"/>
    <w:semiHidden/>
    <w:unhideWhenUsed/>
    <w:rsid w:val="006C72FC"/>
    <w:rPr>
      <w:color w:val="0000FF"/>
      <w:u w:val="single"/>
    </w:rPr>
  </w:style>
  <w:style w:type="paragraph" w:customStyle="1" w:styleId="tvhtml">
    <w:name w:val="tv_html"/>
    <w:basedOn w:val="Normal"/>
    <w:rsid w:val="006C72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244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444C"/>
  </w:style>
  <w:style w:type="paragraph" w:styleId="Footer">
    <w:name w:val="footer"/>
    <w:basedOn w:val="Normal"/>
    <w:link w:val="FooterChar"/>
    <w:uiPriority w:val="99"/>
    <w:unhideWhenUsed/>
    <w:rsid w:val="000244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444C"/>
  </w:style>
  <w:style w:type="paragraph" w:customStyle="1" w:styleId="default">
    <w:name w:val="default"/>
    <w:basedOn w:val="Normal"/>
    <w:rsid w:val="007F4B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7F4B04"/>
  </w:style>
  <w:style w:type="character" w:styleId="Strong">
    <w:name w:val="Strong"/>
    <w:basedOn w:val="DefaultParagraphFont"/>
    <w:uiPriority w:val="22"/>
    <w:qFormat/>
    <w:rsid w:val="007F4B04"/>
    <w:rPr>
      <w:b/>
      <w:bCs/>
    </w:rPr>
  </w:style>
  <w:style w:type="paragraph" w:styleId="NormalWeb">
    <w:name w:val="Normal (Web)"/>
    <w:basedOn w:val="Normal"/>
    <w:uiPriority w:val="99"/>
    <w:unhideWhenUsed/>
    <w:rsid w:val="0086375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86375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uiPriority w:val="99"/>
    <w:semiHidden/>
    <w:rsid w:val="00863753"/>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63898"/>
    <w:pPr>
      <w:ind w:left="720"/>
      <w:contextualSpacing/>
    </w:pPr>
  </w:style>
  <w:style w:type="character" w:styleId="CommentReference">
    <w:name w:val="annotation reference"/>
    <w:basedOn w:val="DefaultParagraphFont"/>
    <w:uiPriority w:val="99"/>
    <w:semiHidden/>
    <w:unhideWhenUsed/>
    <w:rsid w:val="00531A0E"/>
    <w:rPr>
      <w:sz w:val="16"/>
      <w:szCs w:val="16"/>
    </w:rPr>
  </w:style>
  <w:style w:type="paragraph" w:styleId="CommentText">
    <w:name w:val="annotation text"/>
    <w:basedOn w:val="Normal"/>
    <w:link w:val="CommentTextChar"/>
    <w:uiPriority w:val="99"/>
    <w:unhideWhenUsed/>
    <w:rsid w:val="00531A0E"/>
    <w:pPr>
      <w:spacing w:line="240" w:lineRule="auto"/>
    </w:pPr>
    <w:rPr>
      <w:sz w:val="20"/>
      <w:szCs w:val="20"/>
    </w:rPr>
  </w:style>
  <w:style w:type="character" w:customStyle="1" w:styleId="CommentTextChar">
    <w:name w:val="Comment Text Char"/>
    <w:basedOn w:val="DefaultParagraphFont"/>
    <w:link w:val="CommentText"/>
    <w:uiPriority w:val="99"/>
    <w:rsid w:val="00531A0E"/>
    <w:rPr>
      <w:sz w:val="20"/>
      <w:szCs w:val="20"/>
    </w:rPr>
  </w:style>
  <w:style w:type="paragraph" w:styleId="CommentSubject">
    <w:name w:val="annotation subject"/>
    <w:basedOn w:val="CommentText"/>
    <w:next w:val="CommentText"/>
    <w:link w:val="CommentSubjectChar"/>
    <w:uiPriority w:val="99"/>
    <w:semiHidden/>
    <w:unhideWhenUsed/>
    <w:rsid w:val="00531A0E"/>
    <w:rPr>
      <w:b/>
      <w:bCs/>
    </w:rPr>
  </w:style>
  <w:style w:type="character" w:customStyle="1" w:styleId="CommentSubjectChar">
    <w:name w:val="Comment Subject Char"/>
    <w:basedOn w:val="CommentTextChar"/>
    <w:link w:val="CommentSubject"/>
    <w:uiPriority w:val="99"/>
    <w:semiHidden/>
    <w:rsid w:val="00531A0E"/>
    <w:rPr>
      <w:b/>
      <w:bCs/>
      <w:sz w:val="20"/>
      <w:szCs w:val="20"/>
    </w:rPr>
  </w:style>
  <w:style w:type="paragraph" w:styleId="BalloonText">
    <w:name w:val="Balloon Text"/>
    <w:basedOn w:val="Normal"/>
    <w:link w:val="BalloonTextChar"/>
    <w:uiPriority w:val="99"/>
    <w:semiHidden/>
    <w:unhideWhenUsed/>
    <w:rsid w:val="00531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A0E"/>
    <w:rPr>
      <w:rFonts w:ascii="Tahoma" w:hAnsi="Tahoma" w:cs="Tahoma"/>
      <w:sz w:val="16"/>
      <w:szCs w:val="16"/>
    </w:rPr>
  </w:style>
  <w:style w:type="paragraph" w:customStyle="1" w:styleId="naisf">
    <w:name w:val="naisf"/>
    <w:basedOn w:val="Normal"/>
    <w:rsid w:val="00206F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AE061D"/>
    <w:pPr>
      <w:spacing w:before="150" w:after="150" w:line="240" w:lineRule="auto"/>
      <w:jc w:val="center"/>
    </w:pPr>
    <w:rPr>
      <w:rFonts w:ascii="Times New Roman" w:eastAsia="Times New Roman" w:hAnsi="Times New Roman" w:cs="Times New Roman"/>
      <w:b/>
      <w:bCs/>
      <w:sz w:val="24"/>
      <w:szCs w:val="24"/>
      <w:lang w:eastAsia="lv-LV"/>
    </w:rPr>
  </w:style>
  <w:style w:type="table" w:styleId="TableGrid">
    <w:name w:val="Table Grid"/>
    <w:basedOn w:val="TableNormal"/>
    <w:uiPriority w:val="59"/>
    <w:rsid w:val="003D1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1578">
      <w:bodyDiv w:val="1"/>
      <w:marLeft w:val="0"/>
      <w:marRight w:val="0"/>
      <w:marTop w:val="0"/>
      <w:marBottom w:val="0"/>
      <w:divBdr>
        <w:top w:val="none" w:sz="0" w:space="0" w:color="auto"/>
        <w:left w:val="none" w:sz="0" w:space="0" w:color="auto"/>
        <w:bottom w:val="none" w:sz="0" w:space="0" w:color="auto"/>
        <w:right w:val="none" w:sz="0" w:space="0" w:color="auto"/>
      </w:divBdr>
    </w:div>
    <w:div w:id="379523313">
      <w:bodyDiv w:val="1"/>
      <w:marLeft w:val="0"/>
      <w:marRight w:val="0"/>
      <w:marTop w:val="0"/>
      <w:marBottom w:val="0"/>
      <w:divBdr>
        <w:top w:val="none" w:sz="0" w:space="0" w:color="auto"/>
        <w:left w:val="none" w:sz="0" w:space="0" w:color="auto"/>
        <w:bottom w:val="none" w:sz="0" w:space="0" w:color="auto"/>
        <w:right w:val="none" w:sz="0" w:space="0" w:color="auto"/>
      </w:divBdr>
      <w:divsChild>
        <w:div w:id="521280404">
          <w:marLeft w:val="0"/>
          <w:marRight w:val="0"/>
          <w:marTop w:val="0"/>
          <w:marBottom w:val="0"/>
          <w:divBdr>
            <w:top w:val="none" w:sz="0" w:space="0" w:color="auto"/>
            <w:left w:val="none" w:sz="0" w:space="0" w:color="auto"/>
            <w:bottom w:val="none" w:sz="0" w:space="0" w:color="auto"/>
            <w:right w:val="none" w:sz="0" w:space="0" w:color="auto"/>
          </w:divBdr>
          <w:divsChild>
            <w:div w:id="167213329">
              <w:marLeft w:val="0"/>
              <w:marRight w:val="0"/>
              <w:marTop w:val="0"/>
              <w:marBottom w:val="0"/>
              <w:divBdr>
                <w:top w:val="none" w:sz="0" w:space="0" w:color="auto"/>
                <w:left w:val="none" w:sz="0" w:space="0" w:color="auto"/>
                <w:bottom w:val="none" w:sz="0" w:space="0" w:color="auto"/>
                <w:right w:val="none" w:sz="0" w:space="0" w:color="auto"/>
              </w:divBdr>
              <w:divsChild>
                <w:div w:id="444351109">
                  <w:marLeft w:val="0"/>
                  <w:marRight w:val="0"/>
                  <w:marTop w:val="0"/>
                  <w:marBottom w:val="0"/>
                  <w:divBdr>
                    <w:top w:val="none" w:sz="0" w:space="0" w:color="auto"/>
                    <w:left w:val="none" w:sz="0" w:space="0" w:color="auto"/>
                    <w:bottom w:val="none" w:sz="0" w:space="0" w:color="auto"/>
                    <w:right w:val="none" w:sz="0" w:space="0" w:color="auto"/>
                  </w:divBdr>
                  <w:divsChild>
                    <w:div w:id="1125856347">
                      <w:marLeft w:val="0"/>
                      <w:marRight w:val="0"/>
                      <w:marTop w:val="0"/>
                      <w:marBottom w:val="0"/>
                      <w:divBdr>
                        <w:top w:val="none" w:sz="0" w:space="0" w:color="auto"/>
                        <w:left w:val="none" w:sz="0" w:space="0" w:color="auto"/>
                        <w:bottom w:val="none" w:sz="0" w:space="0" w:color="auto"/>
                        <w:right w:val="none" w:sz="0" w:space="0" w:color="auto"/>
                      </w:divBdr>
                      <w:divsChild>
                        <w:div w:id="1036735643">
                          <w:marLeft w:val="0"/>
                          <w:marRight w:val="0"/>
                          <w:marTop w:val="0"/>
                          <w:marBottom w:val="0"/>
                          <w:divBdr>
                            <w:top w:val="none" w:sz="0" w:space="0" w:color="auto"/>
                            <w:left w:val="none" w:sz="0" w:space="0" w:color="auto"/>
                            <w:bottom w:val="none" w:sz="0" w:space="0" w:color="auto"/>
                            <w:right w:val="none" w:sz="0" w:space="0" w:color="auto"/>
                          </w:divBdr>
                          <w:divsChild>
                            <w:div w:id="13719512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14479">
      <w:bodyDiv w:val="1"/>
      <w:marLeft w:val="0"/>
      <w:marRight w:val="0"/>
      <w:marTop w:val="0"/>
      <w:marBottom w:val="0"/>
      <w:divBdr>
        <w:top w:val="none" w:sz="0" w:space="0" w:color="auto"/>
        <w:left w:val="none" w:sz="0" w:space="0" w:color="auto"/>
        <w:bottom w:val="none" w:sz="0" w:space="0" w:color="auto"/>
        <w:right w:val="none" w:sz="0" w:space="0" w:color="auto"/>
      </w:divBdr>
      <w:divsChild>
        <w:div w:id="451631935">
          <w:marLeft w:val="0"/>
          <w:marRight w:val="0"/>
          <w:marTop w:val="0"/>
          <w:marBottom w:val="0"/>
          <w:divBdr>
            <w:top w:val="none" w:sz="0" w:space="0" w:color="auto"/>
            <w:left w:val="none" w:sz="0" w:space="0" w:color="auto"/>
            <w:bottom w:val="none" w:sz="0" w:space="0" w:color="auto"/>
            <w:right w:val="none" w:sz="0" w:space="0" w:color="auto"/>
          </w:divBdr>
          <w:divsChild>
            <w:div w:id="432090172">
              <w:marLeft w:val="0"/>
              <w:marRight w:val="0"/>
              <w:marTop w:val="0"/>
              <w:marBottom w:val="0"/>
              <w:divBdr>
                <w:top w:val="none" w:sz="0" w:space="0" w:color="auto"/>
                <w:left w:val="none" w:sz="0" w:space="0" w:color="auto"/>
                <w:bottom w:val="none" w:sz="0" w:space="0" w:color="auto"/>
                <w:right w:val="none" w:sz="0" w:space="0" w:color="auto"/>
              </w:divBdr>
              <w:divsChild>
                <w:div w:id="615018234">
                  <w:marLeft w:val="0"/>
                  <w:marRight w:val="0"/>
                  <w:marTop w:val="0"/>
                  <w:marBottom w:val="0"/>
                  <w:divBdr>
                    <w:top w:val="none" w:sz="0" w:space="0" w:color="auto"/>
                    <w:left w:val="none" w:sz="0" w:space="0" w:color="auto"/>
                    <w:bottom w:val="none" w:sz="0" w:space="0" w:color="auto"/>
                    <w:right w:val="none" w:sz="0" w:space="0" w:color="auto"/>
                  </w:divBdr>
                  <w:divsChild>
                    <w:div w:id="771780573">
                      <w:marLeft w:val="0"/>
                      <w:marRight w:val="0"/>
                      <w:marTop w:val="0"/>
                      <w:marBottom w:val="0"/>
                      <w:divBdr>
                        <w:top w:val="none" w:sz="0" w:space="0" w:color="auto"/>
                        <w:left w:val="none" w:sz="0" w:space="0" w:color="auto"/>
                        <w:bottom w:val="none" w:sz="0" w:space="0" w:color="auto"/>
                        <w:right w:val="none" w:sz="0" w:space="0" w:color="auto"/>
                      </w:divBdr>
                      <w:divsChild>
                        <w:div w:id="1919053862">
                          <w:marLeft w:val="0"/>
                          <w:marRight w:val="0"/>
                          <w:marTop w:val="0"/>
                          <w:marBottom w:val="0"/>
                          <w:divBdr>
                            <w:top w:val="none" w:sz="0" w:space="0" w:color="auto"/>
                            <w:left w:val="none" w:sz="0" w:space="0" w:color="auto"/>
                            <w:bottom w:val="none" w:sz="0" w:space="0" w:color="auto"/>
                            <w:right w:val="none" w:sz="0" w:space="0" w:color="auto"/>
                          </w:divBdr>
                          <w:divsChild>
                            <w:div w:id="2039354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362196">
      <w:bodyDiv w:val="1"/>
      <w:marLeft w:val="0"/>
      <w:marRight w:val="0"/>
      <w:marTop w:val="0"/>
      <w:marBottom w:val="0"/>
      <w:divBdr>
        <w:top w:val="none" w:sz="0" w:space="0" w:color="auto"/>
        <w:left w:val="none" w:sz="0" w:space="0" w:color="auto"/>
        <w:bottom w:val="none" w:sz="0" w:space="0" w:color="auto"/>
        <w:right w:val="none" w:sz="0" w:space="0" w:color="auto"/>
      </w:divBdr>
      <w:divsChild>
        <w:div w:id="1780100588">
          <w:marLeft w:val="0"/>
          <w:marRight w:val="0"/>
          <w:marTop w:val="0"/>
          <w:marBottom w:val="0"/>
          <w:divBdr>
            <w:top w:val="none" w:sz="0" w:space="0" w:color="auto"/>
            <w:left w:val="none" w:sz="0" w:space="0" w:color="auto"/>
            <w:bottom w:val="none" w:sz="0" w:space="0" w:color="auto"/>
            <w:right w:val="none" w:sz="0" w:space="0" w:color="auto"/>
          </w:divBdr>
          <w:divsChild>
            <w:div w:id="1565411424">
              <w:marLeft w:val="0"/>
              <w:marRight w:val="0"/>
              <w:marTop w:val="400"/>
              <w:marBottom w:val="0"/>
              <w:divBdr>
                <w:top w:val="none" w:sz="0" w:space="0" w:color="auto"/>
                <w:left w:val="none" w:sz="0" w:space="0" w:color="auto"/>
                <w:bottom w:val="none" w:sz="0" w:space="0" w:color="auto"/>
                <w:right w:val="none" w:sz="0" w:space="0" w:color="auto"/>
              </w:divBdr>
            </w:div>
            <w:div w:id="518785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13L0036:LV:HTML" TargetMode="External"/><Relationship Id="rId3" Type="http://schemas.openxmlformats.org/officeDocument/2006/relationships/settings" Target="settings.xml"/><Relationship Id="rId7" Type="http://schemas.openxmlformats.org/officeDocument/2006/relationships/hyperlink" Target="http://eur-lex.europa.eu/LexUriServ/LexUriServ.do?uri=CELEX:32013L0036:L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6541</Words>
  <Characters>3729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Finanšu instrumentu tirgus likumā"</dc:title>
  <dc:subject>Anotācija</dc:subject>
  <dc:creator>L. Guļkeviča</dc:creator>
  <dc:description>L. Guļkeviča
67774875, Linda.Gulkevica@fktk.lv</dc:description>
  <cp:lastModifiedBy>Gunta Puidīte</cp:lastModifiedBy>
  <cp:revision>4</cp:revision>
  <cp:lastPrinted>2014-12-11T12:11:00Z</cp:lastPrinted>
  <dcterms:created xsi:type="dcterms:W3CDTF">2014-12-11T12:11:00Z</dcterms:created>
  <dcterms:modified xsi:type="dcterms:W3CDTF">2014-12-15T07:20:00Z</dcterms:modified>
</cp:coreProperties>
</file>