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74" w:rsidRDefault="00194774" w:rsidP="00467FAB">
      <w:pPr>
        <w:jc w:val="center"/>
        <w:rPr>
          <w:b/>
          <w:szCs w:val="28"/>
        </w:rPr>
      </w:pPr>
      <w:bookmarkStart w:id="0" w:name="OLE_LINK8"/>
      <w:bookmarkStart w:id="1" w:name="OLE_LINK7"/>
    </w:p>
    <w:p w:rsidR="00467FAB" w:rsidRPr="00933591" w:rsidRDefault="00467FAB" w:rsidP="00467FAB">
      <w:pPr>
        <w:jc w:val="center"/>
        <w:rPr>
          <w:b/>
          <w:szCs w:val="28"/>
        </w:rPr>
      </w:pPr>
      <w:r w:rsidRPr="00933591">
        <w:rPr>
          <w:b/>
          <w:szCs w:val="28"/>
        </w:rPr>
        <w:t>Ministru kabineta noteikumu projekta</w:t>
      </w:r>
    </w:p>
    <w:p w:rsidR="00467FAB" w:rsidRPr="00933591" w:rsidRDefault="00467FAB" w:rsidP="00467FAB">
      <w:pPr>
        <w:jc w:val="center"/>
        <w:rPr>
          <w:szCs w:val="28"/>
          <w:lang w:eastAsia="lv-LV"/>
        </w:rPr>
      </w:pPr>
      <w:r w:rsidRPr="00933591">
        <w:rPr>
          <w:b/>
          <w:szCs w:val="28"/>
        </w:rPr>
        <w:t>„</w:t>
      </w:r>
      <w:r w:rsidRPr="00933591">
        <w:rPr>
          <w:b/>
          <w:bCs/>
          <w:szCs w:val="28"/>
        </w:rPr>
        <w:t>Grozījum</w:t>
      </w:r>
      <w:r>
        <w:rPr>
          <w:b/>
          <w:bCs/>
          <w:szCs w:val="28"/>
        </w:rPr>
        <w:t>s</w:t>
      </w:r>
      <w:r w:rsidRPr="00933591">
        <w:rPr>
          <w:b/>
          <w:bCs/>
          <w:szCs w:val="28"/>
        </w:rPr>
        <w:t xml:space="preserve"> Ministru kabineta 2009.gada 15.decembra noteikumos Nr.1471 „</w:t>
      </w:r>
      <w:r w:rsidRPr="00933591">
        <w:rPr>
          <w:b/>
          <w:bCs/>
          <w:szCs w:val="28"/>
          <w:lang w:eastAsia="lv-LV"/>
        </w:rPr>
        <w:t>Kārtība, kādā tiek noteikta un ieskaitīta valsts budžetā izmaksājamā peļņas daļa par valsts kapitāla izmantošanu</w:t>
      </w:r>
      <w:r w:rsidRPr="00933591">
        <w:rPr>
          <w:b/>
          <w:bCs/>
          <w:szCs w:val="28"/>
        </w:rPr>
        <w:t>””</w:t>
      </w:r>
    </w:p>
    <w:p w:rsidR="00467FAB" w:rsidRPr="00933591" w:rsidRDefault="00467FAB" w:rsidP="00467FAB">
      <w:pPr>
        <w:jc w:val="center"/>
        <w:rPr>
          <w:b/>
          <w:bCs/>
          <w:szCs w:val="28"/>
          <w:lang w:eastAsia="lv-LV"/>
        </w:rPr>
      </w:pPr>
      <w:r w:rsidRPr="00933591">
        <w:rPr>
          <w:b/>
          <w:bCs/>
          <w:szCs w:val="28"/>
          <w:lang w:eastAsia="lv-LV"/>
        </w:rPr>
        <w:t>sākotnējās ietekmes novērtējuma ziņojums (anotācija)</w:t>
      </w:r>
      <w:bookmarkEnd w:id="0"/>
      <w:bookmarkEnd w:id="1"/>
    </w:p>
    <w:p w:rsidR="0066148A" w:rsidRPr="00231EC0" w:rsidRDefault="0066148A" w:rsidP="00200870">
      <w:pPr>
        <w:rPr>
          <w:b/>
          <w:bCs/>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47"/>
        <w:gridCol w:w="5698"/>
      </w:tblGrid>
      <w:tr w:rsidR="00F17343" w:rsidRPr="00231EC0" w:rsidTr="009344CC">
        <w:trPr>
          <w:trHeight w:val="404"/>
        </w:trPr>
        <w:tc>
          <w:tcPr>
            <w:tcW w:w="9180" w:type="dxa"/>
            <w:gridSpan w:val="3"/>
            <w:hideMark/>
          </w:tcPr>
          <w:p w:rsidR="00E77C85" w:rsidRPr="00231EC0" w:rsidRDefault="00E77C85" w:rsidP="00F93EFA">
            <w:pPr>
              <w:jc w:val="center"/>
              <w:rPr>
                <w:lang w:eastAsia="lv-LV"/>
              </w:rPr>
            </w:pPr>
            <w:r w:rsidRPr="00231EC0">
              <w:rPr>
                <w:b/>
                <w:bCs/>
                <w:lang w:eastAsia="lv-LV"/>
              </w:rPr>
              <w:t>I. Tiesību akta projekta izstrādes nepieciešamība</w:t>
            </w:r>
          </w:p>
        </w:tc>
      </w:tr>
      <w:tr w:rsidR="00E118C0" w:rsidRPr="00231EC0" w:rsidTr="009344CC">
        <w:trPr>
          <w:trHeight w:val="630"/>
        </w:trPr>
        <w:tc>
          <w:tcPr>
            <w:tcW w:w="0" w:type="auto"/>
            <w:hideMark/>
          </w:tcPr>
          <w:p w:rsidR="00E77C85" w:rsidRPr="00231EC0" w:rsidRDefault="00E77C85" w:rsidP="00C50D09">
            <w:pPr>
              <w:rPr>
                <w:lang w:eastAsia="lv-LV"/>
              </w:rPr>
            </w:pPr>
            <w:r w:rsidRPr="00231EC0">
              <w:rPr>
                <w:lang w:eastAsia="lv-LV"/>
              </w:rPr>
              <w:t> 1.</w:t>
            </w:r>
          </w:p>
        </w:tc>
        <w:tc>
          <w:tcPr>
            <w:tcW w:w="2893" w:type="dxa"/>
            <w:hideMark/>
          </w:tcPr>
          <w:p w:rsidR="00E77C85" w:rsidRPr="00231EC0" w:rsidRDefault="00E77C85" w:rsidP="00C50D09">
            <w:pPr>
              <w:rPr>
                <w:lang w:eastAsia="lv-LV"/>
              </w:rPr>
            </w:pPr>
            <w:r w:rsidRPr="00231EC0">
              <w:rPr>
                <w:lang w:eastAsia="lv-LV"/>
              </w:rPr>
              <w:t>Pamatojums</w:t>
            </w:r>
          </w:p>
        </w:tc>
        <w:tc>
          <w:tcPr>
            <w:tcW w:w="5811" w:type="dxa"/>
            <w:hideMark/>
          </w:tcPr>
          <w:p w:rsidR="00467FAB" w:rsidRPr="00933591" w:rsidRDefault="00467FAB" w:rsidP="00467FAB">
            <w:pPr>
              <w:tabs>
                <w:tab w:val="left" w:pos="306"/>
                <w:tab w:val="left" w:pos="977"/>
                <w:tab w:val="left" w:pos="1431"/>
              </w:tabs>
              <w:ind w:left="126" w:right="52"/>
              <w:jc w:val="both"/>
              <w:rPr>
                <w:lang w:eastAsia="lv-LV"/>
              </w:rPr>
            </w:pPr>
            <w:r w:rsidRPr="009A6E93">
              <w:rPr>
                <w:bCs/>
              </w:rPr>
              <w:t>Ministru kabineta 201</w:t>
            </w:r>
            <w:r>
              <w:rPr>
                <w:bCs/>
              </w:rPr>
              <w:t>4</w:t>
            </w:r>
            <w:r w:rsidRPr="009A6E93">
              <w:rPr>
                <w:bCs/>
              </w:rPr>
              <w:t xml:space="preserve">.gada </w:t>
            </w:r>
            <w:r>
              <w:rPr>
                <w:bCs/>
              </w:rPr>
              <w:t>10</w:t>
            </w:r>
            <w:r w:rsidRPr="009A6E93">
              <w:rPr>
                <w:bCs/>
              </w:rPr>
              <w:t>.</w:t>
            </w:r>
            <w:r>
              <w:rPr>
                <w:bCs/>
              </w:rPr>
              <w:t>novembra</w:t>
            </w:r>
            <w:r w:rsidRPr="009A6E93">
              <w:rPr>
                <w:bCs/>
              </w:rPr>
              <w:t xml:space="preserve"> sēdē atbalstīts Finanšu ministrijas </w:t>
            </w:r>
            <w:r>
              <w:rPr>
                <w:bCs/>
              </w:rPr>
              <w:t xml:space="preserve">virzītais </w:t>
            </w:r>
            <w:r w:rsidRPr="00957DC5">
              <w:rPr>
                <w:bCs/>
              </w:rPr>
              <w:t>Informatīvais ziņojums „</w:t>
            </w:r>
            <w:r>
              <w:rPr>
                <w:bCs/>
              </w:rPr>
              <w:t>Par iespējām palielināt ieņēmumus</w:t>
            </w:r>
            <w:r w:rsidRPr="00957DC5">
              <w:rPr>
                <w:bCs/>
              </w:rPr>
              <w:t>”</w:t>
            </w:r>
            <w:r>
              <w:rPr>
                <w:bCs/>
              </w:rPr>
              <w:t>, un dots uzdevums</w:t>
            </w:r>
            <w:r>
              <w:t xml:space="preserve"> </w:t>
            </w:r>
            <w:r w:rsidRPr="007D1D9E">
              <w:rPr>
                <w:bCs/>
              </w:rPr>
              <w:t>Finanšu ministrijai sagatavot un finanšu ministram saskaņā ar likumprojekta “Par vidēja termiņa budžeta ietvaru 2015., 2016. un 2017.gadam” un likumprojekta “Par valsts budžetu 2015.gadam” sagatavošanas grafiku iesniegt izskatīšanai Ministru kabinetā</w:t>
            </w:r>
            <w:r w:rsidRPr="00957DC5">
              <w:rPr>
                <w:bCs/>
              </w:rPr>
              <w:t xml:space="preserve"> grozījumus Ministru kabineta 2009.gada 15.decembra noteikumos Nr.1471 „Kārtība, kādā tiek noteikta un ieskaitīta valsts budžetā izmaksājamā peļņas daļa par valsts kapitāla izmantošanu”</w:t>
            </w:r>
            <w:r>
              <w:rPr>
                <w:bCs/>
              </w:rPr>
              <w:t>.</w:t>
            </w:r>
          </w:p>
          <w:p w:rsidR="00D82F66" w:rsidRPr="00231EC0" w:rsidRDefault="00D82F66" w:rsidP="00040E43">
            <w:pPr>
              <w:jc w:val="both"/>
              <w:rPr>
                <w:color w:val="000000"/>
                <w:lang w:eastAsia="lv-LV"/>
              </w:rPr>
            </w:pPr>
          </w:p>
        </w:tc>
      </w:tr>
      <w:tr w:rsidR="00E118C0" w:rsidRPr="00231EC0" w:rsidTr="009344CC">
        <w:trPr>
          <w:trHeight w:val="472"/>
        </w:trPr>
        <w:tc>
          <w:tcPr>
            <w:tcW w:w="0" w:type="auto"/>
            <w:hideMark/>
          </w:tcPr>
          <w:p w:rsidR="00E77C85" w:rsidRPr="00231EC0" w:rsidRDefault="0041760B" w:rsidP="00C50D09">
            <w:pPr>
              <w:rPr>
                <w:lang w:eastAsia="lv-LV"/>
              </w:rPr>
            </w:pPr>
            <w:r w:rsidRPr="00231EC0">
              <w:rPr>
                <w:lang w:eastAsia="lv-LV"/>
              </w:rPr>
              <w:t> 2.</w:t>
            </w:r>
          </w:p>
        </w:tc>
        <w:tc>
          <w:tcPr>
            <w:tcW w:w="2893" w:type="dxa"/>
            <w:hideMark/>
          </w:tcPr>
          <w:p w:rsidR="00E77C85" w:rsidRPr="00231EC0" w:rsidRDefault="00145C48" w:rsidP="00C50D09">
            <w:pPr>
              <w:rPr>
                <w:lang w:eastAsia="lv-LV"/>
              </w:rPr>
            </w:pPr>
            <w:r w:rsidRPr="00231EC0">
              <w:rPr>
                <w:lang w:eastAsia="lv-LV"/>
              </w:rPr>
              <w:t>Pašreizējā situācija un problēmas, kuru risināšanai tiesību akta projekts izstrādāts, tiesiskā regulējuma mērķis un būtība</w:t>
            </w:r>
          </w:p>
        </w:tc>
        <w:tc>
          <w:tcPr>
            <w:tcW w:w="5811" w:type="dxa"/>
            <w:hideMark/>
          </w:tcPr>
          <w:p w:rsidR="00145C48" w:rsidRPr="00231EC0" w:rsidRDefault="00467FAB" w:rsidP="00467FAB">
            <w:pPr>
              <w:jc w:val="both"/>
              <w:rPr>
                <w:rFonts w:eastAsia="Calibri"/>
                <w:lang w:eastAsia="lv-LV"/>
              </w:rPr>
            </w:pPr>
            <w:r w:rsidRPr="00933591">
              <w:t>Šobrīd spēkā esošie Ministru kabineta 2009.gada 15.decembra noteikumi Nr.1471 „Kārtība, kādā tiek noteikta un ieskaitīta valsts budžetā izmaksājamā peļņas daļa par valsts kapitāla izmantošanu” paredz sekojošo. Kapitālsabiedrībām, kurās visas kapitāla daļas tieši vai pastarpināti pieder valstij, minimālo dividendēs izmaksājamo peļņas daļu 201</w:t>
            </w:r>
            <w:r>
              <w:t>5</w:t>
            </w:r>
            <w:r w:rsidRPr="00933591">
              <w:t>.gadā (par 201</w:t>
            </w:r>
            <w:r>
              <w:t>4</w:t>
            </w:r>
            <w:r w:rsidRPr="00933591">
              <w:t xml:space="preserve">. gadu) nosaka un aprēķina 80% apmērā no attiecīgās kapitālsabiedrības tīrās peļņas (līdzšinējo 90% vietā), un </w:t>
            </w:r>
            <w:r>
              <w:t>turpmākajos gados</w:t>
            </w:r>
            <w:r w:rsidRPr="00933591">
              <w:t xml:space="preserve"> – 70%, kas nozīmē mazākus ieņēmumus valsts budžetā 201</w:t>
            </w:r>
            <w:r>
              <w:t>5</w:t>
            </w:r>
            <w:r w:rsidRPr="00933591">
              <w:t>. gadā un turpmāk.</w:t>
            </w:r>
          </w:p>
        </w:tc>
      </w:tr>
      <w:tr w:rsidR="00E118C0" w:rsidRPr="00231EC0" w:rsidTr="009344CC">
        <w:trPr>
          <w:trHeight w:val="289"/>
        </w:trPr>
        <w:tc>
          <w:tcPr>
            <w:tcW w:w="0" w:type="auto"/>
            <w:hideMark/>
          </w:tcPr>
          <w:p w:rsidR="00E77C85" w:rsidRPr="00231EC0" w:rsidRDefault="00B85A38" w:rsidP="00145C48">
            <w:pPr>
              <w:rPr>
                <w:lang w:eastAsia="lv-LV"/>
              </w:rPr>
            </w:pPr>
            <w:r w:rsidRPr="00231EC0">
              <w:rPr>
                <w:lang w:eastAsia="lv-LV"/>
              </w:rPr>
              <w:t xml:space="preserve"> </w:t>
            </w:r>
            <w:r w:rsidR="0041760B" w:rsidRPr="00231EC0">
              <w:rPr>
                <w:lang w:eastAsia="lv-LV"/>
              </w:rPr>
              <w:t> </w:t>
            </w:r>
            <w:r w:rsidR="00145C48" w:rsidRPr="00231EC0">
              <w:rPr>
                <w:lang w:eastAsia="lv-LV"/>
              </w:rPr>
              <w:t>3</w:t>
            </w:r>
            <w:r w:rsidR="0041760B" w:rsidRPr="00231EC0">
              <w:rPr>
                <w:lang w:eastAsia="lv-LV"/>
              </w:rPr>
              <w:t>.</w:t>
            </w:r>
          </w:p>
        </w:tc>
        <w:tc>
          <w:tcPr>
            <w:tcW w:w="2893" w:type="dxa"/>
            <w:hideMark/>
          </w:tcPr>
          <w:p w:rsidR="00D82F66" w:rsidRPr="00231EC0" w:rsidRDefault="0041760B" w:rsidP="00934D1A">
            <w:pPr>
              <w:rPr>
                <w:lang w:eastAsia="lv-LV"/>
              </w:rPr>
            </w:pPr>
            <w:r w:rsidRPr="00231EC0">
              <w:rPr>
                <w:lang w:eastAsia="lv-LV"/>
              </w:rPr>
              <w:t>Projekta izstrādē iesaistītās institūcijas</w:t>
            </w:r>
          </w:p>
        </w:tc>
        <w:tc>
          <w:tcPr>
            <w:tcW w:w="5811" w:type="dxa"/>
            <w:hideMark/>
          </w:tcPr>
          <w:p w:rsidR="00E77C85" w:rsidRPr="00231EC0" w:rsidRDefault="00467FAB" w:rsidP="00C403EA">
            <w:pPr>
              <w:jc w:val="both"/>
              <w:rPr>
                <w:lang w:eastAsia="lv-LV"/>
              </w:rPr>
            </w:pPr>
            <w:r w:rsidRPr="00467FAB">
              <w:rPr>
                <w:lang w:eastAsia="lv-LV"/>
              </w:rPr>
              <w:t>Nav attiecināms</w:t>
            </w:r>
          </w:p>
        </w:tc>
      </w:tr>
      <w:tr w:rsidR="00E118C0" w:rsidRPr="00231EC0" w:rsidTr="009344CC">
        <w:tc>
          <w:tcPr>
            <w:tcW w:w="0" w:type="auto"/>
            <w:hideMark/>
          </w:tcPr>
          <w:p w:rsidR="00D92292" w:rsidRPr="00231EC0" w:rsidRDefault="00D92292" w:rsidP="00145C48">
            <w:pPr>
              <w:rPr>
                <w:lang w:eastAsia="lv-LV"/>
              </w:rPr>
            </w:pPr>
            <w:r w:rsidRPr="00231EC0">
              <w:rPr>
                <w:lang w:eastAsia="lv-LV"/>
              </w:rPr>
              <w:t> </w:t>
            </w:r>
            <w:r w:rsidR="00145C48" w:rsidRPr="00231EC0">
              <w:rPr>
                <w:lang w:eastAsia="lv-LV"/>
              </w:rPr>
              <w:t>4</w:t>
            </w:r>
            <w:r w:rsidRPr="00231EC0">
              <w:rPr>
                <w:lang w:eastAsia="lv-LV"/>
              </w:rPr>
              <w:t>.</w:t>
            </w:r>
          </w:p>
        </w:tc>
        <w:tc>
          <w:tcPr>
            <w:tcW w:w="2893" w:type="dxa"/>
            <w:hideMark/>
          </w:tcPr>
          <w:p w:rsidR="00D92292" w:rsidRPr="00231EC0" w:rsidRDefault="00D92292" w:rsidP="00C50D09">
            <w:pPr>
              <w:rPr>
                <w:lang w:eastAsia="lv-LV"/>
              </w:rPr>
            </w:pPr>
            <w:r w:rsidRPr="00231EC0">
              <w:rPr>
                <w:lang w:eastAsia="lv-LV"/>
              </w:rPr>
              <w:t>Cita informācija</w:t>
            </w:r>
          </w:p>
        </w:tc>
        <w:tc>
          <w:tcPr>
            <w:tcW w:w="5811" w:type="dxa"/>
            <w:hideMark/>
          </w:tcPr>
          <w:p w:rsidR="001D030B" w:rsidRPr="00231EC0" w:rsidRDefault="00614A9D" w:rsidP="00017B3B">
            <w:pPr>
              <w:jc w:val="both"/>
              <w:rPr>
                <w:lang w:eastAsia="lv-LV"/>
              </w:rPr>
            </w:pPr>
            <w:r w:rsidRPr="00231EC0">
              <w:rPr>
                <w:lang w:eastAsia="lv-LV"/>
              </w:rPr>
              <w:t>Nav</w:t>
            </w:r>
          </w:p>
        </w:tc>
      </w:tr>
    </w:tbl>
    <w:p w:rsidR="00B66EE2" w:rsidRPr="00231EC0" w:rsidRDefault="00B66EE2"/>
    <w:p w:rsidR="00D82F66" w:rsidRPr="00231EC0" w:rsidRDefault="00D82F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145"/>
        <w:gridCol w:w="5460"/>
      </w:tblGrid>
      <w:tr w:rsidR="00F17343" w:rsidRPr="00231EC0" w:rsidTr="00F93EFA">
        <w:tc>
          <w:tcPr>
            <w:tcW w:w="0" w:type="auto"/>
            <w:gridSpan w:val="3"/>
            <w:hideMark/>
          </w:tcPr>
          <w:p w:rsidR="00E77C85" w:rsidRPr="00231EC0" w:rsidRDefault="00E77C85" w:rsidP="00F93EFA">
            <w:pPr>
              <w:jc w:val="center"/>
              <w:rPr>
                <w:b/>
                <w:lang w:eastAsia="lv-LV"/>
              </w:rPr>
            </w:pPr>
            <w:r w:rsidRPr="00231EC0">
              <w:rPr>
                <w:lang w:eastAsia="lv-LV"/>
              </w:rPr>
              <w:t> </w:t>
            </w:r>
            <w:r w:rsidRPr="00231EC0">
              <w:rPr>
                <w:b/>
                <w:lang w:eastAsia="lv-LV"/>
              </w:rPr>
              <w:t>II. Tiesību akta projekta ietekme uz sabiedrību</w:t>
            </w:r>
            <w:r w:rsidR="00145C48" w:rsidRPr="00231EC0">
              <w:rPr>
                <w:b/>
                <w:lang w:eastAsia="lv-LV"/>
              </w:rPr>
              <w:t xml:space="preserve">, </w:t>
            </w:r>
            <w:r w:rsidR="00145C48" w:rsidRPr="00231EC0">
              <w:rPr>
                <w:b/>
                <w:bCs/>
                <w:lang w:eastAsia="lv-LV"/>
              </w:rPr>
              <w:t>tautsaimniecības attīstību un administratīvo slogu</w:t>
            </w:r>
          </w:p>
        </w:tc>
      </w:tr>
      <w:tr w:rsidR="00A06206" w:rsidRPr="00231EC0" w:rsidTr="0027626A">
        <w:trPr>
          <w:trHeight w:val="467"/>
        </w:trPr>
        <w:tc>
          <w:tcPr>
            <w:tcW w:w="0" w:type="auto"/>
            <w:hideMark/>
          </w:tcPr>
          <w:p w:rsidR="00E77C85" w:rsidRPr="00231EC0" w:rsidRDefault="00E77C85" w:rsidP="00C50D09">
            <w:pPr>
              <w:rPr>
                <w:lang w:eastAsia="lv-LV"/>
              </w:rPr>
            </w:pPr>
            <w:r w:rsidRPr="00231EC0">
              <w:rPr>
                <w:lang w:eastAsia="lv-LV"/>
              </w:rPr>
              <w:t> 1.</w:t>
            </w:r>
          </w:p>
        </w:tc>
        <w:tc>
          <w:tcPr>
            <w:tcW w:w="3147" w:type="dxa"/>
            <w:hideMark/>
          </w:tcPr>
          <w:p w:rsidR="00E77C85" w:rsidRPr="00231EC0" w:rsidRDefault="00145C48" w:rsidP="00C50D09">
            <w:pPr>
              <w:rPr>
                <w:lang w:eastAsia="lv-LV"/>
              </w:rPr>
            </w:pPr>
            <w:r w:rsidRPr="00231EC0">
              <w:t xml:space="preserve">Sabiedrības </w:t>
            </w:r>
            <w:proofErr w:type="spellStart"/>
            <w:r w:rsidRPr="00231EC0">
              <w:t>mērķgrupas</w:t>
            </w:r>
            <w:proofErr w:type="spellEnd"/>
            <w:r w:rsidRPr="00231EC0">
              <w:t>, kuras tiesiskais regulējums ietekmē vai varētu ietekmēt</w:t>
            </w:r>
          </w:p>
        </w:tc>
        <w:tc>
          <w:tcPr>
            <w:tcW w:w="5684" w:type="dxa"/>
            <w:hideMark/>
          </w:tcPr>
          <w:p w:rsidR="00D82F66" w:rsidRPr="00231EC0" w:rsidRDefault="00D67543" w:rsidP="00C403EA">
            <w:pPr>
              <w:rPr>
                <w:highlight w:val="yellow"/>
                <w:lang w:eastAsia="lv-LV"/>
              </w:rPr>
            </w:pPr>
            <w:r w:rsidRPr="00D67543">
              <w:t>Kapitālsabiedrības, kurās visas kapitāla daļas tieši vai pastarpināti pieder valstij</w:t>
            </w:r>
          </w:p>
        </w:tc>
      </w:tr>
      <w:tr w:rsidR="00A06206" w:rsidRPr="00231EC0" w:rsidTr="0027626A">
        <w:trPr>
          <w:trHeight w:val="467"/>
        </w:trPr>
        <w:tc>
          <w:tcPr>
            <w:tcW w:w="0" w:type="auto"/>
          </w:tcPr>
          <w:p w:rsidR="00FD36E9" w:rsidRPr="00231EC0" w:rsidRDefault="00FD36E9" w:rsidP="00C50D09">
            <w:pPr>
              <w:rPr>
                <w:lang w:eastAsia="lv-LV"/>
              </w:rPr>
            </w:pPr>
            <w:r w:rsidRPr="00231EC0">
              <w:rPr>
                <w:lang w:eastAsia="lv-LV"/>
              </w:rPr>
              <w:t>2.</w:t>
            </w:r>
          </w:p>
        </w:tc>
        <w:tc>
          <w:tcPr>
            <w:tcW w:w="3147" w:type="dxa"/>
          </w:tcPr>
          <w:p w:rsidR="00FD36E9" w:rsidRPr="00231EC0" w:rsidRDefault="00FD36E9" w:rsidP="00C50D09">
            <w:r w:rsidRPr="00231EC0">
              <w:t>Tiesiskā regulējuma ietekme uz tautsaimniecību un administratīvo slogu</w:t>
            </w:r>
          </w:p>
        </w:tc>
        <w:tc>
          <w:tcPr>
            <w:tcW w:w="5684" w:type="dxa"/>
          </w:tcPr>
          <w:p w:rsidR="00997205" w:rsidRPr="00231EC0" w:rsidRDefault="00467FAB" w:rsidP="00201B7B">
            <w:pPr>
              <w:jc w:val="both"/>
              <w:rPr>
                <w:color w:val="000000"/>
              </w:rPr>
            </w:pPr>
            <w:r w:rsidRPr="00467FAB">
              <w:t xml:space="preserve">Nav attiecināms </w:t>
            </w:r>
          </w:p>
        </w:tc>
      </w:tr>
      <w:tr w:rsidR="00A06206" w:rsidRPr="00231EC0" w:rsidTr="0027626A">
        <w:trPr>
          <w:trHeight w:val="531"/>
        </w:trPr>
        <w:tc>
          <w:tcPr>
            <w:tcW w:w="0" w:type="auto"/>
            <w:hideMark/>
          </w:tcPr>
          <w:p w:rsidR="009C69F8" w:rsidRPr="00231EC0" w:rsidRDefault="009C69F8" w:rsidP="009C69F8">
            <w:pPr>
              <w:rPr>
                <w:lang w:eastAsia="lv-LV"/>
              </w:rPr>
            </w:pPr>
            <w:r w:rsidRPr="00231EC0">
              <w:rPr>
                <w:lang w:eastAsia="lv-LV"/>
              </w:rPr>
              <w:t> 3.</w:t>
            </w:r>
          </w:p>
        </w:tc>
        <w:tc>
          <w:tcPr>
            <w:tcW w:w="3147" w:type="dxa"/>
          </w:tcPr>
          <w:p w:rsidR="009C69F8" w:rsidRPr="00231EC0" w:rsidRDefault="009C69F8" w:rsidP="009C69F8">
            <w:pPr>
              <w:rPr>
                <w:lang w:eastAsia="lv-LV"/>
              </w:rPr>
            </w:pPr>
            <w:r w:rsidRPr="00231EC0">
              <w:rPr>
                <w:lang w:eastAsia="lv-LV"/>
              </w:rPr>
              <w:t>Administratīvo izmaksu monetārs novērtējums</w:t>
            </w:r>
          </w:p>
        </w:tc>
        <w:tc>
          <w:tcPr>
            <w:tcW w:w="5684" w:type="dxa"/>
            <w:hideMark/>
          </w:tcPr>
          <w:p w:rsidR="009C69F8" w:rsidRPr="00231EC0" w:rsidRDefault="00D67543" w:rsidP="00D67543">
            <w:pPr>
              <w:rPr>
                <w:lang w:eastAsia="lv-LV"/>
              </w:rPr>
            </w:pPr>
            <w:r w:rsidRPr="00D67543">
              <w:rPr>
                <w:lang w:eastAsia="lv-LV"/>
              </w:rPr>
              <w:t>Ministru kabineta noteikumu projekts nemaina regulējumu pēc būtības un administratīvais slogs netiek palielināts.</w:t>
            </w:r>
          </w:p>
        </w:tc>
      </w:tr>
      <w:tr w:rsidR="00A06206" w:rsidRPr="00231EC0" w:rsidTr="0027626A">
        <w:trPr>
          <w:trHeight w:val="70"/>
        </w:trPr>
        <w:tc>
          <w:tcPr>
            <w:tcW w:w="0" w:type="auto"/>
            <w:hideMark/>
          </w:tcPr>
          <w:p w:rsidR="009C69F8" w:rsidRPr="00231EC0" w:rsidRDefault="009C69F8" w:rsidP="009C69F8">
            <w:pPr>
              <w:rPr>
                <w:lang w:eastAsia="lv-LV"/>
              </w:rPr>
            </w:pPr>
            <w:r w:rsidRPr="00231EC0">
              <w:rPr>
                <w:lang w:eastAsia="lv-LV"/>
              </w:rPr>
              <w:t> 4.</w:t>
            </w:r>
          </w:p>
        </w:tc>
        <w:tc>
          <w:tcPr>
            <w:tcW w:w="3147" w:type="dxa"/>
            <w:hideMark/>
          </w:tcPr>
          <w:p w:rsidR="009C69F8" w:rsidRPr="00231EC0" w:rsidRDefault="009C69F8" w:rsidP="009C69F8">
            <w:pPr>
              <w:rPr>
                <w:lang w:eastAsia="lv-LV"/>
              </w:rPr>
            </w:pPr>
            <w:r w:rsidRPr="00231EC0">
              <w:rPr>
                <w:lang w:eastAsia="lv-LV"/>
              </w:rPr>
              <w:t> Cita informācija</w:t>
            </w:r>
          </w:p>
        </w:tc>
        <w:tc>
          <w:tcPr>
            <w:tcW w:w="5684" w:type="dxa"/>
            <w:hideMark/>
          </w:tcPr>
          <w:p w:rsidR="009C69F8" w:rsidRPr="00231EC0" w:rsidRDefault="009C69F8" w:rsidP="009C69F8">
            <w:pPr>
              <w:rPr>
                <w:lang w:eastAsia="lv-LV"/>
              </w:rPr>
            </w:pPr>
            <w:r w:rsidRPr="00231EC0">
              <w:rPr>
                <w:lang w:eastAsia="lv-LV"/>
              </w:rPr>
              <w:t>Nav</w:t>
            </w:r>
          </w:p>
        </w:tc>
      </w:tr>
    </w:tbl>
    <w:p w:rsidR="00102A5E" w:rsidRPr="00231EC0" w:rsidRDefault="00102A5E"/>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1056"/>
        <w:gridCol w:w="1312"/>
        <w:gridCol w:w="1327"/>
        <w:gridCol w:w="1328"/>
        <w:gridCol w:w="1368"/>
      </w:tblGrid>
      <w:tr w:rsidR="006A6DE0" w:rsidRPr="00231EC0" w:rsidTr="006A6DE0">
        <w:trPr>
          <w:trHeight w:val="652"/>
          <w:jc w:val="center"/>
        </w:trPr>
        <w:tc>
          <w:tcPr>
            <w:tcW w:w="9313" w:type="dxa"/>
            <w:gridSpan w:val="6"/>
          </w:tcPr>
          <w:p w:rsidR="006A6DE0" w:rsidRPr="00231EC0" w:rsidRDefault="006A6DE0" w:rsidP="006A6DE0">
            <w:pPr>
              <w:jc w:val="center"/>
              <w:rPr>
                <w:b/>
                <w:bCs/>
                <w:i/>
                <w:lang w:eastAsia="lv-LV"/>
              </w:rPr>
            </w:pPr>
            <w:r w:rsidRPr="00231EC0">
              <w:rPr>
                <w:b/>
                <w:bCs/>
                <w:lang w:eastAsia="lv-LV"/>
              </w:rPr>
              <w:lastRenderedPageBreak/>
              <w:br w:type="page"/>
              <w:t>III. Tiesību akta projekta ietekme uz valsts budžetu un pašvaldību budžetiem</w:t>
            </w:r>
          </w:p>
        </w:tc>
      </w:tr>
      <w:tr w:rsidR="006A6DE0" w:rsidRPr="00231EC0" w:rsidTr="0027626A">
        <w:trPr>
          <w:jc w:val="center"/>
        </w:trPr>
        <w:tc>
          <w:tcPr>
            <w:tcW w:w="2922" w:type="dxa"/>
            <w:vMerge w:val="restart"/>
            <w:vAlign w:val="center"/>
          </w:tcPr>
          <w:p w:rsidR="006A6DE0" w:rsidRPr="00231EC0" w:rsidRDefault="006A6DE0" w:rsidP="006A6DE0">
            <w:pPr>
              <w:jc w:val="center"/>
              <w:rPr>
                <w:b/>
                <w:lang w:eastAsia="lv-LV"/>
              </w:rPr>
            </w:pPr>
            <w:r w:rsidRPr="00231EC0">
              <w:rPr>
                <w:b/>
                <w:lang w:eastAsia="lv-LV"/>
              </w:rPr>
              <w:t>Rādītāji</w:t>
            </w:r>
          </w:p>
        </w:tc>
        <w:tc>
          <w:tcPr>
            <w:tcW w:w="2368" w:type="dxa"/>
            <w:gridSpan w:val="2"/>
            <w:vMerge w:val="restart"/>
            <w:vAlign w:val="center"/>
          </w:tcPr>
          <w:p w:rsidR="006A6DE0" w:rsidRPr="00231EC0" w:rsidRDefault="006A6DE0" w:rsidP="006A6DE0">
            <w:pPr>
              <w:jc w:val="center"/>
              <w:rPr>
                <w:b/>
                <w:lang w:eastAsia="lv-LV"/>
              </w:rPr>
            </w:pPr>
            <w:r w:rsidRPr="00231EC0">
              <w:rPr>
                <w:b/>
                <w:lang w:eastAsia="lv-LV"/>
              </w:rPr>
              <w:t>2014. gads</w:t>
            </w:r>
          </w:p>
        </w:tc>
        <w:tc>
          <w:tcPr>
            <w:tcW w:w="4023" w:type="dxa"/>
            <w:gridSpan w:val="3"/>
            <w:vAlign w:val="center"/>
          </w:tcPr>
          <w:p w:rsidR="006A6DE0" w:rsidRPr="00231EC0" w:rsidRDefault="006A6DE0" w:rsidP="003E425D">
            <w:pPr>
              <w:jc w:val="center"/>
              <w:rPr>
                <w:b/>
                <w:i/>
                <w:lang w:eastAsia="lv-LV"/>
              </w:rPr>
            </w:pPr>
            <w:r w:rsidRPr="00231EC0">
              <w:rPr>
                <w:lang w:eastAsia="lv-LV"/>
              </w:rPr>
              <w:t>Turpmākie trīs gadi (</w:t>
            </w:r>
            <w:r w:rsidR="003E425D">
              <w:rPr>
                <w:lang w:eastAsia="lv-LV"/>
              </w:rPr>
              <w:t>euro</w:t>
            </w:r>
            <w:r w:rsidRPr="00231EC0">
              <w:rPr>
                <w:lang w:eastAsia="lv-LV"/>
              </w:rPr>
              <w:t>)</w:t>
            </w:r>
          </w:p>
        </w:tc>
      </w:tr>
      <w:tr w:rsidR="006A6DE0" w:rsidRPr="00231EC0" w:rsidTr="0027626A">
        <w:trPr>
          <w:jc w:val="center"/>
        </w:trPr>
        <w:tc>
          <w:tcPr>
            <w:tcW w:w="2922" w:type="dxa"/>
            <w:vMerge/>
            <w:vAlign w:val="center"/>
          </w:tcPr>
          <w:p w:rsidR="006A6DE0" w:rsidRPr="00231EC0" w:rsidRDefault="006A6DE0" w:rsidP="006A6DE0">
            <w:pPr>
              <w:jc w:val="center"/>
              <w:rPr>
                <w:b/>
                <w:i/>
                <w:lang w:eastAsia="lv-LV"/>
              </w:rPr>
            </w:pPr>
          </w:p>
        </w:tc>
        <w:tc>
          <w:tcPr>
            <w:tcW w:w="2368" w:type="dxa"/>
            <w:gridSpan w:val="2"/>
            <w:vMerge/>
            <w:vAlign w:val="center"/>
          </w:tcPr>
          <w:p w:rsidR="006A6DE0" w:rsidRPr="00231EC0" w:rsidRDefault="006A6DE0" w:rsidP="006A6DE0">
            <w:pPr>
              <w:jc w:val="center"/>
              <w:rPr>
                <w:b/>
                <w:i/>
                <w:lang w:eastAsia="lv-LV"/>
              </w:rPr>
            </w:pPr>
          </w:p>
        </w:tc>
        <w:tc>
          <w:tcPr>
            <w:tcW w:w="1327" w:type="dxa"/>
            <w:vAlign w:val="center"/>
          </w:tcPr>
          <w:p w:rsidR="006A6DE0" w:rsidRPr="00231EC0" w:rsidRDefault="006A6DE0" w:rsidP="006A6DE0">
            <w:pPr>
              <w:jc w:val="center"/>
              <w:rPr>
                <w:b/>
                <w:i/>
                <w:lang w:eastAsia="lv-LV"/>
              </w:rPr>
            </w:pPr>
            <w:r w:rsidRPr="00231EC0">
              <w:rPr>
                <w:b/>
                <w:bCs/>
                <w:lang w:eastAsia="lv-LV"/>
              </w:rPr>
              <w:t>2015.gads</w:t>
            </w:r>
          </w:p>
        </w:tc>
        <w:tc>
          <w:tcPr>
            <w:tcW w:w="1328" w:type="dxa"/>
            <w:vAlign w:val="center"/>
          </w:tcPr>
          <w:p w:rsidR="006A6DE0" w:rsidRPr="00231EC0" w:rsidRDefault="006A6DE0" w:rsidP="003E425D">
            <w:pPr>
              <w:jc w:val="center"/>
              <w:rPr>
                <w:b/>
                <w:i/>
                <w:lang w:eastAsia="lv-LV"/>
              </w:rPr>
            </w:pPr>
            <w:r w:rsidRPr="00231EC0">
              <w:rPr>
                <w:b/>
                <w:bCs/>
                <w:lang w:eastAsia="lv-LV"/>
              </w:rPr>
              <w:t>201</w:t>
            </w:r>
            <w:r w:rsidR="003E425D">
              <w:rPr>
                <w:b/>
                <w:bCs/>
                <w:lang w:eastAsia="lv-LV"/>
              </w:rPr>
              <w:t>6</w:t>
            </w:r>
            <w:r w:rsidRPr="00231EC0">
              <w:rPr>
                <w:b/>
                <w:bCs/>
                <w:lang w:eastAsia="lv-LV"/>
              </w:rPr>
              <w:t>.gads</w:t>
            </w:r>
          </w:p>
        </w:tc>
        <w:tc>
          <w:tcPr>
            <w:tcW w:w="1368" w:type="dxa"/>
            <w:vAlign w:val="center"/>
          </w:tcPr>
          <w:p w:rsidR="006A6DE0" w:rsidRPr="00231EC0" w:rsidRDefault="006A6DE0" w:rsidP="003E425D">
            <w:pPr>
              <w:jc w:val="center"/>
              <w:rPr>
                <w:b/>
                <w:i/>
                <w:lang w:eastAsia="lv-LV"/>
              </w:rPr>
            </w:pPr>
            <w:r w:rsidRPr="00231EC0">
              <w:rPr>
                <w:b/>
                <w:bCs/>
                <w:lang w:eastAsia="lv-LV"/>
              </w:rPr>
              <w:t>201</w:t>
            </w:r>
            <w:r w:rsidR="003E425D">
              <w:rPr>
                <w:b/>
                <w:bCs/>
                <w:lang w:eastAsia="lv-LV"/>
              </w:rPr>
              <w:t>7</w:t>
            </w:r>
            <w:r w:rsidRPr="00231EC0">
              <w:rPr>
                <w:b/>
                <w:bCs/>
                <w:lang w:eastAsia="lv-LV"/>
              </w:rPr>
              <w:t>.gads</w:t>
            </w:r>
          </w:p>
        </w:tc>
      </w:tr>
      <w:tr w:rsidR="006A6DE0" w:rsidRPr="00231EC0" w:rsidTr="0027626A">
        <w:trPr>
          <w:jc w:val="center"/>
        </w:trPr>
        <w:tc>
          <w:tcPr>
            <w:tcW w:w="2922" w:type="dxa"/>
            <w:vMerge/>
            <w:vAlign w:val="center"/>
          </w:tcPr>
          <w:p w:rsidR="006A6DE0" w:rsidRPr="00231EC0" w:rsidRDefault="006A6DE0" w:rsidP="006A6DE0">
            <w:pPr>
              <w:jc w:val="center"/>
              <w:rPr>
                <w:b/>
                <w:i/>
                <w:lang w:eastAsia="lv-LV"/>
              </w:rPr>
            </w:pPr>
          </w:p>
        </w:tc>
        <w:tc>
          <w:tcPr>
            <w:tcW w:w="1056" w:type="dxa"/>
            <w:vAlign w:val="center"/>
          </w:tcPr>
          <w:p w:rsidR="006A6DE0" w:rsidRPr="00231EC0" w:rsidRDefault="006A6DE0" w:rsidP="006A6DE0">
            <w:pPr>
              <w:jc w:val="center"/>
              <w:rPr>
                <w:b/>
                <w:i/>
                <w:lang w:eastAsia="lv-LV"/>
              </w:rPr>
            </w:pPr>
            <w:r w:rsidRPr="00231EC0">
              <w:rPr>
                <w:lang w:eastAsia="lv-LV"/>
              </w:rPr>
              <w:t>Saskaņā ar valsts budžetu kārtējam gadam</w:t>
            </w:r>
          </w:p>
        </w:tc>
        <w:tc>
          <w:tcPr>
            <w:tcW w:w="1312" w:type="dxa"/>
            <w:vAlign w:val="center"/>
          </w:tcPr>
          <w:p w:rsidR="006A6DE0" w:rsidRPr="00231EC0" w:rsidRDefault="006A6DE0" w:rsidP="006A6DE0">
            <w:pPr>
              <w:jc w:val="center"/>
              <w:rPr>
                <w:b/>
                <w:i/>
                <w:lang w:eastAsia="lv-LV"/>
              </w:rPr>
            </w:pPr>
            <w:r w:rsidRPr="00231EC0">
              <w:rPr>
                <w:lang w:eastAsia="lv-LV"/>
              </w:rPr>
              <w:t>Izmaiņas kārtējā gadā, salīdzinot ar budžetu kārtējam gadam</w:t>
            </w:r>
          </w:p>
        </w:tc>
        <w:tc>
          <w:tcPr>
            <w:tcW w:w="1327" w:type="dxa"/>
            <w:vAlign w:val="center"/>
          </w:tcPr>
          <w:p w:rsidR="006A6DE0" w:rsidRPr="00231EC0" w:rsidRDefault="006A6DE0" w:rsidP="006A6DE0">
            <w:pPr>
              <w:jc w:val="center"/>
              <w:rPr>
                <w:b/>
                <w:i/>
                <w:lang w:eastAsia="lv-LV"/>
              </w:rPr>
            </w:pPr>
            <w:r w:rsidRPr="00231EC0">
              <w:rPr>
                <w:lang w:eastAsia="lv-LV"/>
              </w:rPr>
              <w:t>Izmaiņas, salīdzinot ar kārtējo (n) gadu</w:t>
            </w:r>
          </w:p>
        </w:tc>
        <w:tc>
          <w:tcPr>
            <w:tcW w:w="1328" w:type="dxa"/>
            <w:vAlign w:val="center"/>
          </w:tcPr>
          <w:p w:rsidR="006A6DE0" w:rsidRPr="00231EC0" w:rsidRDefault="006A6DE0" w:rsidP="006A6DE0">
            <w:pPr>
              <w:jc w:val="center"/>
              <w:rPr>
                <w:b/>
                <w:i/>
                <w:lang w:eastAsia="lv-LV"/>
              </w:rPr>
            </w:pPr>
            <w:r w:rsidRPr="00231EC0">
              <w:rPr>
                <w:lang w:eastAsia="lv-LV"/>
              </w:rPr>
              <w:t>Izmaiņas, salīdzinot ar kārtējo (n) gadu</w:t>
            </w:r>
          </w:p>
        </w:tc>
        <w:tc>
          <w:tcPr>
            <w:tcW w:w="1368" w:type="dxa"/>
            <w:vAlign w:val="center"/>
          </w:tcPr>
          <w:p w:rsidR="006A6DE0" w:rsidRPr="00231EC0" w:rsidRDefault="006A6DE0" w:rsidP="006A6DE0">
            <w:pPr>
              <w:jc w:val="center"/>
              <w:rPr>
                <w:b/>
                <w:i/>
                <w:lang w:eastAsia="lv-LV"/>
              </w:rPr>
            </w:pPr>
            <w:r w:rsidRPr="00231EC0">
              <w:rPr>
                <w:lang w:eastAsia="lv-LV"/>
              </w:rPr>
              <w:t>Izmaiņas, salīdzinot ar kārtējo (n) gadu</w:t>
            </w:r>
          </w:p>
        </w:tc>
      </w:tr>
      <w:tr w:rsidR="006A6DE0" w:rsidRPr="003E425D" w:rsidTr="0027626A">
        <w:trPr>
          <w:trHeight w:val="513"/>
          <w:jc w:val="center"/>
        </w:trPr>
        <w:tc>
          <w:tcPr>
            <w:tcW w:w="2922" w:type="dxa"/>
            <w:vAlign w:val="center"/>
          </w:tcPr>
          <w:p w:rsidR="006A6DE0" w:rsidRPr="003E425D" w:rsidRDefault="006A6DE0" w:rsidP="006A6DE0">
            <w:pPr>
              <w:jc w:val="center"/>
              <w:rPr>
                <w:bCs/>
                <w:sz w:val="22"/>
                <w:szCs w:val="22"/>
                <w:lang w:eastAsia="lv-LV"/>
              </w:rPr>
            </w:pPr>
            <w:r w:rsidRPr="003E425D">
              <w:rPr>
                <w:bCs/>
                <w:sz w:val="22"/>
                <w:szCs w:val="22"/>
                <w:lang w:eastAsia="lv-LV"/>
              </w:rPr>
              <w:t>1</w:t>
            </w:r>
          </w:p>
        </w:tc>
        <w:tc>
          <w:tcPr>
            <w:tcW w:w="1056" w:type="dxa"/>
            <w:vAlign w:val="center"/>
          </w:tcPr>
          <w:p w:rsidR="006A6DE0" w:rsidRPr="003E425D" w:rsidRDefault="006A6DE0" w:rsidP="006A6DE0">
            <w:pPr>
              <w:jc w:val="center"/>
              <w:rPr>
                <w:bCs/>
                <w:sz w:val="22"/>
                <w:szCs w:val="22"/>
                <w:lang w:eastAsia="lv-LV"/>
              </w:rPr>
            </w:pPr>
            <w:r w:rsidRPr="003E425D">
              <w:rPr>
                <w:bCs/>
                <w:sz w:val="22"/>
                <w:szCs w:val="22"/>
                <w:lang w:eastAsia="lv-LV"/>
              </w:rPr>
              <w:t>2</w:t>
            </w:r>
          </w:p>
        </w:tc>
        <w:tc>
          <w:tcPr>
            <w:tcW w:w="1312" w:type="dxa"/>
            <w:vAlign w:val="center"/>
          </w:tcPr>
          <w:p w:rsidR="006A6DE0" w:rsidRPr="003E425D" w:rsidRDefault="006A6DE0" w:rsidP="006A6DE0">
            <w:pPr>
              <w:jc w:val="center"/>
              <w:rPr>
                <w:bCs/>
                <w:sz w:val="22"/>
                <w:szCs w:val="22"/>
                <w:lang w:eastAsia="lv-LV"/>
              </w:rPr>
            </w:pPr>
            <w:r w:rsidRPr="003E425D">
              <w:rPr>
                <w:bCs/>
                <w:sz w:val="22"/>
                <w:szCs w:val="22"/>
                <w:lang w:eastAsia="lv-LV"/>
              </w:rPr>
              <w:t>3</w:t>
            </w:r>
          </w:p>
        </w:tc>
        <w:tc>
          <w:tcPr>
            <w:tcW w:w="1327" w:type="dxa"/>
            <w:vAlign w:val="center"/>
          </w:tcPr>
          <w:p w:rsidR="006A6DE0" w:rsidRPr="003E425D" w:rsidRDefault="006A6DE0" w:rsidP="006A6DE0">
            <w:pPr>
              <w:jc w:val="center"/>
              <w:rPr>
                <w:bCs/>
                <w:sz w:val="22"/>
                <w:szCs w:val="22"/>
                <w:lang w:eastAsia="lv-LV"/>
              </w:rPr>
            </w:pPr>
            <w:r w:rsidRPr="003E425D">
              <w:rPr>
                <w:bCs/>
                <w:sz w:val="22"/>
                <w:szCs w:val="22"/>
                <w:lang w:eastAsia="lv-LV"/>
              </w:rPr>
              <w:t>4</w:t>
            </w:r>
          </w:p>
        </w:tc>
        <w:tc>
          <w:tcPr>
            <w:tcW w:w="1328" w:type="dxa"/>
            <w:vAlign w:val="center"/>
          </w:tcPr>
          <w:p w:rsidR="006A6DE0" w:rsidRPr="003E425D" w:rsidRDefault="006A6DE0" w:rsidP="006A6DE0">
            <w:pPr>
              <w:jc w:val="center"/>
              <w:rPr>
                <w:bCs/>
                <w:sz w:val="22"/>
                <w:szCs w:val="22"/>
                <w:lang w:eastAsia="lv-LV"/>
              </w:rPr>
            </w:pPr>
            <w:r w:rsidRPr="003E425D">
              <w:rPr>
                <w:bCs/>
                <w:sz w:val="22"/>
                <w:szCs w:val="22"/>
                <w:lang w:eastAsia="lv-LV"/>
              </w:rPr>
              <w:t>5</w:t>
            </w:r>
          </w:p>
        </w:tc>
        <w:tc>
          <w:tcPr>
            <w:tcW w:w="1368" w:type="dxa"/>
            <w:vAlign w:val="center"/>
          </w:tcPr>
          <w:p w:rsidR="006A6DE0" w:rsidRPr="003E425D" w:rsidRDefault="006A6DE0" w:rsidP="006A6DE0">
            <w:pPr>
              <w:jc w:val="center"/>
              <w:rPr>
                <w:bCs/>
                <w:sz w:val="22"/>
                <w:szCs w:val="22"/>
                <w:lang w:eastAsia="lv-LV"/>
              </w:rPr>
            </w:pPr>
            <w:r w:rsidRPr="003E425D">
              <w:rPr>
                <w:bCs/>
                <w:sz w:val="22"/>
                <w:szCs w:val="22"/>
                <w:lang w:eastAsia="lv-LV"/>
              </w:rPr>
              <w:t>6</w:t>
            </w:r>
          </w:p>
        </w:tc>
      </w:tr>
      <w:tr w:rsidR="006A6DE0" w:rsidRPr="003E425D" w:rsidTr="0027626A">
        <w:trPr>
          <w:jc w:val="center"/>
        </w:trPr>
        <w:tc>
          <w:tcPr>
            <w:tcW w:w="2922" w:type="dxa"/>
          </w:tcPr>
          <w:p w:rsidR="006A6DE0" w:rsidRPr="003E425D" w:rsidRDefault="006A6DE0" w:rsidP="006A6DE0">
            <w:pPr>
              <w:jc w:val="both"/>
              <w:rPr>
                <w:i/>
                <w:lang w:eastAsia="lv-LV"/>
              </w:rPr>
            </w:pPr>
            <w:r w:rsidRPr="003E425D">
              <w:rPr>
                <w:lang w:eastAsia="lv-LV"/>
              </w:rPr>
              <w:t>1. Budžeta ieņēmumi:</w:t>
            </w:r>
          </w:p>
        </w:tc>
        <w:tc>
          <w:tcPr>
            <w:tcW w:w="1056" w:type="dxa"/>
          </w:tcPr>
          <w:p w:rsidR="006A6DE0" w:rsidRPr="00535C97" w:rsidRDefault="00535C97" w:rsidP="006A6DE0">
            <w:pPr>
              <w:jc w:val="center"/>
              <w:rPr>
                <w:sz w:val="16"/>
                <w:szCs w:val="16"/>
                <w:lang w:eastAsia="lv-LV"/>
              </w:rPr>
            </w:pPr>
            <w:r w:rsidRPr="00535C97">
              <w:rPr>
                <w:sz w:val="16"/>
                <w:szCs w:val="16"/>
                <w:lang w:eastAsia="lv-LV"/>
              </w:rPr>
              <w:t>145 734 105</w:t>
            </w:r>
          </w:p>
        </w:tc>
        <w:tc>
          <w:tcPr>
            <w:tcW w:w="1312" w:type="dxa"/>
          </w:tcPr>
          <w:p w:rsidR="006A6DE0" w:rsidRPr="003E425D" w:rsidRDefault="00B722FD" w:rsidP="00B722FD">
            <w:pPr>
              <w:jc w:val="center"/>
              <w:rPr>
                <w:lang w:eastAsia="lv-LV"/>
              </w:rPr>
            </w:pPr>
            <w:r w:rsidRPr="003E425D">
              <w:rPr>
                <w:lang w:eastAsia="lv-LV"/>
              </w:rPr>
              <w:t>0</w:t>
            </w:r>
          </w:p>
        </w:tc>
        <w:tc>
          <w:tcPr>
            <w:tcW w:w="1327" w:type="dxa"/>
          </w:tcPr>
          <w:p w:rsidR="006A6DE0" w:rsidRPr="003E425D" w:rsidRDefault="003E425D" w:rsidP="00535C97">
            <w:pPr>
              <w:jc w:val="center"/>
              <w:rPr>
                <w:sz w:val="20"/>
                <w:szCs w:val="20"/>
                <w:lang w:eastAsia="lv-LV"/>
              </w:rPr>
            </w:pPr>
            <w:r w:rsidRPr="003E425D">
              <w:rPr>
                <w:sz w:val="20"/>
                <w:szCs w:val="20"/>
                <w:lang w:eastAsia="lv-LV"/>
              </w:rPr>
              <w:t>+10</w:t>
            </w:r>
            <w:r w:rsidR="00535C97">
              <w:rPr>
                <w:sz w:val="20"/>
                <w:szCs w:val="20"/>
                <w:lang w:eastAsia="lv-LV"/>
              </w:rPr>
              <w:t> 300 000</w:t>
            </w:r>
          </w:p>
        </w:tc>
        <w:tc>
          <w:tcPr>
            <w:tcW w:w="1328" w:type="dxa"/>
          </w:tcPr>
          <w:p w:rsidR="006A6DE0" w:rsidRPr="003E425D" w:rsidRDefault="003E425D" w:rsidP="00535C97">
            <w:pPr>
              <w:jc w:val="center"/>
              <w:rPr>
                <w:sz w:val="20"/>
                <w:szCs w:val="20"/>
                <w:lang w:eastAsia="lv-LV"/>
              </w:rPr>
            </w:pPr>
            <w:r>
              <w:rPr>
                <w:sz w:val="20"/>
                <w:szCs w:val="20"/>
                <w:lang w:eastAsia="lv-LV"/>
              </w:rPr>
              <w:t>+</w:t>
            </w:r>
            <w:r w:rsidR="00535C97">
              <w:rPr>
                <w:sz w:val="20"/>
                <w:szCs w:val="20"/>
                <w:lang w:eastAsia="lv-LV"/>
              </w:rPr>
              <w:t>55 600 000</w:t>
            </w:r>
          </w:p>
        </w:tc>
        <w:tc>
          <w:tcPr>
            <w:tcW w:w="1368" w:type="dxa"/>
          </w:tcPr>
          <w:p w:rsidR="006A6DE0" w:rsidRPr="003E425D" w:rsidRDefault="00535C97" w:rsidP="0027626A">
            <w:pPr>
              <w:jc w:val="center"/>
              <w:rPr>
                <w:sz w:val="20"/>
                <w:szCs w:val="20"/>
                <w:lang w:eastAsia="lv-LV"/>
              </w:rPr>
            </w:pPr>
            <w:r>
              <w:rPr>
                <w:sz w:val="20"/>
                <w:szCs w:val="20"/>
                <w:lang w:eastAsia="lv-LV"/>
              </w:rPr>
              <w:t>0</w:t>
            </w:r>
          </w:p>
        </w:tc>
      </w:tr>
      <w:tr w:rsidR="006A6DE0" w:rsidRPr="003E425D" w:rsidTr="0027626A">
        <w:trPr>
          <w:jc w:val="center"/>
        </w:trPr>
        <w:tc>
          <w:tcPr>
            <w:tcW w:w="2922" w:type="dxa"/>
          </w:tcPr>
          <w:p w:rsidR="006A6DE0" w:rsidRPr="003E425D" w:rsidRDefault="006A6DE0" w:rsidP="006A6DE0">
            <w:pPr>
              <w:jc w:val="both"/>
              <w:rPr>
                <w:i/>
                <w:lang w:eastAsia="lv-LV"/>
              </w:rPr>
            </w:pPr>
            <w:r w:rsidRPr="003E425D">
              <w:rPr>
                <w:lang w:eastAsia="lv-LV"/>
              </w:rPr>
              <w:t>1.1. valsts pamatbudžets, tai skaitā ieņēmumi no maksas pakalpo-jumiem un citi pašu ieņēmumi</w:t>
            </w:r>
          </w:p>
        </w:tc>
        <w:tc>
          <w:tcPr>
            <w:tcW w:w="1056" w:type="dxa"/>
          </w:tcPr>
          <w:p w:rsidR="006A6DE0" w:rsidRPr="003E425D" w:rsidRDefault="00535C97" w:rsidP="00B722FD">
            <w:pPr>
              <w:jc w:val="center"/>
              <w:rPr>
                <w:lang w:eastAsia="lv-LV"/>
              </w:rPr>
            </w:pPr>
            <w:r w:rsidRPr="00535C97">
              <w:rPr>
                <w:sz w:val="16"/>
                <w:szCs w:val="16"/>
                <w:lang w:eastAsia="lv-LV"/>
              </w:rPr>
              <w:t>145 734 105</w:t>
            </w:r>
          </w:p>
        </w:tc>
        <w:tc>
          <w:tcPr>
            <w:tcW w:w="1312" w:type="dxa"/>
          </w:tcPr>
          <w:p w:rsidR="006A6DE0" w:rsidRPr="003E425D" w:rsidRDefault="00B722FD" w:rsidP="00B722FD">
            <w:pPr>
              <w:jc w:val="center"/>
              <w:rPr>
                <w:lang w:eastAsia="lv-LV"/>
              </w:rPr>
            </w:pPr>
            <w:r w:rsidRPr="003E425D">
              <w:rPr>
                <w:lang w:eastAsia="lv-LV"/>
              </w:rPr>
              <w:t>0</w:t>
            </w:r>
          </w:p>
        </w:tc>
        <w:tc>
          <w:tcPr>
            <w:tcW w:w="1327" w:type="dxa"/>
          </w:tcPr>
          <w:p w:rsidR="006A6DE0" w:rsidRPr="003E425D" w:rsidRDefault="003E425D" w:rsidP="00535C97">
            <w:pPr>
              <w:jc w:val="center"/>
              <w:rPr>
                <w:sz w:val="20"/>
                <w:szCs w:val="20"/>
                <w:lang w:eastAsia="lv-LV"/>
              </w:rPr>
            </w:pPr>
            <w:r>
              <w:rPr>
                <w:sz w:val="20"/>
                <w:szCs w:val="20"/>
                <w:lang w:eastAsia="lv-LV"/>
              </w:rPr>
              <w:t>+</w:t>
            </w:r>
            <w:r w:rsidR="00535C97">
              <w:rPr>
                <w:sz w:val="20"/>
                <w:szCs w:val="20"/>
                <w:lang w:eastAsia="lv-LV"/>
              </w:rPr>
              <w:t>10 300 000</w:t>
            </w:r>
          </w:p>
        </w:tc>
        <w:tc>
          <w:tcPr>
            <w:tcW w:w="1328" w:type="dxa"/>
          </w:tcPr>
          <w:p w:rsidR="006A6DE0" w:rsidRPr="003E425D" w:rsidRDefault="00BC3628" w:rsidP="00535C97">
            <w:pPr>
              <w:jc w:val="center"/>
              <w:rPr>
                <w:sz w:val="20"/>
                <w:szCs w:val="20"/>
                <w:lang w:eastAsia="lv-LV"/>
              </w:rPr>
            </w:pPr>
            <w:r w:rsidRPr="003E425D">
              <w:rPr>
                <w:sz w:val="20"/>
                <w:szCs w:val="20"/>
                <w:lang w:eastAsia="lv-LV"/>
              </w:rPr>
              <w:t>+</w:t>
            </w:r>
            <w:r w:rsidR="00535C97">
              <w:rPr>
                <w:sz w:val="20"/>
                <w:szCs w:val="20"/>
                <w:lang w:eastAsia="lv-LV"/>
              </w:rPr>
              <w:t>55 600 000</w:t>
            </w:r>
          </w:p>
        </w:tc>
        <w:tc>
          <w:tcPr>
            <w:tcW w:w="1368" w:type="dxa"/>
          </w:tcPr>
          <w:p w:rsidR="006A6DE0" w:rsidRPr="003E425D" w:rsidRDefault="00535C97" w:rsidP="0027626A">
            <w:pPr>
              <w:jc w:val="center"/>
              <w:rPr>
                <w:sz w:val="20"/>
                <w:szCs w:val="20"/>
                <w:lang w:eastAsia="lv-LV"/>
              </w:rPr>
            </w:pPr>
            <w:r>
              <w:rPr>
                <w:sz w:val="20"/>
                <w:szCs w:val="20"/>
                <w:lang w:eastAsia="lv-LV"/>
              </w:rPr>
              <w:t>0</w:t>
            </w:r>
          </w:p>
        </w:tc>
      </w:tr>
      <w:tr w:rsidR="006A6DE0" w:rsidRPr="00231EC0" w:rsidTr="0027626A">
        <w:trPr>
          <w:jc w:val="center"/>
        </w:trPr>
        <w:tc>
          <w:tcPr>
            <w:tcW w:w="2922" w:type="dxa"/>
          </w:tcPr>
          <w:p w:rsidR="006A6DE0" w:rsidRPr="00231EC0" w:rsidRDefault="006A6DE0" w:rsidP="006A6DE0">
            <w:pPr>
              <w:jc w:val="both"/>
              <w:rPr>
                <w:i/>
                <w:lang w:eastAsia="lv-LV"/>
              </w:rPr>
            </w:pPr>
            <w:r w:rsidRPr="00231EC0">
              <w:rPr>
                <w:lang w:eastAsia="lv-LV"/>
              </w:rPr>
              <w:t>1.2. valsts speciālais budžets</w:t>
            </w:r>
          </w:p>
        </w:tc>
        <w:tc>
          <w:tcPr>
            <w:tcW w:w="1056" w:type="dxa"/>
          </w:tcPr>
          <w:p w:rsidR="006A6DE0" w:rsidRPr="00231EC0" w:rsidRDefault="00B722FD" w:rsidP="00B722FD">
            <w:pPr>
              <w:jc w:val="center"/>
              <w:rPr>
                <w:lang w:eastAsia="lv-LV"/>
              </w:rPr>
            </w:pPr>
            <w:r w:rsidRPr="00231EC0">
              <w:rPr>
                <w:lang w:eastAsia="lv-LV"/>
              </w:rPr>
              <w:t>0</w:t>
            </w:r>
          </w:p>
        </w:tc>
        <w:tc>
          <w:tcPr>
            <w:tcW w:w="1312" w:type="dxa"/>
          </w:tcPr>
          <w:p w:rsidR="006A6DE0" w:rsidRPr="00231EC0" w:rsidRDefault="00B722FD" w:rsidP="00B722FD">
            <w:pPr>
              <w:jc w:val="center"/>
              <w:rPr>
                <w:lang w:eastAsia="lv-LV"/>
              </w:rPr>
            </w:pPr>
            <w:r w:rsidRPr="00231EC0">
              <w:rPr>
                <w:lang w:eastAsia="lv-LV"/>
              </w:rPr>
              <w:t>0</w:t>
            </w:r>
          </w:p>
        </w:tc>
        <w:tc>
          <w:tcPr>
            <w:tcW w:w="1327" w:type="dxa"/>
          </w:tcPr>
          <w:p w:rsidR="006A6DE0" w:rsidRPr="0027626A" w:rsidRDefault="00535C97" w:rsidP="00B722FD">
            <w:pPr>
              <w:jc w:val="center"/>
              <w:rPr>
                <w:sz w:val="20"/>
                <w:szCs w:val="20"/>
                <w:lang w:eastAsia="lv-LV"/>
              </w:rPr>
            </w:pPr>
            <w:r>
              <w:rPr>
                <w:sz w:val="20"/>
                <w:szCs w:val="20"/>
                <w:lang w:eastAsia="lv-LV"/>
              </w:rPr>
              <w:t>0</w:t>
            </w:r>
          </w:p>
        </w:tc>
        <w:tc>
          <w:tcPr>
            <w:tcW w:w="1328" w:type="dxa"/>
          </w:tcPr>
          <w:p w:rsidR="006A6DE0" w:rsidRPr="0027626A" w:rsidRDefault="00535C97" w:rsidP="00B722FD">
            <w:pPr>
              <w:jc w:val="center"/>
              <w:rPr>
                <w:sz w:val="20"/>
                <w:szCs w:val="20"/>
                <w:lang w:eastAsia="lv-LV"/>
              </w:rPr>
            </w:pPr>
            <w:r>
              <w:rPr>
                <w:sz w:val="20"/>
                <w:szCs w:val="20"/>
                <w:lang w:eastAsia="lv-LV"/>
              </w:rPr>
              <w:t>0</w:t>
            </w:r>
          </w:p>
        </w:tc>
        <w:tc>
          <w:tcPr>
            <w:tcW w:w="1368" w:type="dxa"/>
          </w:tcPr>
          <w:p w:rsidR="006A6DE0" w:rsidRPr="0027626A" w:rsidRDefault="00535C97" w:rsidP="0027626A">
            <w:pPr>
              <w:jc w:val="center"/>
              <w:rPr>
                <w:sz w:val="20"/>
                <w:szCs w:val="20"/>
                <w:lang w:eastAsia="lv-LV"/>
              </w:rPr>
            </w:pPr>
            <w:r>
              <w:rPr>
                <w:sz w:val="20"/>
                <w:szCs w:val="20"/>
                <w:lang w:eastAsia="lv-LV"/>
              </w:rPr>
              <w:t>0</w:t>
            </w:r>
          </w:p>
        </w:tc>
      </w:tr>
      <w:tr w:rsidR="006A6DE0" w:rsidRPr="00231EC0" w:rsidTr="0027626A">
        <w:trPr>
          <w:jc w:val="center"/>
        </w:trPr>
        <w:tc>
          <w:tcPr>
            <w:tcW w:w="2922" w:type="dxa"/>
          </w:tcPr>
          <w:p w:rsidR="006A6DE0" w:rsidRPr="00231EC0" w:rsidRDefault="006A6DE0" w:rsidP="006A6DE0">
            <w:pPr>
              <w:jc w:val="both"/>
              <w:rPr>
                <w:i/>
                <w:lang w:eastAsia="lv-LV"/>
              </w:rPr>
            </w:pPr>
            <w:r w:rsidRPr="00231EC0">
              <w:rPr>
                <w:lang w:eastAsia="lv-LV"/>
              </w:rPr>
              <w:t>1.3. pašvaldību budžets</w:t>
            </w:r>
          </w:p>
        </w:tc>
        <w:tc>
          <w:tcPr>
            <w:tcW w:w="1056" w:type="dxa"/>
          </w:tcPr>
          <w:p w:rsidR="006A6DE0" w:rsidRPr="00231EC0" w:rsidRDefault="00B722FD" w:rsidP="00B722FD">
            <w:pPr>
              <w:jc w:val="center"/>
              <w:rPr>
                <w:lang w:eastAsia="lv-LV"/>
              </w:rPr>
            </w:pPr>
            <w:r w:rsidRPr="00231EC0">
              <w:rPr>
                <w:lang w:eastAsia="lv-LV"/>
              </w:rPr>
              <w:t>0</w:t>
            </w:r>
          </w:p>
        </w:tc>
        <w:tc>
          <w:tcPr>
            <w:tcW w:w="1312" w:type="dxa"/>
          </w:tcPr>
          <w:p w:rsidR="006A6DE0" w:rsidRPr="00231EC0" w:rsidRDefault="00B722FD" w:rsidP="00B722FD">
            <w:pPr>
              <w:jc w:val="center"/>
              <w:rPr>
                <w:lang w:eastAsia="lv-LV"/>
              </w:rPr>
            </w:pPr>
            <w:r w:rsidRPr="00231EC0">
              <w:rPr>
                <w:lang w:eastAsia="lv-LV"/>
              </w:rPr>
              <w:t>0</w:t>
            </w:r>
          </w:p>
        </w:tc>
        <w:tc>
          <w:tcPr>
            <w:tcW w:w="1327" w:type="dxa"/>
          </w:tcPr>
          <w:p w:rsidR="006A6DE0" w:rsidRPr="0027626A" w:rsidRDefault="00535C97" w:rsidP="00B722FD">
            <w:pPr>
              <w:jc w:val="center"/>
              <w:rPr>
                <w:sz w:val="20"/>
                <w:szCs w:val="20"/>
                <w:lang w:eastAsia="lv-LV"/>
              </w:rPr>
            </w:pPr>
            <w:r>
              <w:rPr>
                <w:sz w:val="20"/>
                <w:szCs w:val="20"/>
                <w:lang w:eastAsia="lv-LV"/>
              </w:rPr>
              <w:t>0</w:t>
            </w:r>
          </w:p>
        </w:tc>
        <w:tc>
          <w:tcPr>
            <w:tcW w:w="1328" w:type="dxa"/>
          </w:tcPr>
          <w:p w:rsidR="006A6DE0" w:rsidRPr="0027626A" w:rsidRDefault="00535C97" w:rsidP="00B722FD">
            <w:pPr>
              <w:jc w:val="center"/>
              <w:rPr>
                <w:sz w:val="20"/>
                <w:szCs w:val="20"/>
                <w:lang w:eastAsia="lv-LV"/>
              </w:rPr>
            </w:pPr>
            <w:r>
              <w:rPr>
                <w:sz w:val="20"/>
                <w:szCs w:val="20"/>
                <w:lang w:eastAsia="lv-LV"/>
              </w:rPr>
              <w:t>0</w:t>
            </w:r>
          </w:p>
        </w:tc>
        <w:tc>
          <w:tcPr>
            <w:tcW w:w="1368" w:type="dxa"/>
          </w:tcPr>
          <w:p w:rsidR="006A6DE0" w:rsidRPr="0027626A" w:rsidRDefault="00535C97" w:rsidP="00B722FD">
            <w:pPr>
              <w:jc w:val="center"/>
              <w:rPr>
                <w:sz w:val="20"/>
                <w:szCs w:val="20"/>
                <w:lang w:eastAsia="lv-LV"/>
              </w:rPr>
            </w:pPr>
            <w:r>
              <w:rPr>
                <w:sz w:val="20"/>
                <w:szCs w:val="20"/>
                <w:lang w:eastAsia="lv-LV"/>
              </w:rPr>
              <w:t>0</w:t>
            </w:r>
          </w:p>
        </w:tc>
      </w:tr>
      <w:tr w:rsidR="001338D1" w:rsidRPr="00231EC0" w:rsidTr="0027626A">
        <w:trPr>
          <w:jc w:val="center"/>
        </w:trPr>
        <w:tc>
          <w:tcPr>
            <w:tcW w:w="2922" w:type="dxa"/>
          </w:tcPr>
          <w:p w:rsidR="001338D1" w:rsidRPr="00231EC0" w:rsidRDefault="001338D1" w:rsidP="001338D1">
            <w:pPr>
              <w:jc w:val="both"/>
              <w:rPr>
                <w:lang w:eastAsia="lv-LV"/>
              </w:rPr>
            </w:pPr>
            <w:r w:rsidRPr="00231EC0">
              <w:rPr>
                <w:lang w:eastAsia="lv-LV"/>
              </w:rPr>
              <w:t>2. Budžeta izdevumi:</w:t>
            </w:r>
          </w:p>
        </w:tc>
        <w:tc>
          <w:tcPr>
            <w:tcW w:w="1056" w:type="dxa"/>
          </w:tcPr>
          <w:p w:rsidR="001338D1" w:rsidRPr="00231EC0" w:rsidRDefault="00B722FD" w:rsidP="00B722FD">
            <w:pPr>
              <w:jc w:val="center"/>
              <w:rPr>
                <w:lang w:eastAsia="lv-LV"/>
              </w:rPr>
            </w:pPr>
            <w:r w:rsidRPr="00231EC0">
              <w:rPr>
                <w:lang w:eastAsia="lv-LV"/>
              </w:rPr>
              <w:t>0</w:t>
            </w:r>
          </w:p>
        </w:tc>
        <w:tc>
          <w:tcPr>
            <w:tcW w:w="1312" w:type="dxa"/>
          </w:tcPr>
          <w:p w:rsidR="001338D1" w:rsidRPr="00231EC0" w:rsidRDefault="00B722FD" w:rsidP="00B722FD">
            <w:pPr>
              <w:jc w:val="center"/>
              <w:rPr>
                <w:lang w:eastAsia="lv-LV"/>
              </w:rPr>
            </w:pPr>
            <w:r w:rsidRPr="00231EC0">
              <w:rPr>
                <w:lang w:eastAsia="lv-LV"/>
              </w:rPr>
              <w:t>0</w:t>
            </w:r>
          </w:p>
        </w:tc>
        <w:tc>
          <w:tcPr>
            <w:tcW w:w="1327" w:type="dxa"/>
          </w:tcPr>
          <w:p w:rsidR="001338D1" w:rsidRPr="00231EC0" w:rsidRDefault="00B722FD" w:rsidP="00B722FD">
            <w:pPr>
              <w:jc w:val="center"/>
              <w:rPr>
                <w:lang w:eastAsia="lv-LV"/>
              </w:rPr>
            </w:pPr>
            <w:r w:rsidRPr="00231EC0">
              <w:rPr>
                <w:lang w:eastAsia="lv-LV"/>
              </w:rPr>
              <w:t>0</w:t>
            </w:r>
          </w:p>
        </w:tc>
        <w:tc>
          <w:tcPr>
            <w:tcW w:w="1328" w:type="dxa"/>
          </w:tcPr>
          <w:p w:rsidR="001338D1" w:rsidRPr="00231EC0" w:rsidRDefault="00B722FD" w:rsidP="00B722FD">
            <w:pPr>
              <w:jc w:val="center"/>
              <w:rPr>
                <w:lang w:eastAsia="lv-LV"/>
              </w:rPr>
            </w:pPr>
            <w:r w:rsidRPr="00231EC0">
              <w:rPr>
                <w:lang w:eastAsia="lv-LV"/>
              </w:rPr>
              <w:t>0</w:t>
            </w:r>
          </w:p>
        </w:tc>
        <w:tc>
          <w:tcPr>
            <w:tcW w:w="1368" w:type="dxa"/>
          </w:tcPr>
          <w:p w:rsidR="001338D1" w:rsidRPr="00231EC0" w:rsidRDefault="00B722FD" w:rsidP="00B722FD">
            <w:pPr>
              <w:jc w:val="center"/>
              <w:rPr>
                <w:lang w:eastAsia="lv-LV"/>
              </w:rPr>
            </w:pPr>
            <w:r w:rsidRPr="00231EC0">
              <w:rPr>
                <w:lang w:eastAsia="lv-LV"/>
              </w:rPr>
              <w:t>0</w:t>
            </w:r>
          </w:p>
        </w:tc>
      </w:tr>
      <w:tr w:rsidR="001338D1" w:rsidRPr="00231EC0" w:rsidTr="0027626A">
        <w:trPr>
          <w:jc w:val="center"/>
        </w:trPr>
        <w:tc>
          <w:tcPr>
            <w:tcW w:w="2922" w:type="dxa"/>
          </w:tcPr>
          <w:p w:rsidR="001338D1" w:rsidRPr="00231EC0" w:rsidRDefault="001338D1" w:rsidP="001338D1">
            <w:pPr>
              <w:jc w:val="both"/>
              <w:rPr>
                <w:lang w:eastAsia="lv-LV"/>
              </w:rPr>
            </w:pPr>
            <w:r w:rsidRPr="00231EC0">
              <w:rPr>
                <w:lang w:eastAsia="lv-LV"/>
              </w:rPr>
              <w:t>2.1. valsts pamatbudžets</w:t>
            </w:r>
          </w:p>
        </w:tc>
        <w:tc>
          <w:tcPr>
            <w:tcW w:w="1056" w:type="dxa"/>
          </w:tcPr>
          <w:p w:rsidR="001338D1" w:rsidRPr="00231EC0" w:rsidRDefault="00B722FD" w:rsidP="00B722FD">
            <w:pPr>
              <w:jc w:val="center"/>
              <w:rPr>
                <w:lang w:eastAsia="lv-LV"/>
              </w:rPr>
            </w:pPr>
            <w:r w:rsidRPr="00231EC0">
              <w:rPr>
                <w:lang w:eastAsia="lv-LV"/>
              </w:rPr>
              <w:t>0</w:t>
            </w:r>
          </w:p>
        </w:tc>
        <w:tc>
          <w:tcPr>
            <w:tcW w:w="1312" w:type="dxa"/>
          </w:tcPr>
          <w:p w:rsidR="001338D1" w:rsidRPr="00231EC0" w:rsidRDefault="00B722FD" w:rsidP="00B722FD">
            <w:pPr>
              <w:jc w:val="center"/>
              <w:rPr>
                <w:lang w:eastAsia="lv-LV"/>
              </w:rPr>
            </w:pPr>
            <w:r w:rsidRPr="00231EC0">
              <w:rPr>
                <w:lang w:eastAsia="lv-LV"/>
              </w:rPr>
              <w:t>0</w:t>
            </w:r>
          </w:p>
        </w:tc>
        <w:tc>
          <w:tcPr>
            <w:tcW w:w="1327" w:type="dxa"/>
          </w:tcPr>
          <w:p w:rsidR="001338D1" w:rsidRPr="00231EC0" w:rsidRDefault="00B722FD" w:rsidP="00B722FD">
            <w:pPr>
              <w:jc w:val="center"/>
              <w:rPr>
                <w:lang w:eastAsia="lv-LV"/>
              </w:rPr>
            </w:pPr>
            <w:r w:rsidRPr="00231EC0">
              <w:rPr>
                <w:lang w:eastAsia="lv-LV"/>
              </w:rPr>
              <w:t>0</w:t>
            </w:r>
          </w:p>
        </w:tc>
        <w:tc>
          <w:tcPr>
            <w:tcW w:w="1328" w:type="dxa"/>
          </w:tcPr>
          <w:p w:rsidR="001338D1" w:rsidRPr="00231EC0" w:rsidRDefault="00B722FD" w:rsidP="00B722FD">
            <w:pPr>
              <w:jc w:val="center"/>
              <w:rPr>
                <w:lang w:eastAsia="lv-LV"/>
              </w:rPr>
            </w:pPr>
            <w:r w:rsidRPr="00231EC0">
              <w:rPr>
                <w:lang w:eastAsia="lv-LV"/>
              </w:rPr>
              <w:t>0</w:t>
            </w:r>
          </w:p>
        </w:tc>
        <w:tc>
          <w:tcPr>
            <w:tcW w:w="1368" w:type="dxa"/>
          </w:tcPr>
          <w:p w:rsidR="001338D1" w:rsidRPr="00231EC0" w:rsidRDefault="00B722FD" w:rsidP="00B722FD">
            <w:pPr>
              <w:jc w:val="center"/>
              <w:rPr>
                <w:lang w:eastAsia="lv-LV"/>
              </w:rPr>
            </w:pPr>
            <w:r w:rsidRPr="00231EC0">
              <w:rPr>
                <w:lang w:eastAsia="lv-LV"/>
              </w:rPr>
              <w:t>0</w:t>
            </w:r>
          </w:p>
        </w:tc>
      </w:tr>
      <w:tr w:rsidR="001338D1" w:rsidRPr="006A6DE0" w:rsidTr="0027626A">
        <w:trPr>
          <w:jc w:val="center"/>
        </w:trPr>
        <w:tc>
          <w:tcPr>
            <w:tcW w:w="2922" w:type="dxa"/>
          </w:tcPr>
          <w:p w:rsidR="001338D1" w:rsidRPr="006A6DE0" w:rsidRDefault="001338D1" w:rsidP="001338D1">
            <w:pPr>
              <w:jc w:val="both"/>
              <w:rPr>
                <w:sz w:val="22"/>
                <w:szCs w:val="22"/>
                <w:lang w:eastAsia="lv-LV"/>
              </w:rPr>
            </w:pPr>
            <w:r w:rsidRPr="006A6DE0">
              <w:rPr>
                <w:sz w:val="22"/>
                <w:szCs w:val="22"/>
                <w:lang w:eastAsia="lv-LV"/>
              </w:rPr>
              <w:t>2.2. valsts speciālais budžets</w:t>
            </w:r>
          </w:p>
        </w:tc>
        <w:tc>
          <w:tcPr>
            <w:tcW w:w="1056" w:type="dxa"/>
          </w:tcPr>
          <w:p w:rsidR="001338D1" w:rsidRPr="00B722FD" w:rsidRDefault="00B722FD" w:rsidP="00B722FD">
            <w:pPr>
              <w:jc w:val="center"/>
              <w:rPr>
                <w:sz w:val="20"/>
                <w:szCs w:val="20"/>
                <w:lang w:eastAsia="lv-LV"/>
              </w:rPr>
            </w:pPr>
            <w:r w:rsidRPr="00B722FD">
              <w:rPr>
                <w:sz w:val="20"/>
                <w:szCs w:val="20"/>
                <w:lang w:eastAsia="lv-LV"/>
              </w:rPr>
              <w:t>0</w:t>
            </w:r>
          </w:p>
        </w:tc>
        <w:tc>
          <w:tcPr>
            <w:tcW w:w="1312" w:type="dxa"/>
          </w:tcPr>
          <w:p w:rsidR="001338D1" w:rsidRPr="00B722FD" w:rsidRDefault="00B722FD" w:rsidP="00B722FD">
            <w:pPr>
              <w:jc w:val="center"/>
              <w:rPr>
                <w:sz w:val="20"/>
                <w:szCs w:val="20"/>
                <w:lang w:eastAsia="lv-LV"/>
              </w:rPr>
            </w:pPr>
            <w:r w:rsidRPr="00B722FD">
              <w:rPr>
                <w:sz w:val="20"/>
                <w:szCs w:val="20"/>
                <w:lang w:eastAsia="lv-LV"/>
              </w:rPr>
              <w:t>0</w:t>
            </w:r>
          </w:p>
        </w:tc>
        <w:tc>
          <w:tcPr>
            <w:tcW w:w="1327" w:type="dxa"/>
          </w:tcPr>
          <w:p w:rsidR="001338D1" w:rsidRPr="00B722FD" w:rsidRDefault="00B722FD" w:rsidP="00B722FD">
            <w:pPr>
              <w:jc w:val="center"/>
              <w:rPr>
                <w:sz w:val="20"/>
                <w:szCs w:val="20"/>
                <w:lang w:eastAsia="lv-LV"/>
              </w:rPr>
            </w:pPr>
            <w:r w:rsidRPr="00B722FD">
              <w:rPr>
                <w:sz w:val="20"/>
                <w:szCs w:val="20"/>
                <w:lang w:eastAsia="lv-LV"/>
              </w:rPr>
              <w:t>0</w:t>
            </w:r>
          </w:p>
        </w:tc>
        <w:tc>
          <w:tcPr>
            <w:tcW w:w="1328" w:type="dxa"/>
          </w:tcPr>
          <w:p w:rsidR="001338D1" w:rsidRPr="00B722FD" w:rsidRDefault="00B722FD" w:rsidP="00B722FD">
            <w:pPr>
              <w:jc w:val="center"/>
              <w:rPr>
                <w:sz w:val="20"/>
                <w:szCs w:val="20"/>
                <w:lang w:eastAsia="lv-LV"/>
              </w:rPr>
            </w:pPr>
            <w:r w:rsidRPr="00B722FD">
              <w:rPr>
                <w:sz w:val="20"/>
                <w:szCs w:val="20"/>
                <w:lang w:eastAsia="lv-LV"/>
              </w:rPr>
              <w:t>0</w:t>
            </w:r>
          </w:p>
        </w:tc>
        <w:tc>
          <w:tcPr>
            <w:tcW w:w="1368" w:type="dxa"/>
          </w:tcPr>
          <w:p w:rsidR="001338D1" w:rsidRPr="00B722FD" w:rsidRDefault="00B722FD" w:rsidP="00B722FD">
            <w:pPr>
              <w:jc w:val="center"/>
              <w:rPr>
                <w:sz w:val="20"/>
                <w:szCs w:val="20"/>
                <w:lang w:eastAsia="lv-LV"/>
              </w:rPr>
            </w:pPr>
            <w:r w:rsidRPr="00B722FD">
              <w:rPr>
                <w:sz w:val="20"/>
                <w:szCs w:val="20"/>
                <w:lang w:eastAsia="lv-LV"/>
              </w:rPr>
              <w:t>0</w:t>
            </w:r>
          </w:p>
        </w:tc>
      </w:tr>
      <w:tr w:rsidR="001338D1" w:rsidRPr="006A6DE0" w:rsidTr="0027626A">
        <w:trPr>
          <w:jc w:val="center"/>
        </w:trPr>
        <w:tc>
          <w:tcPr>
            <w:tcW w:w="2922" w:type="dxa"/>
          </w:tcPr>
          <w:p w:rsidR="001338D1" w:rsidRPr="006A6DE0" w:rsidRDefault="001338D1" w:rsidP="001338D1">
            <w:pPr>
              <w:jc w:val="both"/>
              <w:rPr>
                <w:sz w:val="22"/>
                <w:szCs w:val="22"/>
                <w:lang w:eastAsia="lv-LV"/>
              </w:rPr>
            </w:pPr>
            <w:r w:rsidRPr="006A6DE0">
              <w:rPr>
                <w:sz w:val="22"/>
                <w:szCs w:val="22"/>
                <w:lang w:eastAsia="lv-LV"/>
              </w:rPr>
              <w:t xml:space="preserve">2.3. pašvaldību budžets </w:t>
            </w:r>
          </w:p>
        </w:tc>
        <w:tc>
          <w:tcPr>
            <w:tcW w:w="1056" w:type="dxa"/>
          </w:tcPr>
          <w:p w:rsidR="001338D1" w:rsidRPr="00B722FD" w:rsidRDefault="00B722FD" w:rsidP="00B722FD">
            <w:pPr>
              <w:jc w:val="center"/>
              <w:rPr>
                <w:sz w:val="20"/>
                <w:szCs w:val="20"/>
                <w:lang w:eastAsia="lv-LV"/>
              </w:rPr>
            </w:pPr>
            <w:r w:rsidRPr="00B722FD">
              <w:rPr>
                <w:sz w:val="20"/>
                <w:szCs w:val="20"/>
                <w:lang w:eastAsia="lv-LV"/>
              </w:rPr>
              <w:t>0</w:t>
            </w:r>
          </w:p>
        </w:tc>
        <w:tc>
          <w:tcPr>
            <w:tcW w:w="1312" w:type="dxa"/>
          </w:tcPr>
          <w:p w:rsidR="001338D1" w:rsidRPr="00B722FD" w:rsidRDefault="00B722FD" w:rsidP="00B722FD">
            <w:pPr>
              <w:jc w:val="center"/>
              <w:rPr>
                <w:sz w:val="20"/>
                <w:szCs w:val="20"/>
                <w:lang w:eastAsia="lv-LV"/>
              </w:rPr>
            </w:pPr>
            <w:r w:rsidRPr="00B722FD">
              <w:rPr>
                <w:sz w:val="20"/>
                <w:szCs w:val="20"/>
                <w:lang w:eastAsia="lv-LV"/>
              </w:rPr>
              <w:t>0</w:t>
            </w:r>
          </w:p>
        </w:tc>
        <w:tc>
          <w:tcPr>
            <w:tcW w:w="1327" w:type="dxa"/>
          </w:tcPr>
          <w:p w:rsidR="001338D1" w:rsidRPr="00B722FD" w:rsidRDefault="00B722FD" w:rsidP="00B722FD">
            <w:pPr>
              <w:jc w:val="center"/>
              <w:rPr>
                <w:sz w:val="20"/>
                <w:szCs w:val="20"/>
                <w:lang w:eastAsia="lv-LV"/>
              </w:rPr>
            </w:pPr>
            <w:r w:rsidRPr="00B722FD">
              <w:rPr>
                <w:sz w:val="20"/>
                <w:szCs w:val="20"/>
                <w:lang w:eastAsia="lv-LV"/>
              </w:rPr>
              <w:t>0</w:t>
            </w:r>
          </w:p>
        </w:tc>
        <w:tc>
          <w:tcPr>
            <w:tcW w:w="1328" w:type="dxa"/>
          </w:tcPr>
          <w:p w:rsidR="001338D1" w:rsidRPr="00B722FD" w:rsidRDefault="00B722FD" w:rsidP="00B722FD">
            <w:pPr>
              <w:jc w:val="center"/>
              <w:rPr>
                <w:sz w:val="20"/>
                <w:szCs w:val="20"/>
                <w:lang w:eastAsia="lv-LV"/>
              </w:rPr>
            </w:pPr>
            <w:r w:rsidRPr="00B722FD">
              <w:rPr>
                <w:sz w:val="20"/>
                <w:szCs w:val="20"/>
                <w:lang w:eastAsia="lv-LV"/>
              </w:rPr>
              <w:t>0</w:t>
            </w:r>
          </w:p>
        </w:tc>
        <w:tc>
          <w:tcPr>
            <w:tcW w:w="1368" w:type="dxa"/>
          </w:tcPr>
          <w:p w:rsidR="001338D1" w:rsidRPr="00B722FD" w:rsidRDefault="00B722FD" w:rsidP="00B722FD">
            <w:pPr>
              <w:jc w:val="center"/>
              <w:rPr>
                <w:sz w:val="20"/>
                <w:szCs w:val="20"/>
                <w:lang w:eastAsia="lv-LV"/>
              </w:rPr>
            </w:pPr>
            <w:r w:rsidRPr="00B722FD">
              <w:rPr>
                <w:sz w:val="20"/>
                <w:szCs w:val="20"/>
                <w:lang w:eastAsia="lv-LV"/>
              </w:rPr>
              <w:t>0</w:t>
            </w:r>
          </w:p>
        </w:tc>
      </w:tr>
      <w:tr w:rsidR="0027626A" w:rsidRPr="0027626A" w:rsidTr="0027626A">
        <w:trPr>
          <w:jc w:val="center"/>
        </w:trPr>
        <w:tc>
          <w:tcPr>
            <w:tcW w:w="2922" w:type="dxa"/>
          </w:tcPr>
          <w:p w:rsidR="0027626A" w:rsidRPr="006A6DE0" w:rsidRDefault="0027626A" w:rsidP="0027626A">
            <w:pPr>
              <w:jc w:val="both"/>
              <w:rPr>
                <w:sz w:val="22"/>
                <w:szCs w:val="22"/>
                <w:lang w:eastAsia="lv-LV"/>
              </w:rPr>
            </w:pPr>
            <w:r w:rsidRPr="006A6DE0">
              <w:rPr>
                <w:sz w:val="22"/>
                <w:szCs w:val="22"/>
                <w:lang w:eastAsia="lv-LV"/>
              </w:rPr>
              <w:t>3. Finansiālā ietekme:</w:t>
            </w:r>
          </w:p>
        </w:tc>
        <w:tc>
          <w:tcPr>
            <w:tcW w:w="1056" w:type="dxa"/>
            <w:shd w:val="clear" w:color="auto" w:fill="auto"/>
            <w:vAlign w:val="center"/>
          </w:tcPr>
          <w:p w:rsidR="0027626A" w:rsidRPr="00102A5E" w:rsidRDefault="0027626A" w:rsidP="0027626A">
            <w:pPr>
              <w:jc w:val="center"/>
              <w:rPr>
                <w:sz w:val="20"/>
                <w:szCs w:val="20"/>
                <w:lang w:eastAsia="lv-LV"/>
              </w:rPr>
            </w:pPr>
            <w:r>
              <w:rPr>
                <w:sz w:val="20"/>
                <w:szCs w:val="20"/>
                <w:lang w:eastAsia="lv-LV"/>
              </w:rPr>
              <w:t>0</w:t>
            </w:r>
          </w:p>
        </w:tc>
        <w:tc>
          <w:tcPr>
            <w:tcW w:w="1312" w:type="dxa"/>
          </w:tcPr>
          <w:p w:rsidR="0027626A" w:rsidRPr="00B722FD" w:rsidRDefault="0027626A" w:rsidP="0027626A">
            <w:pPr>
              <w:jc w:val="center"/>
              <w:rPr>
                <w:sz w:val="20"/>
                <w:szCs w:val="20"/>
                <w:lang w:eastAsia="lv-LV"/>
              </w:rPr>
            </w:pPr>
            <w:r>
              <w:rPr>
                <w:sz w:val="20"/>
                <w:szCs w:val="20"/>
                <w:lang w:eastAsia="lv-LV"/>
              </w:rPr>
              <w:t>0</w:t>
            </w:r>
          </w:p>
        </w:tc>
        <w:tc>
          <w:tcPr>
            <w:tcW w:w="1327" w:type="dxa"/>
          </w:tcPr>
          <w:p w:rsidR="0027626A" w:rsidRPr="0027626A" w:rsidRDefault="00535C97" w:rsidP="0027626A">
            <w:pPr>
              <w:rPr>
                <w:sz w:val="20"/>
                <w:szCs w:val="20"/>
              </w:rPr>
            </w:pPr>
            <w:r w:rsidRPr="003E425D">
              <w:rPr>
                <w:sz w:val="20"/>
                <w:szCs w:val="20"/>
                <w:lang w:eastAsia="lv-LV"/>
              </w:rPr>
              <w:t>+10</w:t>
            </w:r>
            <w:r>
              <w:rPr>
                <w:sz w:val="20"/>
                <w:szCs w:val="20"/>
                <w:lang w:eastAsia="lv-LV"/>
              </w:rPr>
              <w:t> 300 000</w:t>
            </w:r>
          </w:p>
        </w:tc>
        <w:tc>
          <w:tcPr>
            <w:tcW w:w="1328" w:type="dxa"/>
          </w:tcPr>
          <w:p w:rsidR="0027626A" w:rsidRPr="0027626A" w:rsidRDefault="00535C97" w:rsidP="0027626A">
            <w:pPr>
              <w:rPr>
                <w:sz w:val="20"/>
                <w:szCs w:val="20"/>
              </w:rPr>
            </w:pPr>
            <w:r>
              <w:rPr>
                <w:sz w:val="20"/>
                <w:szCs w:val="20"/>
                <w:lang w:eastAsia="lv-LV"/>
              </w:rPr>
              <w:t>+55 600 000</w:t>
            </w:r>
          </w:p>
        </w:tc>
        <w:tc>
          <w:tcPr>
            <w:tcW w:w="1368" w:type="dxa"/>
          </w:tcPr>
          <w:p w:rsidR="0027626A" w:rsidRPr="0027626A" w:rsidRDefault="00535C97" w:rsidP="00535C97">
            <w:pPr>
              <w:jc w:val="center"/>
              <w:rPr>
                <w:sz w:val="20"/>
                <w:szCs w:val="20"/>
                <w:lang w:eastAsia="lv-LV"/>
              </w:rPr>
            </w:pPr>
            <w:r>
              <w:rPr>
                <w:sz w:val="20"/>
                <w:szCs w:val="20"/>
                <w:lang w:eastAsia="lv-LV"/>
              </w:rPr>
              <w:t>0</w:t>
            </w:r>
          </w:p>
        </w:tc>
      </w:tr>
      <w:tr w:rsidR="0027626A" w:rsidRPr="0027626A" w:rsidTr="0027626A">
        <w:trPr>
          <w:jc w:val="center"/>
        </w:trPr>
        <w:tc>
          <w:tcPr>
            <w:tcW w:w="2922" w:type="dxa"/>
          </w:tcPr>
          <w:p w:rsidR="0027626A" w:rsidRPr="006A6DE0" w:rsidRDefault="0027626A" w:rsidP="0027626A">
            <w:pPr>
              <w:jc w:val="both"/>
              <w:rPr>
                <w:sz w:val="22"/>
                <w:szCs w:val="22"/>
                <w:lang w:eastAsia="lv-LV"/>
              </w:rPr>
            </w:pPr>
            <w:r w:rsidRPr="006A6DE0">
              <w:rPr>
                <w:sz w:val="22"/>
                <w:szCs w:val="22"/>
                <w:lang w:eastAsia="lv-LV"/>
              </w:rPr>
              <w:t>3.1. valsts pamatbudžets</w:t>
            </w:r>
          </w:p>
        </w:tc>
        <w:tc>
          <w:tcPr>
            <w:tcW w:w="1056" w:type="dxa"/>
            <w:shd w:val="clear" w:color="auto" w:fill="auto"/>
          </w:tcPr>
          <w:p w:rsidR="0027626A" w:rsidRPr="00B722FD" w:rsidRDefault="0027626A" w:rsidP="0027626A">
            <w:pPr>
              <w:jc w:val="center"/>
              <w:rPr>
                <w:sz w:val="20"/>
                <w:szCs w:val="20"/>
                <w:lang w:eastAsia="lv-LV"/>
              </w:rPr>
            </w:pPr>
            <w:r w:rsidRPr="00B722FD">
              <w:rPr>
                <w:sz w:val="20"/>
                <w:szCs w:val="20"/>
                <w:lang w:eastAsia="lv-LV"/>
              </w:rPr>
              <w:t>0</w:t>
            </w:r>
          </w:p>
        </w:tc>
        <w:tc>
          <w:tcPr>
            <w:tcW w:w="1312" w:type="dxa"/>
          </w:tcPr>
          <w:p w:rsidR="0027626A" w:rsidRPr="00B722FD" w:rsidRDefault="0027626A" w:rsidP="0027626A">
            <w:pPr>
              <w:jc w:val="center"/>
              <w:rPr>
                <w:sz w:val="20"/>
                <w:szCs w:val="20"/>
                <w:lang w:eastAsia="lv-LV"/>
              </w:rPr>
            </w:pPr>
            <w:r w:rsidRPr="00B722FD">
              <w:rPr>
                <w:sz w:val="20"/>
                <w:szCs w:val="20"/>
                <w:lang w:eastAsia="lv-LV"/>
              </w:rPr>
              <w:t>0</w:t>
            </w:r>
          </w:p>
        </w:tc>
        <w:tc>
          <w:tcPr>
            <w:tcW w:w="1327" w:type="dxa"/>
          </w:tcPr>
          <w:p w:rsidR="0027626A" w:rsidRPr="0027626A" w:rsidRDefault="00535C97" w:rsidP="0027626A">
            <w:pPr>
              <w:rPr>
                <w:sz w:val="20"/>
                <w:szCs w:val="20"/>
              </w:rPr>
            </w:pPr>
            <w:r w:rsidRPr="003E425D">
              <w:rPr>
                <w:sz w:val="20"/>
                <w:szCs w:val="20"/>
                <w:lang w:eastAsia="lv-LV"/>
              </w:rPr>
              <w:t>+10</w:t>
            </w:r>
            <w:r>
              <w:rPr>
                <w:sz w:val="20"/>
                <w:szCs w:val="20"/>
                <w:lang w:eastAsia="lv-LV"/>
              </w:rPr>
              <w:t> 300 000</w:t>
            </w:r>
          </w:p>
        </w:tc>
        <w:tc>
          <w:tcPr>
            <w:tcW w:w="1328" w:type="dxa"/>
          </w:tcPr>
          <w:p w:rsidR="0027626A" w:rsidRPr="0027626A" w:rsidRDefault="00535C97" w:rsidP="0027626A">
            <w:pPr>
              <w:rPr>
                <w:sz w:val="20"/>
                <w:szCs w:val="20"/>
              </w:rPr>
            </w:pPr>
            <w:r>
              <w:rPr>
                <w:sz w:val="20"/>
                <w:szCs w:val="20"/>
                <w:lang w:eastAsia="lv-LV"/>
              </w:rPr>
              <w:t>+55 600 000</w:t>
            </w:r>
          </w:p>
        </w:tc>
        <w:tc>
          <w:tcPr>
            <w:tcW w:w="1368" w:type="dxa"/>
          </w:tcPr>
          <w:p w:rsidR="0027626A" w:rsidRPr="0027626A" w:rsidRDefault="00535C97" w:rsidP="00535C97">
            <w:pPr>
              <w:jc w:val="center"/>
              <w:rPr>
                <w:sz w:val="20"/>
                <w:szCs w:val="20"/>
                <w:lang w:eastAsia="lv-LV"/>
              </w:rPr>
            </w:pPr>
            <w:r>
              <w:rPr>
                <w:sz w:val="20"/>
                <w:szCs w:val="20"/>
                <w:lang w:eastAsia="lv-LV"/>
              </w:rPr>
              <w:t>0</w:t>
            </w:r>
          </w:p>
        </w:tc>
      </w:tr>
      <w:tr w:rsidR="0027626A" w:rsidRPr="0027626A" w:rsidTr="0027626A">
        <w:trPr>
          <w:jc w:val="center"/>
        </w:trPr>
        <w:tc>
          <w:tcPr>
            <w:tcW w:w="2922" w:type="dxa"/>
          </w:tcPr>
          <w:p w:rsidR="0027626A" w:rsidRPr="006A6DE0" w:rsidRDefault="0027626A" w:rsidP="0027626A">
            <w:pPr>
              <w:jc w:val="both"/>
              <w:rPr>
                <w:sz w:val="22"/>
                <w:szCs w:val="22"/>
                <w:lang w:eastAsia="lv-LV"/>
              </w:rPr>
            </w:pPr>
            <w:r w:rsidRPr="006A6DE0">
              <w:rPr>
                <w:sz w:val="22"/>
                <w:szCs w:val="22"/>
                <w:lang w:eastAsia="lv-LV"/>
              </w:rPr>
              <w:t>3.2. speciālais budžets</w:t>
            </w:r>
          </w:p>
        </w:tc>
        <w:tc>
          <w:tcPr>
            <w:tcW w:w="1056" w:type="dxa"/>
            <w:shd w:val="clear" w:color="auto" w:fill="auto"/>
          </w:tcPr>
          <w:p w:rsidR="0027626A" w:rsidRPr="00B722FD" w:rsidRDefault="0027626A" w:rsidP="0027626A">
            <w:pPr>
              <w:jc w:val="center"/>
              <w:rPr>
                <w:sz w:val="20"/>
                <w:szCs w:val="20"/>
                <w:lang w:eastAsia="lv-LV"/>
              </w:rPr>
            </w:pPr>
            <w:r w:rsidRPr="00B722FD">
              <w:rPr>
                <w:sz w:val="20"/>
                <w:szCs w:val="20"/>
                <w:lang w:eastAsia="lv-LV"/>
              </w:rPr>
              <w:t>0</w:t>
            </w:r>
          </w:p>
        </w:tc>
        <w:tc>
          <w:tcPr>
            <w:tcW w:w="1312" w:type="dxa"/>
          </w:tcPr>
          <w:p w:rsidR="0027626A" w:rsidRPr="00B722FD" w:rsidRDefault="0027626A" w:rsidP="0027626A">
            <w:pPr>
              <w:jc w:val="center"/>
              <w:rPr>
                <w:sz w:val="20"/>
                <w:szCs w:val="20"/>
                <w:lang w:eastAsia="lv-LV"/>
              </w:rPr>
            </w:pPr>
            <w:r w:rsidRPr="00B722FD">
              <w:rPr>
                <w:sz w:val="20"/>
                <w:szCs w:val="20"/>
                <w:lang w:eastAsia="lv-LV"/>
              </w:rPr>
              <w:t>0</w:t>
            </w:r>
          </w:p>
        </w:tc>
        <w:tc>
          <w:tcPr>
            <w:tcW w:w="1327" w:type="dxa"/>
          </w:tcPr>
          <w:p w:rsidR="0027626A" w:rsidRPr="0027626A" w:rsidRDefault="00535C97" w:rsidP="00535C97">
            <w:pPr>
              <w:jc w:val="center"/>
              <w:rPr>
                <w:sz w:val="20"/>
                <w:szCs w:val="20"/>
                <w:lang w:eastAsia="lv-LV"/>
              </w:rPr>
            </w:pPr>
            <w:r>
              <w:rPr>
                <w:sz w:val="20"/>
                <w:szCs w:val="20"/>
                <w:lang w:eastAsia="lv-LV"/>
              </w:rPr>
              <w:t>0</w:t>
            </w:r>
          </w:p>
        </w:tc>
        <w:tc>
          <w:tcPr>
            <w:tcW w:w="1328" w:type="dxa"/>
          </w:tcPr>
          <w:p w:rsidR="0027626A" w:rsidRPr="0027626A" w:rsidRDefault="00535C97" w:rsidP="00535C97">
            <w:pPr>
              <w:jc w:val="center"/>
              <w:rPr>
                <w:sz w:val="20"/>
                <w:szCs w:val="20"/>
                <w:lang w:eastAsia="lv-LV"/>
              </w:rPr>
            </w:pPr>
            <w:r>
              <w:rPr>
                <w:sz w:val="20"/>
                <w:szCs w:val="20"/>
                <w:lang w:eastAsia="lv-LV"/>
              </w:rPr>
              <w:t>0</w:t>
            </w:r>
          </w:p>
        </w:tc>
        <w:tc>
          <w:tcPr>
            <w:tcW w:w="1368" w:type="dxa"/>
          </w:tcPr>
          <w:p w:rsidR="0027626A" w:rsidRPr="0027626A" w:rsidRDefault="00535C97" w:rsidP="00535C97">
            <w:pPr>
              <w:jc w:val="center"/>
              <w:rPr>
                <w:sz w:val="20"/>
                <w:szCs w:val="20"/>
                <w:lang w:eastAsia="lv-LV"/>
              </w:rPr>
            </w:pPr>
            <w:r>
              <w:rPr>
                <w:sz w:val="20"/>
                <w:szCs w:val="20"/>
                <w:lang w:eastAsia="lv-LV"/>
              </w:rPr>
              <w:t>0</w:t>
            </w:r>
          </w:p>
        </w:tc>
      </w:tr>
      <w:tr w:rsidR="0027626A" w:rsidRPr="0027626A" w:rsidTr="0027626A">
        <w:trPr>
          <w:jc w:val="center"/>
        </w:trPr>
        <w:tc>
          <w:tcPr>
            <w:tcW w:w="2922" w:type="dxa"/>
          </w:tcPr>
          <w:p w:rsidR="0027626A" w:rsidRPr="006A6DE0" w:rsidRDefault="0027626A" w:rsidP="0027626A">
            <w:pPr>
              <w:jc w:val="both"/>
              <w:rPr>
                <w:sz w:val="22"/>
                <w:szCs w:val="22"/>
                <w:lang w:eastAsia="lv-LV"/>
              </w:rPr>
            </w:pPr>
            <w:r w:rsidRPr="006A6DE0">
              <w:rPr>
                <w:sz w:val="22"/>
                <w:szCs w:val="22"/>
                <w:lang w:eastAsia="lv-LV"/>
              </w:rPr>
              <w:t xml:space="preserve">3.3. pašvaldību budžets </w:t>
            </w:r>
          </w:p>
        </w:tc>
        <w:tc>
          <w:tcPr>
            <w:tcW w:w="1056" w:type="dxa"/>
            <w:shd w:val="clear" w:color="auto" w:fill="auto"/>
          </w:tcPr>
          <w:p w:rsidR="0027626A" w:rsidRPr="00B722FD" w:rsidRDefault="0027626A" w:rsidP="0027626A">
            <w:pPr>
              <w:jc w:val="center"/>
              <w:rPr>
                <w:sz w:val="20"/>
                <w:szCs w:val="20"/>
                <w:lang w:eastAsia="lv-LV"/>
              </w:rPr>
            </w:pPr>
            <w:r w:rsidRPr="00B722FD">
              <w:rPr>
                <w:sz w:val="20"/>
                <w:szCs w:val="20"/>
                <w:lang w:eastAsia="lv-LV"/>
              </w:rPr>
              <w:t>0</w:t>
            </w:r>
          </w:p>
        </w:tc>
        <w:tc>
          <w:tcPr>
            <w:tcW w:w="1312" w:type="dxa"/>
          </w:tcPr>
          <w:p w:rsidR="0027626A" w:rsidRPr="00B722FD" w:rsidRDefault="0027626A" w:rsidP="0027626A">
            <w:pPr>
              <w:jc w:val="center"/>
              <w:rPr>
                <w:sz w:val="20"/>
                <w:szCs w:val="20"/>
                <w:lang w:eastAsia="lv-LV"/>
              </w:rPr>
            </w:pPr>
            <w:r w:rsidRPr="00B722FD">
              <w:rPr>
                <w:sz w:val="20"/>
                <w:szCs w:val="20"/>
                <w:lang w:eastAsia="lv-LV"/>
              </w:rPr>
              <w:t>0</w:t>
            </w:r>
          </w:p>
        </w:tc>
        <w:tc>
          <w:tcPr>
            <w:tcW w:w="1327" w:type="dxa"/>
          </w:tcPr>
          <w:p w:rsidR="0027626A" w:rsidRPr="0027626A" w:rsidRDefault="00535C97" w:rsidP="00535C97">
            <w:pPr>
              <w:jc w:val="center"/>
              <w:rPr>
                <w:sz w:val="20"/>
                <w:szCs w:val="20"/>
                <w:lang w:eastAsia="lv-LV"/>
              </w:rPr>
            </w:pPr>
            <w:r>
              <w:rPr>
                <w:sz w:val="20"/>
                <w:szCs w:val="20"/>
                <w:lang w:eastAsia="lv-LV"/>
              </w:rPr>
              <w:t>0</w:t>
            </w:r>
          </w:p>
        </w:tc>
        <w:tc>
          <w:tcPr>
            <w:tcW w:w="1328" w:type="dxa"/>
          </w:tcPr>
          <w:p w:rsidR="0027626A" w:rsidRPr="0027626A" w:rsidRDefault="00535C97" w:rsidP="00535C97">
            <w:pPr>
              <w:jc w:val="center"/>
              <w:rPr>
                <w:sz w:val="20"/>
                <w:szCs w:val="20"/>
                <w:lang w:eastAsia="lv-LV"/>
              </w:rPr>
            </w:pPr>
            <w:r>
              <w:rPr>
                <w:sz w:val="20"/>
                <w:szCs w:val="20"/>
                <w:lang w:eastAsia="lv-LV"/>
              </w:rPr>
              <w:t>0</w:t>
            </w:r>
          </w:p>
        </w:tc>
        <w:tc>
          <w:tcPr>
            <w:tcW w:w="1368" w:type="dxa"/>
          </w:tcPr>
          <w:p w:rsidR="0027626A" w:rsidRPr="0027626A" w:rsidRDefault="00535C97" w:rsidP="00535C97">
            <w:pPr>
              <w:jc w:val="center"/>
              <w:rPr>
                <w:sz w:val="20"/>
                <w:szCs w:val="20"/>
                <w:lang w:eastAsia="lv-LV"/>
              </w:rPr>
            </w:pPr>
            <w:r>
              <w:rPr>
                <w:sz w:val="20"/>
                <w:szCs w:val="20"/>
                <w:lang w:eastAsia="lv-LV"/>
              </w:rPr>
              <w:t>0</w:t>
            </w:r>
          </w:p>
        </w:tc>
      </w:tr>
      <w:tr w:rsidR="00102A5E" w:rsidRPr="006A6DE0" w:rsidTr="0027626A">
        <w:trPr>
          <w:trHeight w:val="1518"/>
          <w:jc w:val="center"/>
        </w:trPr>
        <w:tc>
          <w:tcPr>
            <w:tcW w:w="2922" w:type="dxa"/>
          </w:tcPr>
          <w:p w:rsidR="00102A5E" w:rsidRPr="006A6DE0" w:rsidRDefault="00102A5E" w:rsidP="001338D1">
            <w:pPr>
              <w:jc w:val="both"/>
              <w:rPr>
                <w:sz w:val="22"/>
                <w:szCs w:val="22"/>
                <w:lang w:eastAsia="lv-LV"/>
              </w:rPr>
            </w:pPr>
            <w:r w:rsidRPr="006A6DE0">
              <w:rPr>
                <w:sz w:val="22"/>
                <w:szCs w:val="22"/>
                <w:lang w:eastAsia="lv-LV"/>
              </w:rPr>
              <w:t>4. Finanšu līdzekļi papildu izdevumu finansēšanai (kompensējošu izdevumu samazinājumu norāda ar "+" zīmi)</w:t>
            </w:r>
          </w:p>
        </w:tc>
        <w:tc>
          <w:tcPr>
            <w:tcW w:w="1056" w:type="dxa"/>
          </w:tcPr>
          <w:p w:rsidR="00B722FD" w:rsidRDefault="00B722FD" w:rsidP="00B722FD">
            <w:pPr>
              <w:jc w:val="center"/>
              <w:rPr>
                <w:sz w:val="20"/>
                <w:szCs w:val="20"/>
                <w:lang w:eastAsia="lv-LV"/>
              </w:rPr>
            </w:pPr>
          </w:p>
          <w:p w:rsidR="00B722FD" w:rsidRDefault="00B722FD" w:rsidP="00B722FD">
            <w:pPr>
              <w:jc w:val="center"/>
              <w:rPr>
                <w:sz w:val="20"/>
                <w:szCs w:val="20"/>
                <w:lang w:eastAsia="lv-LV"/>
              </w:rPr>
            </w:pPr>
          </w:p>
          <w:p w:rsidR="00102A5E" w:rsidRPr="00B722FD" w:rsidRDefault="00B722FD" w:rsidP="00B722FD">
            <w:pPr>
              <w:jc w:val="center"/>
              <w:rPr>
                <w:sz w:val="20"/>
                <w:szCs w:val="20"/>
                <w:lang w:eastAsia="lv-LV"/>
              </w:rPr>
            </w:pPr>
            <w:r>
              <w:rPr>
                <w:sz w:val="20"/>
                <w:szCs w:val="20"/>
                <w:lang w:eastAsia="lv-LV"/>
              </w:rPr>
              <w:t>X</w:t>
            </w:r>
          </w:p>
        </w:tc>
        <w:tc>
          <w:tcPr>
            <w:tcW w:w="1312" w:type="dxa"/>
          </w:tcPr>
          <w:p w:rsidR="00102A5E" w:rsidRPr="00B722FD" w:rsidRDefault="00B722FD" w:rsidP="00B722FD">
            <w:pPr>
              <w:jc w:val="center"/>
              <w:rPr>
                <w:sz w:val="20"/>
                <w:szCs w:val="20"/>
                <w:lang w:eastAsia="lv-LV"/>
              </w:rPr>
            </w:pPr>
            <w:r>
              <w:rPr>
                <w:sz w:val="20"/>
                <w:szCs w:val="20"/>
                <w:lang w:eastAsia="lv-LV"/>
              </w:rPr>
              <w:t>0</w:t>
            </w:r>
          </w:p>
        </w:tc>
        <w:tc>
          <w:tcPr>
            <w:tcW w:w="1327" w:type="dxa"/>
          </w:tcPr>
          <w:p w:rsidR="00102A5E" w:rsidRPr="00B722FD" w:rsidRDefault="00B722FD" w:rsidP="00B722FD">
            <w:pPr>
              <w:jc w:val="center"/>
              <w:rPr>
                <w:sz w:val="20"/>
                <w:szCs w:val="20"/>
                <w:lang w:eastAsia="lv-LV"/>
              </w:rPr>
            </w:pPr>
            <w:r>
              <w:rPr>
                <w:sz w:val="20"/>
                <w:szCs w:val="20"/>
                <w:lang w:eastAsia="lv-LV"/>
              </w:rPr>
              <w:t>0</w:t>
            </w:r>
          </w:p>
        </w:tc>
        <w:tc>
          <w:tcPr>
            <w:tcW w:w="1328" w:type="dxa"/>
          </w:tcPr>
          <w:p w:rsidR="00102A5E" w:rsidRPr="00B722FD" w:rsidRDefault="00B722FD" w:rsidP="00B722FD">
            <w:pPr>
              <w:jc w:val="center"/>
              <w:rPr>
                <w:sz w:val="20"/>
                <w:szCs w:val="20"/>
                <w:lang w:eastAsia="lv-LV"/>
              </w:rPr>
            </w:pPr>
            <w:r>
              <w:rPr>
                <w:sz w:val="20"/>
                <w:szCs w:val="20"/>
                <w:lang w:eastAsia="lv-LV"/>
              </w:rPr>
              <w:t>0</w:t>
            </w:r>
          </w:p>
        </w:tc>
        <w:tc>
          <w:tcPr>
            <w:tcW w:w="1368" w:type="dxa"/>
          </w:tcPr>
          <w:p w:rsidR="00102A5E" w:rsidRPr="00B722FD" w:rsidRDefault="00B722FD" w:rsidP="00B722FD">
            <w:pPr>
              <w:jc w:val="center"/>
              <w:rPr>
                <w:sz w:val="20"/>
                <w:szCs w:val="20"/>
                <w:lang w:eastAsia="lv-LV"/>
              </w:rPr>
            </w:pPr>
            <w:r>
              <w:rPr>
                <w:sz w:val="20"/>
                <w:szCs w:val="20"/>
                <w:lang w:eastAsia="lv-LV"/>
              </w:rPr>
              <w:t>0</w:t>
            </w:r>
          </w:p>
        </w:tc>
      </w:tr>
      <w:tr w:rsidR="00B722FD" w:rsidRPr="006A6DE0" w:rsidTr="0027626A">
        <w:trPr>
          <w:jc w:val="center"/>
        </w:trPr>
        <w:tc>
          <w:tcPr>
            <w:tcW w:w="2922" w:type="dxa"/>
          </w:tcPr>
          <w:p w:rsidR="00B722FD" w:rsidRPr="006A6DE0" w:rsidRDefault="00B722FD" w:rsidP="001338D1">
            <w:pPr>
              <w:jc w:val="both"/>
              <w:rPr>
                <w:sz w:val="22"/>
                <w:szCs w:val="22"/>
                <w:lang w:eastAsia="lv-LV"/>
              </w:rPr>
            </w:pPr>
            <w:r w:rsidRPr="006A6DE0">
              <w:rPr>
                <w:sz w:val="22"/>
                <w:szCs w:val="22"/>
                <w:lang w:eastAsia="lv-LV"/>
              </w:rPr>
              <w:t>5. Precizēta finansiālā ietekme:</w:t>
            </w:r>
          </w:p>
        </w:tc>
        <w:tc>
          <w:tcPr>
            <w:tcW w:w="1056" w:type="dxa"/>
            <w:vMerge w:val="restart"/>
          </w:tcPr>
          <w:p w:rsidR="00B722FD" w:rsidRDefault="00B722FD" w:rsidP="001338D1">
            <w:pPr>
              <w:jc w:val="center"/>
              <w:rPr>
                <w:sz w:val="20"/>
                <w:szCs w:val="20"/>
                <w:lang w:eastAsia="lv-LV"/>
              </w:rPr>
            </w:pPr>
          </w:p>
          <w:p w:rsidR="00B722FD" w:rsidRDefault="00B722FD" w:rsidP="001338D1">
            <w:pPr>
              <w:jc w:val="center"/>
              <w:rPr>
                <w:sz w:val="20"/>
                <w:szCs w:val="20"/>
                <w:lang w:eastAsia="lv-LV"/>
              </w:rPr>
            </w:pPr>
          </w:p>
          <w:p w:rsidR="00B722FD" w:rsidRDefault="00B722FD" w:rsidP="001338D1">
            <w:pPr>
              <w:jc w:val="center"/>
              <w:rPr>
                <w:sz w:val="20"/>
                <w:szCs w:val="20"/>
                <w:lang w:eastAsia="lv-LV"/>
              </w:rPr>
            </w:pPr>
            <w:r>
              <w:rPr>
                <w:sz w:val="20"/>
                <w:szCs w:val="20"/>
                <w:lang w:eastAsia="lv-LV"/>
              </w:rPr>
              <w:t>X</w:t>
            </w:r>
          </w:p>
          <w:p w:rsidR="00B722FD" w:rsidRPr="00B722FD" w:rsidRDefault="00B722FD" w:rsidP="001338D1">
            <w:pPr>
              <w:jc w:val="center"/>
              <w:rPr>
                <w:sz w:val="20"/>
                <w:szCs w:val="20"/>
                <w:lang w:eastAsia="lv-LV"/>
              </w:rPr>
            </w:pPr>
          </w:p>
        </w:tc>
        <w:tc>
          <w:tcPr>
            <w:tcW w:w="1312" w:type="dxa"/>
          </w:tcPr>
          <w:p w:rsidR="00B722FD" w:rsidRPr="00B722FD" w:rsidRDefault="00B722FD" w:rsidP="00B722FD">
            <w:pPr>
              <w:jc w:val="center"/>
              <w:rPr>
                <w:sz w:val="20"/>
                <w:szCs w:val="20"/>
                <w:lang w:eastAsia="lv-LV"/>
              </w:rPr>
            </w:pPr>
            <w:r>
              <w:rPr>
                <w:sz w:val="20"/>
                <w:szCs w:val="20"/>
                <w:lang w:eastAsia="lv-LV"/>
              </w:rPr>
              <w:t>0</w:t>
            </w:r>
          </w:p>
        </w:tc>
        <w:tc>
          <w:tcPr>
            <w:tcW w:w="1327" w:type="dxa"/>
          </w:tcPr>
          <w:p w:rsidR="00B722FD" w:rsidRPr="00B722FD" w:rsidRDefault="00B722FD" w:rsidP="00B722FD">
            <w:pPr>
              <w:jc w:val="center"/>
              <w:rPr>
                <w:sz w:val="20"/>
                <w:szCs w:val="20"/>
                <w:lang w:eastAsia="lv-LV"/>
              </w:rPr>
            </w:pPr>
            <w:r>
              <w:rPr>
                <w:sz w:val="20"/>
                <w:szCs w:val="20"/>
                <w:lang w:eastAsia="lv-LV"/>
              </w:rPr>
              <w:t>0</w:t>
            </w:r>
          </w:p>
        </w:tc>
        <w:tc>
          <w:tcPr>
            <w:tcW w:w="1328" w:type="dxa"/>
          </w:tcPr>
          <w:p w:rsidR="00B722FD" w:rsidRPr="00B722FD" w:rsidRDefault="00B722FD" w:rsidP="00B722FD">
            <w:pPr>
              <w:jc w:val="center"/>
              <w:rPr>
                <w:sz w:val="20"/>
                <w:szCs w:val="20"/>
                <w:lang w:eastAsia="lv-LV"/>
              </w:rPr>
            </w:pPr>
            <w:r>
              <w:rPr>
                <w:sz w:val="20"/>
                <w:szCs w:val="20"/>
                <w:lang w:eastAsia="lv-LV"/>
              </w:rPr>
              <w:t>0</w:t>
            </w:r>
          </w:p>
        </w:tc>
        <w:tc>
          <w:tcPr>
            <w:tcW w:w="1368" w:type="dxa"/>
          </w:tcPr>
          <w:p w:rsidR="00B722FD" w:rsidRPr="00B722FD" w:rsidRDefault="00B722FD" w:rsidP="00B722FD">
            <w:pPr>
              <w:jc w:val="center"/>
              <w:rPr>
                <w:sz w:val="20"/>
                <w:szCs w:val="20"/>
                <w:lang w:eastAsia="lv-LV"/>
              </w:rPr>
            </w:pPr>
            <w:r>
              <w:rPr>
                <w:sz w:val="20"/>
                <w:szCs w:val="20"/>
                <w:lang w:eastAsia="lv-LV"/>
              </w:rPr>
              <w:t>0</w:t>
            </w:r>
          </w:p>
        </w:tc>
      </w:tr>
      <w:tr w:rsidR="00B722FD" w:rsidRPr="006A6DE0" w:rsidTr="0027626A">
        <w:trPr>
          <w:jc w:val="center"/>
        </w:trPr>
        <w:tc>
          <w:tcPr>
            <w:tcW w:w="2922" w:type="dxa"/>
          </w:tcPr>
          <w:p w:rsidR="00B722FD" w:rsidRPr="006A6DE0" w:rsidRDefault="00B722FD" w:rsidP="001338D1">
            <w:pPr>
              <w:jc w:val="both"/>
              <w:rPr>
                <w:sz w:val="22"/>
                <w:szCs w:val="22"/>
                <w:lang w:eastAsia="lv-LV"/>
              </w:rPr>
            </w:pPr>
            <w:r w:rsidRPr="006A6DE0">
              <w:rPr>
                <w:sz w:val="22"/>
                <w:szCs w:val="22"/>
                <w:lang w:eastAsia="lv-LV"/>
              </w:rPr>
              <w:t>5.1. valsts pamatbudžets</w:t>
            </w:r>
          </w:p>
        </w:tc>
        <w:tc>
          <w:tcPr>
            <w:tcW w:w="1056" w:type="dxa"/>
            <w:vMerge/>
            <w:vAlign w:val="center"/>
          </w:tcPr>
          <w:p w:rsidR="00B722FD" w:rsidRPr="00B722FD" w:rsidRDefault="00B722FD" w:rsidP="001338D1">
            <w:pPr>
              <w:jc w:val="center"/>
              <w:rPr>
                <w:sz w:val="20"/>
                <w:szCs w:val="20"/>
                <w:lang w:eastAsia="lv-LV"/>
              </w:rPr>
            </w:pPr>
          </w:p>
        </w:tc>
        <w:tc>
          <w:tcPr>
            <w:tcW w:w="1312" w:type="dxa"/>
          </w:tcPr>
          <w:p w:rsidR="00B722FD" w:rsidRPr="00B722FD" w:rsidRDefault="00B722FD" w:rsidP="00B722FD">
            <w:pPr>
              <w:jc w:val="center"/>
              <w:rPr>
                <w:sz w:val="20"/>
                <w:szCs w:val="20"/>
                <w:lang w:eastAsia="lv-LV"/>
              </w:rPr>
            </w:pPr>
            <w:r w:rsidRPr="00B722FD">
              <w:rPr>
                <w:sz w:val="20"/>
                <w:szCs w:val="20"/>
                <w:lang w:eastAsia="lv-LV"/>
              </w:rPr>
              <w:t>0</w:t>
            </w:r>
          </w:p>
        </w:tc>
        <w:tc>
          <w:tcPr>
            <w:tcW w:w="1327" w:type="dxa"/>
          </w:tcPr>
          <w:p w:rsidR="00B722FD" w:rsidRPr="00B722FD" w:rsidRDefault="00B722FD" w:rsidP="00B722FD">
            <w:pPr>
              <w:jc w:val="center"/>
              <w:rPr>
                <w:sz w:val="20"/>
                <w:szCs w:val="20"/>
                <w:lang w:eastAsia="lv-LV"/>
              </w:rPr>
            </w:pPr>
            <w:r w:rsidRPr="00B722FD">
              <w:rPr>
                <w:sz w:val="20"/>
                <w:szCs w:val="20"/>
                <w:lang w:eastAsia="lv-LV"/>
              </w:rPr>
              <w:t>0</w:t>
            </w:r>
          </w:p>
        </w:tc>
        <w:tc>
          <w:tcPr>
            <w:tcW w:w="1328" w:type="dxa"/>
          </w:tcPr>
          <w:p w:rsidR="00B722FD" w:rsidRPr="00B722FD" w:rsidRDefault="00B722FD" w:rsidP="00B722FD">
            <w:pPr>
              <w:jc w:val="center"/>
              <w:rPr>
                <w:sz w:val="20"/>
                <w:szCs w:val="20"/>
                <w:lang w:eastAsia="lv-LV"/>
              </w:rPr>
            </w:pPr>
            <w:r w:rsidRPr="00B722FD">
              <w:rPr>
                <w:sz w:val="20"/>
                <w:szCs w:val="20"/>
                <w:lang w:eastAsia="lv-LV"/>
              </w:rPr>
              <w:t>0</w:t>
            </w:r>
          </w:p>
        </w:tc>
        <w:tc>
          <w:tcPr>
            <w:tcW w:w="1368" w:type="dxa"/>
          </w:tcPr>
          <w:p w:rsidR="00B722FD" w:rsidRPr="00B722FD" w:rsidRDefault="00B722FD" w:rsidP="00B722FD">
            <w:pPr>
              <w:jc w:val="center"/>
              <w:rPr>
                <w:sz w:val="20"/>
                <w:szCs w:val="20"/>
                <w:lang w:eastAsia="lv-LV"/>
              </w:rPr>
            </w:pPr>
            <w:r w:rsidRPr="00B722FD">
              <w:rPr>
                <w:sz w:val="20"/>
                <w:szCs w:val="20"/>
                <w:lang w:eastAsia="lv-LV"/>
              </w:rPr>
              <w:t>0</w:t>
            </w:r>
          </w:p>
        </w:tc>
      </w:tr>
      <w:tr w:rsidR="00B722FD" w:rsidRPr="006A6DE0" w:rsidTr="0027626A">
        <w:trPr>
          <w:jc w:val="center"/>
        </w:trPr>
        <w:tc>
          <w:tcPr>
            <w:tcW w:w="2922" w:type="dxa"/>
          </w:tcPr>
          <w:p w:rsidR="00B722FD" w:rsidRPr="006A6DE0" w:rsidRDefault="00B722FD" w:rsidP="001338D1">
            <w:pPr>
              <w:jc w:val="both"/>
              <w:rPr>
                <w:sz w:val="22"/>
                <w:szCs w:val="22"/>
                <w:lang w:eastAsia="lv-LV"/>
              </w:rPr>
            </w:pPr>
            <w:r w:rsidRPr="006A6DE0">
              <w:rPr>
                <w:sz w:val="22"/>
                <w:szCs w:val="22"/>
                <w:lang w:eastAsia="lv-LV"/>
              </w:rPr>
              <w:t>5.2. speciālais budžets</w:t>
            </w:r>
          </w:p>
        </w:tc>
        <w:tc>
          <w:tcPr>
            <w:tcW w:w="1056" w:type="dxa"/>
            <w:vMerge/>
            <w:vAlign w:val="center"/>
          </w:tcPr>
          <w:p w:rsidR="00B722FD" w:rsidRPr="00B722FD" w:rsidRDefault="00B722FD" w:rsidP="001338D1">
            <w:pPr>
              <w:jc w:val="center"/>
              <w:rPr>
                <w:sz w:val="20"/>
                <w:szCs w:val="20"/>
                <w:lang w:eastAsia="lv-LV"/>
              </w:rPr>
            </w:pPr>
          </w:p>
        </w:tc>
        <w:tc>
          <w:tcPr>
            <w:tcW w:w="1312" w:type="dxa"/>
          </w:tcPr>
          <w:p w:rsidR="00B722FD" w:rsidRPr="00B722FD" w:rsidRDefault="00B722FD" w:rsidP="00B722FD">
            <w:pPr>
              <w:jc w:val="center"/>
              <w:rPr>
                <w:sz w:val="20"/>
                <w:szCs w:val="20"/>
                <w:lang w:eastAsia="lv-LV"/>
              </w:rPr>
            </w:pPr>
            <w:r w:rsidRPr="00B722FD">
              <w:rPr>
                <w:sz w:val="20"/>
                <w:szCs w:val="20"/>
                <w:lang w:eastAsia="lv-LV"/>
              </w:rPr>
              <w:t>0</w:t>
            </w:r>
          </w:p>
        </w:tc>
        <w:tc>
          <w:tcPr>
            <w:tcW w:w="1327" w:type="dxa"/>
          </w:tcPr>
          <w:p w:rsidR="00B722FD" w:rsidRPr="00B722FD" w:rsidRDefault="00B722FD" w:rsidP="00B722FD">
            <w:pPr>
              <w:jc w:val="center"/>
              <w:rPr>
                <w:sz w:val="20"/>
                <w:szCs w:val="20"/>
                <w:lang w:eastAsia="lv-LV"/>
              </w:rPr>
            </w:pPr>
            <w:r w:rsidRPr="00B722FD">
              <w:rPr>
                <w:sz w:val="20"/>
                <w:szCs w:val="20"/>
                <w:lang w:eastAsia="lv-LV"/>
              </w:rPr>
              <w:t>0</w:t>
            </w:r>
          </w:p>
        </w:tc>
        <w:tc>
          <w:tcPr>
            <w:tcW w:w="1328" w:type="dxa"/>
          </w:tcPr>
          <w:p w:rsidR="00B722FD" w:rsidRPr="00B722FD" w:rsidRDefault="00B722FD" w:rsidP="00B722FD">
            <w:pPr>
              <w:jc w:val="center"/>
              <w:rPr>
                <w:sz w:val="20"/>
                <w:szCs w:val="20"/>
                <w:lang w:eastAsia="lv-LV"/>
              </w:rPr>
            </w:pPr>
            <w:r w:rsidRPr="00B722FD">
              <w:rPr>
                <w:sz w:val="20"/>
                <w:szCs w:val="20"/>
                <w:lang w:eastAsia="lv-LV"/>
              </w:rPr>
              <w:t>0</w:t>
            </w:r>
          </w:p>
        </w:tc>
        <w:tc>
          <w:tcPr>
            <w:tcW w:w="1368" w:type="dxa"/>
          </w:tcPr>
          <w:p w:rsidR="00B722FD" w:rsidRPr="00B722FD" w:rsidRDefault="00B722FD" w:rsidP="00B722FD">
            <w:pPr>
              <w:jc w:val="center"/>
              <w:rPr>
                <w:sz w:val="20"/>
                <w:szCs w:val="20"/>
                <w:lang w:eastAsia="lv-LV"/>
              </w:rPr>
            </w:pPr>
            <w:r w:rsidRPr="00B722FD">
              <w:rPr>
                <w:sz w:val="20"/>
                <w:szCs w:val="20"/>
                <w:lang w:eastAsia="lv-LV"/>
              </w:rPr>
              <w:t>0</w:t>
            </w:r>
          </w:p>
        </w:tc>
      </w:tr>
      <w:tr w:rsidR="00B722FD" w:rsidRPr="006A6DE0" w:rsidTr="0027626A">
        <w:trPr>
          <w:jc w:val="center"/>
        </w:trPr>
        <w:tc>
          <w:tcPr>
            <w:tcW w:w="2922" w:type="dxa"/>
          </w:tcPr>
          <w:p w:rsidR="00B722FD" w:rsidRPr="006A6DE0" w:rsidRDefault="00B722FD" w:rsidP="001338D1">
            <w:pPr>
              <w:jc w:val="both"/>
              <w:rPr>
                <w:sz w:val="22"/>
                <w:szCs w:val="22"/>
                <w:lang w:eastAsia="lv-LV"/>
              </w:rPr>
            </w:pPr>
            <w:r w:rsidRPr="006A6DE0">
              <w:rPr>
                <w:sz w:val="22"/>
                <w:szCs w:val="22"/>
                <w:lang w:eastAsia="lv-LV"/>
              </w:rPr>
              <w:t xml:space="preserve">5.3. pašvaldību budžets </w:t>
            </w:r>
          </w:p>
        </w:tc>
        <w:tc>
          <w:tcPr>
            <w:tcW w:w="1056" w:type="dxa"/>
            <w:vMerge/>
            <w:vAlign w:val="center"/>
          </w:tcPr>
          <w:p w:rsidR="00B722FD" w:rsidRPr="00B722FD" w:rsidRDefault="00B722FD" w:rsidP="001338D1">
            <w:pPr>
              <w:jc w:val="center"/>
              <w:rPr>
                <w:sz w:val="20"/>
                <w:szCs w:val="20"/>
                <w:lang w:eastAsia="lv-LV"/>
              </w:rPr>
            </w:pPr>
          </w:p>
        </w:tc>
        <w:tc>
          <w:tcPr>
            <w:tcW w:w="1312" w:type="dxa"/>
          </w:tcPr>
          <w:p w:rsidR="00B722FD" w:rsidRPr="00B722FD" w:rsidRDefault="00B722FD" w:rsidP="00B722FD">
            <w:pPr>
              <w:jc w:val="center"/>
              <w:rPr>
                <w:sz w:val="20"/>
                <w:szCs w:val="20"/>
                <w:lang w:eastAsia="lv-LV"/>
              </w:rPr>
            </w:pPr>
            <w:r w:rsidRPr="00B722FD">
              <w:rPr>
                <w:sz w:val="20"/>
                <w:szCs w:val="20"/>
                <w:lang w:eastAsia="lv-LV"/>
              </w:rPr>
              <w:t>0</w:t>
            </w:r>
          </w:p>
        </w:tc>
        <w:tc>
          <w:tcPr>
            <w:tcW w:w="1327" w:type="dxa"/>
          </w:tcPr>
          <w:p w:rsidR="00B722FD" w:rsidRPr="00B722FD" w:rsidRDefault="00B722FD" w:rsidP="00B722FD">
            <w:pPr>
              <w:jc w:val="center"/>
              <w:rPr>
                <w:sz w:val="20"/>
                <w:szCs w:val="20"/>
                <w:lang w:eastAsia="lv-LV"/>
              </w:rPr>
            </w:pPr>
            <w:r w:rsidRPr="00B722FD">
              <w:rPr>
                <w:sz w:val="20"/>
                <w:szCs w:val="20"/>
                <w:lang w:eastAsia="lv-LV"/>
              </w:rPr>
              <w:t>0</w:t>
            </w:r>
          </w:p>
        </w:tc>
        <w:tc>
          <w:tcPr>
            <w:tcW w:w="1328" w:type="dxa"/>
          </w:tcPr>
          <w:p w:rsidR="00B722FD" w:rsidRPr="00B722FD" w:rsidRDefault="00B722FD" w:rsidP="00B722FD">
            <w:pPr>
              <w:jc w:val="center"/>
              <w:rPr>
                <w:sz w:val="20"/>
                <w:szCs w:val="20"/>
                <w:lang w:eastAsia="lv-LV"/>
              </w:rPr>
            </w:pPr>
            <w:r w:rsidRPr="00B722FD">
              <w:rPr>
                <w:sz w:val="20"/>
                <w:szCs w:val="20"/>
                <w:lang w:eastAsia="lv-LV"/>
              </w:rPr>
              <w:t>0</w:t>
            </w:r>
          </w:p>
        </w:tc>
        <w:tc>
          <w:tcPr>
            <w:tcW w:w="1368" w:type="dxa"/>
          </w:tcPr>
          <w:p w:rsidR="00B722FD" w:rsidRPr="00B722FD" w:rsidRDefault="00B722FD" w:rsidP="00B722FD">
            <w:pPr>
              <w:jc w:val="center"/>
              <w:rPr>
                <w:sz w:val="20"/>
                <w:szCs w:val="20"/>
                <w:lang w:eastAsia="lv-LV"/>
              </w:rPr>
            </w:pPr>
            <w:r w:rsidRPr="00B722FD">
              <w:rPr>
                <w:sz w:val="20"/>
                <w:szCs w:val="20"/>
                <w:lang w:eastAsia="lv-LV"/>
              </w:rPr>
              <w:t>0</w:t>
            </w:r>
          </w:p>
        </w:tc>
      </w:tr>
      <w:tr w:rsidR="001338D1" w:rsidRPr="006A6DE0" w:rsidTr="0027626A">
        <w:trPr>
          <w:jc w:val="center"/>
        </w:trPr>
        <w:tc>
          <w:tcPr>
            <w:tcW w:w="2922" w:type="dxa"/>
          </w:tcPr>
          <w:p w:rsidR="001338D1" w:rsidRPr="006A6DE0" w:rsidRDefault="001338D1" w:rsidP="001338D1">
            <w:pPr>
              <w:jc w:val="both"/>
              <w:rPr>
                <w:sz w:val="22"/>
                <w:szCs w:val="22"/>
                <w:lang w:eastAsia="lv-LV"/>
              </w:rPr>
            </w:pPr>
            <w:r w:rsidRPr="006A6DE0">
              <w:rPr>
                <w:sz w:val="22"/>
                <w:szCs w:val="22"/>
                <w:lang w:eastAsia="lv-LV"/>
              </w:rPr>
              <w:t>6. Detalizēts ieņēmumu un izdevu</w:t>
            </w:r>
            <w:r w:rsidRPr="006A6DE0">
              <w:rPr>
                <w:sz w:val="22"/>
                <w:szCs w:val="22"/>
                <w:lang w:eastAsia="lv-LV"/>
              </w:rPr>
              <w:softHyphen/>
              <w:t>mu aprēķins (ja nepieciešams, detalizētu ieņēmumu un izdevumu aprēķinu var pievienot anotācijas pielikumā):</w:t>
            </w:r>
          </w:p>
        </w:tc>
        <w:tc>
          <w:tcPr>
            <w:tcW w:w="6391" w:type="dxa"/>
            <w:gridSpan w:val="5"/>
            <w:vMerge w:val="restart"/>
            <w:vAlign w:val="center"/>
          </w:tcPr>
          <w:p w:rsidR="00FD286C" w:rsidRDefault="00FD286C" w:rsidP="005A769D">
            <w:pPr>
              <w:jc w:val="both"/>
              <w:rPr>
                <w:bCs/>
              </w:rPr>
            </w:pPr>
            <w:r w:rsidRPr="008F770D">
              <w:rPr>
                <w:bCs/>
              </w:rPr>
              <w:t>Fiskālā ietekme aprēķin</w:t>
            </w:r>
            <w:r>
              <w:rPr>
                <w:bCs/>
              </w:rPr>
              <w:t>āta</w:t>
            </w:r>
            <w:r w:rsidRPr="008F770D">
              <w:rPr>
                <w:bCs/>
              </w:rPr>
              <w:t xml:space="preserve"> kā starpība starp prognozēto budžetā maksājamo peļņas daļu, kas aprēķin</w:t>
            </w:r>
            <w:r>
              <w:rPr>
                <w:bCs/>
              </w:rPr>
              <w:t>āta</w:t>
            </w:r>
            <w:r w:rsidRPr="008F770D">
              <w:rPr>
                <w:bCs/>
              </w:rPr>
              <w:t xml:space="preserve"> pēc spēkā esošo </w:t>
            </w:r>
            <w:r w:rsidR="00D67543" w:rsidRPr="00D67543">
              <w:rPr>
                <w:bCs/>
              </w:rPr>
              <w:t xml:space="preserve">Ministru kabineta 2009.gada 15.decembra noteikumu  Nr.1471 „Kārtība, kādā tiek noteikta un ieskaitīta valsts budžetā izmaksājamā peļņas daļa par valsts kapitāla izmantošanu” </w:t>
            </w:r>
            <w:r w:rsidRPr="008F770D">
              <w:rPr>
                <w:bCs/>
              </w:rPr>
              <w:t>normām, un noteikumu projektā paredzētajām normām. Ietekmes noteiktas saskaņā ar valsts kapitālsabiedrību sniegtajām peļņas prognozēm. Ņemot vērā, ka 201</w:t>
            </w:r>
            <w:r>
              <w:rPr>
                <w:bCs/>
              </w:rPr>
              <w:t>5</w:t>
            </w:r>
            <w:r w:rsidRPr="008F770D">
              <w:rPr>
                <w:bCs/>
              </w:rPr>
              <w:t xml:space="preserve">.-2016.gadā ir paredzēti atšķirīgi procenti minimālās dividendēs izmaksājamās daļas noteikšanai, kā arī faktu, ka valsts kapitālsabiedrību peļņas rādītāji katru gadu ir atšķirīgi, fiskālās ietekmes aprēķinā sniegts </w:t>
            </w:r>
            <w:r w:rsidRPr="008F770D">
              <w:rPr>
                <w:bCs/>
              </w:rPr>
              <w:lastRenderedPageBreak/>
              <w:t>salīdzinājums ar attiecīgā gada prognozi, kas aprēķināta pēc spēkā esošo MK noteikumu normām.</w:t>
            </w:r>
          </w:p>
          <w:p w:rsidR="001338D1" w:rsidRPr="00231EC0" w:rsidRDefault="00FD286C" w:rsidP="005A769D">
            <w:pPr>
              <w:pStyle w:val="ListParagraph"/>
              <w:ind w:left="0"/>
              <w:contextualSpacing w:val="0"/>
              <w:jc w:val="both"/>
              <w:rPr>
                <w:rFonts w:eastAsia="Calibri"/>
                <w:color w:val="000000"/>
                <w:lang w:eastAsia="lv-LV"/>
              </w:rPr>
            </w:pPr>
            <w:r w:rsidRPr="00FD286C">
              <w:rPr>
                <w:bCs/>
              </w:rPr>
              <w:t>Pamatojoties uz 2014.gada 10.novembra Ministru kabineta lēmumu</w:t>
            </w:r>
            <w:r>
              <w:rPr>
                <w:bCs/>
              </w:rPr>
              <w:t>,</w:t>
            </w:r>
            <w:r w:rsidRPr="00FD286C">
              <w:rPr>
                <w:bCs/>
              </w:rPr>
              <w:t xml:space="preserve"> </w:t>
            </w:r>
            <w:r w:rsidRPr="00DC601D">
              <w:rPr>
                <w:bCs/>
              </w:rPr>
              <w:t>fiskālā ietekme ir iekļauta 201</w:t>
            </w:r>
            <w:r>
              <w:rPr>
                <w:bCs/>
              </w:rPr>
              <w:t>5</w:t>
            </w:r>
            <w:r w:rsidRPr="00DC601D">
              <w:rPr>
                <w:bCs/>
              </w:rPr>
              <w:t xml:space="preserve">.-2016.gada </w:t>
            </w:r>
            <w:r>
              <w:rPr>
                <w:bCs/>
              </w:rPr>
              <w:t xml:space="preserve">maksājumu par valsts kapitāla izmantošanu </w:t>
            </w:r>
            <w:r w:rsidRPr="00DC601D">
              <w:rPr>
                <w:bCs/>
              </w:rPr>
              <w:t>prognozēs.</w:t>
            </w:r>
          </w:p>
        </w:tc>
      </w:tr>
      <w:tr w:rsidR="001338D1" w:rsidRPr="006A6DE0" w:rsidTr="0027626A">
        <w:trPr>
          <w:jc w:val="center"/>
        </w:trPr>
        <w:tc>
          <w:tcPr>
            <w:tcW w:w="2922" w:type="dxa"/>
          </w:tcPr>
          <w:p w:rsidR="001338D1" w:rsidRPr="006A6DE0" w:rsidRDefault="001338D1" w:rsidP="001338D1">
            <w:pPr>
              <w:jc w:val="both"/>
              <w:rPr>
                <w:sz w:val="22"/>
                <w:szCs w:val="22"/>
                <w:lang w:eastAsia="lv-LV"/>
              </w:rPr>
            </w:pPr>
            <w:r w:rsidRPr="006A6DE0">
              <w:rPr>
                <w:sz w:val="22"/>
                <w:szCs w:val="22"/>
                <w:lang w:eastAsia="lv-LV"/>
              </w:rPr>
              <w:t>6.1. detalizēts ieņēmumu aprēķins</w:t>
            </w:r>
          </w:p>
        </w:tc>
        <w:tc>
          <w:tcPr>
            <w:tcW w:w="6391" w:type="dxa"/>
            <w:gridSpan w:val="5"/>
            <w:vMerge/>
          </w:tcPr>
          <w:p w:rsidR="001338D1" w:rsidRPr="006A6DE0" w:rsidRDefault="001338D1" w:rsidP="001338D1">
            <w:pPr>
              <w:jc w:val="both"/>
              <w:rPr>
                <w:b/>
                <w:i/>
                <w:sz w:val="22"/>
                <w:szCs w:val="22"/>
                <w:lang w:eastAsia="lv-LV"/>
              </w:rPr>
            </w:pPr>
          </w:p>
        </w:tc>
      </w:tr>
      <w:tr w:rsidR="001338D1" w:rsidRPr="006A6DE0" w:rsidTr="0027626A">
        <w:trPr>
          <w:jc w:val="center"/>
        </w:trPr>
        <w:tc>
          <w:tcPr>
            <w:tcW w:w="2922" w:type="dxa"/>
          </w:tcPr>
          <w:p w:rsidR="001338D1" w:rsidRPr="006A6DE0" w:rsidRDefault="001338D1" w:rsidP="001338D1">
            <w:pPr>
              <w:jc w:val="both"/>
              <w:rPr>
                <w:sz w:val="22"/>
                <w:szCs w:val="22"/>
                <w:lang w:eastAsia="lv-LV"/>
              </w:rPr>
            </w:pPr>
            <w:r w:rsidRPr="006A6DE0">
              <w:rPr>
                <w:sz w:val="22"/>
                <w:szCs w:val="22"/>
                <w:lang w:eastAsia="lv-LV"/>
              </w:rPr>
              <w:t>6.2. detalizēts izdevumu aprēķins</w:t>
            </w:r>
          </w:p>
        </w:tc>
        <w:tc>
          <w:tcPr>
            <w:tcW w:w="6391" w:type="dxa"/>
            <w:gridSpan w:val="5"/>
            <w:vMerge/>
          </w:tcPr>
          <w:p w:rsidR="001338D1" w:rsidRPr="006A6DE0" w:rsidRDefault="001338D1" w:rsidP="001338D1">
            <w:pPr>
              <w:jc w:val="both"/>
              <w:rPr>
                <w:b/>
                <w:i/>
                <w:sz w:val="22"/>
                <w:szCs w:val="22"/>
                <w:lang w:eastAsia="lv-LV"/>
              </w:rPr>
            </w:pPr>
          </w:p>
        </w:tc>
      </w:tr>
      <w:tr w:rsidR="001338D1" w:rsidRPr="006A6DE0" w:rsidTr="0027626A">
        <w:trPr>
          <w:jc w:val="center"/>
        </w:trPr>
        <w:tc>
          <w:tcPr>
            <w:tcW w:w="2922" w:type="dxa"/>
          </w:tcPr>
          <w:p w:rsidR="001338D1" w:rsidRPr="006A6DE0" w:rsidRDefault="001338D1" w:rsidP="001338D1">
            <w:pPr>
              <w:jc w:val="both"/>
              <w:rPr>
                <w:sz w:val="22"/>
                <w:szCs w:val="22"/>
                <w:lang w:eastAsia="lv-LV"/>
              </w:rPr>
            </w:pPr>
            <w:r w:rsidRPr="006A6DE0">
              <w:rPr>
                <w:sz w:val="22"/>
                <w:szCs w:val="22"/>
                <w:lang w:eastAsia="lv-LV"/>
              </w:rPr>
              <w:lastRenderedPageBreak/>
              <w:t>7. Cita informācija</w:t>
            </w:r>
          </w:p>
        </w:tc>
        <w:tc>
          <w:tcPr>
            <w:tcW w:w="6391" w:type="dxa"/>
            <w:gridSpan w:val="5"/>
          </w:tcPr>
          <w:p w:rsidR="00997205" w:rsidRPr="00F379B6" w:rsidRDefault="005A769D" w:rsidP="005A769D">
            <w:pPr>
              <w:ind w:firstLine="84"/>
              <w:jc w:val="both"/>
              <w:rPr>
                <w:rFonts w:eastAsia="Calibri"/>
                <w:color w:val="000000"/>
                <w:sz w:val="26"/>
                <w:szCs w:val="26"/>
                <w:lang w:eastAsia="lv-LV"/>
              </w:rPr>
            </w:pPr>
            <w:r>
              <w:rPr>
                <w:rFonts w:eastAsia="Calibri"/>
                <w:color w:val="000000"/>
                <w:sz w:val="26"/>
                <w:szCs w:val="26"/>
                <w:lang w:eastAsia="lv-LV"/>
              </w:rPr>
              <w:t>Nav</w:t>
            </w:r>
          </w:p>
        </w:tc>
      </w:tr>
    </w:tbl>
    <w:p w:rsidR="006A6DE0" w:rsidRDefault="006A6DE0"/>
    <w:p w:rsidR="00231EC0" w:rsidRDefault="00231EC0" w:rsidP="00231EC0"/>
    <w:p w:rsidR="00231EC0" w:rsidRDefault="00231EC0" w:rsidP="00231EC0">
      <w:pPr>
        <w:rPr>
          <w:sz w:val="18"/>
          <w:szCs w:val="18"/>
        </w:rPr>
      </w:pPr>
      <w:r w:rsidRPr="00C87CA3">
        <w:t>Anotācijas</w:t>
      </w:r>
      <w:r w:rsidR="005A769D">
        <w:t xml:space="preserve"> </w:t>
      </w:r>
      <w:r w:rsidR="00D67543">
        <w:t xml:space="preserve">IV, </w:t>
      </w:r>
      <w:r w:rsidR="005A769D">
        <w:t xml:space="preserve">V, </w:t>
      </w:r>
      <w:r>
        <w:t>VI</w:t>
      </w:r>
      <w:r w:rsidR="005A769D">
        <w:t xml:space="preserve"> un VII</w:t>
      </w:r>
      <w:r>
        <w:t xml:space="preserve"> sadaļa – projekts šīs jomas neskar.</w:t>
      </w:r>
    </w:p>
    <w:p w:rsidR="00231EC0" w:rsidRDefault="00231EC0" w:rsidP="00DF0159">
      <w:pPr>
        <w:tabs>
          <w:tab w:val="left" w:pos="709"/>
          <w:tab w:val="left" w:pos="7088"/>
          <w:tab w:val="left" w:pos="7371"/>
        </w:tabs>
        <w:rPr>
          <w:lang w:eastAsia="lv-LV"/>
        </w:rPr>
      </w:pPr>
    </w:p>
    <w:p w:rsidR="00231EC0" w:rsidRPr="00231EC0" w:rsidRDefault="00231EC0" w:rsidP="00231EC0">
      <w:pPr>
        <w:rPr>
          <w:lang w:eastAsia="lv-LV"/>
        </w:rPr>
      </w:pPr>
    </w:p>
    <w:tbl>
      <w:tblPr>
        <w:tblW w:w="5124" w:type="pct"/>
        <w:tblInd w:w="-112" w:type="dxa"/>
        <w:tblLook w:val="04A0" w:firstRow="1" w:lastRow="0" w:firstColumn="1" w:lastColumn="0" w:noHBand="0" w:noVBand="1"/>
      </w:tblPr>
      <w:tblGrid>
        <w:gridCol w:w="4367"/>
        <w:gridCol w:w="4929"/>
      </w:tblGrid>
      <w:tr w:rsidR="00231EC0" w:rsidRPr="00231EC0" w:rsidTr="00B63C6D">
        <w:trPr>
          <w:trHeight w:val="1134"/>
        </w:trPr>
        <w:tc>
          <w:tcPr>
            <w:tcW w:w="2349" w:type="pct"/>
          </w:tcPr>
          <w:p w:rsidR="00E05BA6" w:rsidRDefault="00E05BA6" w:rsidP="00231EC0">
            <w:pPr>
              <w:jc w:val="both"/>
              <w:rPr>
                <w:lang w:eastAsia="lv-LV"/>
              </w:rPr>
            </w:pPr>
          </w:p>
          <w:p w:rsidR="00E05BA6" w:rsidRDefault="00E05BA6" w:rsidP="00231EC0">
            <w:pPr>
              <w:jc w:val="both"/>
              <w:rPr>
                <w:lang w:eastAsia="lv-LV"/>
              </w:rPr>
            </w:pPr>
          </w:p>
          <w:p w:rsidR="00231EC0" w:rsidRPr="00231EC0" w:rsidRDefault="00231EC0" w:rsidP="00231EC0">
            <w:pPr>
              <w:jc w:val="both"/>
              <w:rPr>
                <w:lang w:eastAsia="lv-LV"/>
              </w:rPr>
            </w:pPr>
            <w:r w:rsidRPr="00231EC0">
              <w:rPr>
                <w:lang w:eastAsia="lv-LV"/>
              </w:rPr>
              <w:t>Finanšu ministrs</w:t>
            </w:r>
          </w:p>
          <w:p w:rsidR="00231EC0" w:rsidRPr="00231EC0" w:rsidRDefault="00231EC0" w:rsidP="00231EC0">
            <w:pPr>
              <w:jc w:val="both"/>
              <w:rPr>
                <w:lang w:eastAsia="lv-LV"/>
              </w:rPr>
            </w:pPr>
          </w:p>
          <w:p w:rsidR="00231EC0" w:rsidRPr="00231EC0" w:rsidRDefault="00231EC0" w:rsidP="00231EC0">
            <w:pPr>
              <w:jc w:val="both"/>
              <w:rPr>
                <w:lang w:eastAsia="lv-LV"/>
              </w:rPr>
            </w:pPr>
          </w:p>
        </w:tc>
        <w:tc>
          <w:tcPr>
            <w:tcW w:w="2651" w:type="pct"/>
          </w:tcPr>
          <w:p w:rsidR="00E05BA6" w:rsidRDefault="00E05BA6" w:rsidP="00231EC0">
            <w:pPr>
              <w:jc w:val="right"/>
              <w:rPr>
                <w:lang w:eastAsia="lv-LV"/>
              </w:rPr>
            </w:pPr>
          </w:p>
          <w:p w:rsidR="00E05BA6" w:rsidRDefault="00E05BA6" w:rsidP="00231EC0">
            <w:pPr>
              <w:jc w:val="right"/>
              <w:rPr>
                <w:lang w:eastAsia="lv-LV"/>
              </w:rPr>
            </w:pPr>
          </w:p>
          <w:p w:rsidR="00231EC0" w:rsidRPr="00231EC0" w:rsidRDefault="00231EC0" w:rsidP="00231EC0">
            <w:pPr>
              <w:jc w:val="right"/>
              <w:rPr>
                <w:lang w:eastAsia="lv-LV"/>
              </w:rPr>
            </w:pPr>
            <w:proofErr w:type="spellStart"/>
            <w:r w:rsidRPr="00231EC0">
              <w:rPr>
                <w:lang w:eastAsia="lv-LV"/>
              </w:rPr>
              <w:t>J.Reirs</w:t>
            </w:r>
            <w:proofErr w:type="spellEnd"/>
          </w:p>
          <w:p w:rsidR="00231EC0" w:rsidRPr="00231EC0" w:rsidRDefault="00231EC0" w:rsidP="00231EC0">
            <w:pPr>
              <w:rPr>
                <w:lang w:eastAsia="lv-LV"/>
              </w:rPr>
            </w:pPr>
          </w:p>
          <w:p w:rsidR="00231EC0" w:rsidRPr="00231EC0" w:rsidRDefault="00231EC0" w:rsidP="00231EC0">
            <w:pPr>
              <w:jc w:val="right"/>
              <w:rPr>
                <w:lang w:eastAsia="lv-LV"/>
              </w:rPr>
            </w:pPr>
          </w:p>
          <w:p w:rsidR="00231EC0" w:rsidRPr="00231EC0" w:rsidRDefault="00231EC0" w:rsidP="00231EC0">
            <w:pPr>
              <w:jc w:val="right"/>
              <w:rPr>
                <w:lang w:eastAsia="lv-LV"/>
              </w:rPr>
            </w:pPr>
          </w:p>
        </w:tc>
      </w:tr>
    </w:tbl>
    <w:p w:rsidR="00231EC0" w:rsidRPr="00231EC0" w:rsidRDefault="00231EC0" w:rsidP="00231EC0">
      <w:pPr>
        <w:rPr>
          <w:sz w:val="20"/>
          <w:szCs w:val="20"/>
          <w:lang w:eastAsia="lv-LV"/>
        </w:rPr>
      </w:pPr>
    </w:p>
    <w:p w:rsidR="00231EC0" w:rsidRDefault="00231EC0" w:rsidP="00231EC0">
      <w:pPr>
        <w:rPr>
          <w:sz w:val="20"/>
          <w:szCs w:val="20"/>
          <w:lang w:eastAsia="lv-LV"/>
        </w:rPr>
      </w:pPr>
    </w:p>
    <w:p w:rsidR="00231EC0" w:rsidRDefault="00231EC0"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bookmarkStart w:id="2" w:name="_GoBack"/>
      <w:bookmarkEnd w:id="2"/>
    </w:p>
    <w:p w:rsidR="00D67543" w:rsidRDefault="00D67543" w:rsidP="00231EC0">
      <w:pPr>
        <w:rPr>
          <w:sz w:val="20"/>
          <w:szCs w:val="20"/>
          <w:lang w:eastAsia="lv-LV"/>
        </w:rPr>
      </w:pPr>
    </w:p>
    <w:p w:rsidR="00D67543" w:rsidRDefault="00D67543" w:rsidP="00231EC0">
      <w:pPr>
        <w:rPr>
          <w:sz w:val="20"/>
          <w:szCs w:val="20"/>
          <w:lang w:eastAsia="lv-LV"/>
        </w:rPr>
      </w:pPr>
    </w:p>
    <w:p w:rsidR="00D67543" w:rsidRDefault="00D67543" w:rsidP="00231EC0">
      <w:pPr>
        <w:rPr>
          <w:sz w:val="20"/>
          <w:szCs w:val="20"/>
          <w:lang w:eastAsia="lv-LV"/>
        </w:rPr>
      </w:pPr>
    </w:p>
    <w:p w:rsidR="00E05BA6" w:rsidRDefault="00E05BA6" w:rsidP="00231EC0">
      <w:pPr>
        <w:rPr>
          <w:sz w:val="20"/>
          <w:szCs w:val="20"/>
          <w:lang w:eastAsia="lv-LV"/>
        </w:rPr>
      </w:pPr>
    </w:p>
    <w:p w:rsidR="00E05BA6" w:rsidRDefault="00E05BA6" w:rsidP="00231EC0">
      <w:pPr>
        <w:rPr>
          <w:sz w:val="20"/>
          <w:szCs w:val="20"/>
          <w:lang w:eastAsia="lv-LV"/>
        </w:rPr>
      </w:pPr>
    </w:p>
    <w:p w:rsidR="000C0F84" w:rsidRDefault="000C0F84" w:rsidP="001141BF">
      <w:pPr>
        <w:widowControl w:val="0"/>
        <w:autoSpaceDE w:val="0"/>
        <w:autoSpaceDN w:val="0"/>
        <w:adjustRightInd w:val="0"/>
        <w:jc w:val="both"/>
        <w:rPr>
          <w:bCs/>
          <w:sz w:val="18"/>
          <w:szCs w:val="18"/>
        </w:rPr>
      </w:pPr>
      <w:r w:rsidRPr="000C0F84">
        <w:rPr>
          <w:bCs/>
          <w:sz w:val="18"/>
          <w:szCs w:val="18"/>
        </w:rPr>
        <w:t>25.11.2014 9:58</w:t>
      </w:r>
    </w:p>
    <w:p w:rsidR="001141BF" w:rsidRPr="001141BF" w:rsidRDefault="001141BF" w:rsidP="001141BF">
      <w:pPr>
        <w:widowControl w:val="0"/>
        <w:autoSpaceDE w:val="0"/>
        <w:autoSpaceDN w:val="0"/>
        <w:adjustRightInd w:val="0"/>
        <w:jc w:val="both"/>
        <w:rPr>
          <w:bCs/>
          <w:sz w:val="18"/>
          <w:szCs w:val="18"/>
        </w:rPr>
      </w:pPr>
      <w:r w:rsidRPr="001141BF">
        <w:rPr>
          <w:bCs/>
          <w:sz w:val="18"/>
          <w:szCs w:val="18"/>
        </w:rPr>
        <w:fldChar w:fldCharType="begin"/>
      </w:r>
      <w:r w:rsidRPr="001141BF">
        <w:rPr>
          <w:bCs/>
          <w:sz w:val="18"/>
          <w:szCs w:val="18"/>
        </w:rPr>
        <w:instrText xml:space="preserve"> NUMWORDS   \* MERGEFORMAT </w:instrText>
      </w:r>
      <w:r w:rsidRPr="001141BF">
        <w:rPr>
          <w:bCs/>
          <w:sz w:val="18"/>
          <w:szCs w:val="18"/>
        </w:rPr>
        <w:fldChar w:fldCharType="separate"/>
      </w:r>
      <w:r w:rsidR="000C0F84">
        <w:rPr>
          <w:bCs/>
          <w:noProof/>
          <w:sz w:val="18"/>
          <w:szCs w:val="18"/>
        </w:rPr>
        <w:t>669</w:t>
      </w:r>
      <w:r w:rsidRPr="001141BF">
        <w:rPr>
          <w:bCs/>
          <w:sz w:val="18"/>
          <w:szCs w:val="18"/>
        </w:rPr>
        <w:fldChar w:fldCharType="end"/>
      </w:r>
    </w:p>
    <w:p w:rsidR="001141BF" w:rsidRPr="001141BF" w:rsidRDefault="001141BF" w:rsidP="001141BF">
      <w:pPr>
        <w:jc w:val="both"/>
        <w:rPr>
          <w:sz w:val="20"/>
          <w:szCs w:val="20"/>
        </w:rPr>
      </w:pPr>
      <w:proofErr w:type="spellStart"/>
      <w:r w:rsidRPr="001141BF">
        <w:rPr>
          <w:sz w:val="20"/>
          <w:szCs w:val="20"/>
        </w:rPr>
        <w:t>I.Dzenīte</w:t>
      </w:r>
      <w:proofErr w:type="spellEnd"/>
    </w:p>
    <w:p w:rsidR="001141BF" w:rsidRPr="001141BF" w:rsidRDefault="001141BF" w:rsidP="001141BF">
      <w:pPr>
        <w:jc w:val="both"/>
        <w:rPr>
          <w:color w:val="0000FF"/>
          <w:sz w:val="20"/>
          <w:szCs w:val="20"/>
          <w:u w:val="single"/>
        </w:rPr>
      </w:pPr>
      <w:r w:rsidRPr="001141BF">
        <w:rPr>
          <w:sz w:val="20"/>
          <w:szCs w:val="20"/>
        </w:rPr>
        <w:t xml:space="preserve">67095594; </w:t>
      </w:r>
      <w:hyperlink r:id="rId12" w:history="1">
        <w:r w:rsidRPr="001141BF">
          <w:rPr>
            <w:color w:val="0000FF"/>
            <w:sz w:val="20"/>
            <w:szCs w:val="20"/>
            <w:u w:val="single"/>
          </w:rPr>
          <w:t>Ievina.Dzenite@fm.gov.lv</w:t>
        </w:r>
      </w:hyperlink>
    </w:p>
    <w:p w:rsidR="001141BF" w:rsidRPr="001141BF" w:rsidRDefault="001141BF" w:rsidP="001141BF">
      <w:pPr>
        <w:widowControl w:val="0"/>
        <w:autoSpaceDE w:val="0"/>
        <w:autoSpaceDN w:val="0"/>
        <w:adjustRightInd w:val="0"/>
        <w:jc w:val="both"/>
        <w:rPr>
          <w:bCs/>
          <w:sz w:val="18"/>
          <w:szCs w:val="18"/>
        </w:rPr>
      </w:pPr>
    </w:p>
    <w:p w:rsidR="00093619" w:rsidRPr="00C50D09" w:rsidRDefault="00093619" w:rsidP="001141BF">
      <w:pPr>
        <w:rPr>
          <w:sz w:val="20"/>
        </w:rPr>
      </w:pPr>
    </w:p>
    <w:sectPr w:rsidR="00093619" w:rsidRPr="00C50D09" w:rsidSect="00255F66">
      <w:headerReference w:type="default" r:id="rId13"/>
      <w:footerReference w:type="default" r:id="rId14"/>
      <w:footerReference w:type="first" r:id="rId15"/>
      <w:pgSz w:w="11906" w:h="16838"/>
      <w:pgMar w:top="1134" w:right="1134" w:bottom="1276" w:left="1701" w:header="709" w:footer="4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1E" w:rsidRDefault="00D4291E" w:rsidP="00F17343">
      <w:r>
        <w:separator/>
      </w:r>
    </w:p>
  </w:endnote>
  <w:endnote w:type="continuationSeparator" w:id="0">
    <w:p w:rsidR="00D4291E" w:rsidRDefault="00D4291E" w:rsidP="00F1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AB" w:rsidRPr="00255F66" w:rsidRDefault="00231EC0" w:rsidP="00255F66">
    <w:pPr>
      <w:pStyle w:val="Title"/>
      <w:jc w:val="both"/>
      <w:rPr>
        <w:sz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6B42F9">
      <w:rPr>
        <w:b w:val="0"/>
        <w:noProof/>
        <w:sz w:val="20"/>
        <w:szCs w:val="20"/>
      </w:rPr>
      <w:t>FMAnot_14112014_MK1471</w:t>
    </w:r>
    <w:r>
      <w:rPr>
        <w:b w:val="0"/>
        <w:sz w:val="20"/>
        <w:szCs w:val="20"/>
      </w:rPr>
      <w:fldChar w:fldCharType="end"/>
    </w:r>
    <w:r>
      <w:rPr>
        <w:b w:val="0"/>
        <w:sz w:val="20"/>
        <w:szCs w:val="20"/>
      </w:rPr>
      <w:t xml:space="preserve">; </w:t>
    </w:r>
    <w:r w:rsidR="00845BF4" w:rsidRPr="00845BF4">
      <w:rPr>
        <w:b w:val="0"/>
        <w:sz w:val="20"/>
        <w:szCs w:val="20"/>
      </w:rPr>
      <w:t>Ministru kabineta noteikumu projekta „Grozījums Ministru kabineta 2009.gada 15.decembra noteikumos Nr.1471 „Kārtība, kādā tiek noteikta un ieskaitīta valsts budžetā izmaksājamā peļņas daļa par valsts kapitāla izmantošanu””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A7" w:rsidRPr="005271A7" w:rsidRDefault="00AF64AB" w:rsidP="005271A7">
    <w:pPr>
      <w:pStyle w:val="Title"/>
      <w:jc w:val="both"/>
      <w:rPr>
        <w:sz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6B42F9">
      <w:rPr>
        <w:b w:val="0"/>
        <w:noProof/>
        <w:sz w:val="20"/>
        <w:szCs w:val="20"/>
      </w:rPr>
      <w:t>FMAnot_14112014_MK1471</w:t>
    </w:r>
    <w:r>
      <w:rPr>
        <w:b w:val="0"/>
        <w:sz w:val="20"/>
        <w:szCs w:val="20"/>
      </w:rPr>
      <w:fldChar w:fldCharType="end"/>
    </w:r>
    <w:r w:rsidR="00FB4D53">
      <w:rPr>
        <w:b w:val="0"/>
        <w:sz w:val="20"/>
        <w:szCs w:val="20"/>
      </w:rPr>
      <w:t xml:space="preserve">; </w:t>
    </w:r>
    <w:r w:rsidR="00467FAB" w:rsidRPr="00467FAB">
      <w:rPr>
        <w:b w:val="0"/>
        <w:sz w:val="20"/>
        <w:szCs w:val="20"/>
      </w:rPr>
      <w:t>Ministru kabineta noteikumu projekta „Grozījums Ministru kabineta 2009.gada 15.decembra noteikumos Nr.1471 „Kārtība, kādā tiek noteikta un ieskaitīta valsts budžetā izmaksājamā peļņas daļa par valsts kapitāla izmantošanu””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1E" w:rsidRDefault="00D4291E" w:rsidP="00F17343">
      <w:r>
        <w:separator/>
      </w:r>
    </w:p>
  </w:footnote>
  <w:footnote w:type="continuationSeparator" w:id="0">
    <w:p w:rsidR="00D4291E" w:rsidRDefault="00D4291E" w:rsidP="00F1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AB" w:rsidRDefault="00AF64AB">
    <w:pPr>
      <w:pStyle w:val="Header"/>
      <w:jc w:val="center"/>
    </w:pPr>
    <w:r>
      <w:fldChar w:fldCharType="begin"/>
    </w:r>
    <w:r>
      <w:instrText xml:space="preserve"> PAGE   \* MERGEFORMAT </w:instrText>
    </w:r>
    <w:r>
      <w:fldChar w:fldCharType="separate"/>
    </w:r>
    <w:r w:rsidR="000C0F84">
      <w:rPr>
        <w:noProof/>
      </w:rPr>
      <w:t>2</w:t>
    </w:r>
    <w:r>
      <w:fldChar w:fldCharType="end"/>
    </w:r>
  </w:p>
  <w:p w:rsidR="00AF64AB" w:rsidRDefault="00AF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3">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nsid w:val="36F16F77"/>
    <w:multiLevelType w:val="hybridMultilevel"/>
    <w:tmpl w:val="8B4A0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23598B"/>
    <w:multiLevelType w:val="hybridMultilevel"/>
    <w:tmpl w:val="57886912"/>
    <w:lvl w:ilvl="0" w:tplc="7016996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F3E62BD"/>
    <w:multiLevelType w:val="hybridMultilevel"/>
    <w:tmpl w:val="222E7F64"/>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8">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7E85070"/>
    <w:multiLevelType w:val="hybridMultilevel"/>
    <w:tmpl w:val="3288D7AA"/>
    <w:lvl w:ilvl="0" w:tplc="953A5792">
      <w:start w:val="201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85"/>
    <w:rsid w:val="00000F6A"/>
    <w:rsid w:val="00001E37"/>
    <w:rsid w:val="00005952"/>
    <w:rsid w:val="00007D36"/>
    <w:rsid w:val="00007F44"/>
    <w:rsid w:val="00010226"/>
    <w:rsid w:val="00014BA5"/>
    <w:rsid w:val="0001651D"/>
    <w:rsid w:val="00016B20"/>
    <w:rsid w:val="00017B3B"/>
    <w:rsid w:val="00022245"/>
    <w:rsid w:val="00024A11"/>
    <w:rsid w:val="00025469"/>
    <w:rsid w:val="00030A63"/>
    <w:rsid w:val="00030C41"/>
    <w:rsid w:val="00037BED"/>
    <w:rsid w:val="00040CBD"/>
    <w:rsid w:val="00040E43"/>
    <w:rsid w:val="0004402E"/>
    <w:rsid w:val="0004564C"/>
    <w:rsid w:val="00050060"/>
    <w:rsid w:val="00050705"/>
    <w:rsid w:val="0005172E"/>
    <w:rsid w:val="00053211"/>
    <w:rsid w:val="00056421"/>
    <w:rsid w:val="00056756"/>
    <w:rsid w:val="00061604"/>
    <w:rsid w:val="00061FE8"/>
    <w:rsid w:val="00064532"/>
    <w:rsid w:val="000663FA"/>
    <w:rsid w:val="000706D6"/>
    <w:rsid w:val="00072868"/>
    <w:rsid w:val="0007719B"/>
    <w:rsid w:val="00081B09"/>
    <w:rsid w:val="00090360"/>
    <w:rsid w:val="00092ED2"/>
    <w:rsid w:val="00093619"/>
    <w:rsid w:val="0009429A"/>
    <w:rsid w:val="00094626"/>
    <w:rsid w:val="0009581A"/>
    <w:rsid w:val="000A130E"/>
    <w:rsid w:val="000B1BC5"/>
    <w:rsid w:val="000B2486"/>
    <w:rsid w:val="000B5B9B"/>
    <w:rsid w:val="000B6F12"/>
    <w:rsid w:val="000C0F84"/>
    <w:rsid w:val="000C1E80"/>
    <w:rsid w:val="000C484D"/>
    <w:rsid w:val="000C57F4"/>
    <w:rsid w:val="000C5E52"/>
    <w:rsid w:val="000D005B"/>
    <w:rsid w:val="000D0F39"/>
    <w:rsid w:val="000D1811"/>
    <w:rsid w:val="000D464F"/>
    <w:rsid w:val="000D47FA"/>
    <w:rsid w:val="000D4DF7"/>
    <w:rsid w:val="000D738B"/>
    <w:rsid w:val="000E1E6E"/>
    <w:rsid w:val="000E2419"/>
    <w:rsid w:val="000E5BE2"/>
    <w:rsid w:val="000F3C12"/>
    <w:rsid w:val="000F74F2"/>
    <w:rsid w:val="00102A5E"/>
    <w:rsid w:val="001042E3"/>
    <w:rsid w:val="00106A33"/>
    <w:rsid w:val="001079C2"/>
    <w:rsid w:val="00112A73"/>
    <w:rsid w:val="001141BF"/>
    <w:rsid w:val="001146EE"/>
    <w:rsid w:val="0011514A"/>
    <w:rsid w:val="00115EF9"/>
    <w:rsid w:val="00116402"/>
    <w:rsid w:val="00123A40"/>
    <w:rsid w:val="00127F4C"/>
    <w:rsid w:val="001338D1"/>
    <w:rsid w:val="00137D06"/>
    <w:rsid w:val="00144B69"/>
    <w:rsid w:val="0014524C"/>
    <w:rsid w:val="00145C48"/>
    <w:rsid w:val="0015123F"/>
    <w:rsid w:val="00151E95"/>
    <w:rsid w:val="001558BE"/>
    <w:rsid w:val="0016021B"/>
    <w:rsid w:val="001627E0"/>
    <w:rsid w:val="00165047"/>
    <w:rsid w:val="0016599F"/>
    <w:rsid w:val="00166A88"/>
    <w:rsid w:val="00170A33"/>
    <w:rsid w:val="00171998"/>
    <w:rsid w:val="00184D3D"/>
    <w:rsid w:val="001867A7"/>
    <w:rsid w:val="001867CE"/>
    <w:rsid w:val="00186CDA"/>
    <w:rsid w:val="001923BD"/>
    <w:rsid w:val="00192AA0"/>
    <w:rsid w:val="00194774"/>
    <w:rsid w:val="00194A4E"/>
    <w:rsid w:val="00195209"/>
    <w:rsid w:val="001A236E"/>
    <w:rsid w:val="001A2E81"/>
    <w:rsid w:val="001A3297"/>
    <w:rsid w:val="001A5141"/>
    <w:rsid w:val="001A6E90"/>
    <w:rsid w:val="001B1C92"/>
    <w:rsid w:val="001C4B38"/>
    <w:rsid w:val="001D030B"/>
    <w:rsid w:val="001D4BAE"/>
    <w:rsid w:val="001E4C74"/>
    <w:rsid w:val="001F12CB"/>
    <w:rsid w:val="001F252B"/>
    <w:rsid w:val="001F363F"/>
    <w:rsid w:val="00200870"/>
    <w:rsid w:val="00201B7B"/>
    <w:rsid w:val="002044FB"/>
    <w:rsid w:val="0020553F"/>
    <w:rsid w:val="00207391"/>
    <w:rsid w:val="00210E66"/>
    <w:rsid w:val="0021114C"/>
    <w:rsid w:val="00212B7A"/>
    <w:rsid w:val="002130FF"/>
    <w:rsid w:val="00217B3F"/>
    <w:rsid w:val="00223284"/>
    <w:rsid w:val="002247A3"/>
    <w:rsid w:val="00230F14"/>
    <w:rsid w:val="00231EC0"/>
    <w:rsid w:val="00232C33"/>
    <w:rsid w:val="002349BD"/>
    <w:rsid w:val="002365A7"/>
    <w:rsid w:val="00237AA1"/>
    <w:rsid w:val="00242BB7"/>
    <w:rsid w:val="0024575D"/>
    <w:rsid w:val="00252B47"/>
    <w:rsid w:val="00253D27"/>
    <w:rsid w:val="002548AA"/>
    <w:rsid w:val="00255215"/>
    <w:rsid w:val="00255F66"/>
    <w:rsid w:val="00260061"/>
    <w:rsid w:val="0026038B"/>
    <w:rsid w:val="002608D2"/>
    <w:rsid w:val="00261EF0"/>
    <w:rsid w:val="0026364B"/>
    <w:rsid w:val="002643AC"/>
    <w:rsid w:val="002661A2"/>
    <w:rsid w:val="002665AB"/>
    <w:rsid w:val="00267A3F"/>
    <w:rsid w:val="002746AE"/>
    <w:rsid w:val="00275D9F"/>
    <w:rsid w:val="0027626A"/>
    <w:rsid w:val="00283DA3"/>
    <w:rsid w:val="00285ACE"/>
    <w:rsid w:val="002862D8"/>
    <w:rsid w:val="002922E6"/>
    <w:rsid w:val="002A1101"/>
    <w:rsid w:val="002B1EF4"/>
    <w:rsid w:val="002C3EE5"/>
    <w:rsid w:val="002C47C0"/>
    <w:rsid w:val="002C737D"/>
    <w:rsid w:val="002D04AF"/>
    <w:rsid w:val="002D372E"/>
    <w:rsid w:val="002E3488"/>
    <w:rsid w:val="002F178E"/>
    <w:rsid w:val="00302CA7"/>
    <w:rsid w:val="003035A6"/>
    <w:rsid w:val="003069C0"/>
    <w:rsid w:val="00307F95"/>
    <w:rsid w:val="00321672"/>
    <w:rsid w:val="00323CAE"/>
    <w:rsid w:val="003241D2"/>
    <w:rsid w:val="00325FBA"/>
    <w:rsid w:val="00330256"/>
    <w:rsid w:val="003346DD"/>
    <w:rsid w:val="0033661A"/>
    <w:rsid w:val="00340C49"/>
    <w:rsid w:val="0036218E"/>
    <w:rsid w:val="00366BF3"/>
    <w:rsid w:val="0036767C"/>
    <w:rsid w:val="0037668D"/>
    <w:rsid w:val="00380A1F"/>
    <w:rsid w:val="00385125"/>
    <w:rsid w:val="00386DF6"/>
    <w:rsid w:val="003A2376"/>
    <w:rsid w:val="003A3B68"/>
    <w:rsid w:val="003A5588"/>
    <w:rsid w:val="003A5B6C"/>
    <w:rsid w:val="003A5FF7"/>
    <w:rsid w:val="003B19D9"/>
    <w:rsid w:val="003B34BE"/>
    <w:rsid w:val="003B4705"/>
    <w:rsid w:val="003B4D51"/>
    <w:rsid w:val="003C35CC"/>
    <w:rsid w:val="003C64B3"/>
    <w:rsid w:val="003C7A9B"/>
    <w:rsid w:val="003D1B4E"/>
    <w:rsid w:val="003D370F"/>
    <w:rsid w:val="003D3D1D"/>
    <w:rsid w:val="003D597F"/>
    <w:rsid w:val="003E3213"/>
    <w:rsid w:val="003E425D"/>
    <w:rsid w:val="003E4395"/>
    <w:rsid w:val="003E5D31"/>
    <w:rsid w:val="003F0126"/>
    <w:rsid w:val="003F72BB"/>
    <w:rsid w:val="00400947"/>
    <w:rsid w:val="00400BDD"/>
    <w:rsid w:val="00402C22"/>
    <w:rsid w:val="004046AD"/>
    <w:rsid w:val="004059E2"/>
    <w:rsid w:val="004061E6"/>
    <w:rsid w:val="00407832"/>
    <w:rsid w:val="0041227D"/>
    <w:rsid w:val="00415B3D"/>
    <w:rsid w:val="0041760B"/>
    <w:rsid w:val="00420B5C"/>
    <w:rsid w:val="00432369"/>
    <w:rsid w:val="00432783"/>
    <w:rsid w:val="00436437"/>
    <w:rsid w:val="00443ADC"/>
    <w:rsid w:val="0044407D"/>
    <w:rsid w:val="00451C51"/>
    <w:rsid w:val="0045397C"/>
    <w:rsid w:val="00456142"/>
    <w:rsid w:val="004603E9"/>
    <w:rsid w:val="0046244B"/>
    <w:rsid w:val="00467FAB"/>
    <w:rsid w:val="00471070"/>
    <w:rsid w:val="004732C2"/>
    <w:rsid w:val="004844DA"/>
    <w:rsid w:val="00486827"/>
    <w:rsid w:val="00490D8B"/>
    <w:rsid w:val="004910CE"/>
    <w:rsid w:val="00491B45"/>
    <w:rsid w:val="0049287B"/>
    <w:rsid w:val="00494FA7"/>
    <w:rsid w:val="00495E20"/>
    <w:rsid w:val="00496F6D"/>
    <w:rsid w:val="004A09A6"/>
    <w:rsid w:val="004A3F15"/>
    <w:rsid w:val="004C1309"/>
    <w:rsid w:val="004C1B99"/>
    <w:rsid w:val="004C20E8"/>
    <w:rsid w:val="004C5345"/>
    <w:rsid w:val="004D2F5E"/>
    <w:rsid w:val="004D44B3"/>
    <w:rsid w:val="004D5928"/>
    <w:rsid w:val="004D6077"/>
    <w:rsid w:val="004D75F2"/>
    <w:rsid w:val="004D795F"/>
    <w:rsid w:val="004D79A2"/>
    <w:rsid w:val="004F02A0"/>
    <w:rsid w:val="004F508D"/>
    <w:rsid w:val="004F70F7"/>
    <w:rsid w:val="0050679E"/>
    <w:rsid w:val="0050762B"/>
    <w:rsid w:val="00517D01"/>
    <w:rsid w:val="00522CB6"/>
    <w:rsid w:val="005271A7"/>
    <w:rsid w:val="005306F9"/>
    <w:rsid w:val="0053440A"/>
    <w:rsid w:val="00535C97"/>
    <w:rsid w:val="005404B2"/>
    <w:rsid w:val="00541228"/>
    <w:rsid w:val="00543BC9"/>
    <w:rsid w:val="005452D8"/>
    <w:rsid w:val="005474AF"/>
    <w:rsid w:val="00551281"/>
    <w:rsid w:val="00553F61"/>
    <w:rsid w:val="00555172"/>
    <w:rsid w:val="00555AC0"/>
    <w:rsid w:val="0055607D"/>
    <w:rsid w:val="0055785D"/>
    <w:rsid w:val="0056022B"/>
    <w:rsid w:val="0056127D"/>
    <w:rsid w:val="00561E33"/>
    <w:rsid w:val="00564922"/>
    <w:rsid w:val="00566285"/>
    <w:rsid w:val="005663FF"/>
    <w:rsid w:val="00570D7E"/>
    <w:rsid w:val="005714F0"/>
    <w:rsid w:val="00572CDD"/>
    <w:rsid w:val="00584C49"/>
    <w:rsid w:val="00585C6E"/>
    <w:rsid w:val="00586240"/>
    <w:rsid w:val="0058715D"/>
    <w:rsid w:val="00587E3B"/>
    <w:rsid w:val="0059089A"/>
    <w:rsid w:val="0059651D"/>
    <w:rsid w:val="00596B74"/>
    <w:rsid w:val="005A769D"/>
    <w:rsid w:val="005B0A00"/>
    <w:rsid w:val="005B1DE3"/>
    <w:rsid w:val="005B38E4"/>
    <w:rsid w:val="005B47E9"/>
    <w:rsid w:val="005C1511"/>
    <w:rsid w:val="005C24B3"/>
    <w:rsid w:val="005C71B5"/>
    <w:rsid w:val="005D0B4D"/>
    <w:rsid w:val="005D3516"/>
    <w:rsid w:val="005D6331"/>
    <w:rsid w:val="005E060D"/>
    <w:rsid w:val="005E39D1"/>
    <w:rsid w:val="005E4676"/>
    <w:rsid w:val="005E4D03"/>
    <w:rsid w:val="005E70B4"/>
    <w:rsid w:val="005F1F69"/>
    <w:rsid w:val="005F24F2"/>
    <w:rsid w:val="00603EAD"/>
    <w:rsid w:val="00605F76"/>
    <w:rsid w:val="00614A9D"/>
    <w:rsid w:val="0062061B"/>
    <w:rsid w:val="00620731"/>
    <w:rsid w:val="00620FA9"/>
    <w:rsid w:val="00622C2A"/>
    <w:rsid w:val="00630D10"/>
    <w:rsid w:val="0063189F"/>
    <w:rsid w:val="006343E9"/>
    <w:rsid w:val="006420B9"/>
    <w:rsid w:val="0064492A"/>
    <w:rsid w:val="00652153"/>
    <w:rsid w:val="006534D4"/>
    <w:rsid w:val="006548D2"/>
    <w:rsid w:val="0066148A"/>
    <w:rsid w:val="00662A12"/>
    <w:rsid w:val="0066405D"/>
    <w:rsid w:val="00665B90"/>
    <w:rsid w:val="00670F56"/>
    <w:rsid w:val="00677783"/>
    <w:rsid w:val="006848C7"/>
    <w:rsid w:val="006861A2"/>
    <w:rsid w:val="00686F9F"/>
    <w:rsid w:val="006921BD"/>
    <w:rsid w:val="00694A7E"/>
    <w:rsid w:val="006A696E"/>
    <w:rsid w:val="006A6DE0"/>
    <w:rsid w:val="006A7A08"/>
    <w:rsid w:val="006B1FD5"/>
    <w:rsid w:val="006B42F9"/>
    <w:rsid w:val="006B6E46"/>
    <w:rsid w:val="006C59A9"/>
    <w:rsid w:val="006D33CC"/>
    <w:rsid w:val="006D70A1"/>
    <w:rsid w:val="006E6EA6"/>
    <w:rsid w:val="006E7D42"/>
    <w:rsid w:val="006F05F2"/>
    <w:rsid w:val="006F3CBE"/>
    <w:rsid w:val="006F3FC6"/>
    <w:rsid w:val="006F51C5"/>
    <w:rsid w:val="006F6320"/>
    <w:rsid w:val="006F644E"/>
    <w:rsid w:val="007036E1"/>
    <w:rsid w:val="00707BF1"/>
    <w:rsid w:val="00713397"/>
    <w:rsid w:val="007229F3"/>
    <w:rsid w:val="0072346A"/>
    <w:rsid w:val="00723802"/>
    <w:rsid w:val="00724728"/>
    <w:rsid w:val="00726F6A"/>
    <w:rsid w:val="007343D3"/>
    <w:rsid w:val="00735601"/>
    <w:rsid w:val="0073617F"/>
    <w:rsid w:val="00740740"/>
    <w:rsid w:val="0074198F"/>
    <w:rsid w:val="00745DA0"/>
    <w:rsid w:val="00746865"/>
    <w:rsid w:val="00757927"/>
    <w:rsid w:val="00766162"/>
    <w:rsid w:val="00770FA8"/>
    <w:rsid w:val="00785C23"/>
    <w:rsid w:val="0079360E"/>
    <w:rsid w:val="007938BE"/>
    <w:rsid w:val="007A04C0"/>
    <w:rsid w:val="007B32A5"/>
    <w:rsid w:val="007B394F"/>
    <w:rsid w:val="007B4905"/>
    <w:rsid w:val="007B5033"/>
    <w:rsid w:val="007C1D5C"/>
    <w:rsid w:val="007C2758"/>
    <w:rsid w:val="007D36AD"/>
    <w:rsid w:val="007D6B43"/>
    <w:rsid w:val="007D744E"/>
    <w:rsid w:val="007E205A"/>
    <w:rsid w:val="007E2FDB"/>
    <w:rsid w:val="007E77C8"/>
    <w:rsid w:val="007F1E57"/>
    <w:rsid w:val="007F3E77"/>
    <w:rsid w:val="007F5ACE"/>
    <w:rsid w:val="00800FAB"/>
    <w:rsid w:val="008061F4"/>
    <w:rsid w:val="00807354"/>
    <w:rsid w:val="00807995"/>
    <w:rsid w:val="00810227"/>
    <w:rsid w:val="00821BCC"/>
    <w:rsid w:val="00821FE0"/>
    <w:rsid w:val="0082387C"/>
    <w:rsid w:val="00832167"/>
    <w:rsid w:val="0083614D"/>
    <w:rsid w:val="0084035C"/>
    <w:rsid w:val="0084058B"/>
    <w:rsid w:val="008444CF"/>
    <w:rsid w:val="00844AD5"/>
    <w:rsid w:val="00845BF4"/>
    <w:rsid w:val="00851367"/>
    <w:rsid w:val="00852C5E"/>
    <w:rsid w:val="00854CF2"/>
    <w:rsid w:val="008633D1"/>
    <w:rsid w:val="008646FA"/>
    <w:rsid w:val="00864AF4"/>
    <w:rsid w:val="00866628"/>
    <w:rsid w:val="00866937"/>
    <w:rsid w:val="00866D63"/>
    <w:rsid w:val="00870DE4"/>
    <w:rsid w:val="0087364D"/>
    <w:rsid w:val="008739ED"/>
    <w:rsid w:val="00875C95"/>
    <w:rsid w:val="00876775"/>
    <w:rsid w:val="00877AFC"/>
    <w:rsid w:val="008852B6"/>
    <w:rsid w:val="008854D8"/>
    <w:rsid w:val="008917DB"/>
    <w:rsid w:val="00891BFD"/>
    <w:rsid w:val="00892DAD"/>
    <w:rsid w:val="008A0488"/>
    <w:rsid w:val="008A2C4D"/>
    <w:rsid w:val="008B5565"/>
    <w:rsid w:val="008B622E"/>
    <w:rsid w:val="008C4223"/>
    <w:rsid w:val="008C49DD"/>
    <w:rsid w:val="008C54D9"/>
    <w:rsid w:val="008D05B2"/>
    <w:rsid w:val="008D4CD9"/>
    <w:rsid w:val="008D583A"/>
    <w:rsid w:val="008D5C56"/>
    <w:rsid w:val="008D7F03"/>
    <w:rsid w:val="008E3059"/>
    <w:rsid w:val="008F54FF"/>
    <w:rsid w:val="008F5BB5"/>
    <w:rsid w:val="008F7FE3"/>
    <w:rsid w:val="00900095"/>
    <w:rsid w:val="00907875"/>
    <w:rsid w:val="0091062F"/>
    <w:rsid w:val="0091356D"/>
    <w:rsid w:val="00915361"/>
    <w:rsid w:val="00921412"/>
    <w:rsid w:val="00921DC8"/>
    <w:rsid w:val="00922743"/>
    <w:rsid w:val="0092461C"/>
    <w:rsid w:val="00924F1D"/>
    <w:rsid w:val="0092778B"/>
    <w:rsid w:val="00931DC6"/>
    <w:rsid w:val="00932CBE"/>
    <w:rsid w:val="009344CC"/>
    <w:rsid w:val="00934D1A"/>
    <w:rsid w:val="00936281"/>
    <w:rsid w:val="00941B3C"/>
    <w:rsid w:val="00943319"/>
    <w:rsid w:val="00946DA5"/>
    <w:rsid w:val="009501C7"/>
    <w:rsid w:val="0095323A"/>
    <w:rsid w:val="00957906"/>
    <w:rsid w:val="00967259"/>
    <w:rsid w:val="00967685"/>
    <w:rsid w:val="00972D86"/>
    <w:rsid w:val="009738EE"/>
    <w:rsid w:val="00973E9C"/>
    <w:rsid w:val="009773E3"/>
    <w:rsid w:val="009804FB"/>
    <w:rsid w:val="00980A93"/>
    <w:rsid w:val="00983F4A"/>
    <w:rsid w:val="0098591F"/>
    <w:rsid w:val="00986089"/>
    <w:rsid w:val="009872C7"/>
    <w:rsid w:val="0098760F"/>
    <w:rsid w:val="00992AD6"/>
    <w:rsid w:val="00992D16"/>
    <w:rsid w:val="00994930"/>
    <w:rsid w:val="00997205"/>
    <w:rsid w:val="009A29FD"/>
    <w:rsid w:val="009A30E9"/>
    <w:rsid w:val="009B5EE2"/>
    <w:rsid w:val="009C3D86"/>
    <w:rsid w:val="009C55AE"/>
    <w:rsid w:val="009C69F8"/>
    <w:rsid w:val="009D0CA0"/>
    <w:rsid w:val="009D0F6E"/>
    <w:rsid w:val="009D54EC"/>
    <w:rsid w:val="009D6025"/>
    <w:rsid w:val="00A01484"/>
    <w:rsid w:val="00A04070"/>
    <w:rsid w:val="00A0453B"/>
    <w:rsid w:val="00A05B08"/>
    <w:rsid w:val="00A05D84"/>
    <w:rsid w:val="00A06206"/>
    <w:rsid w:val="00A12A3E"/>
    <w:rsid w:val="00A14240"/>
    <w:rsid w:val="00A14841"/>
    <w:rsid w:val="00A31F43"/>
    <w:rsid w:val="00A320A5"/>
    <w:rsid w:val="00A36BDF"/>
    <w:rsid w:val="00A40295"/>
    <w:rsid w:val="00A41755"/>
    <w:rsid w:val="00A517B0"/>
    <w:rsid w:val="00A54F10"/>
    <w:rsid w:val="00A606B6"/>
    <w:rsid w:val="00A6243C"/>
    <w:rsid w:val="00A62F42"/>
    <w:rsid w:val="00A6645C"/>
    <w:rsid w:val="00A66544"/>
    <w:rsid w:val="00A80E2A"/>
    <w:rsid w:val="00A82CC5"/>
    <w:rsid w:val="00A87E8B"/>
    <w:rsid w:val="00A95D7C"/>
    <w:rsid w:val="00AA1709"/>
    <w:rsid w:val="00AA266B"/>
    <w:rsid w:val="00AB11A4"/>
    <w:rsid w:val="00AC00B3"/>
    <w:rsid w:val="00AC3638"/>
    <w:rsid w:val="00AC542F"/>
    <w:rsid w:val="00AE074C"/>
    <w:rsid w:val="00AE2AAF"/>
    <w:rsid w:val="00AE3802"/>
    <w:rsid w:val="00AE52D7"/>
    <w:rsid w:val="00AE6FAC"/>
    <w:rsid w:val="00AF1198"/>
    <w:rsid w:val="00AF4892"/>
    <w:rsid w:val="00AF634C"/>
    <w:rsid w:val="00AF64AB"/>
    <w:rsid w:val="00AF6506"/>
    <w:rsid w:val="00AF6D1D"/>
    <w:rsid w:val="00B11D15"/>
    <w:rsid w:val="00B11F04"/>
    <w:rsid w:val="00B154E0"/>
    <w:rsid w:val="00B16992"/>
    <w:rsid w:val="00B1773A"/>
    <w:rsid w:val="00B21295"/>
    <w:rsid w:val="00B233DB"/>
    <w:rsid w:val="00B24289"/>
    <w:rsid w:val="00B34981"/>
    <w:rsid w:val="00B35576"/>
    <w:rsid w:val="00B37C28"/>
    <w:rsid w:val="00B405B1"/>
    <w:rsid w:val="00B43F66"/>
    <w:rsid w:val="00B46EBF"/>
    <w:rsid w:val="00B63A47"/>
    <w:rsid w:val="00B63C6D"/>
    <w:rsid w:val="00B66EE2"/>
    <w:rsid w:val="00B71C58"/>
    <w:rsid w:val="00B722FD"/>
    <w:rsid w:val="00B73B92"/>
    <w:rsid w:val="00B7616D"/>
    <w:rsid w:val="00B82A09"/>
    <w:rsid w:val="00B85A38"/>
    <w:rsid w:val="00B867D7"/>
    <w:rsid w:val="00B87001"/>
    <w:rsid w:val="00B94DD3"/>
    <w:rsid w:val="00B96293"/>
    <w:rsid w:val="00B974D0"/>
    <w:rsid w:val="00BA239D"/>
    <w:rsid w:val="00BA592A"/>
    <w:rsid w:val="00BB42C4"/>
    <w:rsid w:val="00BC2BF8"/>
    <w:rsid w:val="00BC3628"/>
    <w:rsid w:val="00BC397C"/>
    <w:rsid w:val="00BC6C20"/>
    <w:rsid w:val="00BD4682"/>
    <w:rsid w:val="00BE1124"/>
    <w:rsid w:val="00BF3A80"/>
    <w:rsid w:val="00BF5E53"/>
    <w:rsid w:val="00BF6473"/>
    <w:rsid w:val="00C12667"/>
    <w:rsid w:val="00C13726"/>
    <w:rsid w:val="00C15BB2"/>
    <w:rsid w:val="00C2401E"/>
    <w:rsid w:val="00C35F54"/>
    <w:rsid w:val="00C403EA"/>
    <w:rsid w:val="00C40739"/>
    <w:rsid w:val="00C46166"/>
    <w:rsid w:val="00C50B8F"/>
    <w:rsid w:val="00C50D09"/>
    <w:rsid w:val="00C527FC"/>
    <w:rsid w:val="00C568CA"/>
    <w:rsid w:val="00C605E4"/>
    <w:rsid w:val="00C617BC"/>
    <w:rsid w:val="00C73E83"/>
    <w:rsid w:val="00C83215"/>
    <w:rsid w:val="00C84AA3"/>
    <w:rsid w:val="00C86252"/>
    <w:rsid w:val="00C878B5"/>
    <w:rsid w:val="00C924E7"/>
    <w:rsid w:val="00C96C25"/>
    <w:rsid w:val="00CA34C9"/>
    <w:rsid w:val="00CA5C9C"/>
    <w:rsid w:val="00CB7270"/>
    <w:rsid w:val="00CC3F6E"/>
    <w:rsid w:val="00CC545D"/>
    <w:rsid w:val="00CC7BA8"/>
    <w:rsid w:val="00CD1D7D"/>
    <w:rsid w:val="00CD3DB8"/>
    <w:rsid w:val="00CD6C4D"/>
    <w:rsid w:val="00CE467B"/>
    <w:rsid w:val="00CE65C7"/>
    <w:rsid w:val="00CF1B44"/>
    <w:rsid w:val="00CF26D7"/>
    <w:rsid w:val="00CF2F39"/>
    <w:rsid w:val="00CF6B03"/>
    <w:rsid w:val="00D036C9"/>
    <w:rsid w:val="00D07682"/>
    <w:rsid w:val="00D14BB7"/>
    <w:rsid w:val="00D213EA"/>
    <w:rsid w:val="00D24DE3"/>
    <w:rsid w:val="00D256AD"/>
    <w:rsid w:val="00D269E9"/>
    <w:rsid w:val="00D3063D"/>
    <w:rsid w:val="00D326CE"/>
    <w:rsid w:val="00D34BB0"/>
    <w:rsid w:val="00D37BDF"/>
    <w:rsid w:val="00D4291E"/>
    <w:rsid w:val="00D451A8"/>
    <w:rsid w:val="00D459DB"/>
    <w:rsid w:val="00D45BCC"/>
    <w:rsid w:val="00D46B1A"/>
    <w:rsid w:val="00D540E6"/>
    <w:rsid w:val="00D61892"/>
    <w:rsid w:val="00D65249"/>
    <w:rsid w:val="00D67543"/>
    <w:rsid w:val="00D70E20"/>
    <w:rsid w:val="00D713F4"/>
    <w:rsid w:val="00D71FA4"/>
    <w:rsid w:val="00D82F66"/>
    <w:rsid w:val="00D83E64"/>
    <w:rsid w:val="00D84040"/>
    <w:rsid w:val="00D84786"/>
    <w:rsid w:val="00D92292"/>
    <w:rsid w:val="00D92E06"/>
    <w:rsid w:val="00DA4D45"/>
    <w:rsid w:val="00DB499E"/>
    <w:rsid w:val="00DC0275"/>
    <w:rsid w:val="00DC3A22"/>
    <w:rsid w:val="00DC47C8"/>
    <w:rsid w:val="00DC5E3B"/>
    <w:rsid w:val="00DC6A07"/>
    <w:rsid w:val="00DC7A89"/>
    <w:rsid w:val="00DD60F7"/>
    <w:rsid w:val="00DE3C42"/>
    <w:rsid w:val="00DE559F"/>
    <w:rsid w:val="00DE78FA"/>
    <w:rsid w:val="00DF0159"/>
    <w:rsid w:val="00DF063D"/>
    <w:rsid w:val="00E02825"/>
    <w:rsid w:val="00E033B3"/>
    <w:rsid w:val="00E0371D"/>
    <w:rsid w:val="00E05349"/>
    <w:rsid w:val="00E05BA6"/>
    <w:rsid w:val="00E06515"/>
    <w:rsid w:val="00E0774C"/>
    <w:rsid w:val="00E10901"/>
    <w:rsid w:val="00E118C0"/>
    <w:rsid w:val="00E127EA"/>
    <w:rsid w:val="00E1786A"/>
    <w:rsid w:val="00E22C11"/>
    <w:rsid w:val="00E234C5"/>
    <w:rsid w:val="00E23575"/>
    <w:rsid w:val="00E30A7D"/>
    <w:rsid w:val="00E31A22"/>
    <w:rsid w:val="00E350CF"/>
    <w:rsid w:val="00E35AC9"/>
    <w:rsid w:val="00E43C57"/>
    <w:rsid w:val="00E53183"/>
    <w:rsid w:val="00E57E29"/>
    <w:rsid w:val="00E620F6"/>
    <w:rsid w:val="00E64B02"/>
    <w:rsid w:val="00E663F3"/>
    <w:rsid w:val="00E674C4"/>
    <w:rsid w:val="00E67B48"/>
    <w:rsid w:val="00E72341"/>
    <w:rsid w:val="00E74B64"/>
    <w:rsid w:val="00E77C85"/>
    <w:rsid w:val="00E83302"/>
    <w:rsid w:val="00E97F13"/>
    <w:rsid w:val="00EA090B"/>
    <w:rsid w:val="00EA5069"/>
    <w:rsid w:val="00EB3715"/>
    <w:rsid w:val="00EC1D0F"/>
    <w:rsid w:val="00EC2D0F"/>
    <w:rsid w:val="00EC4F11"/>
    <w:rsid w:val="00ED4451"/>
    <w:rsid w:val="00EE123B"/>
    <w:rsid w:val="00EE6113"/>
    <w:rsid w:val="00EF20DE"/>
    <w:rsid w:val="00F02124"/>
    <w:rsid w:val="00F057CC"/>
    <w:rsid w:val="00F14CD7"/>
    <w:rsid w:val="00F17343"/>
    <w:rsid w:val="00F24177"/>
    <w:rsid w:val="00F24AB5"/>
    <w:rsid w:val="00F32CA1"/>
    <w:rsid w:val="00F346DF"/>
    <w:rsid w:val="00F3724C"/>
    <w:rsid w:val="00F379B6"/>
    <w:rsid w:val="00F417AB"/>
    <w:rsid w:val="00F4216E"/>
    <w:rsid w:val="00F4422A"/>
    <w:rsid w:val="00F454BC"/>
    <w:rsid w:val="00F46AE7"/>
    <w:rsid w:val="00F5020E"/>
    <w:rsid w:val="00F5133C"/>
    <w:rsid w:val="00F54C56"/>
    <w:rsid w:val="00F60EB8"/>
    <w:rsid w:val="00F660AD"/>
    <w:rsid w:val="00F669ED"/>
    <w:rsid w:val="00F677B0"/>
    <w:rsid w:val="00F722ED"/>
    <w:rsid w:val="00F73412"/>
    <w:rsid w:val="00F73BF3"/>
    <w:rsid w:val="00F753EB"/>
    <w:rsid w:val="00F7576D"/>
    <w:rsid w:val="00F811B1"/>
    <w:rsid w:val="00F818B9"/>
    <w:rsid w:val="00F82311"/>
    <w:rsid w:val="00F82479"/>
    <w:rsid w:val="00F82577"/>
    <w:rsid w:val="00F91B9D"/>
    <w:rsid w:val="00F93EFA"/>
    <w:rsid w:val="00F94623"/>
    <w:rsid w:val="00FA0FC8"/>
    <w:rsid w:val="00FA18D2"/>
    <w:rsid w:val="00FA1EB5"/>
    <w:rsid w:val="00FA22F4"/>
    <w:rsid w:val="00FA52D4"/>
    <w:rsid w:val="00FA5D64"/>
    <w:rsid w:val="00FB2121"/>
    <w:rsid w:val="00FB21BB"/>
    <w:rsid w:val="00FB4D53"/>
    <w:rsid w:val="00FB6035"/>
    <w:rsid w:val="00FC1082"/>
    <w:rsid w:val="00FC3786"/>
    <w:rsid w:val="00FC4B7B"/>
    <w:rsid w:val="00FC5BF9"/>
    <w:rsid w:val="00FC7603"/>
    <w:rsid w:val="00FD0437"/>
    <w:rsid w:val="00FD1833"/>
    <w:rsid w:val="00FD286C"/>
    <w:rsid w:val="00FD36E9"/>
    <w:rsid w:val="00FD6AD8"/>
    <w:rsid w:val="00FD7270"/>
    <w:rsid w:val="00FE3A92"/>
    <w:rsid w:val="00FE5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234743F6-B472-4ACC-89AE-726CF2A3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iPriority w:val="99"/>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customStyle="1" w:styleId="Default">
    <w:name w:val="Default"/>
    <w:basedOn w:val="Normal"/>
    <w:rsid w:val="00024A11"/>
    <w:pPr>
      <w:autoSpaceDE w:val="0"/>
      <w:autoSpaceDN w:val="0"/>
    </w:pPr>
    <w:rPr>
      <w:rFonts w:eastAsia="Calibri"/>
      <w:color w:val="000000"/>
    </w:rPr>
  </w:style>
  <w:style w:type="character" w:customStyle="1" w:styleId="FootnoteTextChar">
    <w:name w:val="Footnote Text Char"/>
    <w:link w:val="FootnoteText"/>
    <w:rsid w:val="00622C2A"/>
    <w:rPr>
      <w:rFonts w:eastAsia="Times New Roman"/>
      <w:lang w:eastAsia="lv-LV"/>
    </w:rPr>
  </w:style>
  <w:style w:type="paragraph" w:styleId="FootnoteText">
    <w:name w:val="footnote text"/>
    <w:basedOn w:val="Normal"/>
    <w:link w:val="FootnoteTextChar"/>
    <w:rsid w:val="00622C2A"/>
    <w:rPr>
      <w:sz w:val="20"/>
      <w:szCs w:val="20"/>
      <w:lang w:eastAsia="lv-LV"/>
    </w:rPr>
  </w:style>
  <w:style w:type="character" w:customStyle="1" w:styleId="FootnoteTextChar1">
    <w:name w:val="Footnote Text Char1"/>
    <w:uiPriority w:val="99"/>
    <w:semiHidden/>
    <w:rsid w:val="00622C2A"/>
    <w:rPr>
      <w:rFonts w:eastAsia="Times New Roman"/>
      <w:lang w:eastAsia="en-US"/>
    </w:rPr>
  </w:style>
  <w:style w:type="paragraph" w:styleId="NoSpacing">
    <w:name w:val="No Spacing"/>
    <w:uiPriority w:val="1"/>
    <w:qFormat/>
    <w:rsid w:val="00FD727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197">
      <w:bodyDiv w:val="1"/>
      <w:marLeft w:val="0"/>
      <w:marRight w:val="0"/>
      <w:marTop w:val="0"/>
      <w:marBottom w:val="0"/>
      <w:divBdr>
        <w:top w:val="none" w:sz="0" w:space="0" w:color="auto"/>
        <w:left w:val="none" w:sz="0" w:space="0" w:color="auto"/>
        <w:bottom w:val="none" w:sz="0" w:space="0" w:color="auto"/>
        <w:right w:val="none" w:sz="0" w:space="0" w:color="auto"/>
      </w:divBdr>
      <w:divsChild>
        <w:div w:id="816654242">
          <w:marLeft w:val="0"/>
          <w:marRight w:val="0"/>
          <w:marTop w:val="0"/>
          <w:marBottom w:val="0"/>
          <w:divBdr>
            <w:top w:val="none" w:sz="0" w:space="0" w:color="auto"/>
            <w:left w:val="none" w:sz="0" w:space="0" w:color="auto"/>
            <w:bottom w:val="none" w:sz="0" w:space="0" w:color="auto"/>
            <w:right w:val="none" w:sz="0" w:space="0" w:color="auto"/>
          </w:divBdr>
          <w:divsChild>
            <w:div w:id="1941521494">
              <w:marLeft w:val="0"/>
              <w:marRight w:val="0"/>
              <w:marTop w:val="0"/>
              <w:marBottom w:val="0"/>
              <w:divBdr>
                <w:top w:val="none" w:sz="0" w:space="0" w:color="auto"/>
                <w:left w:val="none" w:sz="0" w:space="0" w:color="auto"/>
                <w:bottom w:val="none" w:sz="0" w:space="0" w:color="auto"/>
                <w:right w:val="none" w:sz="0" w:space="0" w:color="auto"/>
              </w:divBdr>
              <w:divsChild>
                <w:div w:id="2023508246">
                  <w:marLeft w:val="0"/>
                  <w:marRight w:val="0"/>
                  <w:marTop w:val="0"/>
                  <w:marBottom w:val="0"/>
                  <w:divBdr>
                    <w:top w:val="none" w:sz="0" w:space="0" w:color="auto"/>
                    <w:left w:val="none" w:sz="0" w:space="0" w:color="auto"/>
                    <w:bottom w:val="none" w:sz="0" w:space="0" w:color="auto"/>
                    <w:right w:val="none" w:sz="0" w:space="0" w:color="auto"/>
                  </w:divBdr>
                  <w:divsChild>
                    <w:div w:id="2072850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20622741">
      <w:bodyDiv w:val="1"/>
      <w:marLeft w:val="0"/>
      <w:marRight w:val="0"/>
      <w:marTop w:val="0"/>
      <w:marBottom w:val="0"/>
      <w:divBdr>
        <w:top w:val="none" w:sz="0" w:space="0" w:color="auto"/>
        <w:left w:val="none" w:sz="0" w:space="0" w:color="auto"/>
        <w:bottom w:val="none" w:sz="0" w:space="0" w:color="auto"/>
        <w:right w:val="none" w:sz="0" w:space="0" w:color="auto"/>
      </w:divBdr>
    </w:div>
    <w:div w:id="495149399">
      <w:bodyDiv w:val="1"/>
      <w:marLeft w:val="0"/>
      <w:marRight w:val="0"/>
      <w:marTop w:val="0"/>
      <w:marBottom w:val="0"/>
      <w:divBdr>
        <w:top w:val="none" w:sz="0" w:space="0" w:color="auto"/>
        <w:left w:val="none" w:sz="0" w:space="0" w:color="auto"/>
        <w:bottom w:val="none" w:sz="0" w:space="0" w:color="auto"/>
        <w:right w:val="none" w:sz="0" w:space="0" w:color="auto"/>
      </w:divBdr>
      <w:divsChild>
        <w:div w:id="1919904272">
          <w:marLeft w:val="0"/>
          <w:marRight w:val="0"/>
          <w:marTop w:val="0"/>
          <w:marBottom w:val="0"/>
          <w:divBdr>
            <w:top w:val="none" w:sz="0" w:space="0" w:color="auto"/>
            <w:left w:val="none" w:sz="0" w:space="0" w:color="auto"/>
            <w:bottom w:val="none" w:sz="0" w:space="0" w:color="auto"/>
            <w:right w:val="none" w:sz="0" w:space="0" w:color="auto"/>
          </w:divBdr>
          <w:divsChild>
            <w:div w:id="495877325">
              <w:marLeft w:val="0"/>
              <w:marRight w:val="0"/>
              <w:marTop w:val="0"/>
              <w:marBottom w:val="0"/>
              <w:divBdr>
                <w:top w:val="none" w:sz="0" w:space="0" w:color="auto"/>
                <w:left w:val="none" w:sz="0" w:space="0" w:color="auto"/>
                <w:bottom w:val="none" w:sz="0" w:space="0" w:color="auto"/>
                <w:right w:val="none" w:sz="0" w:space="0" w:color="auto"/>
              </w:divBdr>
              <w:divsChild>
                <w:div w:id="1545216186">
                  <w:marLeft w:val="0"/>
                  <w:marRight w:val="0"/>
                  <w:marTop w:val="0"/>
                  <w:marBottom w:val="0"/>
                  <w:divBdr>
                    <w:top w:val="none" w:sz="0" w:space="0" w:color="auto"/>
                    <w:left w:val="none" w:sz="0" w:space="0" w:color="auto"/>
                    <w:bottom w:val="none" w:sz="0" w:space="0" w:color="auto"/>
                    <w:right w:val="none" w:sz="0" w:space="0" w:color="auto"/>
                  </w:divBdr>
                  <w:divsChild>
                    <w:div w:id="819887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773933342">
      <w:bodyDiv w:val="1"/>
      <w:marLeft w:val="0"/>
      <w:marRight w:val="0"/>
      <w:marTop w:val="0"/>
      <w:marBottom w:val="0"/>
      <w:divBdr>
        <w:top w:val="none" w:sz="0" w:space="0" w:color="auto"/>
        <w:left w:val="none" w:sz="0" w:space="0" w:color="auto"/>
        <w:bottom w:val="none" w:sz="0" w:space="0" w:color="auto"/>
        <w:right w:val="none" w:sz="0" w:space="0" w:color="auto"/>
      </w:divBdr>
      <w:divsChild>
        <w:div w:id="1678842197">
          <w:marLeft w:val="0"/>
          <w:marRight w:val="0"/>
          <w:marTop w:val="0"/>
          <w:marBottom w:val="0"/>
          <w:divBdr>
            <w:top w:val="none" w:sz="0" w:space="0" w:color="auto"/>
            <w:left w:val="none" w:sz="0" w:space="0" w:color="auto"/>
            <w:bottom w:val="none" w:sz="0" w:space="0" w:color="auto"/>
            <w:right w:val="none" w:sz="0" w:space="0" w:color="auto"/>
          </w:divBdr>
          <w:divsChild>
            <w:div w:id="246773064">
              <w:marLeft w:val="0"/>
              <w:marRight w:val="0"/>
              <w:marTop w:val="0"/>
              <w:marBottom w:val="0"/>
              <w:divBdr>
                <w:top w:val="none" w:sz="0" w:space="0" w:color="auto"/>
                <w:left w:val="none" w:sz="0" w:space="0" w:color="auto"/>
                <w:bottom w:val="none" w:sz="0" w:space="0" w:color="auto"/>
                <w:right w:val="none" w:sz="0" w:space="0" w:color="auto"/>
              </w:divBdr>
              <w:divsChild>
                <w:div w:id="1039597688">
                  <w:marLeft w:val="0"/>
                  <w:marRight w:val="0"/>
                  <w:marTop w:val="0"/>
                  <w:marBottom w:val="0"/>
                  <w:divBdr>
                    <w:top w:val="none" w:sz="0" w:space="0" w:color="auto"/>
                    <w:left w:val="none" w:sz="0" w:space="0" w:color="auto"/>
                    <w:bottom w:val="none" w:sz="0" w:space="0" w:color="auto"/>
                    <w:right w:val="none" w:sz="0" w:space="0" w:color="auto"/>
                  </w:divBdr>
                  <w:divsChild>
                    <w:div w:id="2044280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evina.Dzenit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138</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CEDF-6F71-42D5-96C1-ABC2C1EE7902}">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2e5bb04e-596e-45bd-9003-43ca78b1ba16"/>
    <ds:schemaRef ds:uri="http://schemas.microsoft.com/office/infopath/2007/PartnerControls"/>
  </ds:schemaRefs>
</ds:datastoreItem>
</file>

<file path=customXml/itemProps2.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3.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4.xml><?xml version="1.0" encoding="utf-8"?>
<ds:datastoreItem xmlns:ds="http://schemas.openxmlformats.org/officeDocument/2006/customXml" ds:itemID="{1D3A39D8-FC05-427E-A5CD-685974EE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1EEF565-A0DF-45AD-A69C-9647C223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698</Words>
  <Characters>4293</Characters>
  <Application>Microsoft Office Word</Application>
  <DocSecurity>0</DocSecurity>
  <Lines>330</Lines>
  <Paragraphs>191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4800</CharactersWithSpaces>
  <SharedDoc>false</SharedDoc>
  <HLinks>
    <vt:vector size="24" baseType="variant">
      <vt:variant>
        <vt:i4>2359313</vt:i4>
      </vt:variant>
      <vt:variant>
        <vt:i4>12</vt:i4>
      </vt:variant>
      <vt:variant>
        <vt:i4>0</vt:i4>
      </vt:variant>
      <vt:variant>
        <vt:i4>5</vt:i4>
      </vt:variant>
      <vt:variant>
        <vt:lpwstr>mailto:inese.vanaga@fm.gov.lv</vt:lpwstr>
      </vt:variant>
      <vt:variant>
        <vt:lpwstr/>
      </vt:variant>
      <vt:variant>
        <vt:i4>4915202</vt:i4>
      </vt:variant>
      <vt:variant>
        <vt:i4>6</vt:i4>
      </vt:variant>
      <vt:variant>
        <vt:i4>0</vt:i4>
      </vt:variant>
      <vt:variant>
        <vt:i4>5</vt:i4>
      </vt:variant>
      <vt:variant>
        <vt:lpwstr>http://likumi.lv/doc.php?id=214590</vt:lpwstr>
      </vt:variant>
      <vt:variant>
        <vt:lpwstr>p57</vt:lpwstr>
      </vt:variant>
      <vt:variant>
        <vt:i4>4915202</vt:i4>
      </vt:variant>
      <vt:variant>
        <vt:i4>3</vt:i4>
      </vt:variant>
      <vt:variant>
        <vt:i4>0</vt:i4>
      </vt:variant>
      <vt:variant>
        <vt:i4>5</vt:i4>
      </vt:variant>
      <vt:variant>
        <vt:lpwstr>http://likumi.lv/doc.php?id=214590</vt:lpwstr>
      </vt:variant>
      <vt:variant>
        <vt:lpwstr>p57</vt:lpwstr>
      </vt:variant>
      <vt:variant>
        <vt:i4>4849741</vt:i4>
      </vt:variant>
      <vt:variant>
        <vt:i4>0</vt:i4>
      </vt:variant>
      <vt:variant>
        <vt:i4>0</vt:i4>
      </vt:variant>
      <vt:variant>
        <vt:i4>5</vt:i4>
      </vt:variant>
      <vt:variant>
        <vt:lpwstr>http://likumi.lv/doc.php?id=50500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15.decembra noteikumos Nr.1471 </dc:title>
  <dc:subject>anotācija</dc:subject>
  <dc:creator>ievina.dzenite@fm.gov.lv</dc:creator>
  <cp:keywords/>
  <dc:description>Dzenīte 67095594
ievina.dzenite@fm.gov.lv</dc:description>
  <cp:lastModifiedBy>Ieviņa Dzenīte</cp:lastModifiedBy>
  <cp:revision>17</cp:revision>
  <cp:lastPrinted>2014-11-21T12:12:00Z</cp:lastPrinted>
  <dcterms:created xsi:type="dcterms:W3CDTF">2014-11-14T17:10:00Z</dcterms:created>
  <dcterms:modified xsi:type="dcterms:W3CDTF">2014-11-25T07:59:00Z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