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2" w:rsidRDefault="00AF5AA2" w:rsidP="00CE1DE1">
      <w:pPr>
        <w:pStyle w:val="BodyText"/>
        <w:ind w:left="-567" w:right="-908"/>
      </w:pPr>
      <w:r>
        <w:t>Ministru kabineta noteikumu projekta „</w:t>
      </w:r>
      <w:r w:rsidR="00C06D31">
        <w:t>Grozījumi Ministru kabineta 2010</w:t>
      </w:r>
      <w:r>
        <w:t>. gada 1</w:t>
      </w:r>
      <w:r w:rsidR="00C06D31">
        <w:t>7</w:t>
      </w:r>
      <w:r>
        <w:t>. </w:t>
      </w:r>
      <w:r w:rsidR="00C06D31">
        <w:t>augusta</w:t>
      </w:r>
      <w:r>
        <w:t xml:space="preserve"> noteikumos Nr. </w:t>
      </w:r>
      <w:r w:rsidR="00C06D31">
        <w:t>776</w:t>
      </w:r>
      <w:r>
        <w:t xml:space="preserve"> “</w:t>
      </w:r>
      <w:r w:rsidR="00C06D31">
        <w:t>Mēneša pārskatu sagatavošanas un iesniegšanas kārtība</w:t>
      </w:r>
      <w:r>
        <w:t>”” sākotnējās ietekmes novērtējuma ziņojums (anotācija)</w:t>
      </w:r>
    </w:p>
    <w:p w:rsidR="008766F2" w:rsidRDefault="008766F2" w:rsidP="008C0DC4">
      <w:pPr>
        <w:ind w:right="-1333"/>
        <w:jc w:val="center"/>
        <w:rPr>
          <w:b/>
          <w:bCs/>
        </w:rPr>
      </w:pPr>
    </w:p>
    <w:tbl>
      <w:tblPr>
        <w:tblW w:w="9781"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6554"/>
      </w:tblGrid>
      <w:tr w:rsidR="008766F2" w:rsidRPr="003D33CE" w:rsidTr="00CE1DE1">
        <w:tc>
          <w:tcPr>
            <w:tcW w:w="9781" w:type="dxa"/>
            <w:gridSpan w:val="3"/>
            <w:tcBorders>
              <w:top w:val="single" w:sz="6" w:space="0" w:color="auto"/>
              <w:left w:val="single" w:sz="6" w:space="0" w:color="auto"/>
              <w:bottom w:val="single" w:sz="6" w:space="0" w:color="auto"/>
              <w:right w:val="single" w:sz="6" w:space="0" w:color="auto"/>
            </w:tcBorders>
          </w:tcPr>
          <w:p w:rsidR="008766F2" w:rsidRPr="003D33CE" w:rsidRDefault="00673510" w:rsidP="008C0DC4">
            <w:pPr>
              <w:pStyle w:val="BodyTextIndent"/>
              <w:tabs>
                <w:tab w:val="left" w:pos="9504"/>
              </w:tabs>
              <w:jc w:val="center"/>
            </w:pPr>
            <w:r w:rsidRPr="003D33CE">
              <w:rPr>
                <w:bCs w:val="0"/>
              </w:rPr>
              <w:t>I. Tiesību akta projekta izstrādes nepieciešamība</w:t>
            </w:r>
          </w:p>
        </w:tc>
      </w:tr>
      <w:tr w:rsidR="008766F2" w:rsidRPr="003D33CE" w:rsidTr="00CE1DE1">
        <w:trPr>
          <w:trHeight w:val="65"/>
        </w:trPr>
        <w:tc>
          <w:tcPr>
            <w:tcW w:w="540" w:type="dxa"/>
            <w:tcBorders>
              <w:top w:val="single" w:sz="6" w:space="0" w:color="auto"/>
              <w:left w:val="single" w:sz="6" w:space="0" w:color="auto"/>
              <w:bottom w:val="single" w:sz="6" w:space="0" w:color="auto"/>
              <w:right w:val="single" w:sz="6" w:space="0" w:color="auto"/>
            </w:tcBorders>
          </w:tcPr>
          <w:p w:rsidR="008766F2" w:rsidRPr="003D33CE" w:rsidRDefault="00AF5AA2">
            <w:pPr>
              <w:pStyle w:val="BodyText"/>
              <w:jc w:val="both"/>
              <w:rPr>
                <w:b w:val="0"/>
                <w:bCs w:val="0"/>
                <w:sz w:val="24"/>
                <w:szCs w:val="24"/>
              </w:rPr>
            </w:pPr>
            <w:r w:rsidRPr="003D33CE">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Pr="003D33CE" w:rsidRDefault="00AF5AA2" w:rsidP="00995238">
            <w:pPr>
              <w:pStyle w:val="BodyTextIndent"/>
              <w:spacing w:after="0"/>
              <w:rPr>
                <w:b w:val="0"/>
                <w:bCs w:val="0"/>
              </w:rPr>
            </w:pPr>
            <w:r w:rsidRPr="003D33CE">
              <w:rPr>
                <w:b w:val="0"/>
                <w:bCs w:val="0"/>
              </w:rPr>
              <w:t>Pamatojums</w:t>
            </w:r>
          </w:p>
        </w:tc>
        <w:tc>
          <w:tcPr>
            <w:tcW w:w="6554" w:type="dxa"/>
            <w:tcBorders>
              <w:top w:val="single" w:sz="6" w:space="0" w:color="auto"/>
              <w:left w:val="single" w:sz="6" w:space="0" w:color="auto"/>
              <w:bottom w:val="single" w:sz="6" w:space="0" w:color="auto"/>
              <w:right w:val="single" w:sz="6" w:space="0" w:color="auto"/>
            </w:tcBorders>
          </w:tcPr>
          <w:p w:rsidR="008766F2" w:rsidRPr="003D33CE" w:rsidRDefault="005A33C5" w:rsidP="005A33C5">
            <w:pPr>
              <w:pStyle w:val="BodyTextIndent"/>
              <w:rPr>
                <w:b w:val="0"/>
              </w:rPr>
            </w:pPr>
            <w:r w:rsidRPr="003D33CE">
              <w:rPr>
                <w:b w:val="0"/>
              </w:rPr>
              <w:t>Ministru kabineta noteikumu projekts „Grozījumi Ministru kabineta 2010. gada 17. augusta noteikumos Nr. 776 “Mēneša pārskatu sagatavošanas un iesniegšanas kārtība””</w:t>
            </w:r>
            <w:r w:rsidRPr="003D33CE">
              <w:t xml:space="preserve"> </w:t>
            </w:r>
            <w:r w:rsidRPr="003D33CE">
              <w:rPr>
                <w:b w:val="0"/>
              </w:rPr>
              <w:t>(turpmāk – MK noteikumu grozījumi) ir izstrādāts pēc Valsts kases iniciatīvas.</w:t>
            </w:r>
          </w:p>
        </w:tc>
      </w:tr>
      <w:tr w:rsidR="00EB707C" w:rsidRPr="00635267" w:rsidTr="00CE1DE1">
        <w:tc>
          <w:tcPr>
            <w:tcW w:w="540" w:type="dxa"/>
            <w:tcBorders>
              <w:top w:val="single" w:sz="6" w:space="0" w:color="auto"/>
              <w:left w:val="single" w:sz="6" w:space="0" w:color="auto"/>
              <w:bottom w:val="single" w:sz="6" w:space="0" w:color="auto"/>
              <w:right w:val="single" w:sz="6" w:space="0" w:color="auto"/>
            </w:tcBorders>
          </w:tcPr>
          <w:p w:rsidR="00EB707C" w:rsidRPr="005F154A" w:rsidRDefault="00EB707C">
            <w:pPr>
              <w:pStyle w:val="BodyText"/>
              <w:jc w:val="both"/>
              <w:rPr>
                <w:b w:val="0"/>
                <w:bCs w:val="0"/>
                <w:sz w:val="24"/>
                <w:szCs w:val="24"/>
              </w:rPr>
            </w:pPr>
            <w:r w:rsidRPr="005F154A">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EB707C" w:rsidRPr="005F154A" w:rsidRDefault="00EB707C" w:rsidP="00575679">
            <w:r w:rsidRPr="005F154A">
              <w:t>Pašreizējā situācija un problēmas, kuru risināšanai tiesību akta projekts izstrādāts, tiesiskā regulējuma mērķis un būtība</w:t>
            </w:r>
          </w:p>
        </w:tc>
        <w:tc>
          <w:tcPr>
            <w:tcW w:w="6554" w:type="dxa"/>
            <w:tcBorders>
              <w:top w:val="single" w:sz="6" w:space="0" w:color="auto"/>
              <w:left w:val="single" w:sz="6" w:space="0" w:color="auto"/>
              <w:bottom w:val="single" w:sz="6" w:space="0" w:color="auto"/>
              <w:right w:val="single" w:sz="6" w:space="0" w:color="auto"/>
            </w:tcBorders>
          </w:tcPr>
          <w:p w:rsidR="007D4A2C" w:rsidRPr="00635267" w:rsidRDefault="001C79F4" w:rsidP="007D4A2C">
            <w:pPr>
              <w:pStyle w:val="ListParagraph"/>
              <w:numPr>
                <w:ilvl w:val="0"/>
                <w:numId w:val="5"/>
              </w:numPr>
              <w:spacing w:after="60"/>
              <w:ind w:left="351"/>
              <w:jc w:val="both"/>
              <w:rPr>
                <w:rFonts w:eastAsia="Calibri"/>
              </w:rPr>
            </w:pPr>
            <w:r w:rsidRPr="00635267">
              <w:rPr>
                <w:rFonts w:eastAsia="Calibri"/>
              </w:rPr>
              <w:t>Likuma par budžetu un finanšu vadību 30. panta 6.</w:t>
            </w:r>
            <w:r w:rsidR="0047318B" w:rsidRPr="00635267">
              <w:rPr>
                <w:rFonts w:eastAsia="Calibri"/>
              </w:rPr>
              <w:t> </w:t>
            </w:r>
            <w:r w:rsidRPr="00635267">
              <w:rPr>
                <w:rFonts w:eastAsia="Calibri"/>
              </w:rPr>
              <w:t>daļa nosaka: „</w:t>
            </w:r>
            <w:r w:rsidRPr="00635267">
              <w:t xml:space="preserve">Budžeta iestādes, no valsts budžeta daļēji finansētas atvasinātas publiskas personas un budžeta nefinansētas iestādes sagatavo un iesniedz Valsts kasei mēneša pārskatu Ministru kabineta noteiktajā kārtībā un apjomā”. Noteikumos nav noteikts, </w:t>
            </w:r>
            <w:r w:rsidR="007D4A2C" w:rsidRPr="00635267">
              <w:t>kādā a</w:t>
            </w:r>
            <w:r w:rsidR="004439E2" w:rsidRPr="00635267">
              <w:t>pjomā mēneša pārskatu par ziedojumu un dāvinājumu izpildi</w:t>
            </w:r>
            <w:r w:rsidR="007D4A2C" w:rsidRPr="00635267">
              <w:t xml:space="preserve"> sniedz valsts budžeta iestādes (</w:t>
            </w:r>
            <w:proofErr w:type="spellStart"/>
            <w:r w:rsidR="007D4A2C" w:rsidRPr="00635267">
              <w:t>t.sk</w:t>
            </w:r>
            <w:proofErr w:type="spellEnd"/>
            <w:r w:rsidR="007D4A2C" w:rsidRPr="00635267">
              <w:t>. publiskie nodibinājumi). Atbilstoši precizējumi ir iekļauti MK noteikumu grozījumos.</w:t>
            </w:r>
          </w:p>
          <w:p w:rsidR="003D33CE" w:rsidRPr="00635267" w:rsidRDefault="003D33CE" w:rsidP="003D33CE">
            <w:pPr>
              <w:pStyle w:val="ListParagraph"/>
              <w:numPr>
                <w:ilvl w:val="0"/>
                <w:numId w:val="5"/>
              </w:numPr>
              <w:spacing w:after="60"/>
              <w:ind w:left="351"/>
              <w:jc w:val="both"/>
              <w:rPr>
                <w:rFonts w:eastAsia="Calibri"/>
              </w:rPr>
            </w:pPr>
            <w:r w:rsidRPr="00635267">
              <w:rPr>
                <w:rFonts w:eastAsia="Calibri"/>
              </w:rPr>
              <w:t xml:space="preserve">Pašvaldības sākot no 2010.gada, pamatojoties uz Finanšu ministrijas vēstuli, katru mēnesi kopā ar pārējiem mēneša pārskatiem iesniedz pārskatu par pašvaldību veiktajiem </w:t>
            </w:r>
            <w:r w:rsidRPr="00635267">
              <w:rPr>
                <w:bCs/>
              </w:rPr>
              <w:t>izdevumiem Eiropas Savienības un pārējās ārvalstu finanšu palīdzības līdzfinansēto projektu īstenošanai</w:t>
            </w:r>
            <w:r w:rsidRPr="00635267">
              <w:rPr>
                <w:rFonts w:eastAsia="Calibri"/>
              </w:rPr>
              <w:t>. Informācija nepieciešama pašvaldību finanšu situācijas analīzei, kā arī gadskārtējā un vidējā termiņa pašvaldību aizņēmumu limita prognozēšanai, kas saistīts ar</w:t>
            </w:r>
            <w:r w:rsidRPr="00635267">
              <w:rPr>
                <w:bCs/>
              </w:rPr>
              <w:t xml:space="preserve"> Eiropas Savienības un pārējās ārvalstu finanšu palīdzības līdzfinansēto projektu īstenošanu</w:t>
            </w:r>
            <w:r w:rsidRPr="00635267">
              <w:rPr>
                <w:rFonts w:eastAsia="Calibri"/>
              </w:rPr>
              <w:t>. Līdz ar to pārskats tiek iekļauts MK noteikumu grozījumos.</w:t>
            </w:r>
          </w:p>
          <w:p w:rsidR="00FD0A2E" w:rsidRPr="00635267" w:rsidRDefault="00F574F5" w:rsidP="00FD0A2E">
            <w:pPr>
              <w:pStyle w:val="ListParagraph"/>
              <w:numPr>
                <w:ilvl w:val="0"/>
                <w:numId w:val="5"/>
              </w:numPr>
              <w:spacing w:after="60"/>
              <w:ind w:left="351"/>
              <w:jc w:val="both"/>
              <w:rPr>
                <w:rFonts w:eastAsia="Calibri"/>
              </w:rPr>
            </w:pPr>
            <w:r w:rsidRPr="00635267">
              <w:t>Kaut arī noteikumi</w:t>
            </w:r>
            <w:r w:rsidR="008540BD" w:rsidRPr="00635267">
              <w:t xml:space="preserve"> nenosaka mēneša p</w:t>
            </w:r>
            <w:r w:rsidR="005432FE" w:rsidRPr="00635267">
              <w:t xml:space="preserve">ārskatu publicēšanas kārtību, </w:t>
            </w:r>
            <w:r w:rsidR="008540BD" w:rsidRPr="00635267">
              <w:rPr>
                <w:rFonts w:eastAsia="Calibri"/>
              </w:rPr>
              <w:t xml:space="preserve">Valsts kases mājas lapā kopš 2009.gada tiek publicēti pašvaldību konsolidētie mēneša pārskati, kā arī no valsts budžeta daļēji finansētu atvasinātu publisku personu un budžeta nefinansētu iestāžu mēneša pārskati. </w:t>
            </w:r>
            <w:r w:rsidR="005432FE" w:rsidRPr="00635267">
              <w:rPr>
                <w:rFonts w:eastAsia="Calibri"/>
              </w:rPr>
              <w:t>MK noteikumu grozījumi</w:t>
            </w:r>
            <w:r w:rsidR="008540BD" w:rsidRPr="00635267">
              <w:rPr>
                <w:rFonts w:eastAsia="Calibri"/>
              </w:rPr>
              <w:t xml:space="preserve"> nosaka, kādu iestāžu pārskati tiek publicēti mājas lapā</w:t>
            </w:r>
            <w:r w:rsidR="005432FE" w:rsidRPr="00635267">
              <w:rPr>
                <w:rFonts w:eastAsia="Calibri"/>
              </w:rPr>
              <w:t>.</w:t>
            </w:r>
          </w:p>
          <w:p w:rsidR="00FD0A2E" w:rsidRPr="00635267" w:rsidRDefault="00CA07C4" w:rsidP="00FD0A2E">
            <w:pPr>
              <w:pStyle w:val="ListParagraph"/>
              <w:numPr>
                <w:ilvl w:val="0"/>
                <w:numId w:val="5"/>
              </w:numPr>
              <w:spacing w:after="60"/>
              <w:ind w:left="351"/>
              <w:jc w:val="both"/>
              <w:rPr>
                <w:rFonts w:eastAsia="Calibri"/>
              </w:rPr>
            </w:pPr>
            <w:r w:rsidRPr="00635267">
              <w:rPr>
                <w:rFonts w:eastAsia="Calibri"/>
              </w:rPr>
              <w:t>Atbilstoši M</w:t>
            </w:r>
            <w:r w:rsidR="008922FB" w:rsidRPr="00635267">
              <w:rPr>
                <w:rFonts w:eastAsia="Calibri"/>
              </w:rPr>
              <w:t>inistru kabineta</w:t>
            </w:r>
            <w:r w:rsidRPr="00635267">
              <w:rPr>
                <w:rFonts w:eastAsia="Calibri"/>
              </w:rPr>
              <w:t xml:space="preserve"> </w:t>
            </w:r>
            <w:r w:rsidR="008922FB" w:rsidRPr="00635267">
              <w:rPr>
                <w:rFonts w:eastAsia="Calibri"/>
              </w:rPr>
              <w:t xml:space="preserve">2005.gada 27.decembra </w:t>
            </w:r>
            <w:r w:rsidRPr="00635267">
              <w:rPr>
                <w:rFonts w:eastAsia="Calibri"/>
              </w:rPr>
              <w:t>noteikum</w:t>
            </w:r>
            <w:r w:rsidR="008922FB" w:rsidRPr="00635267">
              <w:rPr>
                <w:rFonts w:eastAsia="Calibri"/>
              </w:rPr>
              <w:t>u</w:t>
            </w:r>
            <w:r w:rsidRPr="00635267">
              <w:rPr>
                <w:rFonts w:eastAsia="Calibri"/>
              </w:rPr>
              <w:t xml:space="preserve"> Nr.1032</w:t>
            </w:r>
            <w:r w:rsidR="008922FB" w:rsidRPr="00635267">
              <w:rPr>
                <w:rFonts w:eastAsia="Calibri"/>
              </w:rPr>
              <w:t xml:space="preserve"> „Noteikumi par budžeta ieņēmumu klasifikāciju” koda 18.6.2.0. „Pašvaldību saņemtie transferti no valsts budžeta noteiktam mērķim” nosaukumam </w:t>
            </w:r>
            <w:r w:rsidRPr="00635267">
              <w:rPr>
                <w:rFonts w:eastAsia="Calibri"/>
              </w:rPr>
              <w:t xml:space="preserve">nepieciešams precizēt 5.pielikuma „4-SAI </w:t>
            </w:r>
            <w:r w:rsidR="008922FB" w:rsidRPr="00635267">
              <w:rPr>
                <w:rFonts w:eastAsia="Calibri"/>
              </w:rPr>
              <w:t>Pārskats par saistību apmēru”</w:t>
            </w:r>
            <w:r w:rsidRPr="00635267">
              <w:rPr>
                <w:rFonts w:eastAsia="Calibri"/>
              </w:rPr>
              <w:t xml:space="preserve"> rindas „</w:t>
            </w:r>
            <w:r w:rsidRPr="00635267">
              <w:t xml:space="preserve">Pamatbudžeta ieņēmumi bez mērķdotācijām un iemaksām pašvaldību finanšu izlīdzināšanas fondā saimnieciskajā gadā” nosaukumu, </w:t>
            </w:r>
            <w:r w:rsidR="00FD0A2E" w:rsidRPr="00635267">
              <w:t>lai noteiktu,</w:t>
            </w:r>
            <w:r w:rsidRPr="00635267">
              <w:t xml:space="preserve"> kādi ieņēmumi jānorāda pārskatā.</w:t>
            </w:r>
            <w:r w:rsidR="008922FB" w:rsidRPr="00635267">
              <w:t xml:space="preserve"> Ieņēmumos neuzrāda </w:t>
            </w:r>
            <w:r w:rsidR="00FD0A2E" w:rsidRPr="00635267">
              <w:t xml:space="preserve">tādus ieņēmumus, kas ir iezīmēti ar mērķi un kurus nevar novirzīt </w:t>
            </w:r>
            <w:r w:rsidR="00F65293" w:rsidRPr="00635267">
              <w:t xml:space="preserve">pašvaldības </w:t>
            </w:r>
            <w:r w:rsidR="00FD0A2E" w:rsidRPr="00635267">
              <w:t xml:space="preserve">saistību segšanai – pašvaldību iemaksas pašvaldību finanšu izlīdzināšanas fondā un saņemtos valsts budžeta transfertus noteiktam mērķim. </w:t>
            </w:r>
            <w:r w:rsidR="00FD0A2E" w:rsidRPr="00635267">
              <w:lastRenderedPageBreak/>
              <w:t>Atbilstoši budžeta ieņēmumu klasifikācijai kodā 18.6.2.0. „</w:t>
            </w:r>
            <w:r w:rsidR="00FD0A2E" w:rsidRPr="00635267">
              <w:rPr>
                <w:rFonts w:eastAsia="Calibri"/>
              </w:rPr>
              <w:t>Pašvaldību saņemtie transferti no valsts budžeta noteiktam mērķim”</w:t>
            </w:r>
            <w:r w:rsidR="00FD0A2E" w:rsidRPr="00635267">
              <w:t xml:space="preserve"> klasificē arī saņemto  klimatu pārmaiņu finanšu instrumenta finansējumu, kas ir resurss pašvaldību aizņēmumu pirmstermiņa atmaksai pēc projekta īstenošanas un klimatu pārmaiņu finanšu instrumenta finansējuma atgūšanas, tāpēc pārskata pēdējās rindas redakcijā nepieciešams iekļaut izņēmumu, kas attiecas uz klimata pārmaiņu finanšu instrumenta finansējumu.</w:t>
            </w:r>
          </w:p>
          <w:p w:rsidR="000D5347" w:rsidRPr="00635267" w:rsidRDefault="00061303" w:rsidP="007D4A2C">
            <w:pPr>
              <w:pStyle w:val="ListParagraph"/>
              <w:numPr>
                <w:ilvl w:val="0"/>
                <w:numId w:val="5"/>
              </w:numPr>
              <w:spacing w:after="60"/>
              <w:ind w:left="351"/>
              <w:jc w:val="both"/>
              <w:rPr>
                <w:rFonts w:eastAsia="Calibri"/>
              </w:rPr>
            </w:pPr>
            <w:r w:rsidRPr="00635267">
              <w:rPr>
                <w:rFonts w:eastAsia="Calibri"/>
              </w:rPr>
              <w:t>Noteikumu tekstā ir nepieciešami redakcionāli precizējumi</w:t>
            </w:r>
            <w:r w:rsidR="001C79F4" w:rsidRPr="00635267">
              <w:rPr>
                <w:rFonts w:eastAsia="Calibri"/>
              </w:rPr>
              <w:t>,</w:t>
            </w:r>
            <w:r w:rsidR="00EB707C" w:rsidRPr="00635267">
              <w:rPr>
                <w:rFonts w:eastAsia="Calibri"/>
              </w:rPr>
              <w:t xml:space="preserve"> lai lietotājiem būtu saprotamāka pārskatu sagatavošanas kārtība.</w:t>
            </w:r>
          </w:p>
        </w:tc>
      </w:tr>
      <w:tr w:rsidR="00EB707C" w:rsidRPr="005F154A" w:rsidTr="00753330">
        <w:trPr>
          <w:trHeight w:val="497"/>
        </w:trPr>
        <w:tc>
          <w:tcPr>
            <w:tcW w:w="540" w:type="dxa"/>
            <w:tcBorders>
              <w:top w:val="single" w:sz="6" w:space="0" w:color="auto"/>
              <w:left w:val="single" w:sz="6" w:space="0" w:color="auto"/>
              <w:bottom w:val="single" w:sz="6" w:space="0" w:color="auto"/>
              <w:right w:val="single" w:sz="6" w:space="0" w:color="auto"/>
            </w:tcBorders>
          </w:tcPr>
          <w:p w:rsidR="00EB707C" w:rsidRPr="005F154A" w:rsidRDefault="00EB707C">
            <w:pPr>
              <w:pStyle w:val="BodyText"/>
              <w:jc w:val="both"/>
              <w:rPr>
                <w:b w:val="0"/>
                <w:bCs w:val="0"/>
                <w:sz w:val="24"/>
                <w:szCs w:val="24"/>
              </w:rPr>
            </w:pPr>
            <w:r w:rsidRPr="005F154A">
              <w:rPr>
                <w:b w:val="0"/>
                <w:bCs w:val="0"/>
                <w:sz w:val="24"/>
                <w:szCs w:val="24"/>
              </w:rPr>
              <w:lastRenderedPageBreak/>
              <w:t xml:space="preserve">3. </w:t>
            </w:r>
          </w:p>
        </w:tc>
        <w:tc>
          <w:tcPr>
            <w:tcW w:w="2687" w:type="dxa"/>
            <w:tcBorders>
              <w:top w:val="single" w:sz="6" w:space="0" w:color="auto"/>
              <w:left w:val="single" w:sz="6" w:space="0" w:color="auto"/>
              <w:bottom w:val="single" w:sz="6" w:space="0" w:color="auto"/>
              <w:right w:val="single" w:sz="6" w:space="0" w:color="auto"/>
            </w:tcBorders>
          </w:tcPr>
          <w:p w:rsidR="00EB707C" w:rsidRPr="005F154A" w:rsidRDefault="00EB707C" w:rsidP="00575679">
            <w:pPr>
              <w:pStyle w:val="BodyTextIndent"/>
              <w:jc w:val="left"/>
              <w:rPr>
                <w:b w:val="0"/>
                <w:bCs w:val="0"/>
              </w:rPr>
            </w:pPr>
            <w:r w:rsidRPr="005F154A">
              <w:rPr>
                <w:b w:val="0"/>
                <w:bCs w:val="0"/>
              </w:rPr>
              <w:t>Projekta izstrādē iesaistītās institūcijas</w:t>
            </w:r>
          </w:p>
        </w:tc>
        <w:tc>
          <w:tcPr>
            <w:tcW w:w="6554" w:type="dxa"/>
            <w:tcBorders>
              <w:top w:val="single" w:sz="6" w:space="0" w:color="auto"/>
              <w:left w:val="single" w:sz="6" w:space="0" w:color="auto"/>
              <w:bottom w:val="single" w:sz="6" w:space="0" w:color="auto"/>
              <w:right w:val="single" w:sz="6" w:space="0" w:color="auto"/>
            </w:tcBorders>
          </w:tcPr>
          <w:p w:rsidR="00EB707C" w:rsidRPr="005F154A" w:rsidRDefault="00233153" w:rsidP="0096586B">
            <w:pPr>
              <w:pStyle w:val="NormalWeb"/>
              <w:jc w:val="both"/>
              <w:rPr>
                <w:lang w:val="lv-LV"/>
              </w:rPr>
            </w:pPr>
            <w:r w:rsidRPr="005F154A">
              <w:rPr>
                <w:bCs/>
                <w:lang w:val="en-GB"/>
              </w:rPr>
              <w:t xml:space="preserve">Valsts </w:t>
            </w:r>
            <w:proofErr w:type="spellStart"/>
            <w:r w:rsidRPr="005F154A">
              <w:rPr>
                <w:bCs/>
                <w:lang w:val="en-GB"/>
              </w:rPr>
              <w:t>kase</w:t>
            </w:r>
            <w:proofErr w:type="spellEnd"/>
            <w:r w:rsidRPr="005F154A">
              <w:rPr>
                <w:bCs/>
                <w:lang w:val="en-GB"/>
              </w:rPr>
              <w:t xml:space="preserve">, Finanšu </w:t>
            </w:r>
            <w:proofErr w:type="spellStart"/>
            <w:r w:rsidRPr="005F154A">
              <w:rPr>
                <w:bCs/>
                <w:lang w:val="en-GB"/>
              </w:rPr>
              <w:t>ministrija</w:t>
            </w:r>
            <w:proofErr w:type="spellEnd"/>
            <w:r w:rsidR="008A24F4" w:rsidRPr="005F154A">
              <w:rPr>
                <w:bCs/>
                <w:lang w:val="en-GB"/>
              </w:rPr>
              <w:t>.</w:t>
            </w:r>
          </w:p>
        </w:tc>
      </w:tr>
      <w:tr w:rsidR="00EB707C" w:rsidRPr="00635267" w:rsidTr="00CE1DE1">
        <w:tc>
          <w:tcPr>
            <w:tcW w:w="540" w:type="dxa"/>
            <w:tcBorders>
              <w:top w:val="single" w:sz="6" w:space="0" w:color="auto"/>
              <w:left w:val="single" w:sz="6" w:space="0" w:color="auto"/>
              <w:bottom w:val="single" w:sz="6" w:space="0" w:color="auto"/>
              <w:right w:val="single" w:sz="6" w:space="0" w:color="auto"/>
            </w:tcBorders>
          </w:tcPr>
          <w:p w:rsidR="00EB707C" w:rsidRPr="00635267" w:rsidRDefault="00EB707C">
            <w:pPr>
              <w:pStyle w:val="BodyText"/>
              <w:jc w:val="both"/>
              <w:rPr>
                <w:b w:val="0"/>
                <w:bCs w:val="0"/>
                <w:sz w:val="24"/>
                <w:szCs w:val="24"/>
              </w:rPr>
            </w:pPr>
            <w:r w:rsidRPr="00635267">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EB707C" w:rsidRPr="00635267" w:rsidRDefault="00EB707C" w:rsidP="00995238">
            <w:pPr>
              <w:jc w:val="both"/>
            </w:pPr>
            <w:r w:rsidRPr="00635267">
              <w:t>Cita informācija</w:t>
            </w:r>
          </w:p>
        </w:tc>
        <w:tc>
          <w:tcPr>
            <w:tcW w:w="6554" w:type="dxa"/>
            <w:tcBorders>
              <w:top w:val="single" w:sz="6" w:space="0" w:color="auto"/>
              <w:left w:val="single" w:sz="6" w:space="0" w:color="auto"/>
              <w:bottom w:val="single" w:sz="6" w:space="0" w:color="auto"/>
              <w:right w:val="single" w:sz="6" w:space="0" w:color="auto"/>
            </w:tcBorders>
          </w:tcPr>
          <w:p w:rsidR="00EB707C" w:rsidRPr="00635267" w:rsidRDefault="00FB1E24" w:rsidP="00455A96">
            <w:pPr>
              <w:jc w:val="both"/>
            </w:pPr>
            <w:r w:rsidRPr="00635267">
              <w:t>MK noteikumu</w:t>
            </w:r>
            <w:r w:rsidR="00BC29C1" w:rsidRPr="00635267">
              <w:t xml:space="preserve"> grozījumu projekta spēkā stāšanās datums ir 2015.gada 1.februāris, jo pirmo pārskatu, kuru skar</w:t>
            </w:r>
            <w:r w:rsidRPr="00635267">
              <w:t xml:space="preserve"> MK</w:t>
            </w:r>
            <w:r w:rsidR="00BC29C1" w:rsidRPr="00635267">
              <w:t xml:space="preserve"> noteikumu</w:t>
            </w:r>
            <w:r w:rsidRPr="00635267">
              <w:t xml:space="preserve"> grozījumos ietvertās</w:t>
            </w:r>
            <w:r w:rsidR="00BC29C1" w:rsidRPr="00635267">
              <w:t xml:space="preserve"> izmaiņas, par 2015.gada </w:t>
            </w:r>
            <w:r w:rsidR="00CF1928" w:rsidRPr="00635267">
              <w:t>janvāri</w:t>
            </w:r>
            <w:r w:rsidR="00BC29C1" w:rsidRPr="00635267">
              <w:t xml:space="preserve"> iesniedz 2015.gada februārī. Savukārt 2014.gada decembra mēneša pārskatu (uz kuru neattiecas </w:t>
            </w:r>
            <w:r w:rsidRPr="00635267">
              <w:t xml:space="preserve">MK noteikumu grozījumos </w:t>
            </w:r>
            <w:r w:rsidR="00BC29C1" w:rsidRPr="00635267">
              <w:t>ietvertās izmaiņas) iesniedz 2015.gada janvārī</w:t>
            </w:r>
            <w:r w:rsidR="00455A96" w:rsidRPr="00635267">
              <w:t xml:space="preserve"> atbilstoši šobrīd spēkā esošo Ministru kabineta 2010. gada 17. augusta noteikumu Nr.776 “Mēneša pārskatu sagatavošanas un iesniegšanas kārtība</w:t>
            </w:r>
            <w:r w:rsidR="00C012D7" w:rsidRPr="00635267">
              <w:t>”</w:t>
            </w:r>
            <w:r w:rsidR="00455A96" w:rsidRPr="00635267">
              <w:t xml:space="preserve"> noteikumu redakcijai.</w:t>
            </w:r>
          </w:p>
        </w:tc>
      </w:tr>
    </w:tbl>
    <w:p w:rsidR="008766F2" w:rsidRPr="005F154A" w:rsidRDefault="008766F2">
      <w:pPr>
        <w:rPr>
          <w:b/>
          <w:bCs/>
          <w:i/>
          <w:iCs/>
        </w:rPr>
      </w:pPr>
    </w:p>
    <w:tbl>
      <w:tblPr>
        <w:tblStyle w:val="TableGrid"/>
        <w:tblW w:w="9781" w:type="dxa"/>
        <w:tblInd w:w="-459" w:type="dxa"/>
        <w:tblLook w:val="04A0" w:firstRow="1" w:lastRow="0" w:firstColumn="1" w:lastColumn="0" w:noHBand="0" w:noVBand="1"/>
      </w:tblPr>
      <w:tblGrid>
        <w:gridCol w:w="567"/>
        <w:gridCol w:w="2694"/>
        <w:gridCol w:w="6520"/>
      </w:tblGrid>
      <w:tr w:rsidR="009A10A6" w:rsidRPr="005F154A" w:rsidTr="00251975">
        <w:tc>
          <w:tcPr>
            <w:tcW w:w="9781" w:type="dxa"/>
            <w:gridSpan w:val="3"/>
          </w:tcPr>
          <w:p w:rsidR="009A10A6" w:rsidRPr="005F154A" w:rsidRDefault="009A10A6" w:rsidP="009A10A6">
            <w:pPr>
              <w:jc w:val="center"/>
              <w:rPr>
                <w:b/>
                <w:bCs/>
                <w:i/>
                <w:iCs/>
              </w:rPr>
            </w:pPr>
            <w:r w:rsidRPr="005F154A">
              <w:rPr>
                <w:b/>
                <w:bCs/>
              </w:rPr>
              <w:t>II. Tiesību akta projekta ietekme uz sabiedrību, tautsaimniecības attīstību un administratīvo slogu</w:t>
            </w:r>
          </w:p>
        </w:tc>
      </w:tr>
      <w:tr w:rsidR="009A10A6" w:rsidRPr="00635267" w:rsidTr="009A10A6">
        <w:tc>
          <w:tcPr>
            <w:tcW w:w="567" w:type="dxa"/>
          </w:tcPr>
          <w:p w:rsidR="009A10A6" w:rsidRPr="00635267" w:rsidRDefault="009A10A6" w:rsidP="00B8454D">
            <w:r w:rsidRPr="00635267">
              <w:t>1.</w:t>
            </w:r>
          </w:p>
        </w:tc>
        <w:tc>
          <w:tcPr>
            <w:tcW w:w="2694" w:type="dxa"/>
          </w:tcPr>
          <w:p w:rsidR="009A10A6" w:rsidRPr="00635267" w:rsidRDefault="009A10A6" w:rsidP="00B8454D">
            <w:r w:rsidRPr="00635267">
              <w:t xml:space="preserve">Sabiedrības </w:t>
            </w:r>
            <w:proofErr w:type="spellStart"/>
            <w:r w:rsidRPr="00635267">
              <w:t>mērķgrupas</w:t>
            </w:r>
            <w:proofErr w:type="spellEnd"/>
            <w:r w:rsidRPr="00635267">
              <w:t>, kuras tiesiskais regulējums ietekmē vai varētu ietekmēt</w:t>
            </w:r>
          </w:p>
        </w:tc>
        <w:tc>
          <w:tcPr>
            <w:tcW w:w="6520" w:type="dxa"/>
          </w:tcPr>
          <w:p w:rsidR="009A10A6" w:rsidRPr="00635267" w:rsidRDefault="00BC29C1" w:rsidP="001A470A">
            <w:r w:rsidRPr="00635267">
              <w:t>Pašvaldīb</w:t>
            </w:r>
            <w:r w:rsidR="001A470A" w:rsidRPr="00635267">
              <w:t>u un valsts budžeta iestādes</w:t>
            </w:r>
            <w:r w:rsidR="00112152" w:rsidRPr="00635267">
              <w:t>.</w:t>
            </w:r>
          </w:p>
        </w:tc>
      </w:tr>
      <w:tr w:rsidR="009A10A6" w:rsidRPr="00635267" w:rsidTr="009A10A6">
        <w:tc>
          <w:tcPr>
            <w:tcW w:w="567" w:type="dxa"/>
          </w:tcPr>
          <w:p w:rsidR="009A10A6" w:rsidRPr="00635267" w:rsidRDefault="009A10A6" w:rsidP="00B8454D">
            <w:r w:rsidRPr="00635267">
              <w:t>2.</w:t>
            </w:r>
          </w:p>
        </w:tc>
        <w:tc>
          <w:tcPr>
            <w:tcW w:w="2694" w:type="dxa"/>
          </w:tcPr>
          <w:p w:rsidR="009A10A6" w:rsidRPr="00635267" w:rsidRDefault="009A10A6" w:rsidP="00B8454D">
            <w:r w:rsidRPr="00635267">
              <w:t>Tiesiskā regulējuma ietekme uz tautsaimniecību un administratīvo slogu</w:t>
            </w:r>
          </w:p>
        </w:tc>
        <w:tc>
          <w:tcPr>
            <w:tcW w:w="6520" w:type="dxa"/>
          </w:tcPr>
          <w:p w:rsidR="00B35316" w:rsidRPr="00635267" w:rsidRDefault="00B35316" w:rsidP="00B35316">
            <w:pPr>
              <w:rPr>
                <w:sz w:val="20"/>
                <w:szCs w:val="20"/>
              </w:rPr>
            </w:pPr>
            <w:r w:rsidRPr="00635267">
              <w:rPr>
                <w:rFonts w:eastAsia="Calibri"/>
              </w:rPr>
              <w:t>Valsts budžeta iestādēm jāsagatavo mēneša pārskats par ziedojumu un dāvinājumu izpildi par kontiem, kas atrodas ārpus Valsts kases (izņemot kontus ārvalstīs).</w:t>
            </w:r>
            <w:r w:rsidRPr="00635267">
              <w:rPr>
                <w:sz w:val="20"/>
                <w:szCs w:val="20"/>
              </w:rPr>
              <w:t xml:space="preserve"> </w:t>
            </w:r>
          </w:p>
          <w:p w:rsidR="009A10A6" w:rsidRPr="00635267" w:rsidRDefault="004706D2" w:rsidP="003A3CFA">
            <w:r w:rsidRPr="00635267">
              <w:t>Pašvaldību budžeta iestādēm jāsagatavo mēneša pārskats p</w:t>
            </w:r>
            <w:r w:rsidRPr="00635267">
              <w:rPr>
                <w:rFonts w:eastAsia="Calibri"/>
              </w:rPr>
              <w:t xml:space="preserve">ar pašvaldību veiktajiem </w:t>
            </w:r>
            <w:r w:rsidRPr="00635267">
              <w:rPr>
                <w:bCs/>
              </w:rPr>
              <w:t>izdevumiem Eiropas Savienības un pārējās ārvalstu finanšu palīdzības līdzfinansēto projektu īstenošanai</w:t>
            </w:r>
            <w:r w:rsidRPr="00635267">
              <w:t xml:space="preserve">, kuru tās jau sagatavo </w:t>
            </w:r>
            <w:r w:rsidR="00E77516" w:rsidRPr="00635267">
              <w:t xml:space="preserve">no 2010.gada </w:t>
            </w:r>
            <w:r w:rsidR="00E77516" w:rsidRPr="00635267">
              <w:rPr>
                <w:rFonts w:eastAsia="Calibri"/>
              </w:rPr>
              <w:t>pamatojoties</w:t>
            </w:r>
            <w:r w:rsidR="00C012D7" w:rsidRPr="00635267">
              <w:rPr>
                <w:rFonts w:eastAsia="Calibri"/>
              </w:rPr>
              <w:t xml:space="preserve"> uz Finanšu ministrijas vēstuli.</w:t>
            </w:r>
          </w:p>
        </w:tc>
      </w:tr>
      <w:tr w:rsidR="009A10A6" w:rsidRPr="00635267" w:rsidTr="009A10A6">
        <w:tc>
          <w:tcPr>
            <w:tcW w:w="567" w:type="dxa"/>
          </w:tcPr>
          <w:p w:rsidR="009A10A6" w:rsidRPr="00635267" w:rsidRDefault="009A10A6" w:rsidP="00B8454D">
            <w:r w:rsidRPr="00635267">
              <w:t>3.</w:t>
            </w:r>
          </w:p>
        </w:tc>
        <w:tc>
          <w:tcPr>
            <w:tcW w:w="2694" w:type="dxa"/>
          </w:tcPr>
          <w:p w:rsidR="009A10A6" w:rsidRPr="00635267" w:rsidRDefault="009A10A6" w:rsidP="00B8454D">
            <w:r w:rsidRPr="00635267">
              <w:t>Administratīvo izmaksu monetārs novērtējums</w:t>
            </w:r>
          </w:p>
        </w:tc>
        <w:tc>
          <w:tcPr>
            <w:tcW w:w="6520" w:type="dxa"/>
          </w:tcPr>
          <w:p w:rsidR="009A10A6" w:rsidRPr="00635267" w:rsidRDefault="003A3CFA" w:rsidP="00B8454D">
            <w:r w:rsidRPr="00635267">
              <w:t>Projekts šo jomu neskar</w:t>
            </w:r>
            <w:r w:rsidR="00112152" w:rsidRPr="00635267">
              <w:t>.</w:t>
            </w:r>
          </w:p>
        </w:tc>
      </w:tr>
      <w:tr w:rsidR="009A10A6" w:rsidRPr="00635267" w:rsidTr="009A10A6">
        <w:tc>
          <w:tcPr>
            <w:tcW w:w="567" w:type="dxa"/>
          </w:tcPr>
          <w:p w:rsidR="009A10A6" w:rsidRPr="00635267" w:rsidRDefault="009A10A6" w:rsidP="00B8454D">
            <w:r w:rsidRPr="00635267">
              <w:t>4.</w:t>
            </w:r>
          </w:p>
        </w:tc>
        <w:tc>
          <w:tcPr>
            <w:tcW w:w="2694" w:type="dxa"/>
          </w:tcPr>
          <w:p w:rsidR="009A10A6" w:rsidRPr="00635267" w:rsidRDefault="009A10A6" w:rsidP="00B8454D">
            <w:r w:rsidRPr="00635267">
              <w:t>Cita informācija</w:t>
            </w:r>
          </w:p>
        </w:tc>
        <w:tc>
          <w:tcPr>
            <w:tcW w:w="6520" w:type="dxa"/>
          </w:tcPr>
          <w:p w:rsidR="009A10A6" w:rsidRPr="00635267" w:rsidRDefault="009B35B5" w:rsidP="00B8454D">
            <w:pPr>
              <w:pStyle w:val="tvhtml"/>
            </w:pPr>
            <w:r w:rsidRPr="00635267">
              <w:t>Nav</w:t>
            </w:r>
          </w:p>
        </w:tc>
      </w:tr>
    </w:tbl>
    <w:p w:rsidR="00A36294" w:rsidRPr="005F154A" w:rsidRDefault="00A36294" w:rsidP="00995238">
      <w:pPr>
        <w:rPr>
          <w:b/>
          <w:bCs/>
          <w:i/>
          <w:iCs/>
        </w:rPr>
      </w:pPr>
    </w:p>
    <w:tbl>
      <w:tblPr>
        <w:tblStyle w:val="TableGrid"/>
        <w:tblW w:w="9781" w:type="dxa"/>
        <w:tblInd w:w="-459" w:type="dxa"/>
        <w:tblLook w:val="04A0" w:firstRow="1" w:lastRow="0" w:firstColumn="1" w:lastColumn="0" w:noHBand="0" w:noVBand="1"/>
      </w:tblPr>
      <w:tblGrid>
        <w:gridCol w:w="567"/>
        <w:gridCol w:w="2694"/>
        <w:gridCol w:w="6520"/>
      </w:tblGrid>
      <w:tr w:rsidR="00A36294" w:rsidRPr="005F154A" w:rsidTr="00BF1454">
        <w:tc>
          <w:tcPr>
            <w:tcW w:w="9781" w:type="dxa"/>
            <w:gridSpan w:val="3"/>
          </w:tcPr>
          <w:p w:rsidR="00A36294" w:rsidRPr="005F154A" w:rsidRDefault="00062CAA" w:rsidP="00BF1454">
            <w:pPr>
              <w:jc w:val="center"/>
              <w:rPr>
                <w:b/>
                <w:bCs/>
                <w:i/>
                <w:iCs/>
              </w:rPr>
            </w:pPr>
            <w:r w:rsidRPr="005F154A">
              <w:rPr>
                <w:b/>
                <w:bCs/>
              </w:rPr>
              <w:t>VI. Sabiedrības līdzdalība un komunikācijas aktivitātes</w:t>
            </w:r>
          </w:p>
        </w:tc>
      </w:tr>
      <w:tr w:rsidR="00A36294" w:rsidRPr="00635267" w:rsidTr="00BF1454">
        <w:tc>
          <w:tcPr>
            <w:tcW w:w="567" w:type="dxa"/>
          </w:tcPr>
          <w:p w:rsidR="00A36294" w:rsidRPr="00635267" w:rsidRDefault="00A36294" w:rsidP="00BF1454">
            <w:r w:rsidRPr="00635267">
              <w:t>1.</w:t>
            </w:r>
          </w:p>
        </w:tc>
        <w:tc>
          <w:tcPr>
            <w:tcW w:w="2694" w:type="dxa"/>
          </w:tcPr>
          <w:p w:rsidR="00A36294" w:rsidRPr="00635267" w:rsidRDefault="00A36294" w:rsidP="00777835">
            <w:r w:rsidRPr="00635267">
              <w:t>Plānotās sabiedrības līdzdalības un komunikācijas aktivitātes saistībā ar projektu</w:t>
            </w:r>
          </w:p>
        </w:tc>
        <w:tc>
          <w:tcPr>
            <w:tcW w:w="6520" w:type="dxa"/>
          </w:tcPr>
          <w:p w:rsidR="0015426B" w:rsidRPr="00635267" w:rsidRDefault="0015426B" w:rsidP="00777835">
            <w:r w:rsidRPr="00635267">
              <w:t>MK noteikumu grozījumi ir publicēti Valsts kases mājas lapā internetā sadaļā Sabiedrības līdzdalība/Tiesību aktu projekti.</w:t>
            </w:r>
          </w:p>
          <w:p w:rsidR="00A36294" w:rsidRPr="00635267" w:rsidRDefault="0015426B" w:rsidP="00137C62">
            <w:r w:rsidRPr="00635267">
              <w:t xml:space="preserve">Pēc MK noteikumu grozījumu apstiprināšanas tie tiks publicēti Valsts kases mājas lapā internetā un </w:t>
            </w:r>
            <w:r w:rsidR="00C012D7" w:rsidRPr="00635267">
              <w:t>M</w:t>
            </w:r>
            <w:r w:rsidRPr="00635267">
              <w:t xml:space="preserve">inistriju, centrālo valsts iestāžu un pašvaldību budžeta pārskatu informācijas sistēmā </w:t>
            </w:r>
            <w:r w:rsidRPr="00635267">
              <w:lastRenderedPageBreak/>
              <w:t>(</w:t>
            </w:r>
            <w:proofErr w:type="spellStart"/>
            <w:r w:rsidRPr="00635267">
              <w:t>ePārskati</w:t>
            </w:r>
            <w:proofErr w:type="spellEnd"/>
            <w:r w:rsidRPr="00635267">
              <w:t>)</w:t>
            </w:r>
            <w:r w:rsidR="00137C62" w:rsidRPr="00635267">
              <w:t>.</w:t>
            </w:r>
          </w:p>
        </w:tc>
      </w:tr>
      <w:tr w:rsidR="00A36294" w:rsidRPr="00635267" w:rsidTr="00BF1454">
        <w:tc>
          <w:tcPr>
            <w:tcW w:w="567" w:type="dxa"/>
          </w:tcPr>
          <w:p w:rsidR="00A36294" w:rsidRPr="00635267" w:rsidRDefault="00A36294" w:rsidP="00BF1454">
            <w:r w:rsidRPr="00635267">
              <w:lastRenderedPageBreak/>
              <w:t>2.</w:t>
            </w:r>
          </w:p>
        </w:tc>
        <w:tc>
          <w:tcPr>
            <w:tcW w:w="2694" w:type="dxa"/>
          </w:tcPr>
          <w:p w:rsidR="00A36294" w:rsidRPr="00635267" w:rsidRDefault="00A36294" w:rsidP="00777835">
            <w:r w:rsidRPr="00635267">
              <w:t>Sabiedrības līdzdalība projekta izstrādē</w:t>
            </w:r>
          </w:p>
        </w:tc>
        <w:tc>
          <w:tcPr>
            <w:tcW w:w="6520" w:type="dxa"/>
          </w:tcPr>
          <w:p w:rsidR="00BF2DC9" w:rsidRPr="00635267" w:rsidRDefault="00137C62" w:rsidP="0015426B">
            <w:pPr>
              <w:pStyle w:val="tv213"/>
              <w:spacing w:before="0" w:beforeAutospacing="0" w:after="0" w:afterAutospacing="0"/>
            </w:pPr>
            <w:r w:rsidRPr="00635267">
              <w:t>Projekts šo jomu neskar.</w:t>
            </w:r>
          </w:p>
        </w:tc>
      </w:tr>
      <w:tr w:rsidR="00A36294" w:rsidRPr="00635267" w:rsidTr="00BF1454">
        <w:tc>
          <w:tcPr>
            <w:tcW w:w="567" w:type="dxa"/>
          </w:tcPr>
          <w:p w:rsidR="00A36294" w:rsidRPr="00635267" w:rsidRDefault="00A36294" w:rsidP="00BF1454">
            <w:r w:rsidRPr="00635267">
              <w:t>3.</w:t>
            </w:r>
          </w:p>
        </w:tc>
        <w:tc>
          <w:tcPr>
            <w:tcW w:w="2694" w:type="dxa"/>
          </w:tcPr>
          <w:p w:rsidR="00A36294" w:rsidRPr="00635267" w:rsidRDefault="00A36294" w:rsidP="00777835">
            <w:r w:rsidRPr="00635267">
              <w:t>Sabiedrības līdzdalības rezultāti</w:t>
            </w:r>
          </w:p>
        </w:tc>
        <w:tc>
          <w:tcPr>
            <w:tcW w:w="6520" w:type="dxa"/>
          </w:tcPr>
          <w:p w:rsidR="0015426B" w:rsidRPr="00635267" w:rsidRDefault="0015426B" w:rsidP="00FB1E24">
            <w:r w:rsidRPr="00635267">
              <w:t>Nav.</w:t>
            </w:r>
          </w:p>
          <w:p w:rsidR="00BF2DC9" w:rsidRPr="00635267" w:rsidRDefault="00BF2DC9" w:rsidP="00FB1E24">
            <w:pPr>
              <w:pStyle w:val="tv213"/>
              <w:spacing w:before="0" w:beforeAutospacing="0" w:after="0" w:afterAutospacing="0"/>
            </w:pPr>
          </w:p>
        </w:tc>
      </w:tr>
      <w:tr w:rsidR="00A36294" w:rsidRPr="00635267" w:rsidTr="00BF1454">
        <w:tc>
          <w:tcPr>
            <w:tcW w:w="567" w:type="dxa"/>
          </w:tcPr>
          <w:p w:rsidR="00A36294" w:rsidRPr="00635267" w:rsidRDefault="00A36294" w:rsidP="00BF1454">
            <w:r w:rsidRPr="00635267">
              <w:t>4.</w:t>
            </w:r>
          </w:p>
        </w:tc>
        <w:tc>
          <w:tcPr>
            <w:tcW w:w="2694" w:type="dxa"/>
          </w:tcPr>
          <w:p w:rsidR="00A36294" w:rsidRPr="00635267" w:rsidRDefault="00A36294" w:rsidP="00777835">
            <w:r w:rsidRPr="00635267">
              <w:t>Cita informācija</w:t>
            </w:r>
          </w:p>
        </w:tc>
        <w:tc>
          <w:tcPr>
            <w:tcW w:w="6520" w:type="dxa"/>
          </w:tcPr>
          <w:p w:rsidR="00A36294" w:rsidRPr="00635267" w:rsidRDefault="00F94C9D" w:rsidP="00777835">
            <w:pPr>
              <w:pStyle w:val="tvhtml"/>
            </w:pPr>
            <w:r w:rsidRPr="00635267">
              <w:t>Nav</w:t>
            </w:r>
          </w:p>
        </w:tc>
      </w:tr>
    </w:tbl>
    <w:p w:rsidR="008766F2" w:rsidRPr="009D33FA" w:rsidRDefault="008766F2">
      <w:pPr>
        <w:rPr>
          <w:b/>
          <w:bCs/>
          <w:i/>
          <w:i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28"/>
        <w:gridCol w:w="6595"/>
      </w:tblGrid>
      <w:tr w:rsidR="00B51A83" w:rsidRPr="001910F3" w:rsidTr="00CE1DE1">
        <w:tc>
          <w:tcPr>
            <w:tcW w:w="9781" w:type="dxa"/>
            <w:gridSpan w:val="3"/>
            <w:shd w:val="clear" w:color="auto" w:fill="auto"/>
          </w:tcPr>
          <w:p w:rsidR="00B51A83" w:rsidRPr="001910F3" w:rsidRDefault="00B51A83" w:rsidP="00D0288E">
            <w:pPr>
              <w:jc w:val="center"/>
            </w:pPr>
            <w:r w:rsidRPr="001910F3">
              <w:rPr>
                <w:b/>
                <w:bCs/>
              </w:rPr>
              <w:t>VII. Tiesību akta projekta izpildes nodrošināšana un tās ietekme uz institūcijām</w:t>
            </w:r>
          </w:p>
        </w:tc>
      </w:tr>
      <w:tr w:rsidR="00B51A83" w:rsidRPr="001910F3" w:rsidTr="00CE1DE1">
        <w:tc>
          <w:tcPr>
            <w:tcW w:w="458" w:type="dxa"/>
            <w:shd w:val="clear" w:color="auto" w:fill="auto"/>
          </w:tcPr>
          <w:p w:rsidR="00B51A83" w:rsidRPr="001910F3" w:rsidRDefault="00B51A83" w:rsidP="00D0288E">
            <w:pPr>
              <w:pStyle w:val="NormalWeb"/>
            </w:pPr>
            <w:r w:rsidRPr="001910F3">
              <w:t>1.</w:t>
            </w:r>
          </w:p>
        </w:tc>
        <w:tc>
          <w:tcPr>
            <w:tcW w:w="2728" w:type="dxa"/>
            <w:shd w:val="clear" w:color="auto" w:fill="auto"/>
          </w:tcPr>
          <w:p w:rsidR="00B51A83" w:rsidRPr="001910F3" w:rsidRDefault="00B51A83" w:rsidP="00D0288E">
            <w:pPr>
              <w:pStyle w:val="NormalWeb"/>
            </w:pPr>
            <w:proofErr w:type="spellStart"/>
            <w:r w:rsidRPr="001910F3">
              <w:t>Projekta</w:t>
            </w:r>
            <w:proofErr w:type="spellEnd"/>
            <w:r w:rsidRPr="001910F3">
              <w:t xml:space="preserve"> </w:t>
            </w:r>
            <w:proofErr w:type="spellStart"/>
            <w:r w:rsidRPr="001910F3">
              <w:t>izpildē</w:t>
            </w:r>
            <w:proofErr w:type="spellEnd"/>
            <w:r w:rsidRPr="001910F3">
              <w:t xml:space="preserve"> </w:t>
            </w:r>
            <w:proofErr w:type="spellStart"/>
            <w:r w:rsidRPr="001910F3">
              <w:t>iesaistītās</w:t>
            </w:r>
            <w:proofErr w:type="spellEnd"/>
            <w:r w:rsidRPr="001910F3">
              <w:t xml:space="preserve"> </w:t>
            </w:r>
            <w:proofErr w:type="spellStart"/>
            <w:r w:rsidRPr="001910F3">
              <w:t>institūcijas</w:t>
            </w:r>
            <w:proofErr w:type="spellEnd"/>
          </w:p>
        </w:tc>
        <w:tc>
          <w:tcPr>
            <w:tcW w:w="6595" w:type="dxa"/>
            <w:shd w:val="clear" w:color="auto" w:fill="auto"/>
          </w:tcPr>
          <w:p w:rsidR="00B51A83" w:rsidRPr="001910F3" w:rsidRDefault="00B51A83" w:rsidP="00D0288E">
            <w:pPr>
              <w:pStyle w:val="NormalWeb"/>
              <w:jc w:val="both"/>
            </w:pPr>
            <w:r w:rsidRPr="00D54F54">
              <w:t xml:space="preserve">Budžeta </w:t>
            </w:r>
            <w:proofErr w:type="spellStart"/>
            <w:r w:rsidRPr="00D54F54">
              <w:t>iestādes</w:t>
            </w:r>
            <w:proofErr w:type="spellEnd"/>
            <w:r w:rsidRPr="00D54F54">
              <w:t>,</w:t>
            </w:r>
            <w:r w:rsidR="000653D0">
              <w:t xml:space="preserve"> t.sk. </w:t>
            </w:r>
            <w:proofErr w:type="spellStart"/>
            <w:proofErr w:type="gramStart"/>
            <w:r w:rsidR="000653D0">
              <w:t>publiskie</w:t>
            </w:r>
            <w:proofErr w:type="spellEnd"/>
            <w:proofErr w:type="gramEnd"/>
            <w:r w:rsidR="000653D0">
              <w:t xml:space="preserve"> </w:t>
            </w:r>
            <w:proofErr w:type="spellStart"/>
            <w:r w:rsidR="000653D0">
              <w:t>nodibinājumi</w:t>
            </w:r>
            <w:proofErr w:type="spellEnd"/>
            <w:r w:rsidR="000653D0">
              <w:t>,</w:t>
            </w:r>
            <w:r w:rsidRPr="00D54F54">
              <w:t xml:space="preserve"> </w:t>
            </w:r>
            <w:proofErr w:type="spellStart"/>
            <w:r>
              <w:t>pašvaldības</w:t>
            </w:r>
            <w:proofErr w:type="spellEnd"/>
            <w:r>
              <w:t xml:space="preserve">, </w:t>
            </w:r>
            <w:r w:rsidRPr="00D54F54">
              <w:t xml:space="preserve">no </w:t>
            </w:r>
            <w:proofErr w:type="spellStart"/>
            <w:r>
              <w:t>valsts</w:t>
            </w:r>
            <w:proofErr w:type="spellEnd"/>
            <w:r>
              <w:t xml:space="preserve"> </w:t>
            </w:r>
            <w:proofErr w:type="spellStart"/>
            <w:r w:rsidRPr="00D54F54">
              <w:t>budžeta</w:t>
            </w:r>
            <w:proofErr w:type="spellEnd"/>
            <w:r w:rsidRPr="00D54F54">
              <w:t xml:space="preserve"> </w:t>
            </w:r>
            <w:proofErr w:type="spellStart"/>
            <w:r w:rsidRPr="00D54F54">
              <w:t>daļēji</w:t>
            </w:r>
            <w:proofErr w:type="spellEnd"/>
            <w:r w:rsidRPr="00D54F54">
              <w:t xml:space="preserve"> </w:t>
            </w:r>
            <w:proofErr w:type="spellStart"/>
            <w:r w:rsidRPr="00D54F54">
              <w:t>finansētas</w:t>
            </w:r>
            <w:proofErr w:type="spellEnd"/>
            <w:r w:rsidRPr="00D54F54">
              <w:t xml:space="preserve"> </w:t>
            </w:r>
            <w:proofErr w:type="spellStart"/>
            <w:r w:rsidRPr="00D54F54">
              <w:t>atvasinātas</w:t>
            </w:r>
            <w:proofErr w:type="spellEnd"/>
            <w:r w:rsidRPr="00D54F54">
              <w:t xml:space="preserve"> </w:t>
            </w:r>
            <w:proofErr w:type="spellStart"/>
            <w:r w:rsidRPr="00D54F54">
              <w:t>publiskas</w:t>
            </w:r>
            <w:proofErr w:type="spellEnd"/>
            <w:r w:rsidRPr="00D54F54">
              <w:t xml:space="preserve"> personas  un </w:t>
            </w:r>
            <w:proofErr w:type="spellStart"/>
            <w:r w:rsidRPr="00D54F54">
              <w:t>budžeta</w:t>
            </w:r>
            <w:proofErr w:type="spellEnd"/>
            <w:r w:rsidRPr="00D54F54">
              <w:t xml:space="preserve"> </w:t>
            </w:r>
            <w:proofErr w:type="spellStart"/>
            <w:r w:rsidRPr="00D54F54">
              <w:t>nefinansētas</w:t>
            </w:r>
            <w:proofErr w:type="spellEnd"/>
            <w:r w:rsidRPr="00D54F54">
              <w:t xml:space="preserve"> </w:t>
            </w:r>
            <w:proofErr w:type="spellStart"/>
            <w:r w:rsidRPr="00D54F54">
              <w:t>iestādes</w:t>
            </w:r>
            <w:proofErr w:type="spellEnd"/>
            <w:r>
              <w:t xml:space="preserve">, </w:t>
            </w:r>
            <w:proofErr w:type="spellStart"/>
            <w:r>
              <w:t>ministrijas</w:t>
            </w:r>
            <w:proofErr w:type="spellEnd"/>
            <w:r>
              <w:t xml:space="preserve"> un </w:t>
            </w:r>
            <w:proofErr w:type="spellStart"/>
            <w:r>
              <w:t>citas</w:t>
            </w:r>
            <w:proofErr w:type="spellEnd"/>
            <w:r>
              <w:t xml:space="preserve"> </w:t>
            </w:r>
            <w:proofErr w:type="spellStart"/>
            <w:r>
              <w:t>centrālās</w:t>
            </w:r>
            <w:proofErr w:type="spellEnd"/>
            <w:r>
              <w:t xml:space="preserve"> </w:t>
            </w:r>
            <w:proofErr w:type="spellStart"/>
            <w:r>
              <w:t>valsts</w:t>
            </w:r>
            <w:proofErr w:type="spellEnd"/>
            <w:r>
              <w:t xml:space="preserve"> </w:t>
            </w:r>
            <w:proofErr w:type="spellStart"/>
            <w:r>
              <w:t>iestādes</w:t>
            </w:r>
            <w:proofErr w:type="spellEnd"/>
            <w:r>
              <w:t>.</w:t>
            </w:r>
          </w:p>
        </w:tc>
      </w:tr>
      <w:tr w:rsidR="00B51A83" w:rsidRPr="001910F3" w:rsidTr="00CE1DE1">
        <w:tc>
          <w:tcPr>
            <w:tcW w:w="458" w:type="dxa"/>
            <w:shd w:val="clear" w:color="auto" w:fill="auto"/>
          </w:tcPr>
          <w:p w:rsidR="00B51A83" w:rsidRPr="001910F3" w:rsidRDefault="00B51A83" w:rsidP="00D0288E">
            <w:pPr>
              <w:pStyle w:val="NormalWeb"/>
            </w:pPr>
            <w:r w:rsidRPr="001910F3">
              <w:t>2.</w:t>
            </w:r>
          </w:p>
        </w:tc>
        <w:tc>
          <w:tcPr>
            <w:tcW w:w="2728" w:type="dxa"/>
            <w:shd w:val="clear" w:color="auto" w:fill="auto"/>
          </w:tcPr>
          <w:p w:rsidR="00B51A83" w:rsidRPr="001910F3" w:rsidRDefault="00B51A83" w:rsidP="00D0288E">
            <w:r w:rsidRPr="001910F3">
              <w:t>Projekta izpildes ietekme uz pārvaldes funkcijām</w:t>
            </w:r>
            <w:r>
              <w:t xml:space="preserve"> </w:t>
            </w:r>
            <w:r w:rsidRPr="00AD3EFF">
              <w:t>un institucionālo struktūru. Jaunu institūciju izveide, esošu institūciju likvidācija vai reorganizācija, to ietekme uz institūcijas cilvēkresursiem</w:t>
            </w:r>
          </w:p>
        </w:tc>
        <w:tc>
          <w:tcPr>
            <w:tcW w:w="6595" w:type="dxa"/>
            <w:shd w:val="clear" w:color="auto" w:fill="auto"/>
          </w:tcPr>
          <w:p w:rsidR="00B51A83" w:rsidRPr="001910F3" w:rsidRDefault="00B51A83" w:rsidP="00D0288E">
            <w:pPr>
              <w:pStyle w:val="NormalWeb"/>
            </w:pPr>
            <w:proofErr w:type="spellStart"/>
            <w:r w:rsidRPr="001910F3">
              <w:t>Projekts</w:t>
            </w:r>
            <w:proofErr w:type="spellEnd"/>
            <w:r w:rsidRPr="001910F3">
              <w:t xml:space="preserve"> </w:t>
            </w:r>
            <w:proofErr w:type="spellStart"/>
            <w:r w:rsidRPr="001910F3">
              <w:t>šo</w:t>
            </w:r>
            <w:proofErr w:type="spellEnd"/>
            <w:r w:rsidRPr="001910F3">
              <w:t xml:space="preserve"> </w:t>
            </w:r>
            <w:proofErr w:type="spellStart"/>
            <w:r w:rsidRPr="001910F3">
              <w:t>jomu</w:t>
            </w:r>
            <w:proofErr w:type="spellEnd"/>
            <w:r w:rsidRPr="001910F3">
              <w:t xml:space="preserve"> </w:t>
            </w:r>
            <w:proofErr w:type="spellStart"/>
            <w:r w:rsidRPr="001910F3">
              <w:t>neskar</w:t>
            </w:r>
            <w:proofErr w:type="spellEnd"/>
          </w:p>
        </w:tc>
      </w:tr>
      <w:tr w:rsidR="00B51A83" w:rsidRPr="001910F3" w:rsidTr="00CE1DE1">
        <w:tc>
          <w:tcPr>
            <w:tcW w:w="458" w:type="dxa"/>
            <w:shd w:val="clear" w:color="auto" w:fill="auto"/>
          </w:tcPr>
          <w:p w:rsidR="00B51A83" w:rsidRPr="001910F3" w:rsidRDefault="00B51A83" w:rsidP="00D0288E">
            <w:pPr>
              <w:pStyle w:val="NormalWeb"/>
            </w:pPr>
            <w:r>
              <w:t>3</w:t>
            </w:r>
            <w:r w:rsidRPr="001910F3">
              <w:t>.</w:t>
            </w:r>
          </w:p>
        </w:tc>
        <w:tc>
          <w:tcPr>
            <w:tcW w:w="2728" w:type="dxa"/>
            <w:shd w:val="clear" w:color="auto" w:fill="auto"/>
          </w:tcPr>
          <w:p w:rsidR="00B51A83" w:rsidRPr="001910F3" w:rsidRDefault="00B51A83" w:rsidP="00D0288E">
            <w:pPr>
              <w:pStyle w:val="NormalWeb"/>
              <w:spacing w:before="0" w:beforeAutospacing="0" w:after="0" w:afterAutospacing="0"/>
            </w:pPr>
            <w:proofErr w:type="spellStart"/>
            <w:r w:rsidRPr="001910F3">
              <w:t>Cita</w:t>
            </w:r>
            <w:proofErr w:type="spellEnd"/>
            <w:r w:rsidRPr="001910F3">
              <w:t xml:space="preserve"> </w:t>
            </w:r>
            <w:proofErr w:type="spellStart"/>
            <w:r w:rsidRPr="001910F3">
              <w:t>informācija</w:t>
            </w:r>
            <w:proofErr w:type="spellEnd"/>
          </w:p>
        </w:tc>
        <w:tc>
          <w:tcPr>
            <w:tcW w:w="6595" w:type="dxa"/>
            <w:shd w:val="clear" w:color="auto" w:fill="auto"/>
          </w:tcPr>
          <w:p w:rsidR="00B51A83" w:rsidRPr="001910F3" w:rsidRDefault="00B51A83" w:rsidP="00D0288E">
            <w:pPr>
              <w:pStyle w:val="NormalWeb"/>
            </w:pPr>
            <w:proofErr w:type="spellStart"/>
            <w:r w:rsidRPr="001910F3">
              <w:t>Nav</w:t>
            </w:r>
            <w:proofErr w:type="spellEnd"/>
          </w:p>
        </w:tc>
      </w:tr>
    </w:tbl>
    <w:p w:rsidR="008766F2" w:rsidRDefault="008766F2">
      <w:pPr>
        <w:pStyle w:val="NormalWeb"/>
        <w:spacing w:before="0" w:beforeAutospacing="0" w:after="0" w:afterAutospacing="0"/>
        <w:rPr>
          <w:sz w:val="28"/>
          <w:szCs w:val="28"/>
          <w:lang w:val="lv-LV"/>
        </w:rPr>
      </w:pPr>
    </w:p>
    <w:p w:rsidR="001B442A" w:rsidRPr="00635267" w:rsidRDefault="001B442A" w:rsidP="001B442A">
      <w:pPr>
        <w:rPr>
          <w:bCs/>
          <w:iCs/>
        </w:rPr>
      </w:pPr>
      <w:r w:rsidRPr="00635267">
        <w:rPr>
          <w:bCs/>
          <w:iCs/>
        </w:rPr>
        <w:t>III, IV, V sadaļa – Projekts šīs jomas neskar.</w:t>
      </w:r>
    </w:p>
    <w:p w:rsidR="008C0DC4" w:rsidRPr="005E702B" w:rsidRDefault="008C0DC4">
      <w:pPr>
        <w:pStyle w:val="BodyText2"/>
      </w:pPr>
    </w:p>
    <w:p w:rsidR="008766F2" w:rsidRPr="00AF5AA2" w:rsidRDefault="00AF5AA2">
      <w:pPr>
        <w:pStyle w:val="BodyText2"/>
      </w:pPr>
      <w:r>
        <w:t>Finanšu ministrs</w:t>
      </w:r>
      <w:r>
        <w:tab/>
      </w:r>
      <w:r>
        <w:tab/>
      </w:r>
      <w:r>
        <w:tab/>
      </w:r>
      <w:r>
        <w:tab/>
      </w:r>
      <w:r>
        <w:tab/>
      </w:r>
      <w:r>
        <w:tab/>
      </w:r>
      <w:r w:rsidR="00CD5927">
        <w:tab/>
      </w:r>
      <w:r w:rsidR="00CD5927">
        <w:tab/>
      </w:r>
      <w:r>
        <w:tab/>
        <w:t>A.Vilks</w:t>
      </w:r>
    </w:p>
    <w:p w:rsidR="00CD5927" w:rsidRDefault="00CD5927" w:rsidP="00CD5927">
      <w:pPr>
        <w:jc w:val="both"/>
        <w:rPr>
          <w:sz w:val="22"/>
          <w:szCs w:val="20"/>
        </w:rPr>
      </w:pPr>
    </w:p>
    <w:p w:rsidR="008D1D6C" w:rsidRDefault="008D1D6C" w:rsidP="00CD5927">
      <w:pPr>
        <w:jc w:val="both"/>
        <w:rPr>
          <w:sz w:val="22"/>
          <w:szCs w:val="20"/>
        </w:rPr>
      </w:pPr>
    </w:p>
    <w:p w:rsidR="0084198D" w:rsidRDefault="0084198D" w:rsidP="00CD5927">
      <w:pPr>
        <w:jc w:val="both"/>
        <w:rPr>
          <w:sz w:val="22"/>
          <w:szCs w:val="20"/>
        </w:rPr>
      </w:pPr>
    </w:p>
    <w:p w:rsidR="008C0DC4" w:rsidRDefault="008C0DC4" w:rsidP="00CD5927">
      <w:pPr>
        <w:jc w:val="both"/>
        <w:rPr>
          <w:sz w:val="22"/>
          <w:szCs w:val="20"/>
        </w:rPr>
      </w:pPr>
    </w:p>
    <w:p w:rsidR="008D1D6C" w:rsidRDefault="008D1D6C" w:rsidP="00CD5927">
      <w:pPr>
        <w:jc w:val="both"/>
        <w:rPr>
          <w:sz w:val="22"/>
          <w:szCs w:val="20"/>
        </w:rPr>
      </w:pPr>
    </w:p>
    <w:p w:rsidR="008D1D6C" w:rsidRDefault="008D1D6C" w:rsidP="00CD5927">
      <w:pPr>
        <w:jc w:val="both"/>
        <w:rPr>
          <w:sz w:val="22"/>
          <w:szCs w:val="20"/>
        </w:rPr>
      </w:pPr>
    </w:p>
    <w:p w:rsidR="00BE143A" w:rsidRDefault="00635267" w:rsidP="00CD5927">
      <w:pPr>
        <w:jc w:val="both"/>
        <w:rPr>
          <w:sz w:val="22"/>
          <w:szCs w:val="20"/>
        </w:rPr>
      </w:pPr>
      <w:r>
        <w:rPr>
          <w:sz w:val="22"/>
          <w:szCs w:val="20"/>
        </w:rPr>
        <w:t>16.09</w:t>
      </w:r>
      <w:r w:rsidR="00DC3C86" w:rsidRPr="00665450">
        <w:rPr>
          <w:sz w:val="22"/>
          <w:szCs w:val="20"/>
        </w:rPr>
        <w:t>.201</w:t>
      </w:r>
      <w:r w:rsidR="00B51A83">
        <w:rPr>
          <w:sz w:val="22"/>
          <w:szCs w:val="20"/>
        </w:rPr>
        <w:t>4</w:t>
      </w:r>
      <w:r w:rsidR="00846E9B">
        <w:rPr>
          <w:sz w:val="22"/>
          <w:szCs w:val="20"/>
        </w:rPr>
        <w:t>.</w:t>
      </w:r>
      <w:r w:rsidR="00BE143A" w:rsidRPr="00665450">
        <w:rPr>
          <w:sz w:val="22"/>
          <w:szCs w:val="20"/>
        </w:rPr>
        <w:t xml:space="preserve">  </w:t>
      </w:r>
      <w:r>
        <w:rPr>
          <w:sz w:val="22"/>
          <w:szCs w:val="20"/>
        </w:rPr>
        <w:t>09</w:t>
      </w:r>
      <w:r w:rsidR="00BE143A" w:rsidRPr="00665450">
        <w:rPr>
          <w:sz w:val="22"/>
          <w:szCs w:val="20"/>
        </w:rPr>
        <w:t>:</w:t>
      </w:r>
      <w:r w:rsidR="002E28E3">
        <w:rPr>
          <w:sz w:val="22"/>
          <w:szCs w:val="20"/>
        </w:rPr>
        <w:t>35</w:t>
      </w:r>
      <w:bookmarkStart w:id="0" w:name="_GoBack"/>
      <w:bookmarkEnd w:id="0"/>
    </w:p>
    <w:p w:rsidR="008766F2" w:rsidRDefault="00AF5AA2" w:rsidP="00CD5927">
      <w:pPr>
        <w:jc w:val="both"/>
        <w:rPr>
          <w:sz w:val="22"/>
          <w:szCs w:val="20"/>
        </w:rPr>
      </w:pPr>
      <w:r>
        <w:rPr>
          <w:sz w:val="22"/>
        </w:rPr>
        <w:fldChar w:fldCharType="begin"/>
      </w:r>
      <w:r w:rsidRPr="00AC7B9C">
        <w:rPr>
          <w:sz w:val="22"/>
          <w:lang w:val="fr-FR"/>
        </w:rPr>
        <w:instrText xml:space="preserve"> NUMWORDS  \* MERGEFORMAT </w:instrText>
      </w:r>
      <w:r>
        <w:rPr>
          <w:sz w:val="22"/>
        </w:rPr>
        <w:fldChar w:fldCharType="separate"/>
      </w:r>
      <w:r w:rsidR="00635267" w:rsidRPr="00635267">
        <w:rPr>
          <w:noProof/>
          <w:sz w:val="22"/>
          <w:szCs w:val="20"/>
        </w:rPr>
        <w:t>750</w:t>
      </w:r>
      <w:r>
        <w:rPr>
          <w:sz w:val="22"/>
        </w:rPr>
        <w:fldChar w:fldCharType="end"/>
      </w:r>
    </w:p>
    <w:p w:rsidR="008766F2" w:rsidRDefault="005A601A" w:rsidP="00CD5927">
      <w:pPr>
        <w:jc w:val="both"/>
        <w:rPr>
          <w:sz w:val="22"/>
          <w:szCs w:val="20"/>
        </w:rPr>
      </w:pPr>
      <w:r>
        <w:rPr>
          <w:sz w:val="22"/>
          <w:szCs w:val="20"/>
        </w:rPr>
        <w:t>S.K</w:t>
      </w:r>
      <w:r w:rsidR="008910D7">
        <w:rPr>
          <w:sz w:val="22"/>
          <w:szCs w:val="20"/>
        </w:rPr>
        <w:t>rūmiņa-</w:t>
      </w:r>
      <w:proofErr w:type="spellStart"/>
      <w:r w:rsidR="008910D7">
        <w:rPr>
          <w:sz w:val="22"/>
          <w:szCs w:val="20"/>
        </w:rPr>
        <w:t>Pēkšena</w:t>
      </w:r>
      <w:proofErr w:type="spellEnd"/>
    </w:p>
    <w:p w:rsidR="008766F2" w:rsidRDefault="00AF5AA2" w:rsidP="00CD5927">
      <w:pPr>
        <w:pStyle w:val="BodyText"/>
        <w:jc w:val="left"/>
        <w:rPr>
          <w:b w:val="0"/>
          <w:bCs w:val="0"/>
          <w:sz w:val="22"/>
        </w:rPr>
      </w:pPr>
      <w:r>
        <w:rPr>
          <w:b w:val="0"/>
          <w:bCs w:val="0"/>
          <w:sz w:val="22"/>
        </w:rPr>
        <w:t>67094</w:t>
      </w:r>
      <w:r w:rsidR="008910D7">
        <w:rPr>
          <w:b w:val="0"/>
          <w:bCs w:val="0"/>
          <w:sz w:val="22"/>
        </w:rPr>
        <w:t>384</w:t>
      </w:r>
      <w:r>
        <w:rPr>
          <w:b w:val="0"/>
          <w:bCs w:val="0"/>
          <w:sz w:val="22"/>
        </w:rPr>
        <w:t xml:space="preserve">; </w:t>
      </w:r>
      <w:r w:rsidR="008910D7">
        <w:rPr>
          <w:b w:val="0"/>
          <w:bCs w:val="0"/>
          <w:sz w:val="22"/>
        </w:rPr>
        <w:t>sandija.krumina-peksena</w:t>
      </w:r>
      <w:r>
        <w:rPr>
          <w:b w:val="0"/>
          <w:bCs w:val="0"/>
          <w:sz w:val="22"/>
        </w:rPr>
        <w:t>@kase.gov.lv</w:t>
      </w:r>
    </w:p>
    <w:sectPr w:rsidR="008766F2">
      <w:headerReference w:type="default" r:id="rId8"/>
      <w:footerReference w:type="default" r:id="rId9"/>
      <w:footerReference w:type="first" r:id="rId10"/>
      <w:pgSz w:w="11906" w:h="16838"/>
      <w:pgMar w:top="1438"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6B" w:rsidRDefault="0096586B">
      <w:r>
        <w:separator/>
      </w:r>
    </w:p>
  </w:endnote>
  <w:endnote w:type="continuationSeparator" w:id="0">
    <w:p w:rsidR="0096586B" w:rsidRDefault="0096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6B" w:rsidRDefault="00DD04DB" w:rsidP="00CE1DE1">
    <w:pPr>
      <w:spacing w:before="60" w:after="60"/>
      <w:ind w:left="-567" w:right="-908"/>
      <w:jc w:val="both"/>
      <w:rPr>
        <w:sz w:val="22"/>
        <w:szCs w:val="22"/>
      </w:rPr>
    </w:pPr>
    <w:r>
      <w:rPr>
        <w:sz w:val="22"/>
        <w:szCs w:val="22"/>
      </w:rPr>
      <w:t>FMAnot_</w:t>
    </w:r>
    <w:r w:rsidR="00635267">
      <w:rPr>
        <w:sz w:val="22"/>
        <w:szCs w:val="22"/>
      </w:rPr>
      <w:t>1609</w:t>
    </w:r>
    <w:r>
      <w:rPr>
        <w:sz w:val="22"/>
        <w:szCs w:val="22"/>
      </w:rPr>
      <w:t>14</w:t>
    </w:r>
    <w:r w:rsidR="0096586B">
      <w:rPr>
        <w:sz w:val="22"/>
        <w:szCs w:val="22"/>
      </w:rPr>
      <w:t>; Ministru kabineta noteikumu projekta “</w:t>
    </w:r>
    <w:r w:rsidR="00D457A3">
      <w:rPr>
        <w:sz w:val="22"/>
        <w:szCs w:val="22"/>
      </w:rPr>
      <w:t>Grozījumi Ministru kabineta 2010. gada 17</w:t>
    </w:r>
    <w:r w:rsidR="0096586B">
      <w:rPr>
        <w:sz w:val="22"/>
        <w:szCs w:val="22"/>
      </w:rPr>
      <w:t>. </w:t>
    </w:r>
    <w:r w:rsidR="00D457A3">
      <w:rPr>
        <w:sz w:val="22"/>
        <w:szCs w:val="22"/>
      </w:rPr>
      <w:t>augusta</w:t>
    </w:r>
    <w:r w:rsidR="0096586B">
      <w:rPr>
        <w:sz w:val="22"/>
        <w:szCs w:val="22"/>
      </w:rPr>
      <w:t xml:space="preserve"> noteikumos Nr. </w:t>
    </w:r>
    <w:r w:rsidR="00D457A3">
      <w:rPr>
        <w:sz w:val="22"/>
        <w:szCs w:val="22"/>
      </w:rPr>
      <w:t>776</w:t>
    </w:r>
    <w:r w:rsidR="0096586B">
      <w:rPr>
        <w:sz w:val="22"/>
        <w:szCs w:val="22"/>
      </w:rPr>
      <w:t xml:space="preserve"> “</w:t>
    </w:r>
    <w:r w:rsidR="00D457A3">
      <w:rPr>
        <w:sz w:val="22"/>
        <w:szCs w:val="22"/>
      </w:rPr>
      <w:t>Mēneša pārskatu sagatavošanas un iesniegšanas kārtība</w:t>
    </w:r>
    <w:r w:rsidR="0096586B">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6B" w:rsidRPr="004B3ED8" w:rsidRDefault="009E6384" w:rsidP="00CE1DE1">
    <w:pPr>
      <w:spacing w:before="60" w:after="60"/>
      <w:ind w:left="-567" w:right="-908"/>
      <w:jc w:val="both"/>
      <w:rPr>
        <w:sz w:val="22"/>
        <w:szCs w:val="22"/>
      </w:rPr>
    </w:pPr>
    <w:r>
      <w:rPr>
        <w:sz w:val="22"/>
        <w:szCs w:val="22"/>
      </w:rPr>
      <w:t>FMAnot_</w:t>
    </w:r>
    <w:r w:rsidR="00635267">
      <w:rPr>
        <w:sz w:val="22"/>
        <w:szCs w:val="22"/>
      </w:rPr>
      <w:t>1609</w:t>
    </w:r>
    <w:r>
      <w:rPr>
        <w:sz w:val="22"/>
        <w:szCs w:val="22"/>
      </w:rPr>
      <w:t>14</w:t>
    </w:r>
    <w:r w:rsidR="004B3ED8">
      <w:rPr>
        <w:sz w:val="22"/>
        <w:szCs w:val="22"/>
      </w:rPr>
      <w:t>; Ministru kabineta noteikumu projekta “Grozījumi Ministru kabineta 2010. gada 17. augusta noteikumos Nr. 776 “Mēneša pārskatu sagatavošanas un iesniegšanas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6B" w:rsidRDefault="0096586B">
      <w:r>
        <w:separator/>
      </w:r>
    </w:p>
  </w:footnote>
  <w:footnote w:type="continuationSeparator" w:id="0">
    <w:p w:rsidR="0096586B" w:rsidRDefault="0096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6B" w:rsidRDefault="0096586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8E3">
      <w:rPr>
        <w:rStyle w:val="PageNumber"/>
        <w:noProof/>
      </w:rPr>
      <w:t>3</w:t>
    </w:r>
    <w:r>
      <w:rPr>
        <w:rStyle w:val="PageNumber"/>
      </w:rPr>
      <w:fldChar w:fldCharType="end"/>
    </w:r>
  </w:p>
  <w:p w:rsidR="0096586B" w:rsidRDefault="0096586B">
    <w:pPr>
      <w:pStyle w:val="Header"/>
    </w:pPr>
  </w:p>
  <w:p w:rsidR="0096586B" w:rsidRDefault="00965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3">
    <w:nsid w:val="48150E09"/>
    <w:multiLevelType w:val="hybridMultilevel"/>
    <w:tmpl w:val="1A64B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7B2E5B"/>
    <w:multiLevelType w:val="hybridMultilevel"/>
    <w:tmpl w:val="00E46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E"/>
    <w:rsid w:val="00032A89"/>
    <w:rsid w:val="00033E33"/>
    <w:rsid w:val="00037994"/>
    <w:rsid w:val="00061303"/>
    <w:rsid w:val="00061387"/>
    <w:rsid w:val="00062CAA"/>
    <w:rsid w:val="00063831"/>
    <w:rsid w:val="000640CD"/>
    <w:rsid w:val="000653D0"/>
    <w:rsid w:val="00073813"/>
    <w:rsid w:val="00076979"/>
    <w:rsid w:val="00091BAE"/>
    <w:rsid w:val="000D5347"/>
    <w:rsid w:val="00112152"/>
    <w:rsid w:val="00137C62"/>
    <w:rsid w:val="0015426B"/>
    <w:rsid w:val="00170C92"/>
    <w:rsid w:val="00175B57"/>
    <w:rsid w:val="0018233B"/>
    <w:rsid w:val="001A470A"/>
    <w:rsid w:val="001B442A"/>
    <w:rsid w:val="001C79F4"/>
    <w:rsid w:val="001E2284"/>
    <w:rsid w:val="001E2EF6"/>
    <w:rsid w:val="001E3E62"/>
    <w:rsid w:val="0021346B"/>
    <w:rsid w:val="00223A1F"/>
    <w:rsid w:val="00224411"/>
    <w:rsid w:val="00233153"/>
    <w:rsid w:val="00237471"/>
    <w:rsid w:val="002708B4"/>
    <w:rsid w:val="00271557"/>
    <w:rsid w:val="00271B8A"/>
    <w:rsid w:val="00272183"/>
    <w:rsid w:val="00272AC7"/>
    <w:rsid w:val="002763AD"/>
    <w:rsid w:val="002A39D1"/>
    <w:rsid w:val="002D22AA"/>
    <w:rsid w:val="002E0B21"/>
    <w:rsid w:val="002E28E3"/>
    <w:rsid w:val="002E2C3D"/>
    <w:rsid w:val="002E2ECD"/>
    <w:rsid w:val="0031212A"/>
    <w:rsid w:val="003377A8"/>
    <w:rsid w:val="003502AB"/>
    <w:rsid w:val="003A3CFA"/>
    <w:rsid w:val="003A7B97"/>
    <w:rsid w:val="003B6499"/>
    <w:rsid w:val="003D33CE"/>
    <w:rsid w:val="003F5459"/>
    <w:rsid w:val="00436B4B"/>
    <w:rsid w:val="004439E2"/>
    <w:rsid w:val="00451634"/>
    <w:rsid w:val="00455A96"/>
    <w:rsid w:val="004706D2"/>
    <w:rsid w:val="00471A97"/>
    <w:rsid w:val="0047253E"/>
    <w:rsid w:val="0047318B"/>
    <w:rsid w:val="004928EC"/>
    <w:rsid w:val="004950FD"/>
    <w:rsid w:val="00497794"/>
    <w:rsid w:val="004A23F7"/>
    <w:rsid w:val="004A2936"/>
    <w:rsid w:val="004A7D68"/>
    <w:rsid w:val="004B3ED8"/>
    <w:rsid w:val="004D3C6B"/>
    <w:rsid w:val="004D4A04"/>
    <w:rsid w:val="004E4D13"/>
    <w:rsid w:val="004E79F4"/>
    <w:rsid w:val="004F3ED1"/>
    <w:rsid w:val="00533F7E"/>
    <w:rsid w:val="00537286"/>
    <w:rsid w:val="005432FE"/>
    <w:rsid w:val="005502D1"/>
    <w:rsid w:val="005605A3"/>
    <w:rsid w:val="005623FA"/>
    <w:rsid w:val="00575679"/>
    <w:rsid w:val="005920FE"/>
    <w:rsid w:val="005951DC"/>
    <w:rsid w:val="005A33C5"/>
    <w:rsid w:val="005A601A"/>
    <w:rsid w:val="005E201C"/>
    <w:rsid w:val="005E290C"/>
    <w:rsid w:val="005E702B"/>
    <w:rsid w:val="005F154A"/>
    <w:rsid w:val="005F67E4"/>
    <w:rsid w:val="0060125A"/>
    <w:rsid w:val="00620C58"/>
    <w:rsid w:val="00630E1E"/>
    <w:rsid w:val="00635267"/>
    <w:rsid w:val="00641A0C"/>
    <w:rsid w:val="006513BD"/>
    <w:rsid w:val="00655870"/>
    <w:rsid w:val="00665450"/>
    <w:rsid w:val="00671905"/>
    <w:rsid w:val="00673510"/>
    <w:rsid w:val="006741D3"/>
    <w:rsid w:val="006853DE"/>
    <w:rsid w:val="006E777E"/>
    <w:rsid w:val="006F7FFE"/>
    <w:rsid w:val="007003DB"/>
    <w:rsid w:val="00753330"/>
    <w:rsid w:val="00755A13"/>
    <w:rsid w:val="00785009"/>
    <w:rsid w:val="007A2705"/>
    <w:rsid w:val="007A4291"/>
    <w:rsid w:val="007B4A9E"/>
    <w:rsid w:val="007D12D0"/>
    <w:rsid w:val="007D1685"/>
    <w:rsid w:val="007D4A2C"/>
    <w:rsid w:val="007D6231"/>
    <w:rsid w:val="007E791C"/>
    <w:rsid w:val="00802BF4"/>
    <w:rsid w:val="00815BFB"/>
    <w:rsid w:val="0082160B"/>
    <w:rsid w:val="0084198D"/>
    <w:rsid w:val="00846E9B"/>
    <w:rsid w:val="00847452"/>
    <w:rsid w:val="008479C5"/>
    <w:rsid w:val="00847A4C"/>
    <w:rsid w:val="008540BD"/>
    <w:rsid w:val="008557A9"/>
    <w:rsid w:val="00876262"/>
    <w:rsid w:val="008766F2"/>
    <w:rsid w:val="00876D93"/>
    <w:rsid w:val="008910D7"/>
    <w:rsid w:val="008922FB"/>
    <w:rsid w:val="008A1D11"/>
    <w:rsid w:val="008A24F4"/>
    <w:rsid w:val="008C0DC4"/>
    <w:rsid w:val="008D1D6C"/>
    <w:rsid w:val="008E0217"/>
    <w:rsid w:val="008F0908"/>
    <w:rsid w:val="008F5F2F"/>
    <w:rsid w:val="00901F9A"/>
    <w:rsid w:val="00905087"/>
    <w:rsid w:val="0091668F"/>
    <w:rsid w:val="009549D9"/>
    <w:rsid w:val="009553C4"/>
    <w:rsid w:val="0096586B"/>
    <w:rsid w:val="00966E68"/>
    <w:rsid w:val="00984493"/>
    <w:rsid w:val="00992BD4"/>
    <w:rsid w:val="00995238"/>
    <w:rsid w:val="009A10A6"/>
    <w:rsid w:val="009B35B5"/>
    <w:rsid w:val="009C728D"/>
    <w:rsid w:val="009D1309"/>
    <w:rsid w:val="009D33FA"/>
    <w:rsid w:val="009E6384"/>
    <w:rsid w:val="009F517B"/>
    <w:rsid w:val="009F58FC"/>
    <w:rsid w:val="00A0080D"/>
    <w:rsid w:val="00A21538"/>
    <w:rsid w:val="00A21F1F"/>
    <w:rsid w:val="00A36294"/>
    <w:rsid w:val="00A57658"/>
    <w:rsid w:val="00A72207"/>
    <w:rsid w:val="00A72F4A"/>
    <w:rsid w:val="00A75F12"/>
    <w:rsid w:val="00A76D60"/>
    <w:rsid w:val="00A84322"/>
    <w:rsid w:val="00AB7890"/>
    <w:rsid w:val="00AC46E2"/>
    <w:rsid w:val="00AC7B9C"/>
    <w:rsid w:val="00AF13A9"/>
    <w:rsid w:val="00AF1543"/>
    <w:rsid w:val="00AF28C2"/>
    <w:rsid w:val="00AF5AA2"/>
    <w:rsid w:val="00B35316"/>
    <w:rsid w:val="00B407C8"/>
    <w:rsid w:val="00B51A83"/>
    <w:rsid w:val="00B82A10"/>
    <w:rsid w:val="00BB70ED"/>
    <w:rsid w:val="00BC0011"/>
    <w:rsid w:val="00BC29C1"/>
    <w:rsid w:val="00BE143A"/>
    <w:rsid w:val="00BE62DD"/>
    <w:rsid w:val="00BF2DC9"/>
    <w:rsid w:val="00C012D7"/>
    <w:rsid w:val="00C06D31"/>
    <w:rsid w:val="00C34230"/>
    <w:rsid w:val="00C43E05"/>
    <w:rsid w:val="00C62AA8"/>
    <w:rsid w:val="00C84625"/>
    <w:rsid w:val="00C93E80"/>
    <w:rsid w:val="00CA07C4"/>
    <w:rsid w:val="00CA5855"/>
    <w:rsid w:val="00CD0F64"/>
    <w:rsid w:val="00CD5927"/>
    <w:rsid w:val="00CE1DE1"/>
    <w:rsid w:val="00CF1928"/>
    <w:rsid w:val="00CF5F2D"/>
    <w:rsid w:val="00D30B83"/>
    <w:rsid w:val="00D457A3"/>
    <w:rsid w:val="00D46D85"/>
    <w:rsid w:val="00D73DD9"/>
    <w:rsid w:val="00D86685"/>
    <w:rsid w:val="00D9403E"/>
    <w:rsid w:val="00D97753"/>
    <w:rsid w:val="00DA1D1D"/>
    <w:rsid w:val="00DA3E96"/>
    <w:rsid w:val="00DC3C86"/>
    <w:rsid w:val="00DD04DB"/>
    <w:rsid w:val="00DD54D9"/>
    <w:rsid w:val="00DD56FD"/>
    <w:rsid w:val="00DE709B"/>
    <w:rsid w:val="00E66B0F"/>
    <w:rsid w:val="00E77516"/>
    <w:rsid w:val="00EB707C"/>
    <w:rsid w:val="00EB7E98"/>
    <w:rsid w:val="00F038DB"/>
    <w:rsid w:val="00F50640"/>
    <w:rsid w:val="00F574F5"/>
    <w:rsid w:val="00F62FCF"/>
    <w:rsid w:val="00F65293"/>
    <w:rsid w:val="00F67003"/>
    <w:rsid w:val="00F72056"/>
    <w:rsid w:val="00F73E0E"/>
    <w:rsid w:val="00F94C9D"/>
    <w:rsid w:val="00F94FE4"/>
    <w:rsid w:val="00FB1E24"/>
    <w:rsid w:val="00FC7A54"/>
    <w:rsid w:val="00FD0A2E"/>
    <w:rsid w:val="00FD2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rPr>
  </w:style>
  <w:style w:type="paragraph" w:styleId="BodyTextIndent">
    <w:name w:val="Body Text Indent"/>
    <w:basedOn w:val="Normal"/>
    <w:semiHidden/>
    <w:pPr>
      <w:spacing w:after="120"/>
      <w:jc w:val="both"/>
    </w:pPr>
    <w:rPr>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rPr>
      <w:rFonts w:ascii="Times New Roman" w:hAnsi="Times New Roman" w:cs="Times New Roman"/>
    </w:rPr>
  </w:style>
  <w:style w:type="paragraph" w:styleId="Header">
    <w:name w:val="header"/>
    <w:basedOn w:val="Normal"/>
    <w:uiPriority w:val="99"/>
    <w:pPr>
      <w:tabs>
        <w:tab w:val="center" w:pos="4153"/>
        <w:tab w:val="right" w:pos="8306"/>
      </w:tabs>
    </w:pPr>
  </w:style>
  <w:style w:type="paragraph" w:styleId="BodyTextIndent2">
    <w:name w:val="Body Text Indent 2"/>
    <w:basedOn w:val="Normal"/>
    <w:semiHidden/>
    <w:pPr>
      <w:spacing w:after="120"/>
      <w:ind w:firstLine="431"/>
      <w:jc w:val="both"/>
    </w:pPr>
  </w:style>
  <w:style w:type="paragraph" w:styleId="BodyTextIndent3">
    <w:name w:val="Body Text Indent 3"/>
    <w:basedOn w:val="Normal"/>
    <w:semiHidden/>
    <w:pPr>
      <w:spacing w:after="120"/>
      <w:ind w:firstLine="431"/>
      <w:jc w:val="both"/>
    </w:pPr>
    <w:rPr>
      <w:b/>
      <w:bCs/>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naisnod">
    <w:name w:val="naisnod"/>
    <w:basedOn w:val="Normal"/>
    <w:rsid w:val="00992BD4"/>
    <w:pPr>
      <w:spacing w:before="150" w:after="150"/>
      <w:jc w:val="center"/>
    </w:pPr>
    <w:rPr>
      <w:b/>
      <w:bCs/>
      <w:lang w:eastAsia="lv-LV"/>
    </w:rPr>
  </w:style>
  <w:style w:type="paragraph" w:customStyle="1" w:styleId="labojumupamats">
    <w:name w:val="labojumu_pamats"/>
    <w:basedOn w:val="Normal"/>
    <w:rsid w:val="00224411"/>
    <w:pPr>
      <w:spacing w:before="100" w:beforeAutospacing="1" w:after="100" w:afterAutospacing="1"/>
    </w:pPr>
    <w:rPr>
      <w:lang w:eastAsia="lv-LV"/>
    </w:rPr>
  </w:style>
  <w:style w:type="character" w:styleId="Hyperlink">
    <w:name w:val="Hyperlink"/>
    <w:basedOn w:val="DefaultParagraphFont"/>
    <w:uiPriority w:val="99"/>
    <w:semiHidden/>
    <w:unhideWhenUsed/>
    <w:rsid w:val="00224411"/>
    <w:rPr>
      <w:color w:val="0000FF"/>
      <w:u w:val="single"/>
    </w:rPr>
  </w:style>
  <w:style w:type="paragraph" w:customStyle="1" w:styleId="tvhtml">
    <w:name w:val="tv_html"/>
    <w:basedOn w:val="Normal"/>
    <w:rsid w:val="00224411"/>
    <w:pPr>
      <w:spacing w:before="100" w:beforeAutospacing="1" w:after="100" w:afterAutospacing="1"/>
    </w:pPr>
    <w:rPr>
      <w:lang w:eastAsia="lv-LV"/>
    </w:rPr>
  </w:style>
  <w:style w:type="table" w:styleId="TableGrid">
    <w:name w:val="Table Grid"/>
    <w:basedOn w:val="TableNormal"/>
    <w:uiPriority w:val="59"/>
    <w:rsid w:val="009A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F2DC9"/>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rPr>
  </w:style>
  <w:style w:type="paragraph" w:styleId="BodyTextIndent">
    <w:name w:val="Body Text Indent"/>
    <w:basedOn w:val="Normal"/>
    <w:semiHidden/>
    <w:pPr>
      <w:spacing w:after="120"/>
      <w:jc w:val="both"/>
    </w:pPr>
    <w:rPr>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rPr>
      <w:rFonts w:ascii="Times New Roman" w:hAnsi="Times New Roman" w:cs="Times New Roman"/>
    </w:rPr>
  </w:style>
  <w:style w:type="paragraph" w:styleId="Header">
    <w:name w:val="header"/>
    <w:basedOn w:val="Normal"/>
    <w:uiPriority w:val="99"/>
    <w:pPr>
      <w:tabs>
        <w:tab w:val="center" w:pos="4153"/>
        <w:tab w:val="right" w:pos="8306"/>
      </w:tabs>
    </w:pPr>
  </w:style>
  <w:style w:type="paragraph" w:styleId="BodyTextIndent2">
    <w:name w:val="Body Text Indent 2"/>
    <w:basedOn w:val="Normal"/>
    <w:semiHidden/>
    <w:pPr>
      <w:spacing w:after="120"/>
      <w:ind w:firstLine="431"/>
      <w:jc w:val="both"/>
    </w:pPr>
  </w:style>
  <w:style w:type="paragraph" w:styleId="BodyTextIndent3">
    <w:name w:val="Body Text Indent 3"/>
    <w:basedOn w:val="Normal"/>
    <w:semiHidden/>
    <w:pPr>
      <w:spacing w:after="120"/>
      <w:ind w:firstLine="431"/>
      <w:jc w:val="both"/>
    </w:pPr>
    <w:rPr>
      <w:b/>
      <w:bCs/>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naisnod">
    <w:name w:val="naisnod"/>
    <w:basedOn w:val="Normal"/>
    <w:rsid w:val="00992BD4"/>
    <w:pPr>
      <w:spacing w:before="150" w:after="150"/>
      <w:jc w:val="center"/>
    </w:pPr>
    <w:rPr>
      <w:b/>
      <w:bCs/>
      <w:lang w:eastAsia="lv-LV"/>
    </w:rPr>
  </w:style>
  <w:style w:type="paragraph" w:customStyle="1" w:styleId="labojumupamats">
    <w:name w:val="labojumu_pamats"/>
    <w:basedOn w:val="Normal"/>
    <w:rsid w:val="00224411"/>
    <w:pPr>
      <w:spacing w:before="100" w:beforeAutospacing="1" w:after="100" w:afterAutospacing="1"/>
    </w:pPr>
    <w:rPr>
      <w:lang w:eastAsia="lv-LV"/>
    </w:rPr>
  </w:style>
  <w:style w:type="character" w:styleId="Hyperlink">
    <w:name w:val="Hyperlink"/>
    <w:basedOn w:val="DefaultParagraphFont"/>
    <w:uiPriority w:val="99"/>
    <w:semiHidden/>
    <w:unhideWhenUsed/>
    <w:rsid w:val="00224411"/>
    <w:rPr>
      <w:color w:val="0000FF"/>
      <w:u w:val="single"/>
    </w:rPr>
  </w:style>
  <w:style w:type="paragraph" w:customStyle="1" w:styleId="tvhtml">
    <w:name w:val="tv_html"/>
    <w:basedOn w:val="Normal"/>
    <w:rsid w:val="00224411"/>
    <w:pPr>
      <w:spacing w:before="100" w:beforeAutospacing="1" w:after="100" w:afterAutospacing="1"/>
    </w:pPr>
    <w:rPr>
      <w:lang w:eastAsia="lv-LV"/>
    </w:rPr>
  </w:style>
  <w:style w:type="table" w:styleId="TableGrid">
    <w:name w:val="Table Grid"/>
    <w:basedOn w:val="TableNormal"/>
    <w:uiPriority w:val="59"/>
    <w:rsid w:val="009A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F2DC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4325">
      <w:bodyDiv w:val="1"/>
      <w:marLeft w:val="0"/>
      <w:marRight w:val="0"/>
      <w:marTop w:val="0"/>
      <w:marBottom w:val="0"/>
      <w:divBdr>
        <w:top w:val="none" w:sz="0" w:space="0" w:color="auto"/>
        <w:left w:val="none" w:sz="0" w:space="0" w:color="auto"/>
        <w:bottom w:val="none" w:sz="0" w:space="0" w:color="auto"/>
        <w:right w:val="none" w:sz="0" w:space="0" w:color="auto"/>
      </w:divBdr>
    </w:div>
    <w:div w:id="519127944">
      <w:bodyDiv w:val="1"/>
      <w:marLeft w:val="0"/>
      <w:marRight w:val="0"/>
      <w:marTop w:val="0"/>
      <w:marBottom w:val="0"/>
      <w:divBdr>
        <w:top w:val="none" w:sz="0" w:space="0" w:color="auto"/>
        <w:left w:val="none" w:sz="0" w:space="0" w:color="auto"/>
        <w:bottom w:val="none" w:sz="0" w:space="0" w:color="auto"/>
        <w:right w:val="none" w:sz="0" w:space="0" w:color="auto"/>
      </w:divBdr>
    </w:div>
    <w:div w:id="619841857">
      <w:bodyDiv w:val="1"/>
      <w:marLeft w:val="0"/>
      <w:marRight w:val="0"/>
      <w:marTop w:val="0"/>
      <w:marBottom w:val="0"/>
      <w:divBdr>
        <w:top w:val="none" w:sz="0" w:space="0" w:color="auto"/>
        <w:left w:val="none" w:sz="0" w:space="0" w:color="auto"/>
        <w:bottom w:val="none" w:sz="0" w:space="0" w:color="auto"/>
        <w:right w:val="none" w:sz="0" w:space="0" w:color="auto"/>
      </w:divBdr>
      <w:divsChild>
        <w:div w:id="707488906">
          <w:marLeft w:val="0"/>
          <w:marRight w:val="0"/>
          <w:marTop w:val="0"/>
          <w:marBottom w:val="0"/>
          <w:divBdr>
            <w:top w:val="none" w:sz="0" w:space="0" w:color="auto"/>
            <w:left w:val="none" w:sz="0" w:space="0" w:color="auto"/>
            <w:bottom w:val="none" w:sz="0" w:space="0" w:color="auto"/>
            <w:right w:val="none" w:sz="0" w:space="0" w:color="auto"/>
          </w:divBdr>
        </w:div>
        <w:div w:id="158540263">
          <w:marLeft w:val="0"/>
          <w:marRight w:val="0"/>
          <w:marTop w:val="0"/>
          <w:marBottom w:val="0"/>
          <w:divBdr>
            <w:top w:val="none" w:sz="0" w:space="0" w:color="auto"/>
            <w:left w:val="none" w:sz="0" w:space="0" w:color="auto"/>
            <w:bottom w:val="none" w:sz="0" w:space="0" w:color="auto"/>
            <w:right w:val="none" w:sz="0" w:space="0" w:color="auto"/>
          </w:divBdr>
        </w:div>
      </w:divsChild>
    </w:div>
    <w:div w:id="1081558943">
      <w:bodyDiv w:val="1"/>
      <w:marLeft w:val="0"/>
      <w:marRight w:val="0"/>
      <w:marTop w:val="0"/>
      <w:marBottom w:val="0"/>
      <w:divBdr>
        <w:top w:val="none" w:sz="0" w:space="0" w:color="auto"/>
        <w:left w:val="none" w:sz="0" w:space="0" w:color="auto"/>
        <w:bottom w:val="none" w:sz="0" w:space="0" w:color="auto"/>
        <w:right w:val="none" w:sz="0" w:space="0" w:color="auto"/>
      </w:divBdr>
    </w:div>
    <w:div w:id="13866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750</Words>
  <Characters>5480</Characters>
  <Application>Microsoft Office Word</Application>
  <DocSecurity>0</DocSecurity>
  <Lines>182</Lines>
  <Paragraphs>70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15. decembra noteikumos Nr. 1486 “Kārtība, kādā budžeta iestādes kārto grāmatvedības uzskaiti”” sākotnējās ietekmes novērtējuma ziņojums (anotācija)</vt:lpstr>
    </vt:vector>
  </TitlesOfParts>
  <Manager>Valsts kases Pārskatu departamenta direktore Ligita Agleniece</Manager>
  <Company>Valsts kase</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17.augusta noteikumos Nr.776 “Mēneša pārskatu sagatavošana sun iesniegšanas kārtība" sākotnējās ietekmes novērtējuma ziņojums (anotācija)</dc:title>
  <dc:subject>Anotācija</dc:subject>
  <dc:creator>Valsts kases Pārskatu departamenta vecākā eksperte Sandija Krūmiņa-Pēkšena</dc:creator>
  <cp:keywords/>
  <dc:description>Atbildīgā amatpersona: Ligita Agleniece, ligita.agleniece@kase.gov.lv, 67094249</dc:description>
  <cp:lastModifiedBy>Sandija Krūmiņa-Pēkšena</cp:lastModifiedBy>
  <cp:revision>92</cp:revision>
  <cp:lastPrinted>2014-09-03T07:36:00Z</cp:lastPrinted>
  <dcterms:created xsi:type="dcterms:W3CDTF">2014-06-25T07:51:00Z</dcterms:created>
  <dcterms:modified xsi:type="dcterms:W3CDTF">2014-09-16T06:35:00Z</dcterms:modified>
</cp:coreProperties>
</file>