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E9" w:rsidRPr="00D175E9" w:rsidRDefault="008147BC" w:rsidP="008147BC">
      <w:pPr>
        <w:spacing w:before="75" w:after="75"/>
        <w:jc w:val="center"/>
        <w:rPr>
          <w:b/>
          <w:sz w:val="28"/>
          <w:szCs w:val="28"/>
        </w:rPr>
      </w:pPr>
      <w:r w:rsidRPr="008147BC">
        <w:rPr>
          <w:b/>
          <w:sz w:val="28"/>
          <w:szCs w:val="28"/>
        </w:rPr>
        <w:t>Minist</w:t>
      </w:r>
      <w:r>
        <w:rPr>
          <w:b/>
          <w:sz w:val="28"/>
          <w:szCs w:val="28"/>
        </w:rPr>
        <w:t xml:space="preserve">ru kabineta noteikumu projekta </w:t>
      </w:r>
      <w:r w:rsidRPr="008147BC">
        <w:rPr>
          <w:b/>
          <w:sz w:val="28"/>
          <w:szCs w:val="28"/>
        </w:rPr>
        <w:t>“Grozījumi Ministru kabineta 2012.gada 21.augusta noteikumos Nr.568 “Noteikumi par iedzīvotāju ienākuma nodokļa deklarācijām un to aizpildīšanas kārtību”” sākotnējās ietekmes novērtējuma ziņojums (anotācija)</w:t>
      </w: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93"/>
        <w:gridCol w:w="2885"/>
        <w:gridCol w:w="5912"/>
      </w:tblGrid>
      <w:tr w:rsidR="00D175E9" w:rsidRPr="00DD49B6" w:rsidTr="0089091C">
        <w:trPr>
          <w:trHeight w:val="419"/>
        </w:trPr>
        <w:tc>
          <w:tcPr>
            <w:tcW w:w="5000" w:type="pct"/>
            <w:gridSpan w:val="3"/>
            <w:vAlign w:val="center"/>
          </w:tcPr>
          <w:p w:rsidR="00D175E9" w:rsidRPr="00DD49B6" w:rsidRDefault="00D175E9" w:rsidP="0089091C">
            <w:pPr>
              <w:pStyle w:val="naisnod"/>
              <w:spacing w:before="0" w:after="0"/>
              <w:ind w:left="57" w:right="57"/>
              <w:rPr>
                <w:b w:val="0"/>
              </w:rPr>
            </w:pPr>
            <w:r w:rsidRPr="00DD49B6">
              <w:rPr>
                <w:b w:val="0"/>
              </w:rPr>
              <w:t>I. Tiesību akta projekta izstrādes nepieciešamība</w:t>
            </w:r>
          </w:p>
        </w:tc>
      </w:tr>
      <w:tr w:rsidR="00D175E9" w:rsidRPr="00DD49B6" w:rsidTr="0089091C">
        <w:trPr>
          <w:trHeight w:val="415"/>
        </w:trPr>
        <w:tc>
          <w:tcPr>
            <w:tcW w:w="365" w:type="pct"/>
          </w:tcPr>
          <w:p w:rsidR="00D175E9" w:rsidRPr="00DD49B6" w:rsidRDefault="00D175E9" w:rsidP="0089091C">
            <w:pPr>
              <w:pStyle w:val="naiskr"/>
              <w:spacing w:before="0" w:after="0"/>
              <w:ind w:left="57" w:right="57"/>
              <w:jc w:val="center"/>
            </w:pPr>
            <w:r w:rsidRPr="00DD49B6">
              <w:t>1.</w:t>
            </w:r>
          </w:p>
        </w:tc>
        <w:tc>
          <w:tcPr>
            <w:tcW w:w="1520" w:type="pct"/>
          </w:tcPr>
          <w:p w:rsidR="00D175E9" w:rsidRPr="00DD49B6" w:rsidRDefault="00D175E9" w:rsidP="0089091C">
            <w:pPr>
              <w:pStyle w:val="naiskr"/>
              <w:spacing w:before="0" w:after="0"/>
              <w:ind w:left="57" w:right="57"/>
            </w:pPr>
            <w:r w:rsidRPr="00DD49B6">
              <w:t>Pamatojums</w:t>
            </w:r>
          </w:p>
        </w:tc>
        <w:tc>
          <w:tcPr>
            <w:tcW w:w="3115" w:type="pct"/>
          </w:tcPr>
          <w:p w:rsidR="00D175E9" w:rsidRPr="00731DFC" w:rsidRDefault="0089091C" w:rsidP="00AE3D7B">
            <w:pPr>
              <w:jc w:val="both"/>
              <w:rPr>
                <w:lang w:eastAsia="en-US"/>
              </w:rPr>
            </w:pPr>
            <w:r w:rsidRPr="00731DFC">
              <w:t xml:space="preserve">2013.gada </w:t>
            </w:r>
            <w:r w:rsidR="00272BC5" w:rsidRPr="00731DFC">
              <w:t>6</w:t>
            </w:r>
            <w:r w:rsidRPr="00731DFC">
              <w:t>.novembra l</w:t>
            </w:r>
            <w:r w:rsidRPr="00731DFC">
              <w:rPr>
                <w:lang w:eastAsia="en-US"/>
              </w:rPr>
              <w:t xml:space="preserve">ikums </w:t>
            </w:r>
            <w:r w:rsidR="001335E3">
              <w:rPr>
                <w:lang w:eastAsia="en-US"/>
              </w:rPr>
              <w:t>“</w:t>
            </w:r>
            <w:r w:rsidRPr="00731DFC">
              <w:rPr>
                <w:lang w:eastAsia="en-US"/>
              </w:rPr>
              <w:t xml:space="preserve">Grozījumi </w:t>
            </w:r>
            <w:r w:rsidR="004B48C0">
              <w:rPr>
                <w:lang w:eastAsia="en-US"/>
              </w:rPr>
              <w:t xml:space="preserve">likumā </w:t>
            </w:r>
            <w:r w:rsidR="004B48C0" w:rsidRPr="004B48C0">
              <w:rPr>
                <w:lang w:eastAsia="en-US"/>
              </w:rPr>
              <w:t>“</w:t>
            </w:r>
            <w:r w:rsidR="004B48C0">
              <w:rPr>
                <w:lang w:eastAsia="en-US"/>
              </w:rPr>
              <w:t>Par iedzīvotāju ienākuma nodokli</w:t>
            </w:r>
            <w:r w:rsidR="00033952">
              <w:rPr>
                <w:lang w:eastAsia="en-US"/>
              </w:rPr>
              <w:t>”</w:t>
            </w:r>
            <w:r w:rsidRPr="00731DFC">
              <w:rPr>
                <w:lang w:eastAsia="en-US"/>
              </w:rPr>
              <w:t>”.</w:t>
            </w:r>
          </w:p>
          <w:p w:rsidR="002653DD" w:rsidRDefault="002653DD" w:rsidP="00E81F89">
            <w:pPr>
              <w:jc w:val="both"/>
              <w:rPr>
                <w:rFonts w:eastAsia="Calibri"/>
                <w:lang w:eastAsia="en-US"/>
              </w:rPr>
            </w:pPr>
            <w:r>
              <w:rPr>
                <w:rFonts w:eastAsia="Calibri"/>
                <w:lang w:eastAsia="en-US"/>
              </w:rPr>
              <w:t xml:space="preserve">Saskaņā ar Ministru </w:t>
            </w:r>
            <w:r w:rsidR="0001044B">
              <w:rPr>
                <w:rFonts w:eastAsia="Calibri"/>
                <w:lang w:eastAsia="en-US"/>
              </w:rPr>
              <w:t xml:space="preserve">kabineta </w:t>
            </w:r>
            <w:r>
              <w:rPr>
                <w:rFonts w:eastAsia="Calibri"/>
                <w:lang w:eastAsia="en-US"/>
              </w:rPr>
              <w:t xml:space="preserve">2012.gada 26.novembra rīkojuma Nr.555 (prot.Nr.65 27§) </w:t>
            </w:r>
            <w:r w:rsidR="001335E3">
              <w:rPr>
                <w:rFonts w:eastAsia="Calibri"/>
                <w:lang w:eastAsia="en-US"/>
              </w:rPr>
              <w:t>“</w:t>
            </w:r>
            <w:r>
              <w:rPr>
                <w:rFonts w:eastAsia="Calibri"/>
                <w:lang w:eastAsia="en-US"/>
              </w:rPr>
              <w:t>Par Koncepciju par mazo uzņēmumu nodokļa maksāšanas režīmu kon</w:t>
            </w:r>
            <w:r w:rsidR="00033952">
              <w:rPr>
                <w:rFonts w:eastAsia="Calibri"/>
                <w:lang w:eastAsia="en-US"/>
              </w:rPr>
              <w:t>solidāciju un vienkāršošanu” 5.3</w:t>
            </w:r>
            <w:r>
              <w:rPr>
                <w:rFonts w:eastAsia="Calibri"/>
                <w:lang w:eastAsia="en-US"/>
              </w:rPr>
              <w:t xml:space="preserve">.apakšpunktu, kas paredz Finanšu ministrijai izstrādāt un finanšu ministram sešu mēnešu laikā pēc likumprojekta </w:t>
            </w:r>
            <w:r w:rsidR="001335E3">
              <w:rPr>
                <w:rFonts w:eastAsia="Calibri"/>
                <w:lang w:eastAsia="en-US"/>
              </w:rPr>
              <w:t>“</w:t>
            </w:r>
            <w:r>
              <w:rPr>
                <w:rFonts w:eastAsia="Calibri"/>
                <w:lang w:eastAsia="en-US"/>
              </w:rPr>
              <w:t xml:space="preserve">Grozījumi </w:t>
            </w:r>
            <w:r w:rsidR="00033952">
              <w:rPr>
                <w:rFonts w:eastAsia="Calibri"/>
                <w:lang w:eastAsia="en-US"/>
              </w:rPr>
              <w:t xml:space="preserve">likumā </w:t>
            </w:r>
            <w:r w:rsidR="00033952" w:rsidRPr="00033952">
              <w:rPr>
                <w:rFonts w:eastAsia="Calibri"/>
                <w:lang w:eastAsia="en-US"/>
              </w:rPr>
              <w:t>“</w:t>
            </w:r>
            <w:r w:rsidR="00033952">
              <w:rPr>
                <w:rFonts w:eastAsia="Calibri"/>
                <w:lang w:eastAsia="en-US"/>
              </w:rPr>
              <w:t>Par iedzīvotāju ienākuma nodokli”</w:t>
            </w:r>
            <w:r>
              <w:rPr>
                <w:rFonts w:eastAsia="Calibri"/>
                <w:lang w:eastAsia="en-US"/>
              </w:rPr>
              <w:t>” spēkā stāšanās noteiktā kārtībā iesniegt Ministru kabinetā noteikumu projektu par gr</w:t>
            </w:r>
            <w:r w:rsidR="00033952">
              <w:rPr>
                <w:rFonts w:eastAsia="Calibri"/>
                <w:lang w:eastAsia="en-US"/>
              </w:rPr>
              <w:t>ozījumiem Ministru kabineta 2012</w:t>
            </w:r>
            <w:r>
              <w:rPr>
                <w:rFonts w:eastAsia="Calibri"/>
                <w:lang w:eastAsia="en-US"/>
              </w:rPr>
              <w:t xml:space="preserve">.gada </w:t>
            </w:r>
            <w:r w:rsidR="00033952">
              <w:rPr>
                <w:rFonts w:eastAsia="Calibri"/>
                <w:lang w:eastAsia="en-US"/>
              </w:rPr>
              <w:t>2</w:t>
            </w:r>
            <w:r>
              <w:rPr>
                <w:rFonts w:eastAsia="Calibri"/>
                <w:lang w:eastAsia="en-US"/>
              </w:rPr>
              <w:t>1.augusta noteikumos Nr.</w:t>
            </w:r>
            <w:r w:rsidR="00033952">
              <w:rPr>
                <w:rFonts w:eastAsia="Calibri"/>
                <w:lang w:eastAsia="en-US"/>
              </w:rPr>
              <w:t>568</w:t>
            </w:r>
            <w:r w:rsidR="001335E3">
              <w:rPr>
                <w:rFonts w:eastAsia="Calibri"/>
                <w:lang w:eastAsia="en-US"/>
              </w:rPr>
              <w:t>“</w:t>
            </w:r>
            <w:r>
              <w:rPr>
                <w:rFonts w:eastAsia="Calibri"/>
                <w:lang w:eastAsia="en-US"/>
              </w:rPr>
              <w:t xml:space="preserve">Noteikumi par </w:t>
            </w:r>
            <w:r w:rsidR="00033952">
              <w:rPr>
                <w:rFonts w:eastAsia="Calibri"/>
                <w:lang w:eastAsia="en-US"/>
              </w:rPr>
              <w:t>iedzīvotāju ienākuma nodokļa deklarācijām un to</w:t>
            </w:r>
            <w:r w:rsidR="00D434C3">
              <w:rPr>
                <w:rFonts w:eastAsia="Calibri"/>
                <w:lang w:eastAsia="en-US"/>
              </w:rPr>
              <w:t xml:space="preserve"> aizpildīšanas kārtību</w:t>
            </w:r>
            <w:r>
              <w:rPr>
                <w:rFonts w:eastAsia="Calibri"/>
                <w:lang w:eastAsia="en-US"/>
              </w:rPr>
              <w:t>”</w:t>
            </w:r>
          </w:p>
          <w:p w:rsidR="00731DFC" w:rsidRPr="00DD49B6" w:rsidRDefault="00731DFC" w:rsidP="003F6056">
            <w:pPr>
              <w:jc w:val="both"/>
              <w:rPr>
                <w:shd w:val="clear" w:color="auto" w:fill="FFFFFF"/>
              </w:rPr>
            </w:pPr>
          </w:p>
        </w:tc>
      </w:tr>
      <w:tr w:rsidR="00D175E9" w:rsidRPr="00DD49B6" w:rsidTr="0089091C">
        <w:trPr>
          <w:trHeight w:val="472"/>
        </w:trPr>
        <w:tc>
          <w:tcPr>
            <w:tcW w:w="365" w:type="pct"/>
          </w:tcPr>
          <w:p w:rsidR="00D175E9" w:rsidRPr="00DD49B6" w:rsidRDefault="00D175E9" w:rsidP="0089091C">
            <w:pPr>
              <w:pStyle w:val="naiskr"/>
              <w:spacing w:before="0" w:after="0"/>
              <w:ind w:left="57" w:right="57"/>
              <w:jc w:val="center"/>
            </w:pPr>
            <w:r w:rsidRPr="00DD49B6">
              <w:t>2.</w:t>
            </w:r>
          </w:p>
        </w:tc>
        <w:tc>
          <w:tcPr>
            <w:tcW w:w="1520" w:type="pct"/>
          </w:tcPr>
          <w:p w:rsidR="00D175E9" w:rsidRPr="00DD49B6" w:rsidRDefault="00D175E9" w:rsidP="0089091C">
            <w:pPr>
              <w:pStyle w:val="naiskr"/>
              <w:tabs>
                <w:tab w:val="left" w:pos="170"/>
              </w:tabs>
              <w:spacing w:before="0" w:after="0"/>
              <w:ind w:left="57" w:right="57"/>
            </w:pPr>
            <w:r w:rsidRPr="00DD49B6">
              <w:t>Pašreizējā situācija un problēmas, kuru risināšanai tiesību akta projekts izstrādāts, tiesiskā regulējuma mērķis un būtība</w:t>
            </w:r>
          </w:p>
        </w:tc>
        <w:tc>
          <w:tcPr>
            <w:tcW w:w="3115" w:type="pct"/>
          </w:tcPr>
          <w:p w:rsidR="0089091C" w:rsidRPr="00003899" w:rsidRDefault="0089091C" w:rsidP="00AE3D7B">
            <w:pPr>
              <w:pStyle w:val="NormalWeb"/>
              <w:spacing w:before="0" w:beforeAutospacing="0" w:after="0" w:afterAutospacing="0"/>
              <w:jc w:val="both"/>
            </w:pPr>
            <w:r w:rsidRPr="0089091C">
              <w:t xml:space="preserve">Saskaņā ar 2013.gada </w:t>
            </w:r>
            <w:r w:rsidR="00272BC5">
              <w:t>6</w:t>
            </w:r>
            <w:r w:rsidRPr="0089091C">
              <w:t xml:space="preserve">.novembrī pieņemto likumu </w:t>
            </w:r>
            <w:r w:rsidR="001335E3">
              <w:t>“</w:t>
            </w:r>
            <w:r w:rsidRPr="0089091C">
              <w:t xml:space="preserve">Grozījumi </w:t>
            </w:r>
            <w:r w:rsidR="0080652B" w:rsidRPr="0080652B">
              <w:t>likumā “Par iedzīvotāju ienākuma nodokli”</w:t>
            </w:r>
            <w:r w:rsidRPr="0089091C">
              <w:t>”</w:t>
            </w:r>
            <w:r w:rsidR="008D7ABD">
              <w:t xml:space="preserve"> likums </w:t>
            </w:r>
            <w:r w:rsidR="008D7ABD" w:rsidRPr="008D7ABD">
              <w:t>“</w:t>
            </w:r>
            <w:r w:rsidR="008D7ABD">
              <w:t>Par iedzīvotāju ienākuma nodokli” ir papildināts ar 8.</w:t>
            </w:r>
            <w:r w:rsidR="008D7ABD">
              <w:rPr>
                <w:vertAlign w:val="superscript"/>
              </w:rPr>
              <w:t>1</w:t>
            </w:r>
            <w:r w:rsidR="0001044B">
              <w:t>pantu</w:t>
            </w:r>
            <w:r w:rsidRPr="0089091C">
              <w:t>,</w:t>
            </w:r>
            <w:r w:rsidR="008D7ABD">
              <w:t xml:space="preserve"> kurā</w:t>
            </w:r>
            <w:r w:rsidRPr="0089091C">
              <w:t xml:space="preserve"> ir noteikts jauns</w:t>
            </w:r>
            <w:r w:rsidR="00CF5BFC">
              <w:t xml:space="preserve"> ar iedzīvotāju ienākuma nodokli apliekams ienākums – ienākumam pielīdzināms aizdevums, kā arī šim ienākumam piemērojamā nodokļa likme un </w:t>
            </w:r>
            <w:r w:rsidR="008D7ABD">
              <w:t>nodokļa maksāšanas</w:t>
            </w:r>
            <w:r w:rsidR="00CF5BFC">
              <w:t xml:space="preserve"> kārtība</w:t>
            </w:r>
            <w:r w:rsidR="00003899">
              <w:t>, kā arī ir noteikta pārmaksātā nodokļa atmaksas kārtība gadījumos, ja pēc nodokļa nomaksas tiek veikta aizdevuma atmaksa.</w:t>
            </w:r>
          </w:p>
          <w:p w:rsidR="00A54D5B" w:rsidRDefault="008D7ABD" w:rsidP="00AE3D7B">
            <w:pPr>
              <w:pStyle w:val="NormalWeb"/>
              <w:spacing w:before="0" w:beforeAutospacing="0" w:after="0" w:afterAutospacing="0"/>
              <w:jc w:val="both"/>
              <w:rPr>
                <w:iCs/>
              </w:rPr>
            </w:pPr>
            <w:r>
              <w:rPr>
                <w:iCs/>
              </w:rPr>
              <w:t xml:space="preserve">Likuma </w:t>
            </w:r>
            <w:r w:rsidRPr="008D7ABD">
              <w:rPr>
                <w:iCs/>
              </w:rPr>
              <w:t>“</w:t>
            </w:r>
            <w:r>
              <w:rPr>
                <w:iCs/>
              </w:rPr>
              <w:t>Par iedzīvotāju ienākuma nodokli” 19.pants ir papildināts ar 2.</w:t>
            </w:r>
            <w:r>
              <w:rPr>
                <w:iCs/>
                <w:vertAlign w:val="superscript"/>
              </w:rPr>
              <w:t>1</w:t>
            </w:r>
            <w:r>
              <w:rPr>
                <w:iCs/>
              </w:rPr>
              <w:t>daļu, kurā i</w:t>
            </w:r>
            <w:r w:rsidR="0089091C" w:rsidRPr="0089091C">
              <w:rPr>
                <w:iCs/>
              </w:rPr>
              <w:t>r noteikts</w:t>
            </w:r>
            <w:r w:rsidR="00956883">
              <w:rPr>
                <w:iCs/>
              </w:rPr>
              <w:t xml:space="preserve"> </w:t>
            </w:r>
            <w:r w:rsidR="00215F77" w:rsidRPr="00215F77">
              <w:rPr>
                <w:iCs/>
              </w:rPr>
              <w:t xml:space="preserve">minimālais </w:t>
            </w:r>
            <w:r w:rsidR="0089091C" w:rsidRPr="0089091C">
              <w:rPr>
                <w:iCs/>
              </w:rPr>
              <w:t>nodok</w:t>
            </w:r>
            <w:r w:rsidR="00371013">
              <w:rPr>
                <w:iCs/>
              </w:rPr>
              <w:t>lis</w:t>
            </w:r>
            <w:r>
              <w:rPr>
                <w:iCs/>
              </w:rPr>
              <w:t xml:space="preserve"> 50 </w:t>
            </w:r>
            <w:r w:rsidRPr="008D7ABD">
              <w:rPr>
                <w:i/>
                <w:iCs/>
              </w:rPr>
              <w:t>euro</w:t>
            </w:r>
            <w:r w:rsidR="0089091C" w:rsidRPr="0089091C">
              <w:rPr>
                <w:iCs/>
              </w:rPr>
              <w:t xml:space="preserve"> tiem </w:t>
            </w:r>
            <w:r w:rsidR="00003899">
              <w:rPr>
                <w:iCs/>
              </w:rPr>
              <w:t>saimnieciskās darbības veicējiem</w:t>
            </w:r>
            <w:r w:rsidR="0089091C" w:rsidRPr="0089091C">
              <w:rPr>
                <w:iCs/>
              </w:rPr>
              <w:t>,</w:t>
            </w:r>
            <w:r w:rsidR="00003899">
              <w:rPr>
                <w:iCs/>
              </w:rPr>
              <w:t xml:space="preserve"> kuri</w:t>
            </w:r>
            <w:r w:rsidR="00A54D5B">
              <w:rPr>
                <w:iCs/>
              </w:rPr>
              <w:t>em</w:t>
            </w:r>
            <w:r w:rsidR="00956883">
              <w:rPr>
                <w:iCs/>
              </w:rPr>
              <w:t xml:space="preserve"> </w:t>
            </w:r>
            <w:r w:rsidR="00003899" w:rsidRPr="00003899">
              <w:rPr>
                <w:iCs/>
              </w:rPr>
              <w:t xml:space="preserve">taksācijas gadā nav gūts ar nodokli apliekams ienākums no saimnieciskās darbības vai ja aprēķinātā nodokļa summa no saimnieciskās darbības apliekamā ienākuma nepārsniedz 50 </w:t>
            </w:r>
            <w:r w:rsidR="00003899" w:rsidRPr="00003899">
              <w:rPr>
                <w:i/>
                <w:iCs/>
              </w:rPr>
              <w:t>euro.</w:t>
            </w:r>
          </w:p>
          <w:p w:rsidR="00A54D5B" w:rsidRDefault="008D7ABD" w:rsidP="00AE3D7B">
            <w:pPr>
              <w:pStyle w:val="NormalWeb"/>
              <w:spacing w:before="0" w:beforeAutospacing="0" w:after="0" w:afterAutospacing="0"/>
              <w:jc w:val="both"/>
              <w:rPr>
                <w:iCs/>
              </w:rPr>
            </w:pPr>
            <w:r>
              <w:rPr>
                <w:bCs/>
                <w:iCs/>
              </w:rPr>
              <w:t>L</w:t>
            </w:r>
            <w:r w:rsidRPr="008D7ABD">
              <w:rPr>
                <w:bCs/>
                <w:iCs/>
              </w:rPr>
              <w:t>ikuma “Par iedzīvotāju ienākuma nodokli” pārejas noteikumu 94.punktā</w:t>
            </w:r>
            <w:r w:rsidR="0069026C">
              <w:rPr>
                <w:bCs/>
                <w:iCs/>
              </w:rPr>
              <w:t xml:space="preserve"> </w:t>
            </w:r>
            <w:r>
              <w:rPr>
                <w:iCs/>
              </w:rPr>
              <w:t>i</w:t>
            </w:r>
            <w:r w:rsidR="00A54D5B">
              <w:rPr>
                <w:iCs/>
              </w:rPr>
              <w:t>r noteikts, ka n</w:t>
            </w:r>
            <w:r w:rsidR="00A54D5B" w:rsidRPr="00A54D5B">
              <w:rPr>
                <w:iCs/>
              </w:rPr>
              <w:t>o aplikšanas ar iedzīvotāju ienākuma nodokli atbrīvo 2014., 2015. un 2016.gadā saņemtās summas, kas izmaksātas kā valsts atbalsts lauksaimniecībai vai Eiropas Savienības atbalsts lauksaimniecībai un lauku attīstībai.</w:t>
            </w:r>
          </w:p>
          <w:p w:rsidR="0089091C" w:rsidRDefault="00A54D5B" w:rsidP="00AE3D7B">
            <w:pPr>
              <w:pStyle w:val="NormalWeb"/>
              <w:spacing w:before="0" w:beforeAutospacing="0" w:after="0" w:afterAutospacing="0"/>
              <w:jc w:val="both"/>
              <w:rPr>
                <w:iCs/>
              </w:rPr>
            </w:pPr>
            <w:r>
              <w:rPr>
                <w:iCs/>
              </w:rPr>
              <w:t>Ministru kabineta 2012.gada 2</w:t>
            </w:r>
            <w:r w:rsidR="0089091C" w:rsidRPr="0089091C">
              <w:rPr>
                <w:iCs/>
              </w:rPr>
              <w:t>1.augusta noteikumos Nr.</w:t>
            </w:r>
            <w:r>
              <w:rPr>
                <w:iCs/>
              </w:rPr>
              <w:t>568</w:t>
            </w:r>
            <w:r w:rsidR="0069026C">
              <w:rPr>
                <w:iCs/>
              </w:rPr>
              <w:t xml:space="preserve"> </w:t>
            </w:r>
            <w:r w:rsidR="008E5717">
              <w:rPr>
                <w:iCs/>
              </w:rPr>
              <w:t>“</w:t>
            </w:r>
            <w:r w:rsidR="0089091C" w:rsidRPr="0089091C">
              <w:rPr>
                <w:iCs/>
              </w:rPr>
              <w:t xml:space="preserve">Noteikumi par </w:t>
            </w:r>
            <w:r w:rsidRPr="00A54D5B">
              <w:rPr>
                <w:iCs/>
              </w:rPr>
              <w:t>iedzīvotāju ienākuma nodokļa deklarācijām un to aizpildīšanas kārtību</w:t>
            </w:r>
            <w:r w:rsidR="0089091C" w:rsidRPr="0089091C">
              <w:rPr>
                <w:iCs/>
              </w:rPr>
              <w:t xml:space="preserve">” nav noteikta kārtība, kādā aizpilda </w:t>
            </w:r>
            <w:r>
              <w:rPr>
                <w:iCs/>
              </w:rPr>
              <w:t>gada ienākumu</w:t>
            </w:r>
            <w:r w:rsidR="0089091C" w:rsidRPr="0089091C">
              <w:rPr>
                <w:iCs/>
              </w:rPr>
              <w:t xml:space="preserve"> deklarāciju gadījumos, kad</w:t>
            </w:r>
            <w:r w:rsidR="00D42C68">
              <w:rPr>
                <w:iCs/>
              </w:rPr>
              <w:t xml:space="preserve"> ienākumam pielīdzināmam aizdevumam</w:t>
            </w:r>
            <w:r w:rsidR="00956883">
              <w:rPr>
                <w:iCs/>
              </w:rPr>
              <w:t xml:space="preserve"> </w:t>
            </w:r>
            <w:r w:rsidR="00D42C68" w:rsidRPr="00D42C68">
              <w:rPr>
                <w:iCs/>
              </w:rPr>
              <w:t xml:space="preserve">papildus </w:t>
            </w:r>
            <w:r w:rsidR="00D42C68">
              <w:rPr>
                <w:iCs/>
              </w:rPr>
              <w:t>pamatlikmei</w:t>
            </w:r>
            <w:r w:rsidR="00D42C68" w:rsidRPr="00D42C68">
              <w:rPr>
                <w:iCs/>
              </w:rPr>
              <w:t xml:space="preserve"> piemēro 22 procentu papildu likm</w:t>
            </w:r>
            <w:r w:rsidR="00D42C68">
              <w:rPr>
                <w:iCs/>
              </w:rPr>
              <w:t xml:space="preserve">i, kā arī nepiemēro neapliekamo minimumu un atvieglojumus, </w:t>
            </w:r>
            <w:r w:rsidR="0089091C" w:rsidRPr="0089091C">
              <w:rPr>
                <w:iCs/>
              </w:rPr>
              <w:t xml:space="preserve"> deklarācijas aizpildīšana, kad maksājams minimālais 50 </w:t>
            </w:r>
            <w:r w:rsidR="0089091C" w:rsidRPr="0089091C">
              <w:rPr>
                <w:i/>
                <w:iCs/>
              </w:rPr>
              <w:t>euro</w:t>
            </w:r>
            <w:r w:rsidR="00956883">
              <w:rPr>
                <w:i/>
                <w:iCs/>
              </w:rPr>
              <w:t xml:space="preserve"> </w:t>
            </w:r>
            <w:r w:rsidR="0089091C" w:rsidRPr="0089091C">
              <w:rPr>
                <w:iCs/>
              </w:rPr>
              <w:lastRenderedPageBreak/>
              <w:t>nodoklis</w:t>
            </w:r>
            <w:r w:rsidR="00D42C68">
              <w:rPr>
                <w:iCs/>
              </w:rPr>
              <w:t xml:space="preserve"> no saimnieciskās darbības</w:t>
            </w:r>
            <w:r w:rsidR="0089091C" w:rsidRPr="0089091C">
              <w:rPr>
                <w:iCs/>
              </w:rPr>
              <w:t xml:space="preserve">, kā arī deklarācijas aizpildīšanas kārtība, ja </w:t>
            </w:r>
            <w:r w:rsidR="00D42C68">
              <w:rPr>
                <w:iCs/>
              </w:rPr>
              <w:t>nodokļa maksātājs saņem valsts atbalstu</w:t>
            </w:r>
            <w:r w:rsidR="00D42C68" w:rsidRPr="00D42C68">
              <w:rPr>
                <w:iCs/>
              </w:rPr>
              <w:t xml:space="preserve"> lauksaimniecībai vai Eiropas Savienības atbalst</w:t>
            </w:r>
            <w:r w:rsidR="00D42C68">
              <w:rPr>
                <w:iCs/>
              </w:rPr>
              <w:t>u</w:t>
            </w:r>
            <w:r w:rsidR="00D42C68" w:rsidRPr="00D42C68">
              <w:rPr>
                <w:iCs/>
              </w:rPr>
              <w:t xml:space="preserve"> lauksaimniecībai un lauku attīstībai</w:t>
            </w:r>
            <w:r w:rsidR="008D7ABD">
              <w:rPr>
                <w:iCs/>
              </w:rPr>
              <w:t>, kurš nav apliekams ar iedzīvotāju ienākuma nodokli</w:t>
            </w:r>
            <w:r w:rsidR="00D42C68">
              <w:rPr>
                <w:iCs/>
              </w:rPr>
              <w:t>.</w:t>
            </w:r>
          </w:p>
          <w:p w:rsidR="00D175E9" w:rsidRDefault="00CA3A25" w:rsidP="00AE3D7B">
            <w:pPr>
              <w:pStyle w:val="Heading3"/>
              <w:shd w:val="clear" w:color="auto" w:fill="FFFFFF"/>
              <w:spacing w:before="0" w:beforeAutospacing="0" w:after="0" w:afterAutospacing="0"/>
              <w:jc w:val="both"/>
              <w:rPr>
                <w:b w:val="0"/>
                <w:iCs/>
                <w:sz w:val="24"/>
                <w:szCs w:val="24"/>
              </w:rPr>
            </w:pPr>
            <w:r>
              <w:rPr>
                <w:b w:val="0"/>
                <w:iCs/>
                <w:sz w:val="24"/>
                <w:szCs w:val="24"/>
              </w:rPr>
              <w:t>Tādējādi n</w:t>
            </w:r>
            <w:r w:rsidR="0089091C" w:rsidRPr="0089091C">
              <w:rPr>
                <w:b w:val="0"/>
                <w:iCs/>
                <w:sz w:val="24"/>
                <w:szCs w:val="24"/>
              </w:rPr>
              <w:t xml:space="preserve">epieciešami grozījumi </w:t>
            </w:r>
            <w:r w:rsidR="00F064A5">
              <w:rPr>
                <w:b w:val="0"/>
                <w:iCs/>
                <w:sz w:val="24"/>
                <w:szCs w:val="24"/>
              </w:rPr>
              <w:t xml:space="preserve">gada ienākumu deklarācijas </w:t>
            </w:r>
            <w:r w:rsidR="0089091C" w:rsidRPr="0089091C">
              <w:rPr>
                <w:b w:val="0"/>
                <w:iCs/>
                <w:sz w:val="24"/>
                <w:szCs w:val="24"/>
              </w:rPr>
              <w:t xml:space="preserve"> veidlapā</w:t>
            </w:r>
            <w:r w:rsidR="00956883">
              <w:rPr>
                <w:b w:val="0"/>
                <w:iCs/>
                <w:sz w:val="24"/>
                <w:szCs w:val="24"/>
              </w:rPr>
              <w:t xml:space="preserve"> </w:t>
            </w:r>
            <w:r w:rsidR="00215F77" w:rsidRPr="00215F77">
              <w:rPr>
                <w:b w:val="0"/>
                <w:iCs/>
                <w:sz w:val="24"/>
                <w:szCs w:val="24"/>
              </w:rPr>
              <w:t>un tās aizpildīšanas kārtībā</w:t>
            </w:r>
            <w:r w:rsidR="0089091C" w:rsidRPr="0089091C">
              <w:rPr>
                <w:b w:val="0"/>
                <w:iCs/>
                <w:sz w:val="24"/>
                <w:szCs w:val="24"/>
              </w:rPr>
              <w:t>.</w:t>
            </w:r>
          </w:p>
          <w:p w:rsidR="002300CB" w:rsidRDefault="002300CB" w:rsidP="00AE3D7B">
            <w:pPr>
              <w:jc w:val="both"/>
            </w:pPr>
            <w:r w:rsidRPr="00D92FB0">
              <w:t>Noteikumu projekta mērķis ir</w:t>
            </w:r>
            <w:r>
              <w:t xml:space="preserve"> noteikt</w:t>
            </w:r>
            <w:r w:rsidR="00956883">
              <w:t xml:space="preserve"> </w:t>
            </w:r>
            <w:r w:rsidR="00F064A5">
              <w:t>gada ienākumu deklarācijas</w:t>
            </w:r>
            <w:r w:rsidRPr="007C0002">
              <w:rPr>
                <w:bCs/>
              </w:rPr>
              <w:t xml:space="preserve"> aizpildīšanas kārtību</w:t>
            </w:r>
            <w:r>
              <w:t>:</w:t>
            </w:r>
          </w:p>
          <w:p w:rsidR="00457D40" w:rsidRPr="00457D40" w:rsidRDefault="002300CB" w:rsidP="00457D40">
            <w:pPr>
              <w:jc w:val="both"/>
              <w:rPr>
                <w:bCs/>
                <w:iCs/>
                <w:szCs w:val="28"/>
              </w:rPr>
            </w:pPr>
            <w:r>
              <w:t xml:space="preserve">1) </w:t>
            </w:r>
            <w:r>
              <w:rPr>
                <w:bCs/>
              </w:rPr>
              <w:t xml:space="preserve">atbilstoši </w:t>
            </w:r>
            <w:r w:rsidR="00F064A5">
              <w:rPr>
                <w:bCs/>
              </w:rPr>
              <w:t xml:space="preserve">likuma </w:t>
            </w:r>
            <w:r w:rsidR="00F064A5" w:rsidRPr="00F064A5">
              <w:rPr>
                <w:bCs/>
                <w:iCs/>
              </w:rPr>
              <w:t>“</w:t>
            </w:r>
            <w:r w:rsidR="00F064A5">
              <w:rPr>
                <w:bCs/>
                <w:iCs/>
              </w:rPr>
              <w:t>Par iedzīvotāju ienākuma nodokli”</w:t>
            </w:r>
            <w:r w:rsidR="00BF2F04">
              <w:rPr>
                <w:bCs/>
                <w:iCs/>
              </w:rPr>
              <w:t xml:space="preserve"> 8.</w:t>
            </w:r>
            <w:r w:rsidR="00BF2F04">
              <w:rPr>
                <w:bCs/>
                <w:iCs/>
                <w:vertAlign w:val="superscript"/>
              </w:rPr>
              <w:t>1</w:t>
            </w:r>
            <w:r w:rsidR="00BF2F04">
              <w:rPr>
                <w:bCs/>
                <w:iCs/>
              </w:rPr>
              <w:t xml:space="preserve">pantā </w:t>
            </w:r>
            <w:r>
              <w:rPr>
                <w:szCs w:val="28"/>
              </w:rPr>
              <w:t xml:space="preserve">noteiktajam gadījumos, kad </w:t>
            </w:r>
            <w:r w:rsidR="00BF2F04">
              <w:rPr>
                <w:szCs w:val="28"/>
              </w:rPr>
              <w:t>nodokļa maksātājam ir jādeklarē ienākumam pielīdzināms aizdevums, kuram nepiemēro neapliekamo minimumu un atvieglojumus, kā arī,</w:t>
            </w:r>
            <w:r w:rsidR="0000343B">
              <w:rPr>
                <w:szCs w:val="28"/>
              </w:rPr>
              <w:t xml:space="preserve"> ja</w:t>
            </w:r>
            <w:r w:rsidR="00956883">
              <w:rPr>
                <w:szCs w:val="28"/>
              </w:rPr>
              <w:t xml:space="preserve"> </w:t>
            </w:r>
            <w:r w:rsidR="0000343B">
              <w:rPr>
                <w:szCs w:val="28"/>
              </w:rPr>
              <w:t xml:space="preserve">nodokļa maksātājs </w:t>
            </w:r>
            <w:r w:rsidR="00BF2F04" w:rsidRPr="00BF2F04">
              <w:rPr>
                <w:szCs w:val="28"/>
              </w:rPr>
              <w:t>aizdevuma izsniegšanas dienā ir aizdevēja darbinieks, valdes vai padomes loceklis,</w:t>
            </w:r>
            <w:r w:rsidR="00956883">
              <w:rPr>
                <w:szCs w:val="28"/>
              </w:rPr>
              <w:t xml:space="preserve"> </w:t>
            </w:r>
            <w:r w:rsidR="0000343B">
              <w:rPr>
                <w:iCs/>
              </w:rPr>
              <w:t xml:space="preserve">un </w:t>
            </w:r>
            <w:r w:rsidR="0000343B" w:rsidRPr="0000343B">
              <w:rPr>
                <w:iCs/>
                <w:szCs w:val="28"/>
              </w:rPr>
              <w:t>ienākumam pielīdzināmam aizdevumam</w:t>
            </w:r>
            <w:r w:rsidR="00956883">
              <w:rPr>
                <w:iCs/>
                <w:szCs w:val="28"/>
              </w:rPr>
              <w:t xml:space="preserve"> </w:t>
            </w:r>
            <w:r w:rsidR="0000343B" w:rsidRPr="0000343B">
              <w:rPr>
                <w:iCs/>
                <w:szCs w:val="28"/>
              </w:rPr>
              <w:t xml:space="preserve">papildus pamatlikmei </w:t>
            </w:r>
            <w:r w:rsidR="00190F77">
              <w:rPr>
                <w:iCs/>
                <w:szCs w:val="28"/>
              </w:rPr>
              <w:t>24</w:t>
            </w:r>
            <w:r w:rsidR="0069026C">
              <w:rPr>
                <w:iCs/>
                <w:szCs w:val="28"/>
              </w:rPr>
              <w:t xml:space="preserve"> procenti</w:t>
            </w:r>
            <w:r w:rsidR="00190F77">
              <w:rPr>
                <w:iCs/>
                <w:szCs w:val="28"/>
              </w:rPr>
              <w:t xml:space="preserve"> (2014.gada ienākumam) </w:t>
            </w:r>
            <w:r w:rsidR="0000343B" w:rsidRPr="0000343B">
              <w:rPr>
                <w:iCs/>
                <w:szCs w:val="28"/>
              </w:rPr>
              <w:t>piemēro 22 procentu papildu likmi</w:t>
            </w:r>
            <w:r w:rsidR="0000343B">
              <w:rPr>
                <w:iCs/>
                <w:szCs w:val="28"/>
              </w:rPr>
              <w:t>. Lai minētos ienākumus varētu deklarēt, deklarācijas D1</w:t>
            </w:r>
            <w:r w:rsidR="0000343B">
              <w:rPr>
                <w:iCs/>
                <w:szCs w:val="28"/>
                <w:vertAlign w:val="superscript"/>
              </w:rPr>
              <w:t>1</w:t>
            </w:r>
            <w:r w:rsidR="0000343B">
              <w:rPr>
                <w:iCs/>
                <w:szCs w:val="28"/>
              </w:rPr>
              <w:t xml:space="preserve"> pielikumam ir mainīts nosaukums no </w:t>
            </w:r>
            <w:r w:rsidR="0000343B" w:rsidRPr="0000343B">
              <w:rPr>
                <w:bCs/>
                <w:iCs/>
                <w:szCs w:val="28"/>
              </w:rPr>
              <w:t>“</w:t>
            </w:r>
            <w:r w:rsidR="0000343B">
              <w:rPr>
                <w:bCs/>
                <w:iCs/>
                <w:szCs w:val="28"/>
              </w:rPr>
              <w:t xml:space="preserve">Taksācijas gadā gūtie ienākumi, kuriem tiek piemērota samazināta nodokļa likme” uz </w:t>
            </w:r>
            <w:r w:rsidR="0000343B" w:rsidRPr="0000343B">
              <w:rPr>
                <w:bCs/>
                <w:iCs/>
                <w:szCs w:val="28"/>
              </w:rPr>
              <w:t xml:space="preserve">“Taksācijas gadā gūtie ienākumi, kuriem </w:t>
            </w:r>
            <w:r w:rsidR="0000343B">
              <w:rPr>
                <w:bCs/>
                <w:iCs/>
                <w:szCs w:val="28"/>
              </w:rPr>
              <w:t>ne</w:t>
            </w:r>
            <w:r w:rsidR="0000343B" w:rsidRPr="0000343B">
              <w:rPr>
                <w:bCs/>
                <w:iCs/>
                <w:szCs w:val="28"/>
              </w:rPr>
              <w:t>piem</w:t>
            </w:r>
            <w:r w:rsidR="0000343B">
              <w:rPr>
                <w:bCs/>
                <w:iCs/>
                <w:szCs w:val="28"/>
              </w:rPr>
              <w:t>ēro neapliekam</w:t>
            </w:r>
            <w:r w:rsidR="00956883">
              <w:rPr>
                <w:bCs/>
                <w:iCs/>
                <w:szCs w:val="28"/>
              </w:rPr>
              <w:t>o</w:t>
            </w:r>
            <w:r w:rsidR="0000343B">
              <w:rPr>
                <w:bCs/>
                <w:iCs/>
                <w:szCs w:val="28"/>
              </w:rPr>
              <w:t xml:space="preserve"> minimum</w:t>
            </w:r>
            <w:r w:rsidR="00956883">
              <w:rPr>
                <w:bCs/>
                <w:iCs/>
                <w:szCs w:val="28"/>
              </w:rPr>
              <w:t>u</w:t>
            </w:r>
            <w:r w:rsidR="0000343B">
              <w:rPr>
                <w:bCs/>
                <w:iCs/>
                <w:szCs w:val="28"/>
              </w:rPr>
              <w:t xml:space="preserve"> un atvieglojum</w:t>
            </w:r>
            <w:r w:rsidR="00956883">
              <w:rPr>
                <w:bCs/>
                <w:iCs/>
                <w:szCs w:val="28"/>
              </w:rPr>
              <w:t>us</w:t>
            </w:r>
            <w:r w:rsidR="0000343B">
              <w:rPr>
                <w:bCs/>
                <w:iCs/>
                <w:szCs w:val="28"/>
              </w:rPr>
              <w:t>”</w:t>
            </w:r>
            <w:r w:rsidR="00457D40">
              <w:rPr>
                <w:bCs/>
                <w:iCs/>
                <w:szCs w:val="28"/>
              </w:rPr>
              <w:t>, kā arī D1</w:t>
            </w:r>
            <w:r w:rsidR="00457D40">
              <w:rPr>
                <w:bCs/>
                <w:iCs/>
                <w:szCs w:val="28"/>
                <w:vertAlign w:val="superscript"/>
              </w:rPr>
              <w:t>1</w:t>
            </w:r>
            <w:r w:rsidR="00457D40">
              <w:rPr>
                <w:bCs/>
                <w:iCs/>
                <w:szCs w:val="28"/>
              </w:rPr>
              <w:t xml:space="preserve"> pielikuma 9.ailei mainīts nosaukums no </w:t>
            </w:r>
            <w:r w:rsidR="00457D40" w:rsidRPr="00457D40">
              <w:rPr>
                <w:bCs/>
                <w:iCs/>
                <w:szCs w:val="28"/>
              </w:rPr>
              <w:t>“</w:t>
            </w:r>
            <w:r w:rsidR="00457D40">
              <w:rPr>
                <w:bCs/>
                <w:iCs/>
                <w:szCs w:val="28"/>
              </w:rPr>
              <w:t xml:space="preserve">Maksājamais nodoklis” uz </w:t>
            </w:r>
            <w:r w:rsidR="00457D40" w:rsidRPr="00457D40">
              <w:rPr>
                <w:bCs/>
                <w:iCs/>
                <w:szCs w:val="28"/>
              </w:rPr>
              <w:t>“</w:t>
            </w:r>
            <w:r w:rsidR="00457D40">
              <w:rPr>
                <w:bCs/>
                <w:iCs/>
                <w:szCs w:val="28"/>
              </w:rPr>
              <w:t xml:space="preserve">Maksājamais vai pārmaksātais nodoklis”, lai varētu nodeklarēt </w:t>
            </w:r>
            <w:r w:rsidR="00457D40" w:rsidRPr="00457D40">
              <w:rPr>
                <w:bCs/>
                <w:iCs/>
                <w:szCs w:val="28"/>
              </w:rPr>
              <w:t>pārmaksāt</w:t>
            </w:r>
            <w:r w:rsidR="00457D40">
              <w:rPr>
                <w:bCs/>
                <w:iCs/>
                <w:szCs w:val="28"/>
              </w:rPr>
              <w:t>o nodokli</w:t>
            </w:r>
            <w:r w:rsidR="00457D40" w:rsidRPr="00457D40">
              <w:rPr>
                <w:bCs/>
                <w:iCs/>
                <w:szCs w:val="28"/>
              </w:rPr>
              <w:t xml:space="preserve"> gadījumos, ja pēc nodokļa nomaksas tiek veikta aizdevuma atmaksa</w:t>
            </w:r>
            <w:r w:rsidR="00190F77">
              <w:rPr>
                <w:bCs/>
                <w:iCs/>
                <w:szCs w:val="28"/>
              </w:rPr>
              <w:t xml:space="preserve">. </w:t>
            </w:r>
            <w:r w:rsidR="00AF7C13">
              <w:rPr>
                <w:iCs/>
                <w:lang w:eastAsia="en-US"/>
              </w:rPr>
              <w:t xml:space="preserve">Ņemot vērā to, ka atbilstoši likuma „Par iedzīvotāju ienākuma nodokli” 19.panta </w:t>
            </w:r>
            <w:r w:rsidR="00AF7C13">
              <w:t>5.</w:t>
            </w:r>
            <w:r w:rsidR="00AF7C13">
              <w:rPr>
                <w:vertAlign w:val="superscript"/>
              </w:rPr>
              <w:t>4</w:t>
            </w:r>
            <w:r w:rsidR="00AF7C13">
              <w:t xml:space="preserve"> daļai Valsts ieņēmumu dienests elektroniskās deklarēšanas sistēmā nodrošina, ka maksātājam ir pieejama deklarācijas aizpildīšanai nepieciešamā valsts informācijas sistēmās esošā informācija, </w:t>
            </w:r>
            <w:r w:rsidR="00AF7C13">
              <w:rPr>
                <w:iCs/>
                <w:lang w:eastAsia="en-US"/>
              </w:rPr>
              <w:t>tad Valsts ieņēmumu dienests  Elektroniskās deklarēšanas sistēmā nodrošinās D1</w:t>
            </w:r>
            <w:r w:rsidR="00AF7C13" w:rsidRPr="00AF7C13">
              <w:rPr>
                <w:iCs/>
                <w:vertAlign w:val="superscript"/>
                <w:lang w:eastAsia="en-US"/>
              </w:rPr>
              <w:t>1</w:t>
            </w:r>
            <w:r w:rsidR="00AF7C13">
              <w:rPr>
                <w:iCs/>
                <w:lang w:eastAsia="en-US"/>
              </w:rPr>
              <w:t xml:space="preserve"> pielikuma rind</w:t>
            </w:r>
            <w:r w:rsidR="000955E3">
              <w:rPr>
                <w:iCs/>
                <w:lang w:eastAsia="en-US"/>
              </w:rPr>
              <w:t>ā norādāmā ienākuma</w:t>
            </w:r>
            <w:r w:rsidR="00AF7C13">
              <w:rPr>
                <w:iCs/>
                <w:lang w:eastAsia="en-US"/>
              </w:rPr>
              <w:t xml:space="preserve"> aizpildīšanu automātiski gadījumos, kad par izsniegto aizdevumu aizdevuma devējs ir iesniedzis paziņojumu par fiziskajai personai izmaksātajām summām, saskaņā ar likuma „Par iedzīvotāju ienākuma nodokli” 17.panta</w:t>
            </w:r>
            <w:r w:rsidR="00BA774C">
              <w:rPr>
                <w:iCs/>
                <w:lang w:eastAsia="en-US"/>
              </w:rPr>
              <w:t xml:space="preserve"> vienpadsmitajā daļā noteikto pienākumu.</w:t>
            </w:r>
            <w:r w:rsidR="00AF7C13">
              <w:rPr>
                <w:iCs/>
                <w:lang w:eastAsia="en-US"/>
              </w:rPr>
              <w:t xml:space="preserve"> </w:t>
            </w:r>
            <w:r w:rsidR="00BA774C">
              <w:t xml:space="preserve">Piemērojot likuma </w:t>
            </w:r>
            <w:hyperlink r:id="rId8" w:anchor="p17" w:tgtFrame="_blank" w:history="1">
              <w:r w:rsidR="00BA774C">
                <w:rPr>
                  <w:rStyle w:val="Hyperlink"/>
                </w:rPr>
                <w:t>17.panta</w:t>
              </w:r>
            </w:hyperlink>
            <w:r w:rsidR="00BA774C">
              <w:t xml:space="preserve"> vienpadsmitās daļas 2.punktu, ienākuma izmaksātājs – komersants, individuālais uzņēmums (arī zemnieku vai zvejnieku saimniecība), kooperatīvā sabiedrība, iestāde, biedrība, nodibinājums, cita privāto tiesību juridiskā persona, nerezidenta pastāvīgā pārstāvniecība un fiziskā persona – saimnieciskās darbības veicēja, kas izmaksā fiziskajai personai ienākumus, kuri nav atbrīvoti no aplikšanas ar nodokli, bet no kuriem saskaņā ar likuma </w:t>
            </w:r>
            <w:hyperlink r:id="rId9" w:anchor="p17" w:tgtFrame="_blank" w:history="1">
              <w:r w:rsidR="00BA774C">
                <w:rPr>
                  <w:rStyle w:val="Hyperlink"/>
                </w:rPr>
                <w:t>17.pantu</w:t>
              </w:r>
            </w:hyperlink>
            <w:r w:rsidR="00BA774C">
              <w:t xml:space="preserve"> nodoklis izmaksas vietā nav jāietur, līdz taksācijas gadam sekojošā gada 1.februārim iesniedz Valsts ieņēmumu dienestā paziņojumu par fiziskai personai izmaksātajām summām. </w:t>
            </w:r>
            <w:r w:rsidR="00272F2D">
              <w:t>Deklarācijas D1</w:t>
            </w:r>
            <w:r w:rsidR="00272F2D" w:rsidRPr="000955E3">
              <w:rPr>
                <w:vertAlign w:val="superscript"/>
              </w:rPr>
              <w:t>1</w:t>
            </w:r>
            <w:r w:rsidR="00272F2D">
              <w:t xml:space="preserve"> pielikums ir jāaizpilda </w:t>
            </w:r>
            <w:r w:rsidR="000955E3">
              <w:t xml:space="preserve">patstāvīgi </w:t>
            </w:r>
            <w:r w:rsidR="00272F2D">
              <w:t>f</w:t>
            </w:r>
            <w:r w:rsidR="00BA774C">
              <w:t>izisk</w:t>
            </w:r>
            <w:r w:rsidR="00272F2D">
              <w:t>aj</w:t>
            </w:r>
            <w:r w:rsidR="00BA774C">
              <w:t>ā</w:t>
            </w:r>
            <w:r w:rsidR="00272F2D">
              <w:t>m</w:t>
            </w:r>
            <w:r w:rsidR="00BA774C">
              <w:t xml:space="preserve"> person</w:t>
            </w:r>
            <w:r w:rsidR="00272F2D">
              <w:t>ām</w:t>
            </w:r>
            <w:r w:rsidR="00BA774C">
              <w:t xml:space="preserve">, kuras guvušas ienākumu no </w:t>
            </w:r>
            <w:r w:rsidR="00272F2D">
              <w:t xml:space="preserve">tāda </w:t>
            </w:r>
            <w:r w:rsidR="00BA774C">
              <w:t>neatmaksātā aizdevuma</w:t>
            </w:r>
            <w:r w:rsidR="00272F2D">
              <w:t xml:space="preserve">, kas saņemts no </w:t>
            </w:r>
            <w:r w:rsidR="00272F2D">
              <w:lastRenderedPageBreak/>
              <w:t>nerezidenta vai fiziskās personas, kura nav reģistrējusi saimniecisko darbību un tai nav noteikts pienākums iesniegt paziņojumu par izsniegto aizdevumu Valsts ieņēmumu dienestā</w:t>
            </w:r>
            <w:r w:rsidR="000955E3">
              <w:t>. Elektroniskās deklarēšanas sistēmā deklarācijas D1</w:t>
            </w:r>
            <w:r w:rsidR="000955E3" w:rsidRPr="000955E3">
              <w:rPr>
                <w:vertAlign w:val="superscript"/>
              </w:rPr>
              <w:t>1</w:t>
            </w:r>
            <w:r w:rsidR="000955E3">
              <w:t xml:space="preserve"> pielikuma ailei „Nodokļa likme” Valsts ieņēmumu dienests izveidos katalogu ar iespēju izvēlēties piemērojamo likmi un pēc likmes izvēlēšanās nodrošinās pārējo nodokļa aprēķina aiļu automātisku aizpildīšanu</w:t>
            </w:r>
            <w:r w:rsidR="007F6FFF">
              <w:rPr>
                <w:bCs/>
                <w:iCs/>
                <w:szCs w:val="28"/>
              </w:rPr>
              <w:t>;</w:t>
            </w:r>
          </w:p>
          <w:p w:rsidR="0000343B" w:rsidRPr="00457D40" w:rsidRDefault="0000343B" w:rsidP="008E5717">
            <w:pPr>
              <w:jc w:val="both"/>
              <w:rPr>
                <w:iCs/>
                <w:szCs w:val="28"/>
              </w:rPr>
            </w:pPr>
          </w:p>
          <w:p w:rsidR="002300CB" w:rsidRDefault="002300CB" w:rsidP="008E5717">
            <w:pPr>
              <w:jc w:val="both"/>
              <w:rPr>
                <w:iCs/>
                <w:lang w:eastAsia="en-US"/>
              </w:rPr>
            </w:pPr>
            <w:r w:rsidRPr="00457D40">
              <w:t>2)</w:t>
            </w:r>
            <w:r w:rsidR="007F6FFF">
              <w:rPr>
                <w:iCs/>
                <w:lang w:eastAsia="en-US"/>
              </w:rPr>
              <w:t xml:space="preserve">gadījumos, kad </w:t>
            </w:r>
            <w:r w:rsidR="007F6FFF" w:rsidRPr="007F6FFF">
              <w:rPr>
                <w:bCs/>
                <w:iCs/>
                <w:lang w:eastAsia="en-US"/>
              </w:rPr>
              <w:t>atbilstoši likuma “Par iedzīvotāju ienākuma nodokli”</w:t>
            </w:r>
            <w:r w:rsidR="007F6FFF">
              <w:rPr>
                <w:bCs/>
                <w:iCs/>
                <w:lang w:eastAsia="en-US"/>
              </w:rPr>
              <w:t xml:space="preserve"> 19.panta 2.</w:t>
            </w:r>
            <w:r w:rsidR="007F6FFF">
              <w:rPr>
                <w:bCs/>
                <w:iCs/>
                <w:vertAlign w:val="superscript"/>
                <w:lang w:eastAsia="en-US"/>
              </w:rPr>
              <w:t>1</w:t>
            </w:r>
            <w:r w:rsidR="007F6FFF">
              <w:rPr>
                <w:bCs/>
                <w:iCs/>
                <w:lang w:eastAsia="en-US"/>
              </w:rPr>
              <w:t>daļai ir</w:t>
            </w:r>
            <w:r w:rsidR="00956883">
              <w:rPr>
                <w:bCs/>
                <w:iCs/>
                <w:lang w:eastAsia="en-US"/>
              </w:rPr>
              <w:t xml:space="preserve"> </w:t>
            </w:r>
            <w:r w:rsidR="00457D40" w:rsidRPr="00457D40">
              <w:rPr>
                <w:iCs/>
                <w:lang w:eastAsia="en-US"/>
              </w:rPr>
              <w:t>maksājams minimālais 50 </w:t>
            </w:r>
            <w:r w:rsidR="00457D40" w:rsidRPr="00457D40">
              <w:rPr>
                <w:i/>
                <w:iCs/>
                <w:lang w:eastAsia="en-US"/>
              </w:rPr>
              <w:t>euro</w:t>
            </w:r>
            <w:r w:rsidR="00457D40" w:rsidRPr="00457D40">
              <w:rPr>
                <w:iCs/>
                <w:lang w:eastAsia="en-US"/>
              </w:rPr>
              <w:t xml:space="preserve"> nodoklis no saimnieciskās darbības</w:t>
            </w:r>
            <w:r w:rsidR="007F6FFF">
              <w:rPr>
                <w:iCs/>
                <w:lang w:eastAsia="en-US"/>
              </w:rPr>
              <w:t xml:space="preserve">, ja </w:t>
            </w:r>
            <w:r w:rsidR="007F6FFF" w:rsidRPr="007F6FFF">
              <w:rPr>
                <w:iCs/>
                <w:lang w:eastAsia="en-US"/>
              </w:rPr>
              <w:t xml:space="preserve">taksācijas gadā nav gūts ar nodokli apliekams ienākums no saimnieciskās darbības vai ja aprēķinātā nodokļa summa no saimnieciskās darbības apliekamā ienākuma nepārsniedz 50 </w:t>
            </w:r>
            <w:r w:rsidR="007F6FFF" w:rsidRPr="007F6FFF">
              <w:rPr>
                <w:i/>
                <w:iCs/>
                <w:lang w:eastAsia="en-US"/>
              </w:rPr>
              <w:t>euro</w:t>
            </w:r>
            <w:r w:rsidR="007F6FFF">
              <w:rPr>
                <w:i/>
                <w:iCs/>
                <w:lang w:eastAsia="en-US"/>
              </w:rPr>
              <w:t xml:space="preserve">. </w:t>
            </w:r>
            <w:r w:rsidR="007F6FFF">
              <w:rPr>
                <w:iCs/>
                <w:lang w:eastAsia="en-US"/>
              </w:rPr>
              <w:t>Lai minimālo nodokli no saimnieciskās darbības varētu deklarēt ar jaunām rindām ir papildināti deklarācijas D3 un D3</w:t>
            </w:r>
            <w:r w:rsidR="007F6FFF">
              <w:rPr>
                <w:iCs/>
                <w:vertAlign w:val="superscript"/>
                <w:lang w:eastAsia="en-US"/>
              </w:rPr>
              <w:t>1</w:t>
            </w:r>
            <w:r w:rsidR="007F6FFF">
              <w:rPr>
                <w:iCs/>
                <w:lang w:eastAsia="en-US"/>
              </w:rPr>
              <w:t xml:space="preserve"> pielikumi, kā arī noteikta šo rindu aizpildīšanas kārtība</w:t>
            </w:r>
            <w:r w:rsidR="00C111F7">
              <w:rPr>
                <w:iCs/>
                <w:lang w:eastAsia="en-US"/>
              </w:rPr>
              <w:t>. Ņemot vērā to, ka saimnieciskās darbības veicēji, kuri iesniedz deklarācijas D3 vai D3</w:t>
            </w:r>
            <w:r w:rsidR="00C111F7" w:rsidRPr="00C111F7">
              <w:rPr>
                <w:iCs/>
                <w:vertAlign w:val="superscript"/>
                <w:lang w:eastAsia="en-US"/>
              </w:rPr>
              <w:t>1</w:t>
            </w:r>
            <w:r w:rsidR="00C111F7">
              <w:rPr>
                <w:iCs/>
                <w:lang w:eastAsia="en-US"/>
              </w:rPr>
              <w:t xml:space="preserve"> pielikumu</w:t>
            </w:r>
            <w:r w:rsidR="005D73F2">
              <w:rPr>
                <w:iCs/>
                <w:lang w:eastAsia="en-US"/>
              </w:rPr>
              <w:t xml:space="preserve"> </w:t>
            </w:r>
            <w:r w:rsidR="00C111F7">
              <w:rPr>
                <w:iCs/>
                <w:lang w:eastAsia="en-US"/>
              </w:rPr>
              <w:t xml:space="preserve">Valsts ieņēmumu dienesta </w:t>
            </w:r>
            <w:r w:rsidR="00AF7C13">
              <w:rPr>
                <w:iCs/>
                <w:lang w:eastAsia="en-US"/>
              </w:rPr>
              <w:t>e</w:t>
            </w:r>
            <w:r w:rsidR="00C111F7">
              <w:rPr>
                <w:iCs/>
                <w:lang w:eastAsia="en-US"/>
              </w:rPr>
              <w:t>lektroniskās deklarēšanas sistēmā</w:t>
            </w:r>
            <w:r w:rsidR="005D73F2">
              <w:rPr>
                <w:iCs/>
                <w:lang w:eastAsia="en-US"/>
              </w:rPr>
              <w:t xml:space="preserve">, atbilstoši likuma „Par nodokļiem un nodevām” 15.panta pirmās daļas 3.punktā noteiktajam, tad Valsts ieņēmumu dienests  </w:t>
            </w:r>
            <w:r w:rsidR="00AF7C13">
              <w:rPr>
                <w:iCs/>
                <w:lang w:eastAsia="en-US"/>
              </w:rPr>
              <w:t>e</w:t>
            </w:r>
            <w:r w:rsidR="005D73F2">
              <w:rPr>
                <w:iCs/>
                <w:lang w:eastAsia="en-US"/>
              </w:rPr>
              <w:t>lektroniskās deklarēšanas sistēmā nodrošinās attiecīgo D3 un D3</w:t>
            </w:r>
            <w:r w:rsidR="005D73F2" w:rsidRPr="005D73F2">
              <w:rPr>
                <w:iCs/>
                <w:vertAlign w:val="superscript"/>
                <w:lang w:eastAsia="en-US"/>
              </w:rPr>
              <w:t>1</w:t>
            </w:r>
            <w:r w:rsidR="005D73F2">
              <w:rPr>
                <w:iCs/>
                <w:lang w:eastAsia="en-US"/>
              </w:rPr>
              <w:t xml:space="preserve"> pielikumu rindās norādāmā minimālā nodokļa aprēķināšanu automātiski</w:t>
            </w:r>
            <w:r w:rsidR="00272F2D">
              <w:rPr>
                <w:iCs/>
                <w:lang w:eastAsia="en-US"/>
              </w:rPr>
              <w:t xml:space="preserve"> saska</w:t>
            </w:r>
            <w:r w:rsidR="00DF5348">
              <w:rPr>
                <w:iCs/>
                <w:lang w:eastAsia="en-US"/>
              </w:rPr>
              <w:t>ņā</w:t>
            </w:r>
            <w:r w:rsidR="00DF5348" w:rsidRPr="00DF5348">
              <w:rPr>
                <w:iCs/>
                <w:lang w:eastAsia="en-US"/>
              </w:rPr>
              <w:t xml:space="preserve"> ar likuma „Par iedzīvotāju ienākuma nodokli” 19.panta 5.</w:t>
            </w:r>
            <w:r w:rsidR="00DF5348" w:rsidRPr="00DF5348">
              <w:rPr>
                <w:iCs/>
                <w:vertAlign w:val="superscript"/>
                <w:lang w:eastAsia="en-US"/>
              </w:rPr>
              <w:t>4</w:t>
            </w:r>
            <w:r w:rsidR="00DF5348" w:rsidRPr="00DF5348">
              <w:rPr>
                <w:iCs/>
                <w:lang w:eastAsia="en-US"/>
              </w:rPr>
              <w:t xml:space="preserve"> daļu</w:t>
            </w:r>
            <w:r w:rsidR="007F6FFF">
              <w:rPr>
                <w:iCs/>
                <w:lang w:eastAsia="en-US"/>
              </w:rPr>
              <w:t xml:space="preserve">; </w:t>
            </w:r>
          </w:p>
          <w:p w:rsidR="007F6FFF" w:rsidRPr="00457D40" w:rsidRDefault="007F6FFF" w:rsidP="008E5717">
            <w:pPr>
              <w:jc w:val="both"/>
            </w:pPr>
          </w:p>
          <w:p w:rsidR="002300CB" w:rsidRDefault="002300CB" w:rsidP="008E5717">
            <w:pPr>
              <w:jc w:val="both"/>
              <w:rPr>
                <w:iCs/>
                <w:lang w:eastAsia="en-US"/>
              </w:rPr>
            </w:pPr>
            <w:r>
              <w:t>3)</w:t>
            </w:r>
            <w:r w:rsidR="007F6FFF">
              <w:rPr>
                <w:bCs/>
              </w:rPr>
              <w:t xml:space="preserve"> atbilstoši </w:t>
            </w:r>
            <w:r w:rsidR="007F6FFF" w:rsidRPr="007F6FFF">
              <w:rPr>
                <w:bCs/>
                <w:iCs/>
              </w:rPr>
              <w:t>likuma “Par iedzīvotāju ienākuma nodokli”</w:t>
            </w:r>
            <w:r w:rsidR="007F6FFF">
              <w:rPr>
                <w:bCs/>
                <w:iCs/>
              </w:rPr>
              <w:t xml:space="preserve"> pārejas noteikumu </w:t>
            </w:r>
            <w:r w:rsidR="00295F8C">
              <w:rPr>
                <w:bCs/>
                <w:iCs/>
              </w:rPr>
              <w:t xml:space="preserve">94.punktā noteiktajam, </w:t>
            </w:r>
            <w:r w:rsidR="00295F8C" w:rsidRPr="00295F8C">
              <w:rPr>
                <w:bCs/>
                <w:iCs/>
              </w:rPr>
              <w:t>ka no aplikšanas ar iedzīvotāju ienākuma nodokli atbrīvo 2014., 2015. un 2016.gadā saņemtās summas, kas izmaksātas kā valsts atbalsts lauksaimniecībai vai Eiropas Savienības atbalsts lauksaimniecībai un lauku attīstībai</w:t>
            </w:r>
            <w:r w:rsidR="00295F8C">
              <w:rPr>
                <w:bCs/>
                <w:iCs/>
              </w:rPr>
              <w:t xml:space="preserve">, ir precizēta deklarācijas D3 pielikuma 01.4.rindas </w:t>
            </w:r>
            <w:r w:rsidR="00295F8C" w:rsidRPr="00295F8C">
              <w:rPr>
                <w:bCs/>
                <w:iCs/>
              </w:rPr>
              <w:t>“</w:t>
            </w:r>
            <w:r w:rsidR="00295F8C">
              <w:rPr>
                <w:bCs/>
                <w:iCs/>
              </w:rPr>
              <w:t xml:space="preserve">Ieņēmumi no atbalsta lauksaimniecībai un lauku attīstībai” un 08.rindas </w:t>
            </w:r>
            <w:r w:rsidR="00295F8C" w:rsidRPr="00295F8C">
              <w:rPr>
                <w:bCs/>
                <w:iCs/>
              </w:rPr>
              <w:t>“</w:t>
            </w:r>
            <w:r w:rsidR="00295F8C">
              <w:rPr>
                <w:bCs/>
                <w:iCs/>
              </w:rPr>
              <w:t xml:space="preserve">Neapliekamie ienākumi” aizpildīšanas kārtība. </w:t>
            </w:r>
            <w:r w:rsidR="00272F2D">
              <w:rPr>
                <w:iCs/>
                <w:lang w:eastAsia="en-US"/>
              </w:rPr>
              <w:t xml:space="preserve">Ņemot vērā to, ka atbilstoši likuma „Par iedzīvotāju ienākuma nodokli” 19.panta </w:t>
            </w:r>
            <w:r w:rsidR="00272F2D">
              <w:t>5.</w:t>
            </w:r>
            <w:r w:rsidR="00272F2D">
              <w:rPr>
                <w:vertAlign w:val="superscript"/>
              </w:rPr>
              <w:t>4</w:t>
            </w:r>
            <w:r w:rsidR="00272F2D">
              <w:t xml:space="preserve"> daļai Valsts ieņēmumu dienests elektroniskās deklarēšanas sistēmā nodrošina, ka maksātājam ir pieejama deklarācijas aizpildīšanai nepieciešamā valsts informācijas sistēmās esošā informācija, </w:t>
            </w:r>
            <w:r w:rsidR="00272F2D">
              <w:rPr>
                <w:iCs/>
                <w:lang w:eastAsia="en-US"/>
              </w:rPr>
              <w:t>tad Valsts ieņēmumu dienests  Elektroniskās deklarēšanas sistēmā nodrošinās D3 pielikuma 08.rindas aizpildīšanu automātiski</w:t>
            </w:r>
            <w:r w:rsidR="0066554A">
              <w:rPr>
                <w:iCs/>
                <w:lang w:eastAsia="en-US"/>
              </w:rPr>
              <w:t>;</w:t>
            </w:r>
          </w:p>
          <w:p w:rsidR="0066554A" w:rsidRDefault="0066554A" w:rsidP="008E5717">
            <w:pPr>
              <w:jc w:val="both"/>
              <w:rPr>
                <w:iCs/>
                <w:lang w:eastAsia="en-US"/>
              </w:rPr>
            </w:pPr>
          </w:p>
          <w:p w:rsidR="0066554A" w:rsidRDefault="0066554A" w:rsidP="008E5717">
            <w:pPr>
              <w:jc w:val="both"/>
            </w:pPr>
            <w:r>
              <w:rPr>
                <w:iCs/>
                <w:lang w:eastAsia="en-US"/>
              </w:rPr>
              <w:t>4) atbilstoši likuma „Par iedzīvotāju ienākuma nodokli” 24.panta treš</w:t>
            </w:r>
            <w:r w:rsidR="00693FC4">
              <w:rPr>
                <w:iCs/>
                <w:lang w:eastAsia="en-US"/>
              </w:rPr>
              <w:t>ajai</w:t>
            </w:r>
            <w:r>
              <w:rPr>
                <w:iCs/>
                <w:lang w:eastAsia="en-US"/>
              </w:rPr>
              <w:t xml:space="preserve"> daļai Latvijā </w:t>
            </w:r>
            <w:r>
              <w:t xml:space="preserve">aprēķināto nodokli samazina par summu, kas ir vienāda ar ārvalstīs samaksāto nodokli, ja šī nodokļa samaksa ārvalstīs ir apliecināta ar ārvalstu nodokļu iekasēšanas institūcijas apstiprinātiem dokumentiem, kuros uzrādīts apliekamais ienākums un ārvalstīs samaksātā nodokļa summa. </w:t>
            </w:r>
            <w:r>
              <w:rPr>
                <w:iCs/>
              </w:rPr>
              <w:t xml:space="preserve">Ministru kabineta </w:t>
            </w:r>
            <w:r>
              <w:rPr>
                <w:iCs/>
              </w:rPr>
              <w:lastRenderedPageBreak/>
              <w:t>2012.gada 2</w:t>
            </w:r>
            <w:r w:rsidRPr="0089091C">
              <w:rPr>
                <w:iCs/>
              </w:rPr>
              <w:t>1.augusta noteikumos Nr.</w:t>
            </w:r>
            <w:r>
              <w:rPr>
                <w:iCs/>
              </w:rPr>
              <w:t>568“</w:t>
            </w:r>
            <w:r w:rsidRPr="0089091C">
              <w:rPr>
                <w:iCs/>
              </w:rPr>
              <w:t xml:space="preserve">Noteikumi par </w:t>
            </w:r>
            <w:r w:rsidRPr="00A54D5B">
              <w:rPr>
                <w:iCs/>
              </w:rPr>
              <w:t>iedzīvotāju ienākuma nodokļa deklarācijām un to aizpildīšanas kārtību</w:t>
            </w:r>
            <w:r w:rsidRPr="0089091C">
              <w:rPr>
                <w:iCs/>
              </w:rPr>
              <w:t>” nav noteikta kārtība</w:t>
            </w:r>
            <w:r>
              <w:t xml:space="preserve">, kā tiek aprēķināts Latvijā maksājamais nodoklis, tādēļ </w:t>
            </w:r>
            <w:r w:rsidR="00D121EC">
              <w:t xml:space="preserve">papildināts </w:t>
            </w:r>
            <w:r>
              <w:t xml:space="preserve">noteikumu </w:t>
            </w:r>
            <w:r w:rsidR="00D121EC">
              <w:t xml:space="preserve">17.9.apašpunkts ar paskaidrojošu teikumu, ka </w:t>
            </w:r>
            <w:r w:rsidR="00D121EC">
              <w:rPr>
                <w:bCs/>
              </w:rPr>
              <w:t>D1</w:t>
            </w:r>
            <w:r w:rsidR="00D121EC" w:rsidRPr="00D121EC">
              <w:rPr>
                <w:bCs/>
                <w:vertAlign w:val="superscript"/>
              </w:rPr>
              <w:t>1</w:t>
            </w:r>
            <w:r w:rsidR="00D121EC">
              <w:rPr>
                <w:bCs/>
              </w:rPr>
              <w:t xml:space="preserve"> pielikuma </w:t>
            </w:r>
            <w:r w:rsidR="00D121EC" w:rsidRPr="00D121EC">
              <w:rPr>
                <w:bCs/>
              </w:rPr>
              <w:t xml:space="preserve"> ailē norāda arī ārvalstīs samaksāto nodokli, kurš nepārsniedz 7.ailē norādīto </w:t>
            </w:r>
            <w:r w:rsidR="00D121EC">
              <w:rPr>
                <w:bCs/>
              </w:rPr>
              <w:t xml:space="preserve">Latvijā </w:t>
            </w:r>
            <w:r w:rsidR="00D121EC" w:rsidRPr="00D121EC">
              <w:rPr>
                <w:bCs/>
              </w:rPr>
              <w:t>aprēķināto nodokli</w:t>
            </w:r>
            <w:r w:rsidR="00D121EC">
              <w:rPr>
                <w:bCs/>
              </w:rPr>
              <w:t>. Ņemot vērā, ka atbilstoši likum</w:t>
            </w:r>
            <w:r w:rsidR="00693FC4">
              <w:rPr>
                <w:bCs/>
              </w:rPr>
              <w:t>am</w:t>
            </w:r>
            <w:r w:rsidR="00D121EC">
              <w:rPr>
                <w:bCs/>
              </w:rPr>
              <w:t xml:space="preserve"> „Par iedzīvotāju ienākuma nodokli”</w:t>
            </w:r>
            <w:r w:rsidR="00D121EC">
              <w:rPr>
                <w:iCs/>
                <w:lang w:eastAsia="en-US"/>
              </w:rPr>
              <w:t xml:space="preserve"> Latvijā </w:t>
            </w:r>
            <w:r w:rsidR="00D121EC">
              <w:t xml:space="preserve">aprēķināto nodokli samazina par summu, kas ir vienāda ar ārvalstīs samaksāto nodokli, tad situācijās, kad ārvalstīs samaksātais nodoklis ir lielāks par Latvijā aprēķināto, tas nevar veidot nodokļa pārmaksu Latvijā. </w:t>
            </w:r>
            <w:r w:rsidR="00D121EC">
              <w:rPr>
                <w:bCs/>
              </w:rPr>
              <w:t xml:space="preserve"> </w:t>
            </w:r>
            <w:r w:rsidR="006A2731">
              <w:rPr>
                <w:bCs/>
              </w:rPr>
              <w:t>Tādējādi, ja ārvalstīs samaksātais nodoklis ir lielāks par Latvijā aprēķināto, tad deklarācijas D1</w:t>
            </w:r>
            <w:r w:rsidR="006A2731" w:rsidRPr="00693FC4">
              <w:rPr>
                <w:bCs/>
                <w:vertAlign w:val="superscript"/>
              </w:rPr>
              <w:t xml:space="preserve">1 </w:t>
            </w:r>
            <w:r w:rsidR="006A2731">
              <w:rPr>
                <w:bCs/>
              </w:rPr>
              <w:t>pielikuma 8.ailē „Avansā samaksātais (ieturētais) nodoklis” norāda 7.ailē aprēķināto nodokli.</w:t>
            </w:r>
            <w:r w:rsidR="00D121EC">
              <w:rPr>
                <w:bCs/>
              </w:rPr>
              <w:t xml:space="preserve">  </w:t>
            </w:r>
            <w:r>
              <w:t xml:space="preserve"> </w:t>
            </w:r>
          </w:p>
          <w:p w:rsidR="000B0122" w:rsidRDefault="000B0122" w:rsidP="00397056">
            <w:pPr>
              <w:pStyle w:val="NoSpacing"/>
              <w:jc w:val="both"/>
              <w:rPr>
                <w:b/>
                <w:sz w:val="24"/>
                <w:szCs w:val="24"/>
                <w:lang w:val="lv-LV"/>
              </w:rPr>
            </w:pPr>
          </w:p>
          <w:p w:rsidR="008C4958" w:rsidRPr="008C4958" w:rsidRDefault="001E158B" w:rsidP="008D7C94">
            <w:pPr>
              <w:pStyle w:val="NoSpacing"/>
              <w:jc w:val="both"/>
              <w:rPr>
                <w:sz w:val="24"/>
                <w:szCs w:val="24"/>
                <w:lang w:val="lv-LV"/>
              </w:rPr>
            </w:pPr>
            <w:r>
              <w:rPr>
                <w:sz w:val="24"/>
                <w:szCs w:val="24"/>
                <w:lang w:val="lv-LV"/>
              </w:rPr>
              <w:t xml:space="preserve">Pamatojoties uz </w:t>
            </w:r>
            <w:r w:rsidRPr="001E158B">
              <w:rPr>
                <w:sz w:val="24"/>
                <w:szCs w:val="24"/>
                <w:lang w:val="lv-LV"/>
              </w:rPr>
              <w:t>Ministru kabineta 20</w:t>
            </w:r>
            <w:r>
              <w:rPr>
                <w:sz w:val="24"/>
                <w:szCs w:val="24"/>
                <w:lang w:val="lv-LV"/>
              </w:rPr>
              <w:t>09</w:t>
            </w:r>
            <w:r w:rsidRPr="001E158B">
              <w:rPr>
                <w:sz w:val="24"/>
                <w:szCs w:val="24"/>
                <w:lang w:val="lv-LV"/>
              </w:rPr>
              <w:t xml:space="preserve">.gada </w:t>
            </w:r>
            <w:r>
              <w:rPr>
                <w:sz w:val="24"/>
                <w:szCs w:val="24"/>
                <w:lang w:val="lv-LV"/>
              </w:rPr>
              <w:t>3.februāra</w:t>
            </w:r>
            <w:r w:rsidRPr="001E158B">
              <w:rPr>
                <w:sz w:val="24"/>
                <w:szCs w:val="24"/>
                <w:lang w:val="lv-LV"/>
              </w:rPr>
              <w:t xml:space="preserve"> noteikum</w:t>
            </w:r>
            <w:r>
              <w:rPr>
                <w:sz w:val="24"/>
                <w:szCs w:val="24"/>
                <w:lang w:val="lv-LV"/>
              </w:rPr>
              <w:t>u</w:t>
            </w:r>
            <w:r w:rsidRPr="001E158B">
              <w:rPr>
                <w:sz w:val="24"/>
                <w:szCs w:val="24"/>
                <w:lang w:val="lv-LV"/>
              </w:rPr>
              <w:t xml:space="preserve"> Nr.</w:t>
            </w:r>
            <w:r>
              <w:rPr>
                <w:sz w:val="24"/>
                <w:szCs w:val="24"/>
                <w:lang w:val="lv-LV"/>
              </w:rPr>
              <w:t>108</w:t>
            </w:r>
            <w:r w:rsidRPr="001E158B">
              <w:rPr>
                <w:sz w:val="24"/>
                <w:szCs w:val="24"/>
                <w:lang w:val="lv-LV"/>
              </w:rPr>
              <w:t xml:space="preserve"> “Normatīvo aktu projektu sagatavošanas noteikumi”</w:t>
            </w:r>
            <w:r>
              <w:rPr>
                <w:sz w:val="24"/>
                <w:szCs w:val="24"/>
                <w:lang w:val="lv-LV"/>
              </w:rPr>
              <w:t xml:space="preserve"> 2.2.apakšpunktu, nepieciešams veikt grozījumus n</w:t>
            </w:r>
            <w:r w:rsidR="008C4958">
              <w:rPr>
                <w:sz w:val="24"/>
                <w:szCs w:val="24"/>
                <w:lang w:val="lv-LV"/>
              </w:rPr>
              <w:t xml:space="preserve">oteikumu 5.punktā, </w:t>
            </w:r>
            <w:r>
              <w:rPr>
                <w:sz w:val="24"/>
                <w:szCs w:val="24"/>
                <w:lang w:val="lv-LV"/>
              </w:rPr>
              <w:t xml:space="preserve"> lai nodrošinātu vienotu </w:t>
            </w:r>
            <w:r w:rsidR="00C2475B">
              <w:rPr>
                <w:sz w:val="24"/>
                <w:szCs w:val="24"/>
                <w:lang w:val="lv-LV"/>
              </w:rPr>
              <w:t xml:space="preserve">juridisko </w:t>
            </w:r>
            <w:r>
              <w:rPr>
                <w:sz w:val="24"/>
                <w:szCs w:val="24"/>
                <w:lang w:val="lv-LV"/>
              </w:rPr>
              <w:t>terminoloģiju</w:t>
            </w:r>
            <w:r w:rsidR="00C2475B">
              <w:rPr>
                <w:sz w:val="24"/>
                <w:szCs w:val="24"/>
                <w:lang w:val="lv-LV"/>
              </w:rPr>
              <w:t>, atbilstoši likumā „Par iedzīvotāju ienākuma nodokli”</w:t>
            </w:r>
            <w:r w:rsidR="00DE5CFE">
              <w:rPr>
                <w:sz w:val="24"/>
                <w:szCs w:val="24"/>
                <w:lang w:val="lv-LV"/>
              </w:rPr>
              <w:t xml:space="preserve"> lietotajai.</w:t>
            </w:r>
          </w:p>
        </w:tc>
      </w:tr>
      <w:tr w:rsidR="00D175E9" w:rsidRPr="00DD49B6" w:rsidTr="0089091C">
        <w:trPr>
          <w:trHeight w:val="476"/>
        </w:trPr>
        <w:tc>
          <w:tcPr>
            <w:tcW w:w="365" w:type="pct"/>
          </w:tcPr>
          <w:p w:rsidR="00D175E9" w:rsidRPr="00DD49B6" w:rsidRDefault="00D175E9" w:rsidP="0089091C">
            <w:pPr>
              <w:pStyle w:val="naiskr"/>
              <w:spacing w:before="0" w:after="0"/>
              <w:ind w:left="57" w:right="57"/>
              <w:jc w:val="center"/>
            </w:pPr>
            <w:r w:rsidRPr="00DD49B6">
              <w:lastRenderedPageBreak/>
              <w:t>3.</w:t>
            </w:r>
          </w:p>
        </w:tc>
        <w:tc>
          <w:tcPr>
            <w:tcW w:w="1520" w:type="pct"/>
          </w:tcPr>
          <w:p w:rsidR="00D175E9" w:rsidRPr="00DD49B6" w:rsidRDefault="00D175E9" w:rsidP="0089091C">
            <w:pPr>
              <w:pStyle w:val="naiskr"/>
              <w:spacing w:before="0" w:after="0"/>
              <w:ind w:left="57" w:right="57"/>
            </w:pPr>
            <w:r w:rsidRPr="00DD49B6">
              <w:t>Projekta izstrādē iesaistītās institūcijas</w:t>
            </w:r>
          </w:p>
        </w:tc>
        <w:tc>
          <w:tcPr>
            <w:tcW w:w="3115" w:type="pct"/>
          </w:tcPr>
          <w:p w:rsidR="00D175E9" w:rsidRPr="00DD49B6" w:rsidRDefault="0089091C" w:rsidP="0089091C">
            <w:pPr>
              <w:ind w:left="57" w:right="57"/>
              <w:rPr>
                <w:b/>
              </w:rPr>
            </w:pPr>
            <w:r w:rsidRPr="0089091C">
              <w:t>Valsts ieņēmumu dienests</w:t>
            </w:r>
          </w:p>
        </w:tc>
      </w:tr>
      <w:tr w:rsidR="00D175E9" w:rsidRPr="00DD49B6" w:rsidTr="0089091C">
        <w:tc>
          <w:tcPr>
            <w:tcW w:w="365" w:type="pct"/>
          </w:tcPr>
          <w:p w:rsidR="00D175E9" w:rsidRPr="00DD49B6" w:rsidRDefault="00D175E9" w:rsidP="0089091C">
            <w:pPr>
              <w:pStyle w:val="naiskr"/>
              <w:spacing w:before="0" w:after="0"/>
              <w:ind w:left="57" w:right="57"/>
              <w:jc w:val="center"/>
            </w:pPr>
            <w:r w:rsidRPr="00DD49B6">
              <w:t>4.</w:t>
            </w:r>
          </w:p>
        </w:tc>
        <w:tc>
          <w:tcPr>
            <w:tcW w:w="1520" w:type="pct"/>
          </w:tcPr>
          <w:p w:rsidR="00D175E9" w:rsidRPr="00DD49B6" w:rsidRDefault="00D175E9" w:rsidP="0089091C">
            <w:pPr>
              <w:pStyle w:val="naiskr"/>
              <w:spacing w:before="0" w:after="0"/>
              <w:ind w:left="57" w:right="57"/>
            </w:pPr>
            <w:r w:rsidRPr="00DD49B6">
              <w:t>Cita informācija</w:t>
            </w:r>
          </w:p>
        </w:tc>
        <w:tc>
          <w:tcPr>
            <w:tcW w:w="3115" w:type="pct"/>
          </w:tcPr>
          <w:p w:rsidR="00D175E9" w:rsidRPr="00DD49B6" w:rsidRDefault="00D175E9" w:rsidP="0089091C">
            <w:pPr>
              <w:pStyle w:val="naiskr"/>
              <w:spacing w:before="0" w:after="0"/>
              <w:ind w:left="57" w:right="57"/>
            </w:pPr>
            <w:r w:rsidRPr="00DD49B6">
              <w:t>Nav</w:t>
            </w:r>
          </w:p>
        </w:tc>
      </w:tr>
    </w:tbl>
    <w:p w:rsidR="00D175E9" w:rsidRPr="00DD49B6" w:rsidRDefault="00D175E9" w:rsidP="00D175E9"/>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D175E9" w:rsidRPr="00DD49B6" w:rsidTr="0089091C">
        <w:trPr>
          <w:trHeight w:val="556"/>
        </w:trPr>
        <w:tc>
          <w:tcPr>
            <w:tcW w:w="9503" w:type="dxa"/>
            <w:gridSpan w:val="3"/>
            <w:vAlign w:val="center"/>
          </w:tcPr>
          <w:p w:rsidR="00D175E9" w:rsidRPr="00DD49B6" w:rsidRDefault="00D175E9" w:rsidP="0089091C">
            <w:pPr>
              <w:pStyle w:val="naisnod"/>
              <w:spacing w:before="0" w:after="0"/>
              <w:ind w:left="57" w:right="57"/>
              <w:rPr>
                <w:b w:val="0"/>
              </w:rPr>
            </w:pPr>
            <w:r w:rsidRPr="00DD49B6">
              <w:rPr>
                <w:b w:val="0"/>
              </w:rPr>
              <w:t>II. Tiesību akta projekta ietekme uz sabiedrību, tautsaimniecības attīstību</w:t>
            </w:r>
          </w:p>
          <w:p w:rsidR="00D175E9" w:rsidRPr="00DD49B6" w:rsidRDefault="00D175E9" w:rsidP="0089091C">
            <w:pPr>
              <w:pStyle w:val="naisnod"/>
              <w:spacing w:before="0" w:after="0"/>
              <w:ind w:left="57" w:right="57"/>
              <w:rPr>
                <w:b w:val="0"/>
              </w:rPr>
            </w:pPr>
            <w:r w:rsidRPr="00DD49B6">
              <w:rPr>
                <w:b w:val="0"/>
              </w:rPr>
              <w:t>un administratīvo slogu</w:t>
            </w:r>
          </w:p>
        </w:tc>
      </w:tr>
      <w:tr w:rsidR="00D175E9" w:rsidRPr="00DD49B6" w:rsidTr="0089091C">
        <w:trPr>
          <w:trHeight w:val="467"/>
        </w:trPr>
        <w:tc>
          <w:tcPr>
            <w:tcW w:w="431" w:type="dxa"/>
          </w:tcPr>
          <w:p w:rsidR="00D175E9" w:rsidRPr="00DD49B6" w:rsidRDefault="00D175E9" w:rsidP="0089091C">
            <w:pPr>
              <w:pStyle w:val="naiskr"/>
              <w:spacing w:before="0" w:after="0"/>
              <w:ind w:left="57" w:right="57"/>
              <w:jc w:val="both"/>
            </w:pPr>
            <w:r w:rsidRPr="00DD49B6">
              <w:t>1.</w:t>
            </w:r>
          </w:p>
        </w:tc>
        <w:tc>
          <w:tcPr>
            <w:tcW w:w="2976" w:type="dxa"/>
          </w:tcPr>
          <w:p w:rsidR="00D175E9" w:rsidRPr="00DD49B6" w:rsidRDefault="00D175E9" w:rsidP="0089091C">
            <w:pPr>
              <w:pStyle w:val="naiskr"/>
              <w:spacing w:before="0" w:after="0"/>
              <w:ind w:left="57" w:right="57"/>
            </w:pPr>
            <w:r w:rsidRPr="00DD49B6">
              <w:t>Sabiedrības mērķgrupas, kuras tiesiskais regulējums ietekmē vai varētu ietekmēt</w:t>
            </w:r>
          </w:p>
        </w:tc>
        <w:tc>
          <w:tcPr>
            <w:tcW w:w="6096" w:type="dxa"/>
          </w:tcPr>
          <w:p w:rsidR="00D175E9" w:rsidRPr="00DD49B6" w:rsidRDefault="00397056" w:rsidP="00DF5348">
            <w:pPr>
              <w:shd w:val="clear" w:color="auto" w:fill="FFFFFF"/>
              <w:ind w:left="57" w:right="57"/>
              <w:jc w:val="both"/>
            </w:pPr>
            <w:bookmarkStart w:id="0" w:name="p21"/>
            <w:bookmarkEnd w:id="0"/>
            <w:r>
              <w:t>Fiziskās personas, kuras iesniedz gada ienākumu deklarāciju</w:t>
            </w:r>
            <w:r w:rsidR="00B00C44">
              <w:t xml:space="preserve"> un deklarē ienākumam pielīdzināmu aizdevumu vai aizdevuma atmaksu, lai aprēķinātu pārmaksāto nodokli, ja pēc nodokļa nomaksas tiek veikta aizdevuma atmaksa.</w:t>
            </w:r>
          </w:p>
        </w:tc>
      </w:tr>
      <w:tr w:rsidR="00D175E9" w:rsidRPr="00DD49B6" w:rsidTr="0089091C">
        <w:trPr>
          <w:trHeight w:val="523"/>
        </w:trPr>
        <w:tc>
          <w:tcPr>
            <w:tcW w:w="431" w:type="dxa"/>
          </w:tcPr>
          <w:p w:rsidR="00D175E9" w:rsidRPr="00DD49B6" w:rsidRDefault="00D175E9" w:rsidP="0089091C">
            <w:pPr>
              <w:pStyle w:val="naiskr"/>
              <w:spacing w:before="0" w:after="0"/>
              <w:ind w:left="57" w:right="57"/>
              <w:jc w:val="both"/>
            </w:pPr>
            <w:r w:rsidRPr="00DD49B6">
              <w:t>2.</w:t>
            </w:r>
          </w:p>
        </w:tc>
        <w:tc>
          <w:tcPr>
            <w:tcW w:w="2976" w:type="dxa"/>
          </w:tcPr>
          <w:p w:rsidR="00D175E9" w:rsidRPr="00DD49B6" w:rsidRDefault="00D175E9" w:rsidP="0089091C">
            <w:pPr>
              <w:pStyle w:val="naiskr"/>
              <w:spacing w:before="0" w:after="0"/>
              <w:ind w:left="57" w:right="57"/>
            </w:pPr>
            <w:r w:rsidRPr="00DD49B6">
              <w:t>Tiesiskā regulējuma ietekme uz tautsaimniecību un administratīvo slogu</w:t>
            </w:r>
          </w:p>
        </w:tc>
        <w:tc>
          <w:tcPr>
            <w:tcW w:w="6096" w:type="dxa"/>
          </w:tcPr>
          <w:p w:rsidR="00B00C44" w:rsidRPr="00003899" w:rsidRDefault="00B00C44" w:rsidP="00B00C44">
            <w:pPr>
              <w:pStyle w:val="NormalWeb"/>
              <w:spacing w:before="0" w:beforeAutospacing="0" w:after="0" w:afterAutospacing="0"/>
              <w:jc w:val="both"/>
            </w:pPr>
            <w:r w:rsidRPr="0089091C">
              <w:t xml:space="preserve">Saskaņā ar 2013.gada </w:t>
            </w:r>
            <w:r>
              <w:t>6</w:t>
            </w:r>
            <w:r w:rsidRPr="0089091C">
              <w:t xml:space="preserve">.novembrī pieņemto likumu </w:t>
            </w:r>
            <w:r>
              <w:t>“</w:t>
            </w:r>
            <w:r w:rsidRPr="0089091C">
              <w:t xml:space="preserve">Grozījumi </w:t>
            </w:r>
            <w:r w:rsidRPr="0080652B">
              <w:t>likumā “Par iedzīvotāju ienākuma nodokli”</w:t>
            </w:r>
            <w:r w:rsidRPr="0089091C">
              <w:t>”</w:t>
            </w:r>
            <w:r>
              <w:t xml:space="preserve"> likums </w:t>
            </w:r>
            <w:r w:rsidRPr="008D7ABD">
              <w:t>“</w:t>
            </w:r>
            <w:r>
              <w:t>Par iedzīvotāju ienākuma nodokli” ir papildināts ar 8.</w:t>
            </w:r>
            <w:r>
              <w:rPr>
                <w:vertAlign w:val="superscript"/>
              </w:rPr>
              <w:t>1</w:t>
            </w:r>
            <w:r>
              <w:t>pantu</w:t>
            </w:r>
            <w:r w:rsidRPr="0089091C">
              <w:t>,</w:t>
            </w:r>
            <w:r>
              <w:t xml:space="preserve"> kurā</w:t>
            </w:r>
            <w:r w:rsidRPr="0089091C">
              <w:t xml:space="preserve"> ir noteikts jauns</w:t>
            </w:r>
            <w:r>
              <w:t xml:space="preserve"> deklarācijā norādāmais ar iedzīvotāju ienākuma nodokli apliekams ienākums – ienākumam pielīdzināms aizdevums, kā arī šim ienākumam piemērojamā nodokļa likme un nodokļa maksāšanas kārtība, kā arī ir noteikta pārmaksātā nodokļa atmaksas kārtība gadījumos, ja pēc nodokļa nomaksas tiek veikta aizdevuma atmaksa.</w:t>
            </w:r>
          </w:p>
          <w:p w:rsidR="00A15DA6" w:rsidRPr="00DD49B6" w:rsidRDefault="00A15DA6" w:rsidP="00840284">
            <w:pPr>
              <w:shd w:val="clear" w:color="auto" w:fill="FFFFFF"/>
              <w:ind w:left="57" w:right="57"/>
              <w:jc w:val="both"/>
            </w:pPr>
          </w:p>
        </w:tc>
      </w:tr>
      <w:tr w:rsidR="00D175E9" w:rsidRPr="00DD49B6" w:rsidTr="0089091C">
        <w:trPr>
          <w:trHeight w:val="523"/>
        </w:trPr>
        <w:tc>
          <w:tcPr>
            <w:tcW w:w="431" w:type="dxa"/>
          </w:tcPr>
          <w:p w:rsidR="00D175E9" w:rsidRPr="00DD49B6" w:rsidRDefault="00D175E9" w:rsidP="0089091C">
            <w:pPr>
              <w:pStyle w:val="naiskr"/>
              <w:spacing w:before="0" w:after="0"/>
              <w:ind w:left="57" w:right="57"/>
              <w:jc w:val="both"/>
            </w:pPr>
            <w:r w:rsidRPr="00DD49B6">
              <w:t>3.</w:t>
            </w:r>
          </w:p>
        </w:tc>
        <w:tc>
          <w:tcPr>
            <w:tcW w:w="2976" w:type="dxa"/>
          </w:tcPr>
          <w:p w:rsidR="00D175E9" w:rsidRPr="00DD49B6" w:rsidRDefault="00D175E9" w:rsidP="0089091C">
            <w:pPr>
              <w:pStyle w:val="naiskr"/>
              <w:spacing w:before="0" w:after="0"/>
              <w:ind w:left="57" w:right="57"/>
            </w:pPr>
            <w:r w:rsidRPr="00DD49B6">
              <w:t>Administratīvo izmaksu monetārs novērtējums</w:t>
            </w:r>
          </w:p>
        </w:tc>
        <w:tc>
          <w:tcPr>
            <w:tcW w:w="6096" w:type="dxa"/>
          </w:tcPr>
          <w:p w:rsidR="00DF5348" w:rsidRDefault="00DF5348" w:rsidP="00DF5348">
            <w:pPr>
              <w:shd w:val="clear" w:color="auto" w:fill="FFFFFF"/>
              <w:ind w:left="57" w:right="57"/>
              <w:jc w:val="both"/>
            </w:pPr>
            <w:r>
              <w:t>Informācijas sniegšanas pienākuma radīto izmaksu jeb administratīvo izmaksu sloga palielinājums uz 1000 fiziskajām personām, kas deklarē ienākumu ir 236,50 euro.</w:t>
            </w:r>
          </w:p>
          <w:p w:rsidR="00DF5348" w:rsidRDefault="00DF5348" w:rsidP="00DF5348">
            <w:pPr>
              <w:shd w:val="clear" w:color="auto" w:fill="FFFFFF"/>
              <w:ind w:left="57" w:right="57"/>
              <w:jc w:val="both"/>
            </w:pPr>
            <w:r>
              <w:t xml:space="preserve">C=(4,73x0,05)x(1000x1)= 236,50 euro </w:t>
            </w:r>
          </w:p>
          <w:p w:rsidR="00DF5348" w:rsidRDefault="00DF5348" w:rsidP="00DF5348">
            <w:pPr>
              <w:shd w:val="clear" w:color="auto" w:fill="FFFFFF"/>
              <w:ind w:left="57" w:right="57"/>
              <w:jc w:val="both"/>
            </w:pPr>
            <w:r>
              <w:t>C = (f x l) x (n x b), kur</w:t>
            </w:r>
          </w:p>
          <w:p w:rsidR="00DF5348" w:rsidRDefault="00DF5348" w:rsidP="00DF5348">
            <w:pPr>
              <w:shd w:val="clear" w:color="auto" w:fill="FFFFFF"/>
              <w:ind w:left="57" w:right="57"/>
              <w:jc w:val="both"/>
            </w:pPr>
            <w:r>
              <w:t>C – informācijas sniegšanas pienākuma radītās izmaksas jeb administratīvās izmaksas;</w:t>
            </w:r>
          </w:p>
          <w:p w:rsidR="00DF5348" w:rsidRDefault="00DF5348" w:rsidP="00DF5348">
            <w:pPr>
              <w:shd w:val="clear" w:color="auto" w:fill="FFFFFF"/>
              <w:ind w:left="57" w:right="57"/>
              <w:jc w:val="both"/>
            </w:pPr>
            <w:r>
              <w:lastRenderedPageBreak/>
              <w:t>f – finanšu līdzekļu apjoms, kas nepieciešams, lai nodrošinātu projektā paredzētā informācijas sniegšanas pienākuma izpildi (stundas samaksas likme, ieskaitot virsstundas vai stundas limitu ārējo pakalpojumu sniedzējiem, ja tādi ir);</w:t>
            </w:r>
          </w:p>
          <w:p w:rsidR="00DF5348" w:rsidRDefault="00DF5348" w:rsidP="00DF5348">
            <w:pPr>
              <w:shd w:val="clear" w:color="auto" w:fill="FFFFFF"/>
              <w:ind w:left="57" w:right="57"/>
              <w:jc w:val="both"/>
            </w:pPr>
            <w:r>
              <w:t>l – laika patēriņš, kas nepieciešams, lai sagatavotu informāciju, kuras sniegšanu paredz projekts (3 minūtes – deklarācijas D11 pielikuma aizpildīšanai vidējais laika palielinājums (3 min./60min.=0,05);</w:t>
            </w:r>
          </w:p>
          <w:p w:rsidR="00DF5348" w:rsidRDefault="00DF5348" w:rsidP="00DF5348">
            <w:pPr>
              <w:shd w:val="clear" w:color="auto" w:fill="FFFFFF"/>
              <w:ind w:left="57" w:right="57"/>
              <w:jc w:val="both"/>
            </w:pPr>
            <w:r>
              <w:t>n – subjektu skaits, uz ko attiecas projektā paredzētās informācijas sniegšanas prasības;</w:t>
            </w:r>
          </w:p>
          <w:p w:rsidR="00DF5348" w:rsidRDefault="00DF5348" w:rsidP="00DF5348">
            <w:pPr>
              <w:shd w:val="clear" w:color="auto" w:fill="FFFFFF"/>
              <w:ind w:left="57" w:right="57"/>
              <w:jc w:val="both"/>
            </w:pPr>
            <w:r>
              <w:t>b – cik bieži gada laikā projekts paredz informācijas sniegšanu (vienu reizi gadā).</w:t>
            </w:r>
          </w:p>
          <w:p w:rsidR="00DF5348" w:rsidRDefault="00DF5348" w:rsidP="00DF5348">
            <w:pPr>
              <w:shd w:val="clear" w:color="auto" w:fill="FFFFFF"/>
              <w:ind w:left="57" w:right="57"/>
              <w:jc w:val="both"/>
            </w:pPr>
          </w:p>
          <w:p w:rsidR="00D175E9" w:rsidRPr="00DD49B6" w:rsidRDefault="00DF5348" w:rsidP="00DF5348">
            <w:pPr>
              <w:shd w:val="clear" w:color="auto" w:fill="FFFFFF"/>
              <w:ind w:left="57" w:right="57"/>
              <w:jc w:val="both"/>
            </w:pPr>
            <w:r>
              <w:t xml:space="preserve">4,73 – vidējā stundas samaksas likme (Centrālās statistikas pārvaldes publiski pieejamā informācija par vidējo darba samaksu 2014.gada martā </w:t>
            </w:r>
            <w:hyperlink r:id="rId10" w:history="1">
              <w:r w:rsidRPr="0089222E">
                <w:rPr>
                  <w:rStyle w:val="Hyperlink"/>
                </w:rPr>
                <w:t>http://www.csb.gov.lv/statistikas-temas/darba-samaksa-galvenie-raditaji-30270.html</w:t>
              </w:r>
            </w:hyperlink>
            <w:r>
              <w:t xml:space="preserve"> )</w:t>
            </w:r>
          </w:p>
        </w:tc>
      </w:tr>
      <w:tr w:rsidR="00D175E9" w:rsidRPr="00DD49B6" w:rsidTr="0089091C">
        <w:trPr>
          <w:trHeight w:val="357"/>
        </w:trPr>
        <w:tc>
          <w:tcPr>
            <w:tcW w:w="431" w:type="dxa"/>
          </w:tcPr>
          <w:p w:rsidR="00D175E9" w:rsidRPr="00DD49B6" w:rsidRDefault="00D175E9" w:rsidP="0089091C">
            <w:pPr>
              <w:pStyle w:val="naiskr"/>
              <w:spacing w:before="0" w:after="0"/>
              <w:ind w:left="57" w:right="57"/>
              <w:jc w:val="both"/>
            </w:pPr>
            <w:r w:rsidRPr="00DD49B6">
              <w:lastRenderedPageBreak/>
              <w:t>4.</w:t>
            </w:r>
          </w:p>
        </w:tc>
        <w:tc>
          <w:tcPr>
            <w:tcW w:w="2976" w:type="dxa"/>
          </w:tcPr>
          <w:p w:rsidR="00D175E9" w:rsidRPr="00DD49B6" w:rsidRDefault="00D175E9" w:rsidP="0089091C">
            <w:pPr>
              <w:pStyle w:val="naiskr"/>
              <w:spacing w:before="0" w:after="0"/>
              <w:ind w:left="57" w:right="57"/>
            </w:pPr>
            <w:r w:rsidRPr="00DD49B6">
              <w:t>Cita informācija</w:t>
            </w:r>
          </w:p>
        </w:tc>
        <w:tc>
          <w:tcPr>
            <w:tcW w:w="6096" w:type="dxa"/>
          </w:tcPr>
          <w:p w:rsidR="00D175E9" w:rsidRPr="00DD49B6" w:rsidRDefault="00D175E9" w:rsidP="00CE5203">
            <w:pPr>
              <w:shd w:val="clear" w:color="auto" w:fill="FFFFFF"/>
              <w:ind w:left="57" w:right="57"/>
            </w:pPr>
            <w:r w:rsidRPr="00DD49B6">
              <w:t>Nav</w:t>
            </w:r>
          </w:p>
        </w:tc>
      </w:tr>
    </w:tbl>
    <w:p w:rsidR="00D175E9" w:rsidRPr="00DD49B6" w:rsidRDefault="00D175E9" w:rsidP="00D175E9"/>
    <w:tbl>
      <w:tblPr>
        <w:tblW w:w="95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9"/>
        <w:gridCol w:w="1276"/>
        <w:gridCol w:w="1543"/>
        <w:gridCol w:w="1150"/>
        <w:gridCol w:w="1195"/>
        <w:gridCol w:w="1150"/>
      </w:tblGrid>
      <w:tr w:rsidR="00D175E9" w:rsidRPr="00DD49B6" w:rsidTr="0089091C">
        <w:trPr>
          <w:trHeight w:val="361"/>
          <w:jc w:val="center"/>
        </w:trPr>
        <w:tc>
          <w:tcPr>
            <w:tcW w:w="9513" w:type="dxa"/>
            <w:gridSpan w:val="6"/>
            <w:vAlign w:val="center"/>
          </w:tcPr>
          <w:p w:rsidR="00D175E9" w:rsidRPr="00DD49B6" w:rsidRDefault="00D175E9" w:rsidP="0089091C">
            <w:pPr>
              <w:pStyle w:val="naisnod"/>
              <w:spacing w:before="0" w:after="0"/>
              <w:rPr>
                <w:b w:val="0"/>
                <w:i/>
              </w:rPr>
            </w:pPr>
            <w:r w:rsidRPr="00DD49B6">
              <w:br w:type="page"/>
            </w:r>
            <w:r w:rsidRPr="00DD49B6">
              <w:rPr>
                <w:b w:val="0"/>
              </w:rPr>
              <w:t>III. Tiesību akta projekta ietekme uz valsts budžetu un pašvaldību budžetiem</w:t>
            </w:r>
          </w:p>
        </w:tc>
      </w:tr>
      <w:tr w:rsidR="00D175E9" w:rsidRPr="00DD49B6" w:rsidTr="0089091C">
        <w:trPr>
          <w:jc w:val="center"/>
        </w:trPr>
        <w:tc>
          <w:tcPr>
            <w:tcW w:w="3199" w:type="dxa"/>
            <w:vMerge w:val="restart"/>
            <w:vAlign w:val="center"/>
          </w:tcPr>
          <w:p w:rsidR="00D175E9" w:rsidRPr="00DD49B6" w:rsidRDefault="00D175E9" w:rsidP="0089091C">
            <w:pPr>
              <w:pStyle w:val="naisf"/>
              <w:spacing w:before="0" w:after="0"/>
              <w:jc w:val="center"/>
              <w:rPr>
                <w:b/>
              </w:rPr>
            </w:pPr>
            <w:r w:rsidRPr="00DD49B6">
              <w:rPr>
                <w:b/>
              </w:rPr>
              <w:t>Rādītāji</w:t>
            </w:r>
          </w:p>
        </w:tc>
        <w:tc>
          <w:tcPr>
            <w:tcW w:w="2819" w:type="dxa"/>
            <w:gridSpan w:val="2"/>
            <w:vMerge w:val="restart"/>
            <w:vAlign w:val="center"/>
          </w:tcPr>
          <w:p w:rsidR="00D175E9" w:rsidRPr="00DD49B6" w:rsidRDefault="00D175E9" w:rsidP="0089091C">
            <w:pPr>
              <w:pStyle w:val="naisf"/>
              <w:spacing w:before="0" w:after="0"/>
              <w:jc w:val="center"/>
              <w:rPr>
                <w:b/>
              </w:rPr>
            </w:pPr>
            <w:r w:rsidRPr="00DD49B6">
              <w:rPr>
                <w:b/>
              </w:rPr>
              <w:t>n-tais gads</w:t>
            </w:r>
          </w:p>
        </w:tc>
        <w:tc>
          <w:tcPr>
            <w:tcW w:w="3495" w:type="dxa"/>
            <w:gridSpan w:val="3"/>
            <w:vAlign w:val="center"/>
          </w:tcPr>
          <w:p w:rsidR="00D175E9" w:rsidRPr="00DD49B6" w:rsidRDefault="00D175E9" w:rsidP="0089091C">
            <w:pPr>
              <w:pStyle w:val="naisf"/>
              <w:spacing w:before="0" w:after="0"/>
              <w:jc w:val="center"/>
              <w:rPr>
                <w:b/>
                <w:i/>
              </w:rPr>
            </w:pPr>
            <w:r w:rsidRPr="00DD49B6">
              <w:t>Turpmākie trīs gadi (</w:t>
            </w:r>
            <w:r w:rsidRPr="00470087">
              <w:rPr>
                <w:i/>
              </w:rPr>
              <w:t>euro</w:t>
            </w:r>
            <w:r w:rsidRPr="00DD49B6">
              <w:t>)</w:t>
            </w:r>
          </w:p>
        </w:tc>
      </w:tr>
      <w:tr w:rsidR="00D175E9" w:rsidRPr="00DD49B6" w:rsidTr="0089091C">
        <w:trPr>
          <w:jc w:val="center"/>
        </w:trPr>
        <w:tc>
          <w:tcPr>
            <w:tcW w:w="3199" w:type="dxa"/>
            <w:vMerge/>
            <w:vAlign w:val="center"/>
          </w:tcPr>
          <w:p w:rsidR="00D175E9" w:rsidRPr="00DD49B6" w:rsidRDefault="00D175E9" w:rsidP="0089091C">
            <w:pPr>
              <w:pStyle w:val="naisf"/>
              <w:spacing w:before="0" w:after="0"/>
              <w:jc w:val="center"/>
              <w:rPr>
                <w:b/>
                <w:i/>
              </w:rPr>
            </w:pPr>
          </w:p>
        </w:tc>
        <w:tc>
          <w:tcPr>
            <w:tcW w:w="2819" w:type="dxa"/>
            <w:gridSpan w:val="2"/>
            <w:vMerge/>
            <w:vAlign w:val="center"/>
          </w:tcPr>
          <w:p w:rsidR="00D175E9" w:rsidRPr="00DD49B6" w:rsidRDefault="00D175E9" w:rsidP="0089091C">
            <w:pPr>
              <w:pStyle w:val="naisf"/>
              <w:spacing w:before="0" w:after="0"/>
              <w:jc w:val="center"/>
              <w:rPr>
                <w:b/>
                <w:i/>
              </w:rPr>
            </w:pPr>
          </w:p>
        </w:tc>
        <w:tc>
          <w:tcPr>
            <w:tcW w:w="1150" w:type="dxa"/>
            <w:vAlign w:val="center"/>
          </w:tcPr>
          <w:p w:rsidR="00D175E9" w:rsidRPr="00DD49B6" w:rsidRDefault="00D175E9" w:rsidP="0089091C">
            <w:pPr>
              <w:pStyle w:val="naisf"/>
              <w:spacing w:before="0" w:after="0"/>
              <w:jc w:val="center"/>
              <w:rPr>
                <w:b/>
                <w:i/>
              </w:rPr>
            </w:pPr>
            <w:r w:rsidRPr="00DD49B6">
              <w:rPr>
                <w:b/>
                <w:bCs/>
              </w:rPr>
              <w:t>n+1</w:t>
            </w:r>
          </w:p>
        </w:tc>
        <w:tc>
          <w:tcPr>
            <w:tcW w:w="1195" w:type="dxa"/>
            <w:vAlign w:val="center"/>
          </w:tcPr>
          <w:p w:rsidR="00D175E9" w:rsidRPr="00DD49B6" w:rsidRDefault="00D175E9" w:rsidP="0089091C">
            <w:pPr>
              <w:pStyle w:val="naisf"/>
              <w:spacing w:before="0" w:after="0"/>
              <w:jc w:val="center"/>
              <w:rPr>
                <w:b/>
                <w:i/>
              </w:rPr>
            </w:pPr>
            <w:r w:rsidRPr="00DD49B6">
              <w:rPr>
                <w:b/>
                <w:bCs/>
              </w:rPr>
              <w:t>n+2</w:t>
            </w:r>
          </w:p>
        </w:tc>
        <w:tc>
          <w:tcPr>
            <w:tcW w:w="1150" w:type="dxa"/>
            <w:vAlign w:val="center"/>
          </w:tcPr>
          <w:p w:rsidR="00D175E9" w:rsidRPr="00DD49B6" w:rsidRDefault="00D175E9" w:rsidP="0089091C">
            <w:pPr>
              <w:pStyle w:val="naisf"/>
              <w:spacing w:before="0" w:after="0"/>
              <w:jc w:val="center"/>
              <w:rPr>
                <w:b/>
                <w:i/>
              </w:rPr>
            </w:pPr>
            <w:r w:rsidRPr="00DD49B6">
              <w:rPr>
                <w:b/>
                <w:bCs/>
              </w:rPr>
              <w:t>n+3</w:t>
            </w:r>
          </w:p>
        </w:tc>
      </w:tr>
      <w:tr w:rsidR="00D175E9" w:rsidRPr="00DD49B6" w:rsidTr="00AE3D7B">
        <w:trPr>
          <w:jc w:val="center"/>
        </w:trPr>
        <w:tc>
          <w:tcPr>
            <w:tcW w:w="3199" w:type="dxa"/>
            <w:vMerge/>
            <w:vAlign w:val="center"/>
          </w:tcPr>
          <w:p w:rsidR="00D175E9" w:rsidRPr="00DD49B6" w:rsidRDefault="00D175E9" w:rsidP="0089091C">
            <w:pPr>
              <w:pStyle w:val="naisf"/>
              <w:spacing w:before="0" w:after="0"/>
              <w:jc w:val="center"/>
              <w:rPr>
                <w:b/>
                <w:i/>
              </w:rPr>
            </w:pPr>
          </w:p>
        </w:tc>
        <w:tc>
          <w:tcPr>
            <w:tcW w:w="1276" w:type="dxa"/>
            <w:vAlign w:val="center"/>
          </w:tcPr>
          <w:p w:rsidR="00D175E9" w:rsidRPr="00DD49B6" w:rsidRDefault="005B7BA0" w:rsidP="00AE3D7B">
            <w:pPr>
              <w:pStyle w:val="naisf"/>
              <w:spacing w:before="0" w:after="0"/>
              <w:ind w:firstLine="0"/>
              <w:jc w:val="left"/>
              <w:rPr>
                <w:b/>
                <w:i/>
              </w:rPr>
            </w:pPr>
            <w:r>
              <w:t>S</w:t>
            </w:r>
            <w:r w:rsidR="00D175E9" w:rsidRPr="00DD49B6">
              <w:t>askaņā ar valsts budžetu kārtējam gadam</w:t>
            </w:r>
          </w:p>
        </w:tc>
        <w:tc>
          <w:tcPr>
            <w:tcW w:w="1543" w:type="dxa"/>
            <w:vAlign w:val="center"/>
          </w:tcPr>
          <w:p w:rsidR="00D175E9" w:rsidRPr="00DD49B6" w:rsidRDefault="005B7BA0" w:rsidP="00AE3D7B">
            <w:pPr>
              <w:pStyle w:val="naisf"/>
              <w:spacing w:before="0" w:after="0"/>
              <w:ind w:firstLine="0"/>
              <w:jc w:val="left"/>
              <w:rPr>
                <w:b/>
                <w:i/>
              </w:rPr>
            </w:pPr>
            <w:r>
              <w:t>I</w:t>
            </w:r>
            <w:r w:rsidR="00D175E9" w:rsidRPr="00DD49B6">
              <w:t>zmaiņas kārtējā gadā, salīdzinot ar budžetu kārtējam gadam</w:t>
            </w:r>
          </w:p>
        </w:tc>
        <w:tc>
          <w:tcPr>
            <w:tcW w:w="1150" w:type="dxa"/>
            <w:vAlign w:val="center"/>
          </w:tcPr>
          <w:p w:rsidR="00D175E9" w:rsidRPr="00DD49B6" w:rsidRDefault="005B7BA0" w:rsidP="00AE3D7B">
            <w:pPr>
              <w:pStyle w:val="naisf"/>
              <w:spacing w:before="0" w:after="0"/>
              <w:ind w:firstLine="0"/>
              <w:jc w:val="left"/>
              <w:rPr>
                <w:b/>
                <w:i/>
              </w:rPr>
            </w:pPr>
            <w:r>
              <w:t>I</w:t>
            </w:r>
            <w:r w:rsidR="00D175E9" w:rsidRPr="00DD49B6">
              <w:t>zmaiņas, salīdzinot ar kārtējo (n) gadu</w:t>
            </w:r>
          </w:p>
        </w:tc>
        <w:tc>
          <w:tcPr>
            <w:tcW w:w="1195" w:type="dxa"/>
            <w:vAlign w:val="center"/>
          </w:tcPr>
          <w:p w:rsidR="00D175E9" w:rsidRPr="00DD49B6" w:rsidRDefault="005B7BA0" w:rsidP="00AE3D7B">
            <w:pPr>
              <w:pStyle w:val="naisf"/>
              <w:spacing w:before="0" w:after="0"/>
              <w:ind w:firstLine="0"/>
              <w:jc w:val="left"/>
              <w:rPr>
                <w:b/>
                <w:i/>
              </w:rPr>
            </w:pPr>
            <w:r>
              <w:t>I</w:t>
            </w:r>
            <w:r w:rsidR="00D175E9" w:rsidRPr="00DD49B6">
              <w:t>zmaiņas, salīdzinot ar kārtējo (n) gadu</w:t>
            </w:r>
          </w:p>
        </w:tc>
        <w:tc>
          <w:tcPr>
            <w:tcW w:w="1150" w:type="dxa"/>
            <w:vAlign w:val="center"/>
          </w:tcPr>
          <w:p w:rsidR="00D175E9" w:rsidRPr="00DD49B6" w:rsidRDefault="005B7BA0" w:rsidP="00AE3D7B">
            <w:pPr>
              <w:pStyle w:val="naisf"/>
              <w:spacing w:before="0" w:after="0"/>
              <w:ind w:firstLine="0"/>
              <w:jc w:val="left"/>
              <w:rPr>
                <w:b/>
                <w:i/>
              </w:rPr>
            </w:pPr>
            <w:r>
              <w:t>I</w:t>
            </w:r>
            <w:r w:rsidR="00D175E9" w:rsidRPr="00DD49B6">
              <w:t>zmaiņas, salīdzinot ar kārtējo (n) gadu</w:t>
            </w:r>
          </w:p>
        </w:tc>
      </w:tr>
      <w:tr w:rsidR="00D175E9" w:rsidRPr="00DD49B6" w:rsidTr="0089091C">
        <w:trPr>
          <w:jc w:val="center"/>
        </w:trPr>
        <w:tc>
          <w:tcPr>
            <w:tcW w:w="3199" w:type="dxa"/>
            <w:vAlign w:val="center"/>
          </w:tcPr>
          <w:p w:rsidR="00D175E9" w:rsidRPr="00DD49B6" w:rsidRDefault="00D175E9" w:rsidP="0089091C">
            <w:pPr>
              <w:pStyle w:val="naisf"/>
              <w:spacing w:before="0" w:after="0"/>
              <w:jc w:val="center"/>
              <w:rPr>
                <w:bCs/>
              </w:rPr>
            </w:pPr>
            <w:r w:rsidRPr="00DD49B6">
              <w:rPr>
                <w:bCs/>
              </w:rPr>
              <w:t>1</w:t>
            </w:r>
          </w:p>
        </w:tc>
        <w:tc>
          <w:tcPr>
            <w:tcW w:w="1276" w:type="dxa"/>
            <w:vAlign w:val="center"/>
          </w:tcPr>
          <w:p w:rsidR="00D175E9" w:rsidRPr="00DD49B6" w:rsidRDefault="00D175E9" w:rsidP="0089091C">
            <w:pPr>
              <w:pStyle w:val="naisf"/>
              <w:spacing w:before="0" w:after="0"/>
              <w:jc w:val="center"/>
              <w:rPr>
                <w:bCs/>
              </w:rPr>
            </w:pPr>
            <w:r w:rsidRPr="00DD49B6">
              <w:rPr>
                <w:bCs/>
              </w:rPr>
              <w:t>2</w:t>
            </w:r>
          </w:p>
        </w:tc>
        <w:tc>
          <w:tcPr>
            <w:tcW w:w="1543" w:type="dxa"/>
            <w:vAlign w:val="center"/>
          </w:tcPr>
          <w:p w:rsidR="00D175E9" w:rsidRPr="00DD49B6" w:rsidRDefault="00D175E9" w:rsidP="0089091C">
            <w:pPr>
              <w:pStyle w:val="naisf"/>
              <w:spacing w:before="0" w:after="0"/>
              <w:jc w:val="center"/>
              <w:rPr>
                <w:bCs/>
              </w:rPr>
            </w:pPr>
            <w:r w:rsidRPr="00DD49B6">
              <w:rPr>
                <w:bCs/>
              </w:rPr>
              <w:t>3</w:t>
            </w:r>
          </w:p>
        </w:tc>
        <w:tc>
          <w:tcPr>
            <w:tcW w:w="1150" w:type="dxa"/>
            <w:vAlign w:val="center"/>
          </w:tcPr>
          <w:p w:rsidR="00D175E9" w:rsidRPr="00DD49B6" w:rsidRDefault="00D175E9" w:rsidP="0089091C">
            <w:pPr>
              <w:pStyle w:val="naisf"/>
              <w:spacing w:before="0" w:after="0"/>
              <w:jc w:val="center"/>
              <w:rPr>
                <w:bCs/>
              </w:rPr>
            </w:pPr>
            <w:r w:rsidRPr="00DD49B6">
              <w:rPr>
                <w:bCs/>
              </w:rPr>
              <w:t>4</w:t>
            </w:r>
          </w:p>
        </w:tc>
        <w:tc>
          <w:tcPr>
            <w:tcW w:w="1195" w:type="dxa"/>
            <w:vAlign w:val="center"/>
          </w:tcPr>
          <w:p w:rsidR="00D175E9" w:rsidRPr="00DD49B6" w:rsidRDefault="00D175E9" w:rsidP="0089091C">
            <w:pPr>
              <w:pStyle w:val="naisf"/>
              <w:spacing w:before="0" w:after="0"/>
              <w:jc w:val="center"/>
              <w:rPr>
                <w:bCs/>
              </w:rPr>
            </w:pPr>
            <w:r w:rsidRPr="00DD49B6">
              <w:rPr>
                <w:bCs/>
              </w:rPr>
              <w:t>5</w:t>
            </w:r>
          </w:p>
        </w:tc>
        <w:tc>
          <w:tcPr>
            <w:tcW w:w="1150" w:type="dxa"/>
            <w:vAlign w:val="center"/>
          </w:tcPr>
          <w:p w:rsidR="00D175E9" w:rsidRPr="00DD49B6" w:rsidRDefault="00D175E9" w:rsidP="0089091C">
            <w:pPr>
              <w:pStyle w:val="naisf"/>
              <w:spacing w:before="0" w:after="0"/>
              <w:jc w:val="center"/>
              <w:rPr>
                <w:bCs/>
              </w:rPr>
            </w:pPr>
            <w:r w:rsidRPr="00DD49B6">
              <w:rPr>
                <w:bCs/>
              </w:rPr>
              <w:t>6</w:t>
            </w:r>
          </w:p>
        </w:tc>
      </w:tr>
      <w:tr w:rsidR="00D175E9" w:rsidRPr="00DD49B6" w:rsidTr="00AE3D7B">
        <w:trPr>
          <w:jc w:val="center"/>
        </w:trPr>
        <w:tc>
          <w:tcPr>
            <w:tcW w:w="3199" w:type="dxa"/>
          </w:tcPr>
          <w:p w:rsidR="00D175E9" w:rsidRPr="00DD49B6" w:rsidRDefault="00D175E9" w:rsidP="00AE3D7B">
            <w:pPr>
              <w:pStyle w:val="naisf"/>
              <w:spacing w:before="0" w:after="0"/>
              <w:ind w:firstLine="0"/>
              <w:jc w:val="left"/>
              <w:rPr>
                <w:i/>
              </w:rPr>
            </w:pPr>
            <w:r w:rsidRPr="00DD49B6">
              <w:t>1. Budžeta ieņēmumi:</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AE3D7B">
            <w:pPr>
              <w:pStyle w:val="naisf"/>
              <w:spacing w:before="0" w:after="0"/>
              <w:ind w:firstLine="0"/>
              <w:jc w:val="left"/>
              <w:rPr>
                <w:i/>
              </w:rPr>
            </w:pPr>
            <w:r w:rsidRPr="00DD49B6">
              <w:t>1.1. valsts pamatbudžets, tai skaitā ieņēmumi no maksas pakalpojumiem un citi pašu ieņēmumi</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AE3D7B">
            <w:pPr>
              <w:pStyle w:val="naisf"/>
              <w:spacing w:before="0" w:after="0"/>
              <w:ind w:firstLine="0"/>
              <w:jc w:val="left"/>
              <w:rPr>
                <w:i/>
              </w:rPr>
            </w:pPr>
            <w:r w:rsidRPr="00DD49B6">
              <w:t>1.2. valsts speciālais budžets</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AE3D7B">
            <w:pPr>
              <w:pStyle w:val="naisf"/>
              <w:spacing w:before="0" w:after="0"/>
              <w:ind w:firstLine="0"/>
              <w:jc w:val="left"/>
              <w:rPr>
                <w:i/>
              </w:rPr>
            </w:pPr>
            <w:r w:rsidRPr="00DD49B6">
              <w:t>1.3. pašvaldību budžets</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2. Budžeta izdevumi:</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2.1. valsts pamatbudžets</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2.2. valsts speciālais budžets</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 xml:space="preserve">2.3. pašvaldību budžets </w:t>
            </w:r>
          </w:p>
        </w:tc>
        <w:tc>
          <w:tcPr>
            <w:tcW w:w="1276" w:type="dxa"/>
            <w:vAlign w:val="center"/>
          </w:tcPr>
          <w:p w:rsidR="00D175E9" w:rsidRPr="00DD49B6" w:rsidRDefault="00CE5203" w:rsidP="00AE3D7B">
            <w:pPr>
              <w:pStyle w:val="naisf"/>
              <w:spacing w:before="0" w:after="0"/>
              <w:jc w:val="center"/>
              <w:rPr>
                <w:b/>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CE5203" w:rsidRPr="00DD49B6" w:rsidTr="00AE3D7B">
        <w:trPr>
          <w:jc w:val="center"/>
        </w:trPr>
        <w:tc>
          <w:tcPr>
            <w:tcW w:w="3199" w:type="dxa"/>
          </w:tcPr>
          <w:p w:rsidR="00CE5203" w:rsidRPr="00DD49B6" w:rsidRDefault="00CE5203" w:rsidP="005B7BA0">
            <w:r w:rsidRPr="00DD49B6">
              <w:t>3. Finansiālā ietekme:</w:t>
            </w:r>
          </w:p>
        </w:tc>
        <w:tc>
          <w:tcPr>
            <w:tcW w:w="1276" w:type="dxa"/>
            <w:shd w:val="clear" w:color="auto" w:fill="auto"/>
            <w:vAlign w:val="center"/>
          </w:tcPr>
          <w:p w:rsidR="00CE5203" w:rsidRPr="00DD49B6" w:rsidRDefault="00CE5203" w:rsidP="00AE3D7B">
            <w:pPr>
              <w:pStyle w:val="naisf"/>
              <w:spacing w:before="0" w:after="0"/>
              <w:jc w:val="center"/>
              <w:rPr>
                <w:b/>
                <w:i/>
              </w:rPr>
            </w:pPr>
            <w:r w:rsidRPr="00BC13A4">
              <w:t>0</w:t>
            </w:r>
          </w:p>
        </w:tc>
        <w:tc>
          <w:tcPr>
            <w:tcW w:w="1543" w:type="dxa"/>
            <w:vAlign w:val="center"/>
          </w:tcPr>
          <w:p w:rsidR="00CE5203" w:rsidRPr="00DD49B6" w:rsidRDefault="00CE5203" w:rsidP="00AE3D7B">
            <w:pPr>
              <w:pStyle w:val="naisf"/>
              <w:spacing w:before="0" w:after="0"/>
              <w:jc w:val="center"/>
              <w:rPr>
                <w:b/>
                <w:i/>
              </w:rPr>
            </w:pPr>
            <w:r w:rsidRPr="00BC13A4">
              <w:t>0</w:t>
            </w:r>
          </w:p>
        </w:tc>
        <w:tc>
          <w:tcPr>
            <w:tcW w:w="1150" w:type="dxa"/>
            <w:vAlign w:val="center"/>
          </w:tcPr>
          <w:p w:rsidR="00CE5203" w:rsidRPr="00DD49B6" w:rsidRDefault="00CE5203" w:rsidP="00AE3D7B">
            <w:pPr>
              <w:pStyle w:val="naisf"/>
              <w:spacing w:before="0" w:after="0"/>
              <w:jc w:val="center"/>
              <w:rPr>
                <w:b/>
                <w:i/>
              </w:rPr>
            </w:pPr>
            <w:r w:rsidRPr="00BC13A4">
              <w:t>0</w:t>
            </w:r>
          </w:p>
        </w:tc>
        <w:tc>
          <w:tcPr>
            <w:tcW w:w="1195" w:type="dxa"/>
            <w:vAlign w:val="center"/>
          </w:tcPr>
          <w:p w:rsidR="00CE5203" w:rsidRPr="00DD49B6" w:rsidRDefault="00CE5203" w:rsidP="00AE3D7B">
            <w:pPr>
              <w:pStyle w:val="naisf"/>
              <w:spacing w:before="0" w:after="0"/>
              <w:jc w:val="center"/>
              <w:rPr>
                <w:b/>
                <w:i/>
              </w:rPr>
            </w:pPr>
            <w:r w:rsidRPr="00BC13A4">
              <w:t>0</w:t>
            </w:r>
          </w:p>
        </w:tc>
        <w:tc>
          <w:tcPr>
            <w:tcW w:w="1150" w:type="dxa"/>
            <w:vAlign w:val="center"/>
          </w:tcPr>
          <w:p w:rsidR="00CE5203"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3.1. valsts pamatbudžets</w:t>
            </w:r>
          </w:p>
        </w:tc>
        <w:tc>
          <w:tcPr>
            <w:tcW w:w="1276" w:type="dxa"/>
            <w:shd w:val="clear" w:color="auto" w:fill="auto"/>
            <w:vAlign w:val="center"/>
          </w:tcPr>
          <w:p w:rsidR="00D175E9" w:rsidRPr="00DD49B6" w:rsidRDefault="00CE5203" w:rsidP="00AE3D7B">
            <w:pPr>
              <w:pStyle w:val="naisf"/>
              <w:spacing w:before="0" w:after="0"/>
              <w:jc w:val="center"/>
              <w:rPr>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3.2. speciālais budžets</w:t>
            </w:r>
          </w:p>
        </w:tc>
        <w:tc>
          <w:tcPr>
            <w:tcW w:w="1276" w:type="dxa"/>
            <w:shd w:val="clear" w:color="auto" w:fill="auto"/>
            <w:vAlign w:val="center"/>
          </w:tcPr>
          <w:p w:rsidR="00D175E9" w:rsidRPr="00DD49B6" w:rsidRDefault="00CE5203" w:rsidP="00AE3D7B">
            <w:pPr>
              <w:pStyle w:val="naisf"/>
              <w:spacing w:before="0" w:after="0"/>
              <w:jc w:val="center"/>
              <w:rPr>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 xml:space="preserve">3.3. pašvaldību budžets </w:t>
            </w:r>
          </w:p>
        </w:tc>
        <w:tc>
          <w:tcPr>
            <w:tcW w:w="1276" w:type="dxa"/>
            <w:shd w:val="clear" w:color="auto" w:fill="auto"/>
            <w:vAlign w:val="center"/>
          </w:tcPr>
          <w:p w:rsidR="00D175E9" w:rsidRPr="00DD49B6" w:rsidRDefault="00CE5203" w:rsidP="00AE3D7B">
            <w:pPr>
              <w:pStyle w:val="naisf"/>
              <w:spacing w:before="0" w:after="0"/>
              <w:jc w:val="center"/>
              <w:rPr>
                <w:i/>
              </w:rPr>
            </w:pPr>
            <w:r w:rsidRPr="00BC13A4">
              <w:t>0</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vMerge w:val="restart"/>
          </w:tcPr>
          <w:p w:rsidR="00D175E9" w:rsidRPr="00DD49B6" w:rsidRDefault="00D175E9" w:rsidP="005B7BA0">
            <w:r w:rsidRPr="00DD49B6">
              <w:t xml:space="preserve">4. Finanšu līdzekļi papildu izdevumu finansēšanai (kompensējošu izdevumu samazinājumu norāda ar </w:t>
            </w:r>
            <w:r w:rsidR="005B7BA0">
              <w:t>“</w:t>
            </w:r>
            <w:r w:rsidRPr="00DD49B6">
              <w:t>+</w:t>
            </w:r>
            <w:r w:rsidR="005B7BA0">
              <w:t>”</w:t>
            </w:r>
            <w:r w:rsidRPr="00DD49B6">
              <w:t xml:space="preserve"> zīmi)</w:t>
            </w:r>
          </w:p>
        </w:tc>
        <w:tc>
          <w:tcPr>
            <w:tcW w:w="1276" w:type="dxa"/>
            <w:vMerge w:val="restart"/>
            <w:vAlign w:val="center"/>
          </w:tcPr>
          <w:p w:rsidR="00D175E9" w:rsidRPr="00DD49B6" w:rsidRDefault="00D175E9" w:rsidP="005B7BA0">
            <w:pPr>
              <w:pStyle w:val="naisf"/>
              <w:spacing w:before="0" w:after="0"/>
              <w:jc w:val="center"/>
              <w:rPr>
                <w:i/>
              </w:rPr>
            </w:pPr>
            <w:r w:rsidRPr="00DD49B6">
              <w:t>X</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vMerge/>
          </w:tcPr>
          <w:p w:rsidR="00D175E9" w:rsidRPr="00DD49B6" w:rsidRDefault="00D175E9"/>
        </w:tc>
        <w:tc>
          <w:tcPr>
            <w:tcW w:w="1276" w:type="dxa"/>
            <w:vMerge/>
            <w:vAlign w:val="center"/>
          </w:tcPr>
          <w:p w:rsidR="00D175E9" w:rsidRPr="00DD49B6" w:rsidRDefault="00D175E9">
            <w:pPr>
              <w:pStyle w:val="naisf"/>
              <w:spacing w:before="0" w:after="0"/>
              <w:jc w:val="center"/>
              <w:rPr>
                <w:i/>
              </w:rPr>
            </w:pPr>
          </w:p>
        </w:tc>
        <w:tc>
          <w:tcPr>
            <w:tcW w:w="1543" w:type="dxa"/>
            <w:vAlign w:val="center"/>
          </w:tcPr>
          <w:p w:rsidR="00D175E9" w:rsidRPr="00DD49B6" w:rsidRDefault="00D175E9" w:rsidP="00AE3D7B">
            <w:pPr>
              <w:pStyle w:val="naisf"/>
              <w:spacing w:before="0" w:after="0"/>
              <w:jc w:val="center"/>
              <w:rPr>
                <w:b/>
                <w:i/>
              </w:rPr>
            </w:pPr>
          </w:p>
        </w:tc>
        <w:tc>
          <w:tcPr>
            <w:tcW w:w="1150" w:type="dxa"/>
            <w:vAlign w:val="center"/>
          </w:tcPr>
          <w:p w:rsidR="00D175E9" w:rsidRPr="00DD49B6" w:rsidRDefault="00D175E9" w:rsidP="00AE3D7B">
            <w:pPr>
              <w:pStyle w:val="naisf"/>
              <w:spacing w:before="0" w:after="0"/>
              <w:jc w:val="center"/>
              <w:rPr>
                <w:b/>
                <w:i/>
              </w:rPr>
            </w:pPr>
          </w:p>
        </w:tc>
        <w:tc>
          <w:tcPr>
            <w:tcW w:w="1195" w:type="dxa"/>
            <w:vAlign w:val="center"/>
          </w:tcPr>
          <w:p w:rsidR="00D175E9" w:rsidRPr="00DD49B6" w:rsidRDefault="00D175E9" w:rsidP="00AE3D7B">
            <w:pPr>
              <w:pStyle w:val="naisf"/>
              <w:spacing w:before="0" w:after="0"/>
              <w:jc w:val="center"/>
              <w:rPr>
                <w:b/>
                <w:i/>
              </w:rPr>
            </w:pPr>
          </w:p>
        </w:tc>
        <w:tc>
          <w:tcPr>
            <w:tcW w:w="1150" w:type="dxa"/>
            <w:vAlign w:val="center"/>
          </w:tcPr>
          <w:p w:rsidR="00D175E9" w:rsidRPr="00DD49B6" w:rsidRDefault="00D175E9" w:rsidP="00AE3D7B">
            <w:pPr>
              <w:pStyle w:val="naisf"/>
              <w:spacing w:before="0" w:after="0"/>
              <w:jc w:val="center"/>
              <w:rPr>
                <w:b/>
                <w:i/>
              </w:rPr>
            </w:pPr>
          </w:p>
        </w:tc>
      </w:tr>
      <w:tr w:rsidR="00D175E9" w:rsidRPr="00DD49B6" w:rsidTr="00AE3D7B">
        <w:trPr>
          <w:jc w:val="center"/>
        </w:trPr>
        <w:tc>
          <w:tcPr>
            <w:tcW w:w="3199" w:type="dxa"/>
            <w:vMerge/>
          </w:tcPr>
          <w:p w:rsidR="00D175E9" w:rsidRPr="00DD49B6" w:rsidRDefault="00D175E9"/>
        </w:tc>
        <w:tc>
          <w:tcPr>
            <w:tcW w:w="1276" w:type="dxa"/>
            <w:vMerge/>
            <w:vAlign w:val="center"/>
          </w:tcPr>
          <w:p w:rsidR="00D175E9" w:rsidRPr="00DD49B6" w:rsidRDefault="00D175E9">
            <w:pPr>
              <w:pStyle w:val="naisf"/>
              <w:spacing w:before="0" w:after="0"/>
              <w:jc w:val="center"/>
              <w:rPr>
                <w:i/>
              </w:rPr>
            </w:pPr>
          </w:p>
        </w:tc>
        <w:tc>
          <w:tcPr>
            <w:tcW w:w="1543" w:type="dxa"/>
            <w:vAlign w:val="center"/>
          </w:tcPr>
          <w:p w:rsidR="00D175E9" w:rsidRPr="00DD49B6" w:rsidRDefault="00D175E9" w:rsidP="00AE3D7B">
            <w:pPr>
              <w:pStyle w:val="naisf"/>
              <w:spacing w:before="0" w:after="0"/>
              <w:jc w:val="center"/>
              <w:rPr>
                <w:b/>
                <w:i/>
              </w:rPr>
            </w:pPr>
          </w:p>
        </w:tc>
        <w:tc>
          <w:tcPr>
            <w:tcW w:w="1150" w:type="dxa"/>
            <w:vAlign w:val="center"/>
          </w:tcPr>
          <w:p w:rsidR="00D175E9" w:rsidRPr="00DD49B6" w:rsidRDefault="00D175E9" w:rsidP="00AE3D7B">
            <w:pPr>
              <w:pStyle w:val="naisf"/>
              <w:spacing w:before="0" w:after="0"/>
              <w:jc w:val="center"/>
              <w:rPr>
                <w:b/>
                <w:i/>
              </w:rPr>
            </w:pPr>
          </w:p>
        </w:tc>
        <w:tc>
          <w:tcPr>
            <w:tcW w:w="1195" w:type="dxa"/>
            <w:vAlign w:val="center"/>
          </w:tcPr>
          <w:p w:rsidR="00D175E9" w:rsidRPr="00DD49B6" w:rsidRDefault="00D175E9" w:rsidP="00AE3D7B">
            <w:pPr>
              <w:pStyle w:val="naisf"/>
              <w:spacing w:before="0" w:after="0"/>
              <w:jc w:val="center"/>
              <w:rPr>
                <w:b/>
                <w:i/>
              </w:rPr>
            </w:pPr>
          </w:p>
        </w:tc>
        <w:tc>
          <w:tcPr>
            <w:tcW w:w="1150" w:type="dxa"/>
            <w:vAlign w:val="center"/>
          </w:tcPr>
          <w:p w:rsidR="00D175E9" w:rsidRPr="00DD49B6" w:rsidRDefault="00D175E9" w:rsidP="00AE3D7B">
            <w:pPr>
              <w:pStyle w:val="naisf"/>
              <w:spacing w:before="0" w:after="0"/>
              <w:jc w:val="center"/>
              <w:rPr>
                <w:b/>
                <w:i/>
              </w:rPr>
            </w:pPr>
          </w:p>
        </w:tc>
      </w:tr>
      <w:tr w:rsidR="00D175E9" w:rsidRPr="00DD49B6" w:rsidTr="00AE3D7B">
        <w:trPr>
          <w:jc w:val="center"/>
        </w:trPr>
        <w:tc>
          <w:tcPr>
            <w:tcW w:w="3199" w:type="dxa"/>
          </w:tcPr>
          <w:p w:rsidR="00D175E9" w:rsidRPr="00DD49B6" w:rsidRDefault="00D175E9" w:rsidP="005B7BA0">
            <w:r w:rsidRPr="00DD49B6">
              <w:t xml:space="preserve">5. Precizēta finansiālā </w:t>
            </w:r>
            <w:r w:rsidRPr="00DD49B6">
              <w:lastRenderedPageBreak/>
              <w:t>ietekme:</w:t>
            </w:r>
          </w:p>
        </w:tc>
        <w:tc>
          <w:tcPr>
            <w:tcW w:w="1276" w:type="dxa"/>
            <w:vMerge w:val="restart"/>
            <w:vAlign w:val="center"/>
          </w:tcPr>
          <w:p w:rsidR="00D175E9" w:rsidRPr="00DD49B6" w:rsidRDefault="00D175E9" w:rsidP="005B7BA0">
            <w:pPr>
              <w:pStyle w:val="naisf"/>
              <w:spacing w:before="0" w:after="0"/>
              <w:jc w:val="center"/>
              <w:rPr>
                <w:i/>
              </w:rPr>
            </w:pPr>
            <w:r w:rsidRPr="00DD49B6">
              <w:lastRenderedPageBreak/>
              <w:t>X</w:t>
            </w: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lastRenderedPageBreak/>
              <w:t>5.1. valsts pamatbudžets</w:t>
            </w:r>
          </w:p>
        </w:tc>
        <w:tc>
          <w:tcPr>
            <w:tcW w:w="1276" w:type="dxa"/>
            <w:vMerge/>
            <w:vAlign w:val="center"/>
          </w:tcPr>
          <w:p w:rsidR="00D175E9" w:rsidRPr="00DD49B6" w:rsidRDefault="00D175E9">
            <w:pPr>
              <w:pStyle w:val="naisf"/>
              <w:spacing w:before="0" w:after="0"/>
              <w:jc w:val="center"/>
              <w:rPr>
                <w:i/>
              </w:rPr>
            </w:pP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5.2. speciālais budžets</w:t>
            </w:r>
          </w:p>
        </w:tc>
        <w:tc>
          <w:tcPr>
            <w:tcW w:w="1276" w:type="dxa"/>
            <w:vMerge/>
            <w:vAlign w:val="center"/>
          </w:tcPr>
          <w:p w:rsidR="00D175E9" w:rsidRPr="00DD49B6" w:rsidRDefault="00D175E9">
            <w:pPr>
              <w:pStyle w:val="naisf"/>
              <w:spacing w:before="0" w:after="0"/>
              <w:jc w:val="center"/>
              <w:rPr>
                <w:i/>
              </w:rPr>
            </w:pPr>
          </w:p>
        </w:tc>
        <w:tc>
          <w:tcPr>
            <w:tcW w:w="1543"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c>
          <w:tcPr>
            <w:tcW w:w="1195" w:type="dxa"/>
            <w:vAlign w:val="center"/>
          </w:tcPr>
          <w:p w:rsidR="00D175E9" w:rsidRPr="00DD49B6" w:rsidRDefault="00CE5203" w:rsidP="00AE3D7B">
            <w:pPr>
              <w:pStyle w:val="naisf"/>
              <w:spacing w:before="0" w:after="0"/>
              <w:jc w:val="center"/>
              <w:rPr>
                <w:b/>
                <w:i/>
              </w:rPr>
            </w:pPr>
            <w:r w:rsidRPr="00BC13A4">
              <w:t>0</w:t>
            </w:r>
          </w:p>
        </w:tc>
        <w:tc>
          <w:tcPr>
            <w:tcW w:w="1150" w:type="dxa"/>
            <w:vAlign w:val="center"/>
          </w:tcPr>
          <w:p w:rsidR="00D175E9" w:rsidRPr="00DD49B6" w:rsidRDefault="00CE5203" w:rsidP="00AE3D7B">
            <w:pPr>
              <w:pStyle w:val="naisf"/>
              <w:spacing w:before="0" w:after="0"/>
              <w:jc w:val="center"/>
              <w:rPr>
                <w:b/>
                <w:i/>
              </w:rPr>
            </w:pPr>
            <w:r w:rsidRPr="00BC13A4">
              <w:t>0</w:t>
            </w:r>
          </w:p>
        </w:tc>
      </w:tr>
      <w:tr w:rsidR="00D175E9" w:rsidRPr="00DD49B6" w:rsidTr="00AE3D7B">
        <w:trPr>
          <w:jc w:val="center"/>
        </w:trPr>
        <w:tc>
          <w:tcPr>
            <w:tcW w:w="3199" w:type="dxa"/>
          </w:tcPr>
          <w:p w:rsidR="00D175E9" w:rsidRPr="00DD49B6" w:rsidRDefault="00D175E9" w:rsidP="005B7BA0">
            <w:r w:rsidRPr="00DD49B6">
              <w:t xml:space="preserve">5.3. pašvaldību budžets </w:t>
            </w:r>
          </w:p>
        </w:tc>
        <w:tc>
          <w:tcPr>
            <w:tcW w:w="1276" w:type="dxa"/>
            <w:vMerge/>
            <w:tcBorders>
              <w:bottom w:val="single" w:sz="4" w:space="0" w:color="auto"/>
            </w:tcBorders>
            <w:vAlign w:val="center"/>
          </w:tcPr>
          <w:p w:rsidR="00D175E9" w:rsidRPr="00DD49B6" w:rsidRDefault="00D175E9">
            <w:pPr>
              <w:pStyle w:val="naisf"/>
              <w:spacing w:before="0" w:after="0"/>
              <w:jc w:val="center"/>
              <w:rPr>
                <w:i/>
              </w:rPr>
            </w:pPr>
          </w:p>
        </w:tc>
        <w:tc>
          <w:tcPr>
            <w:tcW w:w="1543" w:type="dxa"/>
            <w:tcBorders>
              <w:bottom w:val="single" w:sz="4" w:space="0" w:color="auto"/>
            </w:tcBorders>
            <w:vAlign w:val="center"/>
          </w:tcPr>
          <w:p w:rsidR="00D175E9" w:rsidRPr="00DD49B6" w:rsidRDefault="00CE5203" w:rsidP="00AE3D7B">
            <w:pPr>
              <w:pStyle w:val="naisf"/>
              <w:spacing w:before="0" w:after="0"/>
              <w:jc w:val="center"/>
              <w:rPr>
                <w:b/>
                <w:i/>
              </w:rPr>
            </w:pPr>
            <w:r w:rsidRPr="00BC13A4">
              <w:t>0</w:t>
            </w:r>
          </w:p>
        </w:tc>
        <w:tc>
          <w:tcPr>
            <w:tcW w:w="1150" w:type="dxa"/>
            <w:tcBorders>
              <w:bottom w:val="single" w:sz="4" w:space="0" w:color="auto"/>
            </w:tcBorders>
            <w:vAlign w:val="center"/>
          </w:tcPr>
          <w:p w:rsidR="00D175E9" w:rsidRPr="00DD49B6" w:rsidRDefault="00CE5203" w:rsidP="00AE3D7B">
            <w:pPr>
              <w:pStyle w:val="naisf"/>
              <w:spacing w:before="0" w:after="0"/>
              <w:jc w:val="center"/>
              <w:rPr>
                <w:b/>
                <w:i/>
              </w:rPr>
            </w:pPr>
            <w:r w:rsidRPr="00BC13A4">
              <w:t>0</w:t>
            </w:r>
          </w:p>
        </w:tc>
        <w:tc>
          <w:tcPr>
            <w:tcW w:w="1195" w:type="dxa"/>
            <w:tcBorders>
              <w:bottom w:val="single" w:sz="4" w:space="0" w:color="auto"/>
            </w:tcBorders>
            <w:vAlign w:val="center"/>
          </w:tcPr>
          <w:p w:rsidR="00D175E9" w:rsidRPr="00DD49B6" w:rsidRDefault="00CE5203" w:rsidP="00AE3D7B">
            <w:pPr>
              <w:pStyle w:val="naisf"/>
              <w:spacing w:before="0" w:after="0"/>
              <w:jc w:val="center"/>
              <w:rPr>
                <w:b/>
                <w:i/>
              </w:rPr>
            </w:pPr>
            <w:r w:rsidRPr="00BC13A4">
              <w:t>0</w:t>
            </w:r>
          </w:p>
        </w:tc>
        <w:tc>
          <w:tcPr>
            <w:tcW w:w="1150" w:type="dxa"/>
            <w:tcBorders>
              <w:bottom w:val="single" w:sz="4" w:space="0" w:color="auto"/>
            </w:tcBorders>
            <w:vAlign w:val="center"/>
          </w:tcPr>
          <w:p w:rsidR="00D175E9" w:rsidRPr="00DD49B6" w:rsidRDefault="00CE5203" w:rsidP="00AE3D7B">
            <w:pPr>
              <w:pStyle w:val="naisf"/>
              <w:spacing w:before="0" w:after="0"/>
              <w:jc w:val="center"/>
              <w:rPr>
                <w:b/>
                <w:i/>
              </w:rPr>
            </w:pPr>
            <w:r w:rsidRPr="00BC13A4">
              <w:t>0</w:t>
            </w:r>
          </w:p>
        </w:tc>
      </w:tr>
      <w:tr w:rsidR="00CE5203" w:rsidRPr="00DD49B6" w:rsidTr="00D121EC">
        <w:trPr>
          <w:jc w:val="center"/>
        </w:trPr>
        <w:tc>
          <w:tcPr>
            <w:tcW w:w="3199" w:type="dxa"/>
          </w:tcPr>
          <w:p w:rsidR="00CE5203" w:rsidRPr="00DD49B6" w:rsidRDefault="00CE5203" w:rsidP="005B7BA0">
            <w:r w:rsidRPr="00DD49B6">
              <w:t>6. Detalizēts ieņēmumu un izdevumu aprēķins (ja nepie</w:t>
            </w:r>
            <w:r>
              <w:softHyphen/>
            </w:r>
            <w:r w:rsidRPr="00DD49B6">
              <w:t>ciešams, detalizētu ieņēmumu un izdevumu aprēķinu var pie</w:t>
            </w:r>
            <w:r>
              <w:softHyphen/>
            </w:r>
            <w:r w:rsidRPr="00DD49B6">
              <w:t>vienot anotācijas pielikumā):</w:t>
            </w:r>
          </w:p>
        </w:tc>
        <w:tc>
          <w:tcPr>
            <w:tcW w:w="6314" w:type="dxa"/>
            <w:gridSpan w:val="5"/>
            <w:vAlign w:val="center"/>
          </w:tcPr>
          <w:p w:rsidR="00CE5203" w:rsidRPr="00DD49B6" w:rsidRDefault="00CE5203" w:rsidP="0089091C">
            <w:pPr>
              <w:pStyle w:val="naisf"/>
              <w:spacing w:before="0" w:after="0"/>
              <w:rPr>
                <w:b/>
                <w:i/>
              </w:rPr>
            </w:pPr>
          </w:p>
        </w:tc>
      </w:tr>
      <w:tr w:rsidR="00CE5203" w:rsidRPr="00DD49B6" w:rsidTr="00D121EC">
        <w:trPr>
          <w:jc w:val="center"/>
        </w:trPr>
        <w:tc>
          <w:tcPr>
            <w:tcW w:w="3199" w:type="dxa"/>
          </w:tcPr>
          <w:p w:rsidR="00CE5203" w:rsidRPr="00DD49B6" w:rsidRDefault="00CE5203" w:rsidP="005B7BA0">
            <w:r w:rsidRPr="00DD49B6">
              <w:t>6.1. detalizēts ieņēmumu aprēķins</w:t>
            </w:r>
          </w:p>
        </w:tc>
        <w:tc>
          <w:tcPr>
            <w:tcW w:w="6314" w:type="dxa"/>
            <w:gridSpan w:val="5"/>
          </w:tcPr>
          <w:p w:rsidR="00CE5203" w:rsidRPr="00DD49B6" w:rsidRDefault="00CE5203" w:rsidP="0089091C">
            <w:pPr>
              <w:pStyle w:val="naisf"/>
              <w:spacing w:before="0" w:after="0"/>
              <w:rPr>
                <w:b/>
                <w:i/>
              </w:rPr>
            </w:pPr>
          </w:p>
        </w:tc>
      </w:tr>
      <w:tr w:rsidR="00696E84" w:rsidRPr="00DD49B6" w:rsidTr="00CE5203">
        <w:trPr>
          <w:jc w:val="center"/>
        </w:trPr>
        <w:tc>
          <w:tcPr>
            <w:tcW w:w="3199" w:type="dxa"/>
          </w:tcPr>
          <w:p w:rsidR="00696E84" w:rsidRPr="00DD49B6" w:rsidRDefault="00696E84" w:rsidP="005B7BA0">
            <w:r w:rsidRPr="00DD49B6">
              <w:t>6.2. detalizēts izdevumu aprēķins</w:t>
            </w:r>
          </w:p>
        </w:tc>
        <w:tc>
          <w:tcPr>
            <w:tcW w:w="6314" w:type="dxa"/>
            <w:gridSpan w:val="5"/>
            <w:tcBorders>
              <w:bottom w:val="single" w:sz="4" w:space="0" w:color="auto"/>
            </w:tcBorders>
          </w:tcPr>
          <w:p w:rsidR="001C7B06" w:rsidRDefault="001C7B06" w:rsidP="001C7B06">
            <w:pPr>
              <w:jc w:val="both"/>
            </w:pPr>
            <w:r>
              <w:rPr>
                <w:color w:val="000000"/>
              </w:rPr>
              <w:t>Lai ieviestu Ministru kabineta noteikumu projektu “Grozījumi Ministru kabineta 2012.gada 21.augusta noteikumos Nr.568 “Noteikumi par iedzīvotāju ienākuma nodokļa deklarācijām un to aizpildīšanas kārtību”” izmaiņu realizācijai Valsts ieņēmumu dienesta informācijas sistēmās  pavisam nepieciešamas 64 cilvēkdienas, t.sk.:</w:t>
            </w:r>
          </w:p>
          <w:p w:rsidR="001C7B06" w:rsidRDefault="001C7B06" w:rsidP="001C7B06">
            <w:pPr>
              <w:pStyle w:val="ListParagraph"/>
              <w:numPr>
                <w:ilvl w:val="0"/>
                <w:numId w:val="8"/>
              </w:numPr>
              <w:jc w:val="both"/>
            </w:pPr>
            <w:r>
              <w:rPr>
                <w:color w:val="000000"/>
                <w:lang w:eastAsia="en-US"/>
              </w:rPr>
              <w:t>Nodokļu informācijas sistēmai -  25 cilvēkdienas (</w:t>
            </w:r>
            <w:r>
              <w:rPr>
                <w:color w:val="000000"/>
              </w:rPr>
              <w:t>izmaksas</w:t>
            </w:r>
            <w:r>
              <w:rPr>
                <w:color w:val="000000"/>
                <w:lang w:eastAsia="en-US"/>
              </w:rPr>
              <w:t xml:space="preserve"> 9 098 </w:t>
            </w:r>
            <w:r>
              <w:rPr>
                <w:color w:val="000000"/>
              </w:rPr>
              <w:t>EUR</w:t>
            </w:r>
            <w:r>
              <w:rPr>
                <w:color w:val="000000"/>
                <w:lang w:eastAsia="en-US"/>
              </w:rPr>
              <w:t>);</w:t>
            </w:r>
          </w:p>
          <w:p w:rsidR="001C7B06" w:rsidRDefault="001C7B06" w:rsidP="001C7B06">
            <w:pPr>
              <w:pStyle w:val="ListParagraph"/>
              <w:numPr>
                <w:ilvl w:val="0"/>
                <w:numId w:val="8"/>
              </w:numPr>
              <w:jc w:val="both"/>
            </w:pPr>
            <w:r>
              <w:rPr>
                <w:color w:val="000000"/>
                <w:lang w:eastAsia="en-US"/>
              </w:rPr>
              <w:t>Elektroniskās deklarēšanas sistēmai (EDS) - 27 cilvēkdienas (</w:t>
            </w:r>
            <w:r>
              <w:rPr>
                <w:color w:val="000000"/>
              </w:rPr>
              <w:t>izmaksas</w:t>
            </w:r>
            <w:r>
              <w:rPr>
                <w:color w:val="000000"/>
                <w:lang w:eastAsia="en-US"/>
              </w:rPr>
              <w:t xml:space="preserve"> 9 825 </w:t>
            </w:r>
            <w:r>
              <w:rPr>
                <w:color w:val="000000"/>
              </w:rPr>
              <w:t>EUR</w:t>
            </w:r>
            <w:r>
              <w:rPr>
                <w:color w:val="000000"/>
                <w:lang w:eastAsia="en-US"/>
              </w:rPr>
              <w:t>);</w:t>
            </w:r>
          </w:p>
          <w:p w:rsidR="001C7B06" w:rsidRDefault="001C7B06" w:rsidP="001C7B06">
            <w:pPr>
              <w:pStyle w:val="ListParagraph"/>
              <w:numPr>
                <w:ilvl w:val="0"/>
                <w:numId w:val="8"/>
              </w:numPr>
              <w:jc w:val="both"/>
            </w:pPr>
            <w:r>
              <w:rPr>
                <w:color w:val="000000"/>
                <w:lang w:eastAsia="en-US"/>
              </w:rPr>
              <w:t>Datu noliktavas sistēmai (DNS) un VID Web servisu sistēmai (VIDWS) - 10 cilvēkdienas (</w:t>
            </w:r>
            <w:r>
              <w:rPr>
                <w:color w:val="000000"/>
              </w:rPr>
              <w:t>izmaksas</w:t>
            </w:r>
            <w:r>
              <w:rPr>
                <w:color w:val="000000"/>
                <w:lang w:eastAsia="en-US"/>
              </w:rPr>
              <w:t xml:space="preserve"> 3 639 </w:t>
            </w:r>
            <w:r>
              <w:rPr>
                <w:color w:val="000000"/>
              </w:rPr>
              <w:t>EUR</w:t>
            </w:r>
            <w:r>
              <w:rPr>
                <w:color w:val="000000"/>
                <w:lang w:eastAsia="en-US"/>
              </w:rPr>
              <w:t>);</w:t>
            </w:r>
          </w:p>
          <w:p w:rsidR="001C7B06" w:rsidRDefault="001C7B06" w:rsidP="001C7B06">
            <w:pPr>
              <w:pStyle w:val="ListParagraph"/>
              <w:numPr>
                <w:ilvl w:val="0"/>
                <w:numId w:val="8"/>
              </w:numPr>
              <w:jc w:val="both"/>
            </w:pPr>
            <w:r>
              <w:rPr>
                <w:color w:val="000000"/>
                <w:lang w:eastAsia="en-US"/>
              </w:rPr>
              <w:t>Audita atbalsta informācijas sistēmai (ASIS) – 2 cilvēkdienas (</w:t>
            </w:r>
            <w:r>
              <w:rPr>
                <w:color w:val="000000"/>
              </w:rPr>
              <w:t>izmaksas</w:t>
            </w:r>
            <w:r>
              <w:rPr>
                <w:color w:val="000000"/>
                <w:lang w:eastAsia="en-US"/>
              </w:rPr>
              <w:t xml:space="preserve"> 758 </w:t>
            </w:r>
            <w:r>
              <w:rPr>
                <w:color w:val="000000"/>
              </w:rPr>
              <w:t>EUR</w:t>
            </w:r>
            <w:r>
              <w:rPr>
                <w:color w:val="000000"/>
                <w:lang w:eastAsia="en-US"/>
              </w:rPr>
              <w:t>).</w:t>
            </w:r>
          </w:p>
          <w:p w:rsidR="00696E84" w:rsidRPr="00BC13A4" w:rsidRDefault="00696E84" w:rsidP="00D121EC"/>
        </w:tc>
      </w:tr>
      <w:tr w:rsidR="00696E84" w:rsidRPr="00DD49B6" w:rsidTr="00CE5203">
        <w:trPr>
          <w:trHeight w:val="556"/>
          <w:jc w:val="center"/>
        </w:trPr>
        <w:tc>
          <w:tcPr>
            <w:tcW w:w="3199" w:type="dxa"/>
          </w:tcPr>
          <w:p w:rsidR="00696E84" w:rsidRPr="00DD49B6" w:rsidRDefault="00696E84" w:rsidP="0089091C">
            <w:r w:rsidRPr="00DD49B6">
              <w:t>7. Cita informācija</w:t>
            </w:r>
          </w:p>
        </w:tc>
        <w:tc>
          <w:tcPr>
            <w:tcW w:w="6314" w:type="dxa"/>
            <w:gridSpan w:val="5"/>
            <w:tcBorders>
              <w:top w:val="single" w:sz="4" w:space="0" w:color="auto"/>
            </w:tcBorders>
          </w:tcPr>
          <w:p w:rsidR="00696E84" w:rsidRDefault="001C7B06" w:rsidP="00AE3D7B">
            <w:pPr>
              <w:pStyle w:val="naisf"/>
              <w:tabs>
                <w:tab w:val="left" w:pos="4644"/>
              </w:tabs>
              <w:spacing w:before="0" w:after="0"/>
              <w:ind w:firstLine="0"/>
            </w:pPr>
            <w:r>
              <w:rPr>
                <w:bCs/>
              </w:rPr>
              <w:t xml:space="preserve">Nepieciešamais finansējums </w:t>
            </w:r>
            <w:r>
              <w:t>23 320</w:t>
            </w:r>
            <w:r>
              <w:rPr>
                <w:bCs/>
              </w:rPr>
              <w:t xml:space="preserve"> EUR apmērā, lai veiktu minētās izmaiņas </w:t>
            </w:r>
            <w:r>
              <w:t>Valsts ieņēmumu dienesta</w:t>
            </w:r>
            <w:r>
              <w:rPr>
                <w:bCs/>
              </w:rPr>
              <w:t xml:space="preserve"> informācijas sistēmās, tiks nodrošināts </w:t>
            </w:r>
            <w:r>
              <w:t>Valsts ieņēmumu dienesta</w:t>
            </w:r>
            <w:r>
              <w:rPr>
                <w:bCs/>
              </w:rPr>
              <w:t xml:space="preserve">m 2014.gada – 2015.gada piešķirtā budžeta ietvaros un papildu finansējums netiks pieprasīts. </w:t>
            </w:r>
            <w:r>
              <w:t>Izmaksas tiks segtas no FM budžeta programmas 33.00.00 „Valsts ieņēmumu un muitas politikas nodrošināšana”.</w:t>
            </w:r>
          </w:p>
          <w:p w:rsidR="006E67B9" w:rsidRPr="00DD49B6" w:rsidRDefault="006E67B9" w:rsidP="006E67B9">
            <w:pPr>
              <w:pStyle w:val="naisf"/>
              <w:tabs>
                <w:tab w:val="left" w:pos="4644"/>
              </w:tabs>
              <w:spacing w:before="0" w:after="0"/>
              <w:ind w:firstLine="0"/>
              <w:rPr>
                <w:b/>
                <w:i/>
              </w:rPr>
            </w:pPr>
          </w:p>
        </w:tc>
      </w:tr>
    </w:tbl>
    <w:p w:rsidR="00D175E9" w:rsidRDefault="00D175E9" w:rsidP="00D175E9"/>
    <w:p w:rsidR="004943A0" w:rsidRDefault="004943A0" w:rsidP="004943A0">
      <w:pPr>
        <w:ind w:firstLine="720"/>
        <w:rPr>
          <w:sz w:val="28"/>
          <w:szCs w:val="28"/>
        </w:rPr>
      </w:pPr>
      <w:r w:rsidRPr="00983706">
        <w:rPr>
          <w:sz w:val="28"/>
          <w:szCs w:val="28"/>
        </w:rPr>
        <w:t xml:space="preserve">Anotācijas </w:t>
      </w:r>
      <w:r w:rsidR="0001044B">
        <w:rPr>
          <w:sz w:val="28"/>
          <w:szCs w:val="28"/>
        </w:rPr>
        <w:t xml:space="preserve">IV, </w:t>
      </w:r>
      <w:r w:rsidRPr="00983706">
        <w:rPr>
          <w:sz w:val="28"/>
          <w:szCs w:val="28"/>
        </w:rPr>
        <w:t xml:space="preserve">V un VI sadaļa – </w:t>
      </w:r>
      <w:r w:rsidR="00B02BFC">
        <w:rPr>
          <w:sz w:val="28"/>
          <w:szCs w:val="28"/>
        </w:rPr>
        <w:t>projekts šīs jomas neskar</w:t>
      </w:r>
      <w:r w:rsidRPr="00983706">
        <w:rPr>
          <w:sz w:val="28"/>
          <w:szCs w:val="28"/>
        </w:rPr>
        <w:t>.</w:t>
      </w:r>
    </w:p>
    <w:p w:rsidR="00CB0EE5" w:rsidRDefault="00517657" w:rsidP="00517657">
      <w:pPr>
        <w:rPr>
          <w:sz w:val="28"/>
          <w:szCs w:val="28"/>
        </w:rPr>
      </w:pPr>
      <w:r>
        <w:rPr>
          <w:sz w:val="28"/>
          <w:szCs w:val="28"/>
        </w:rPr>
        <w:br w:type="page"/>
      </w: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508"/>
        <w:gridCol w:w="3544"/>
        <w:gridCol w:w="5466"/>
      </w:tblGrid>
      <w:tr w:rsidR="00D175E9" w:rsidRPr="00DD49B6" w:rsidTr="0089091C">
        <w:trPr>
          <w:trHeight w:val="381"/>
          <w:jc w:val="center"/>
        </w:trPr>
        <w:tc>
          <w:tcPr>
            <w:tcW w:w="9518" w:type="dxa"/>
            <w:gridSpan w:val="3"/>
            <w:vAlign w:val="center"/>
          </w:tcPr>
          <w:p w:rsidR="00D175E9" w:rsidRPr="00DD49B6" w:rsidRDefault="00F01528" w:rsidP="0089091C">
            <w:pPr>
              <w:pStyle w:val="naisnod"/>
              <w:spacing w:before="0" w:after="0"/>
              <w:ind w:left="57" w:right="57"/>
            </w:pPr>
            <w:r>
              <w:rPr>
                <w:sz w:val="28"/>
                <w:szCs w:val="28"/>
              </w:rPr>
              <w:lastRenderedPageBreak/>
              <w:br w:type="page"/>
            </w:r>
            <w:r w:rsidR="00D175E9" w:rsidRPr="00DD49B6">
              <w:rPr>
                <w:b w:val="0"/>
              </w:rPr>
              <w:t>VII. Tiesību akta projekta izpildes nodrošināšana un tās ietekme uz institūcijām</w:t>
            </w:r>
          </w:p>
        </w:tc>
      </w:tr>
      <w:tr w:rsidR="00D175E9" w:rsidRPr="00DD49B6" w:rsidTr="00A16748">
        <w:trPr>
          <w:trHeight w:val="427"/>
          <w:jc w:val="center"/>
        </w:trPr>
        <w:tc>
          <w:tcPr>
            <w:tcW w:w="508" w:type="dxa"/>
          </w:tcPr>
          <w:p w:rsidR="00D175E9" w:rsidRPr="00AE3D7B" w:rsidRDefault="00D175E9" w:rsidP="00AE3D7B">
            <w:pPr>
              <w:pStyle w:val="naisnod"/>
              <w:spacing w:before="0" w:after="0"/>
              <w:ind w:left="57" w:right="57"/>
              <w:rPr>
                <w:b w:val="0"/>
              </w:rPr>
            </w:pPr>
            <w:r w:rsidRPr="00AE3D7B">
              <w:rPr>
                <w:b w:val="0"/>
              </w:rPr>
              <w:t>1.</w:t>
            </w:r>
          </w:p>
        </w:tc>
        <w:tc>
          <w:tcPr>
            <w:tcW w:w="3544" w:type="dxa"/>
          </w:tcPr>
          <w:p w:rsidR="00D175E9" w:rsidRPr="00DD49B6" w:rsidRDefault="00D175E9" w:rsidP="00AE3D7B">
            <w:pPr>
              <w:pStyle w:val="naisf"/>
              <w:spacing w:before="0" w:after="0"/>
              <w:ind w:left="57" w:right="57" w:firstLine="0"/>
            </w:pPr>
            <w:r w:rsidRPr="00DD49B6">
              <w:t>Projekta izpildē iesaistītās institūcijas</w:t>
            </w:r>
          </w:p>
        </w:tc>
        <w:tc>
          <w:tcPr>
            <w:tcW w:w="5466" w:type="dxa"/>
          </w:tcPr>
          <w:p w:rsidR="00D175E9" w:rsidRPr="00DD49B6" w:rsidRDefault="004943A0" w:rsidP="0089091C">
            <w:pPr>
              <w:shd w:val="clear" w:color="auto" w:fill="FFFFFF"/>
              <w:jc w:val="both"/>
            </w:pPr>
            <w:bookmarkStart w:id="1" w:name="p66"/>
            <w:bookmarkStart w:id="2" w:name="p67"/>
            <w:bookmarkStart w:id="3" w:name="p68"/>
            <w:bookmarkStart w:id="4" w:name="p69"/>
            <w:bookmarkEnd w:id="1"/>
            <w:bookmarkEnd w:id="2"/>
            <w:bookmarkEnd w:id="3"/>
            <w:bookmarkEnd w:id="4"/>
            <w:r w:rsidRPr="006C4098">
              <w:t>Normatīvā akta izpildi nodrošinās Valsts ieņēmumu dienests</w:t>
            </w:r>
          </w:p>
        </w:tc>
      </w:tr>
      <w:tr w:rsidR="00D175E9" w:rsidRPr="00DD49B6" w:rsidTr="00A16748">
        <w:trPr>
          <w:trHeight w:val="463"/>
          <w:jc w:val="center"/>
        </w:trPr>
        <w:tc>
          <w:tcPr>
            <w:tcW w:w="508" w:type="dxa"/>
          </w:tcPr>
          <w:p w:rsidR="00D175E9" w:rsidRPr="00AE3D7B" w:rsidRDefault="00D175E9" w:rsidP="00AE3D7B">
            <w:pPr>
              <w:pStyle w:val="naisnod"/>
              <w:spacing w:before="0" w:after="0"/>
              <w:ind w:left="57" w:right="57"/>
              <w:rPr>
                <w:b w:val="0"/>
              </w:rPr>
            </w:pPr>
            <w:r w:rsidRPr="00AE3D7B">
              <w:rPr>
                <w:b w:val="0"/>
              </w:rPr>
              <w:t>2.</w:t>
            </w:r>
          </w:p>
        </w:tc>
        <w:tc>
          <w:tcPr>
            <w:tcW w:w="3544" w:type="dxa"/>
          </w:tcPr>
          <w:p w:rsidR="00D175E9" w:rsidRPr="00DD49B6" w:rsidRDefault="00D175E9" w:rsidP="00AE3D7B">
            <w:pPr>
              <w:pStyle w:val="naisf"/>
              <w:spacing w:before="0" w:after="0"/>
              <w:ind w:left="57" w:right="57" w:firstLine="0"/>
            </w:pPr>
            <w:r w:rsidRPr="00DD49B6">
              <w:t>Projekta izpildes iet</w:t>
            </w:r>
            <w:r>
              <w:t xml:space="preserve">ekme uz pārvaldes funkcijām un </w:t>
            </w:r>
            <w:r w:rsidRPr="00DD49B6">
              <w:t>institucionālo struktūru.</w:t>
            </w:r>
          </w:p>
          <w:p w:rsidR="00D175E9" w:rsidRPr="00DD49B6" w:rsidRDefault="00D175E9" w:rsidP="00AE3D7B">
            <w:pPr>
              <w:pStyle w:val="naisf"/>
              <w:spacing w:before="0" w:after="0"/>
              <w:ind w:left="57" w:right="57" w:firstLine="0"/>
            </w:pPr>
            <w:r w:rsidRPr="00DD49B6">
              <w:t>Jaunu institūciju izveide, esošu institūciju likvidācija vai reorga</w:t>
            </w:r>
            <w:r>
              <w:softHyphen/>
            </w:r>
            <w:r w:rsidRPr="00DD49B6">
              <w:t>nizācija, to ietekme uz institūcijas cilvēkresursiem.</w:t>
            </w:r>
          </w:p>
        </w:tc>
        <w:tc>
          <w:tcPr>
            <w:tcW w:w="5466" w:type="dxa"/>
          </w:tcPr>
          <w:p w:rsidR="00D175E9" w:rsidRPr="00DD49B6" w:rsidRDefault="004943A0" w:rsidP="0089091C">
            <w:pPr>
              <w:shd w:val="clear" w:color="auto" w:fill="FFFFFF"/>
              <w:jc w:val="both"/>
            </w:pPr>
            <w:r w:rsidRPr="00075879">
              <w:t>Projekts šo jomu neskar</w:t>
            </w:r>
          </w:p>
        </w:tc>
      </w:tr>
      <w:tr w:rsidR="00D175E9" w:rsidRPr="00DD49B6" w:rsidTr="00A16748">
        <w:trPr>
          <w:trHeight w:val="402"/>
          <w:jc w:val="center"/>
        </w:trPr>
        <w:tc>
          <w:tcPr>
            <w:tcW w:w="508" w:type="dxa"/>
            <w:tcBorders>
              <w:top w:val="single" w:sz="4" w:space="0" w:color="auto"/>
              <w:left w:val="single" w:sz="4" w:space="0" w:color="auto"/>
              <w:bottom w:val="single" w:sz="4" w:space="0" w:color="auto"/>
              <w:right w:val="single" w:sz="4" w:space="0" w:color="auto"/>
            </w:tcBorders>
          </w:tcPr>
          <w:p w:rsidR="00D175E9" w:rsidRPr="00AE3D7B" w:rsidRDefault="00D175E9" w:rsidP="00AE3D7B">
            <w:pPr>
              <w:pStyle w:val="naisnod"/>
              <w:spacing w:before="0" w:after="0"/>
              <w:ind w:left="57" w:right="57"/>
              <w:rPr>
                <w:b w:val="0"/>
              </w:rPr>
            </w:pPr>
            <w:r w:rsidRPr="00AE3D7B">
              <w:rPr>
                <w:b w:val="0"/>
              </w:rPr>
              <w:t>3.</w:t>
            </w:r>
          </w:p>
        </w:tc>
        <w:tc>
          <w:tcPr>
            <w:tcW w:w="3544" w:type="dxa"/>
            <w:tcBorders>
              <w:top w:val="single" w:sz="4" w:space="0" w:color="auto"/>
              <w:left w:val="single" w:sz="4" w:space="0" w:color="auto"/>
              <w:bottom w:val="single" w:sz="4" w:space="0" w:color="auto"/>
              <w:right w:val="single" w:sz="4" w:space="0" w:color="auto"/>
            </w:tcBorders>
          </w:tcPr>
          <w:p w:rsidR="00D175E9" w:rsidRPr="00DD49B6" w:rsidRDefault="00D175E9" w:rsidP="00AE3D7B">
            <w:pPr>
              <w:pStyle w:val="naisf"/>
              <w:spacing w:before="0" w:after="0"/>
              <w:ind w:right="57" w:firstLine="0"/>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rsidR="00D175E9" w:rsidRPr="00DD49B6" w:rsidRDefault="00D175E9" w:rsidP="004943A0">
            <w:pPr>
              <w:ind w:left="57" w:right="57"/>
              <w:jc w:val="both"/>
            </w:pPr>
            <w:r w:rsidRPr="00DD49B6">
              <w:t>Nav</w:t>
            </w:r>
          </w:p>
        </w:tc>
      </w:tr>
    </w:tbl>
    <w:p w:rsidR="007D1A10" w:rsidRDefault="007D1A10" w:rsidP="007756FB">
      <w:pPr>
        <w:rPr>
          <w:sz w:val="18"/>
          <w:szCs w:val="18"/>
        </w:rPr>
      </w:pPr>
    </w:p>
    <w:p w:rsidR="00E26F15" w:rsidRDefault="00E26F15" w:rsidP="007756FB">
      <w:pPr>
        <w:rPr>
          <w:sz w:val="28"/>
          <w:szCs w:val="28"/>
        </w:rPr>
      </w:pPr>
    </w:p>
    <w:p w:rsidR="00E26F15" w:rsidRDefault="00E26F15" w:rsidP="007756FB">
      <w:pPr>
        <w:rPr>
          <w:sz w:val="28"/>
          <w:szCs w:val="28"/>
        </w:rPr>
      </w:pPr>
    </w:p>
    <w:p w:rsidR="00E26F15" w:rsidRPr="00E26F15" w:rsidRDefault="00E26F15" w:rsidP="007756FB">
      <w:pPr>
        <w:rPr>
          <w:sz w:val="28"/>
          <w:szCs w:val="28"/>
        </w:rPr>
      </w:pPr>
      <w:r>
        <w:rPr>
          <w:sz w:val="28"/>
          <w:szCs w:val="28"/>
        </w:rPr>
        <w:t>Finanšu ministrs                                                                                       A.Vilks</w:t>
      </w:r>
    </w:p>
    <w:p w:rsidR="00E26F15" w:rsidRDefault="00E26F15" w:rsidP="007756FB">
      <w:pPr>
        <w:rPr>
          <w:sz w:val="18"/>
          <w:szCs w:val="18"/>
        </w:rPr>
      </w:pPr>
    </w:p>
    <w:p w:rsidR="00E26F15" w:rsidRDefault="00E26F15" w:rsidP="007756FB">
      <w:pPr>
        <w:rPr>
          <w:sz w:val="18"/>
          <w:szCs w:val="18"/>
        </w:rPr>
      </w:pPr>
    </w:p>
    <w:p w:rsidR="00E26F15" w:rsidRDefault="00E26F15" w:rsidP="007756FB">
      <w:pPr>
        <w:rPr>
          <w:sz w:val="18"/>
          <w:szCs w:val="18"/>
        </w:rPr>
      </w:pPr>
    </w:p>
    <w:p w:rsidR="00E26F15" w:rsidRDefault="00E26F15" w:rsidP="007756FB">
      <w:pPr>
        <w:rPr>
          <w:sz w:val="18"/>
          <w:szCs w:val="18"/>
        </w:rPr>
      </w:pPr>
    </w:p>
    <w:p w:rsidR="001F0C5C" w:rsidRPr="001F0C5C" w:rsidRDefault="0021495B" w:rsidP="001F0C5C">
      <w:pPr>
        <w:tabs>
          <w:tab w:val="left" w:pos="7088"/>
        </w:tabs>
        <w:jc w:val="both"/>
        <w:rPr>
          <w:rFonts w:eastAsia="Calibri"/>
          <w:lang w:eastAsia="en-US"/>
        </w:rPr>
      </w:pPr>
      <w:r w:rsidRPr="001F0C5C">
        <w:rPr>
          <w:rFonts w:eastAsia="Calibri"/>
          <w:lang w:eastAsia="en-US"/>
        </w:rPr>
        <w:fldChar w:fldCharType="begin"/>
      </w:r>
      <w:r w:rsidR="001F0C5C" w:rsidRPr="001F0C5C">
        <w:rPr>
          <w:rFonts w:eastAsia="Calibri"/>
          <w:lang w:eastAsia="en-US"/>
        </w:rPr>
        <w:instrText xml:space="preserve"> TIME \@ "yyyy.MM.dd. H:mm" </w:instrText>
      </w:r>
      <w:r w:rsidRPr="001F0C5C">
        <w:rPr>
          <w:rFonts w:eastAsia="Calibri"/>
          <w:lang w:eastAsia="en-US"/>
        </w:rPr>
        <w:fldChar w:fldCharType="separate"/>
      </w:r>
      <w:r w:rsidR="006603D7">
        <w:rPr>
          <w:rFonts w:eastAsia="Calibri"/>
          <w:noProof/>
          <w:lang w:eastAsia="en-US"/>
        </w:rPr>
        <w:t>2014.07.</w:t>
      </w:r>
      <w:r w:rsidR="006603D7">
        <w:rPr>
          <w:rFonts w:eastAsia="Calibri"/>
          <w:noProof/>
          <w:lang w:eastAsia="en-US"/>
        </w:rPr>
        <w:t>17</w:t>
      </w:r>
      <w:r w:rsidR="006603D7">
        <w:rPr>
          <w:rFonts w:eastAsia="Calibri"/>
          <w:noProof/>
          <w:lang w:eastAsia="en-US"/>
        </w:rPr>
        <w:t>. 1</w:t>
      </w:r>
      <w:r w:rsidR="006603D7">
        <w:rPr>
          <w:rFonts w:eastAsia="Calibri"/>
          <w:noProof/>
          <w:lang w:eastAsia="en-US"/>
        </w:rPr>
        <w:t>4</w:t>
      </w:r>
      <w:r w:rsidR="006603D7">
        <w:rPr>
          <w:rFonts w:eastAsia="Calibri"/>
          <w:noProof/>
          <w:lang w:eastAsia="en-US"/>
        </w:rPr>
        <w:t>:1</w:t>
      </w:r>
      <w:r w:rsidRPr="001F0C5C">
        <w:rPr>
          <w:rFonts w:eastAsia="Calibri"/>
          <w:lang w:eastAsia="en-US"/>
        </w:rPr>
        <w:fldChar w:fldCharType="end"/>
      </w:r>
      <w:r w:rsidR="006603D7">
        <w:rPr>
          <w:rFonts w:eastAsia="Calibri"/>
          <w:lang w:eastAsia="en-US"/>
        </w:rPr>
        <w:t>2</w:t>
      </w:r>
    </w:p>
    <w:p w:rsidR="001F0C5C" w:rsidRPr="001F0C5C" w:rsidRDefault="00C91762" w:rsidP="001F0C5C">
      <w:pPr>
        <w:tabs>
          <w:tab w:val="center" w:pos="4153"/>
          <w:tab w:val="right" w:pos="8306"/>
        </w:tabs>
        <w:rPr>
          <w:lang w:eastAsia="en-US"/>
        </w:rPr>
      </w:pPr>
      <w:fldSimple w:instr=" NUMWORDS  \* MERGEFORMAT ">
        <w:r w:rsidR="0051706E">
          <w:rPr>
            <w:noProof/>
            <w:lang w:eastAsia="en-US"/>
          </w:rPr>
          <w:t>1852</w:t>
        </w:r>
      </w:fldSimple>
    </w:p>
    <w:p w:rsidR="001F0C5C" w:rsidRPr="001F0C5C" w:rsidRDefault="001F0C5C" w:rsidP="001F0C5C">
      <w:pPr>
        <w:rPr>
          <w:rFonts w:eastAsia="Calibri"/>
          <w:lang w:eastAsia="en-US"/>
        </w:rPr>
      </w:pPr>
      <w:r w:rsidRPr="001F0C5C">
        <w:rPr>
          <w:rFonts w:eastAsia="Calibri"/>
          <w:lang w:eastAsia="en-US"/>
        </w:rPr>
        <w:t>I.Bērziņa</w:t>
      </w:r>
    </w:p>
    <w:p w:rsidR="001F0C5C" w:rsidRPr="001F0C5C" w:rsidRDefault="00517657" w:rsidP="001F0C5C">
      <w:pPr>
        <w:rPr>
          <w:rFonts w:eastAsia="Calibri"/>
          <w:u w:val="single"/>
          <w:lang w:eastAsia="en-US"/>
        </w:rPr>
      </w:pPr>
      <w:r>
        <w:rPr>
          <w:rFonts w:eastAsia="Calibri"/>
          <w:lang w:eastAsia="en-US"/>
        </w:rPr>
        <w:t>67121810</w:t>
      </w:r>
      <w:r w:rsidR="001F0C5C" w:rsidRPr="001F0C5C">
        <w:rPr>
          <w:rFonts w:eastAsia="Calibri"/>
          <w:lang w:eastAsia="en-US"/>
        </w:rPr>
        <w:t>,</w:t>
      </w:r>
      <w:r>
        <w:rPr>
          <w:rFonts w:eastAsia="Calibri"/>
          <w:lang w:eastAsia="en-US"/>
        </w:rPr>
        <w:t xml:space="preserve"> </w:t>
      </w:r>
      <w:hyperlink r:id="rId11" w:history="1">
        <w:r w:rsidR="001C3E3E" w:rsidRPr="005A1D34">
          <w:rPr>
            <w:rStyle w:val="Hyperlink"/>
            <w:rFonts w:eastAsia="Calibri"/>
            <w:lang w:eastAsia="en-US"/>
          </w:rPr>
          <w:t>Inese.Berzina@vid.gov.lv</w:t>
        </w:r>
      </w:hyperlink>
    </w:p>
    <w:p w:rsidR="007D1A10" w:rsidRPr="007756FB" w:rsidRDefault="007D1A10" w:rsidP="00D80B20">
      <w:pPr>
        <w:rPr>
          <w:sz w:val="18"/>
          <w:szCs w:val="18"/>
        </w:rPr>
      </w:pPr>
      <w:bookmarkStart w:id="5" w:name="_GoBack"/>
      <w:bookmarkEnd w:id="5"/>
    </w:p>
    <w:sectPr w:rsidR="007D1A10" w:rsidRPr="007756FB" w:rsidSect="00686CAE">
      <w:headerReference w:type="even" r:id="rId12"/>
      <w:headerReference w:type="default" r:id="rId13"/>
      <w:footerReference w:type="default" r:id="rId14"/>
      <w:footerReference w:type="first" r:id="rId15"/>
      <w:pgSz w:w="11906" w:h="16838" w:code="9"/>
      <w:pgMar w:top="1304" w:right="1134" w:bottom="1134" w:left="1701" w:header="709" w:footer="1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749" w:rsidRDefault="005A6749">
      <w:r>
        <w:separator/>
      </w:r>
    </w:p>
  </w:endnote>
  <w:endnote w:type="continuationSeparator" w:id="0">
    <w:p w:rsidR="005A6749" w:rsidRDefault="005A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EC" w:rsidRPr="00D03B18" w:rsidRDefault="00517657" w:rsidP="00D03B18">
    <w:pPr>
      <w:pStyle w:val="Footer"/>
    </w:pPr>
    <w:r w:rsidRPr="00517657">
      <w:rPr>
        <w:sz w:val="18"/>
        <w:szCs w:val="18"/>
      </w:rPr>
      <w:t>FMAnot_170714_MK568_groz</w:t>
    </w:r>
    <w:r w:rsidR="00D121EC" w:rsidRPr="00D03B18">
      <w:rPr>
        <w:sz w:val="18"/>
        <w:szCs w:val="18"/>
      </w:rPr>
      <w:t>; Ministru kabineta noteikumu projekta “Grozījumi Ministru kabineta 2012.gada 21.augusta noteikumos Nr.568 “Noteikumi par iedzīvotāju ienākuma nodokļa deklarācijām un to aizpildīšanas kārtību”” 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EC" w:rsidRPr="00FB0C45" w:rsidRDefault="00517657" w:rsidP="00AE3D7B">
    <w:pPr>
      <w:pStyle w:val="Footer"/>
      <w:spacing w:after="240"/>
      <w:jc w:val="both"/>
    </w:pPr>
    <w:r w:rsidRPr="00517657">
      <w:rPr>
        <w:sz w:val="18"/>
        <w:szCs w:val="18"/>
      </w:rPr>
      <w:t>FMAnot_170714_MK568_groz</w:t>
    </w:r>
    <w:r w:rsidR="00D121EC" w:rsidRPr="00FB0C45">
      <w:rPr>
        <w:sz w:val="18"/>
        <w:szCs w:val="18"/>
      </w:rPr>
      <w:t xml:space="preserve">; </w:t>
    </w:r>
    <w:r w:rsidR="00D121EC" w:rsidRPr="00D03B18">
      <w:rPr>
        <w:sz w:val="18"/>
        <w:szCs w:val="18"/>
      </w:rPr>
      <w:t>Ministru kabineta noteikumu projekta “Grozījumi Ministru kabineta 2012.gada 21.augusta noteikumos Nr.568 “Noteikumi par iedzīvotāju ienākuma nodokļa deklarācijām un to aizpildīšanas kārtību””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749" w:rsidRDefault="005A6749">
      <w:r>
        <w:separator/>
      </w:r>
    </w:p>
  </w:footnote>
  <w:footnote w:type="continuationSeparator" w:id="0">
    <w:p w:rsidR="005A6749" w:rsidRDefault="005A6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EC" w:rsidRDefault="00D121EC"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21EC" w:rsidRDefault="00D121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1EC" w:rsidRDefault="00D121EC" w:rsidP="00F4391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03D7">
      <w:rPr>
        <w:rStyle w:val="PageNumber"/>
        <w:noProof/>
      </w:rPr>
      <w:t>7</w:t>
    </w:r>
    <w:r>
      <w:rPr>
        <w:rStyle w:val="PageNumber"/>
      </w:rPr>
      <w:fldChar w:fldCharType="end"/>
    </w:r>
  </w:p>
  <w:p w:rsidR="00D121EC" w:rsidRPr="00C0662A" w:rsidRDefault="00D121EC" w:rsidP="00C0662A">
    <w:pPr>
      <w:pStyle w:val="Footer"/>
      <w:spacing w:after="240"/>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D6A83"/>
    <w:multiLevelType w:val="hybridMultilevel"/>
    <w:tmpl w:val="21620D9A"/>
    <w:lvl w:ilvl="0" w:tplc="A66CF7BA">
      <w:start w:val="1"/>
      <w:numFmt w:val="decimal"/>
      <w:lvlText w:val="%1)"/>
      <w:lvlJc w:val="left"/>
      <w:pPr>
        <w:ind w:left="795" w:hanging="435"/>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069F2453"/>
    <w:multiLevelType w:val="hybridMultilevel"/>
    <w:tmpl w:val="B252751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06B1484"/>
    <w:multiLevelType w:val="hybridMultilevel"/>
    <w:tmpl w:val="1E10A724"/>
    <w:lvl w:ilvl="0" w:tplc="1FBCE5EC">
      <w:start w:val="1"/>
      <w:numFmt w:val="decimal"/>
      <w:lvlText w:val="%1)"/>
      <w:lvlJc w:val="left"/>
      <w:pPr>
        <w:ind w:left="1561" w:hanging="960"/>
      </w:pPr>
      <w:rPr>
        <w:rFonts w:cs="Times New Roman" w:hint="default"/>
      </w:rPr>
    </w:lvl>
    <w:lvl w:ilvl="1" w:tplc="04260019" w:tentative="1">
      <w:start w:val="1"/>
      <w:numFmt w:val="lowerLetter"/>
      <w:lvlText w:val="%2."/>
      <w:lvlJc w:val="left"/>
      <w:pPr>
        <w:ind w:left="1681" w:hanging="360"/>
      </w:pPr>
      <w:rPr>
        <w:rFonts w:cs="Times New Roman"/>
      </w:rPr>
    </w:lvl>
    <w:lvl w:ilvl="2" w:tplc="0426001B" w:tentative="1">
      <w:start w:val="1"/>
      <w:numFmt w:val="lowerRoman"/>
      <w:lvlText w:val="%3."/>
      <w:lvlJc w:val="right"/>
      <w:pPr>
        <w:ind w:left="2401" w:hanging="180"/>
      </w:pPr>
      <w:rPr>
        <w:rFonts w:cs="Times New Roman"/>
      </w:rPr>
    </w:lvl>
    <w:lvl w:ilvl="3" w:tplc="0426000F" w:tentative="1">
      <w:start w:val="1"/>
      <w:numFmt w:val="decimal"/>
      <w:lvlText w:val="%4."/>
      <w:lvlJc w:val="left"/>
      <w:pPr>
        <w:ind w:left="3121" w:hanging="360"/>
      </w:pPr>
      <w:rPr>
        <w:rFonts w:cs="Times New Roman"/>
      </w:rPr>
    </w:lvl>
    <w:lvl w:ilvl="4" w:tplc="04260019" w:tentative="1">
      <w:start w:val="1"/>
      <w:numFmt w:val="lowerLetter"/>
      <w:lvlText w:val="%5."/>
      <w:lvlJc w:val="left"/>
      <w:pPr>
        <w:ind w:left="3841" w:hanging="360"/>
      </w:pPr>
      <w:rPr>
        <w:rFonts w:cs="Times New Roman"/>
      </w:rPr>
    </w:lvl>
    <w:lvl w:ilvl="5" w:tplc="0426001B" w:tentative="1">
      <w:start w:val="1"/>
      <w:numFmt w:val="lowerRoman"/>
      <w:lvlText w:val="%6."/>
      <w:lvlJc w:val="right"/>
      <w:pPr>
        <w:ind w:left="4561" w:hanging="180"/>
      </w:pPr>
      <w:rPr>
        <w:rFonts w:cs="Times New Roman"/>
      </w:rPr>
    </w:lvl>
    <w:lvl w:ilvl="6" w:tplc="0426000F" w:tentative="1">
      <w:start w:val="1"/>
      <w:numFmt w:val="decimal"/>
      <w:lvlText w:val="%7."/>
      <w:lvlJc w:val="left"/>
      <w:pPr>
        <w:ind w:left="5281" w:hanging="360"/>
      </w:pPr>
      <w:rPr>
        <w:rFonts w:cs="Times New Roman"/>
      </w:rPr>
    </w:lvl>
    <w:lvl w:ilvl="7" w:tplc="04260019" w:tentative="1">
      <w:start w:val="1"/>
      <w:numFmt w:val="lowerLetter"/>
      <w:lvlText w:val="%8."/>
      <w:lvlJc w:val="left"/>
      <w:pPr>
        <w:ind w:left="6001" w:hanging="360"/>
      </w:pPr>
      <w:rPr>
        <w:rFonts w:cs="Times New Roman"/>
      </w:rPr>
    </w:lvl>
    <w:lvl w:ilvl="8" w:tplc="0426001B" w:tentative="1">
      <w:start w:val="1"/>
      <w:numFmt w:val="lowerRoman"/>
      <w:lvlText w:val="%9."/>
      <w:lvlJc w:val="right"/>
      <w:pPr>
        <w:ind w:left="6721" w:hanging="180"/>
      </w:pPr>
      <w:rPr>
        <w:rFonts w:cs="Times New Roman"/>
      </w:rPr>
    </w:lvl>
  </w:abstractNum>
  <w:abstractNum w:abstractNumId="3">
    <w:nsid w:val="17622E44"/>
    <w:multiLevelType w:val="hybridMultilevel"/>
    <w:tmpl w:val="46B05CCA"/>
    <w:lvl w:ilvl="0" w:tplc="B5B808B0">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
    <w:nsid w:val="3B2C3A4B"/>
    <w:multiLevelType w:val="hybridMultilevel"/>
    <w:tmpl w:val="D8C21B5A"/>
    <w:lvl w:ilvl="0" w:tplc="E8DCFCF4">
      <w:start w:val="1"/>
      <w:numFmt w:val="upperRoman"/>
      <w:lvlText w:val="%1."/>
      <w:lvlJc w:val="left"/>
      <w:pPr>
        <w:ind w:left="1080" w:hanging="72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4415269E"/>
    <w:multiLevelType w:val="hybridMultilevel"/>
    <w:tmpl w:val="5E06861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57C03AF0"/>
    <w:multiLevelType w:val="hybridMultilevel"/>
    <w:tmpl w:val="08A4F5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5E9B3391"/>
    <w:multiLevelType w:val="hybridMultilevel"/>
    <w:tmpl w:val="04F47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5"/>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B4F"/>
    <w:rsid w:val="0000343B"/>
    <w:rsid w:val="00003899"/>
    <w:rsid w:val="0001044B"/>
    <w:rsid w:val="00016059"/>
    <w:rsid w:val="0002259A"/>
    <w:rsid w:val="00024D4A"/>
    <w:rsid w:val="00032C63"/>
    <w:rsid w:val="00033952"/>
    <w:rsid w:val="0004236D"/>
    <w:rsid w:val="000458B2"/>
    <w:rsid w:val="00055B0A"/>
    <w:rsid w:val="00055DB0"/>
    <w:rsid w:val="00060CF4"/>
    <w:rsid w:val="00062D2A"/>
    <w:rsid w:val="0006423B"/>
    <w:rsid w:val="000650A6"/>
    <w:rsid w:val="00074692"/>
    <w:rsid w:val="00075879"/>
    <w:rsid w:val="000814F3"/>
    <w:rsid w:val="00081DAB"/>
    <w:rsid w:val="00093D0E"/>
    <w:rsid w:val="000955E3"/>
    <w:rsid w:val="000A09F1"/>
    <w:rsid w:val="000A234E"/>
    <w:rsid w:val="000A7250"/>
    <w:rsid w:val="000B0122"/>
    <w:rsid w:val="000B3304"/>
    <w:rsid w:val="000B6BEE"/>
    <w:rsid w:val="000C73F6"/>
    <w:rsid w:val="000D2967"/>
    <w:rsid w:val="000D6F83"/>
    <w:rsid w:val="000E06A4"/>
    <w:rsid w:val="000E2FFA"/>
    <w:rsid w:val="000F148C"/>
    <w:rsid w:val="000F3065"/>
    <w:rsid w:val="000F7CD5"/>
    <w:rsid w:val="001012AA"/>
    <w:rsid w:val="00101510"/>
    <w:rsid w:val="00106EF4"/>
    <w:rsid w:val="00107BD1"/>
    <w:rsid w:val="00113199"/>
    <w:rsid w:val="001166D1"/>
    <w:rsid w:val="001247B9"/>
    <w:rsid w:val="001257DE"/>
    <w:rsid w:val="00131C57"/>
    <w:rsid w:val="0013216F"/>
    <w:rsid w:val="001335E3"/>
    <w:rsid w:val="00142AB7"/>
    <w:rsid w:val="00152D5E"/>
    <w:rsid w:val="0015730F"/>
    <w:rsid w:val="00163E72"/>
    <w:rsid w:val="00164AB4"/>
    <w:rsid w:val="00170AC9"/>
    <w:rsid w:val="00175D1C"/>
    <w:rsid w:val="00190F77"/>
    <w:rsid w:val="00194D8E"/>
    <w:rsid w:val="00195A8F"/>
    <w:rsid w:val="00196D4F"/>
    <w:rsid w:val="001975C7"/>
    <w:rsid w:val="001A0D5C"/>
    <w:rsid w:val="001B2712"/>
    <w:rsid w:val="001B4056"/>
    <w:rsid w:val="001B6E27"/>
    <w:rsid w:val="001C3E3E"/>
    <w:rsid w:val="001C7060"/>
    <w:rsid w:val="001C7B06"/>
    <w:rsid w:val="001D18D4"/>
    <w:rsid w:val="001D73D4"/>
    <w:rsid w:val="001E158B"/>
    <w:rsid w:val="001E2E03"/>
    <w:rsid w:val="001F0C5C"/>
    <w:rsid w:val="001F23CC"/>
    <w:rsid w:val="001F6FB1"/>
    <w:rsid w:val="00214233"/>
    <w:rsid w:val="0021495B"/>
    <w:rsid w:val="00215F77"/>
    <w:rsid w:val="002268EF"/>
    <w:rsid w:val="002300CB"/>
    <w:rsid w:val="00231E45"/>
    <w:rsid w:val="0024124F"/>
    <w:rsid w:val="0024446B"/>
    <w:rsid w:val="00246D9C"/>
    <w:rsid w:val="00257B71"/>
    <w:rsid w:val="002641E8"/>
    <w:rsid w:val="002653DD"/>
    <w:rsid w:val="002675BE"/>
    <w:rsid w:val="00267711"/>
    <w:rsid w:val="00271A80"/>
    <w:rsid w:val="00272BC5"/>
    <w:rsid w:val="00272F2D"/>
    <w:rsid w:val="0027384B"/>
    <w:rsid w:val="002779C1"/>
    <w:rsid w:val="00281614"/>
    <w:rsid w:val="002829BB"/>
    <w:rsid w:val="00294287"/>
    <w:rsid w:val="00294A3C"/>
    <w:rsid w:val="00295F8C"/>
    <w:rsid w:val="00296449"/>
    <w:rsid w:val="002A154B"/>
    <w:rsid w:val="002A4560"/>
    <w:rsid w:val="002A7E4F"/>
    <w:rsid w:val="002C2088"/>
    <w:rsid w:val="002C5BD5"/>
    <w:rsid w:val="002C6D1F"/>
    <w:rsid w:val="002D019E"/>
    <w:rsid w:val="002D7D23"/>
    <w:rsid w:val="002E1ABA"/>
    <w:rsid w:val="002E2189"/>
    <w:rsid w:val="002E257A"/>
    <w:rsid w:val="002E7354"/>
    <w:rsid w:val="002F4B88"/>
    <w:rsid w:val="002F4C6B"/>
    <w:rsid w:val="0031278B"/>
    <w:rsid w:val="003131FF"/>
    <w:rsid w:val="00324570"/>
    <w:rsid w:val="00324A5D"/>
    <w:rsid w:val="00343F57"/>
    <w:rsid w:val="00352217"/>
    <w:rsid w:val="003536E5"/>
    <w:rsid w:val="003537C1"/>
    <w:rsid w:val="00357053"/>
    <w:rsid w:val="003638AB"/>
    <w:rsid w:val="00371013"/>
    <w:rsid w:val="0037109E"/>
    <w:rsid w:val="003804CD"/>
    <w:rsid w:val="00387B30"/>
    <w:rsid w:val="003916EE"/>
    <w:rsid w:val="00396B11"/>
    <w:rsid w:val="00397056"/>
    <w:rsid w:val="003A0C5F"/>
    <w:rsid w:val="003C642A"/>
    <w:rsid w:val="003D0712"/>
    <w:rsid w:val="003D0CFE"/>
    <w:rsid w:val="003D35D3"/>
    <w:rsid w:val="003D7C05"/>
    <w:rsid w:val="003E2CDF"/>
    <w:rsid w:val="003E659D"/>
    <w:rsid w:val="003F5B66"/>
    <w:rsid w:val="003F6056"/>
    <w:rsid w:val="00403090"/>
    <w:rsid w:val="00403704"/>
    <w:rsid w:val="00414738"/>
    <w:rsid w:val="0041643B"/>
    <w:rsid w:val="00420086"/>
    <w:rsid w:val="004204CB"/>
    <w:rsid w:val="004215C1"/>
    <w:rsid w:val="004271EC"/>
    <w:rsid w:val="00432E82"/>
    <w:rsid w:val="00432F00"/>
    <w:rsid w:val="004402AD"/>
    <w:rsid w:val="00440873"/>
    <w:rsid w:val="00457D40"/>
    <w:rsid w:val="00460694"/>
    <w:rsid w:val="00462036"/>
    <w:rsid w:val="004634B3"/>
    <w:rsid w:val="00474685"/>
    <w:rsid w:val="004800A1"/>
    <w:rsid w:val="004810A7"/>
    <w:rsid w:val="00482DEA"/>
    <w:rsid w:val="00483499"/>
    <w:rsid w:val="00485EC4"/>
    <w:rsid w:val="004933D4"/>
    <w:rsid w:val="00493932"/>
    <w:rsid w:val="004943A0"/>
    <w:rsid w:val="004969A9"/>
    <w:rsid w:val="004A38EC"/>
    <w:rsid w:val="004A79ED"/>
    <w:rsid w:val="004B19EE"/>
    <w:rsid w:val="004B48C0"/>
    <w:rsid w:val="004D42EC"/>
    <w:rsid w:val="004D76A5"/>
    <w:rsid w:val="004E4573"/>
    <w:rsid w:val="004E6076"/>
    <w:rsid w:val="004E683A"/>
    <w:rsid w:val="004F1B4F"/>
    <w:rsid w:val="004F1C83"/>
    <w:rsid w:val="004F56AF"/>
    <w:rsid w:val="004F5780"/>
    <w:rsid w:val="004F7B81"/>
    <w:rsid w:val="005021DE"/>
    <w:rsid w:val="005103BA"/>
    <w:rsid w:val="00517046"/>
    <w:rsid w:val="0051706E"/>
    <w:rsid w:val="00517657"/>
    <w:rsid w:val="005354F9"/>
    <w:rsid w:val="005373F8"/>
    <w:rsid w:val="00541893"/>
    <w:rsid w:val="00547039"/>
    <w:rsid w:val="005524C9"/>
    <w:rsid w:val="0055289C"/>
    <w:rsid w:val="00556C36"/>
    <w:rsid w:val="005571CE"/>
    <w:rsid w:val="005613F0"/>
    <w:rsid w:val="0057002D"/>
    <w:rsid w:val="00570C0F"/>
    <w:rsid w:val="0058785A"/>
    <w:rsid w:val="005A020D"/>
    <w:rsid w:val="005A387A"/>
    <w:rsid w:val="005A6749"/>
    <w:rsid w:val="005B7BA0"/>
    <w:rsid w:val="005C1EEC"/>
    <w:rsid w:val="005C49BE"/>
    <w:rsid w:val="005C5803"/>
    <w:rsid w:val="005C584D"/>
    <w:rsid w:val="005C5A73"/>
    <w:rsid w:val="005C7E95"/>
    <w:rsid w:val="005D73F2"/>
    <w:rsid w:val="005E569C"/>
    <w:rsid w:val="005E72E7"/>
    <w:rsid w:val="005F1981"/>
    <w:rsid w:val="005F63DD"/>
    <w:rsid w:val="006057E1"/>
    <w:rsid w:val="0061103D"/>
    <w:rsid w:val="006113F9"/>
    <w:rsid w:val="0061237A"/>
    <w:rsid w:val="00613CCC"/>
    <w:rsid w:val="00621AD7"/>
    <w:rsid w:val="00630A87"/>
    <w:rsid w:val="00643EAB"/>
    <w:rsid w:val="006464A1"/>
    <w:rsid w:val="00652498"/>
    <w:rsid w:val="00657D42"/>
    <w:rsid w:val="00660223"/>
    <w:rsid w:val="006603D7"/>
    <w:rsid w:val="006608FB"/>
    <w:rsid w:val="00662009"/>
    <w:rsid w:val="0066554A"/>
    <w:rsid w:val="00666B6A"/>
    <w:rsid w:val="00682D3B"/>
    <w:rsid w:val="00684766"/>
    <w:rsid w:val="006855E7"/>
    <w:rsid w:val="00686CAE"/>
    <w:rsid w:val="0069026C"/>
    <w:rsid w:val="006921C9"/>
    <w:rsid w:val="006924F7"/>
    <w:rsid w:val="00693296"/>
    <w:rsid w:val="00693CB0"/>
    <w:rsid w:val="00693FC4"/>
    <w:rsid w:val="00694740"/>
    <w:rsid w:val="00696E84"/>
    <w:rsid w:val="006A2731"/>
    <w:rsid w:val="006A7A60"/>
    <w:rsid w:val="006B1B31"/>
    <w:rsid w:val="006B1B83"/>
    <w:rsid w:val="006B5AEE"/>
    <w:rsid w:val="006C4098"/>
    <w:rsid w:val="006C7023"/>
    <w:rsid w:val="006D7DD0"/>
    <w:rsid w:val="006E2EFF"/>
    <w:rsid w:val="006E5C92"/>
    <w:rsid w:val="006E6309"/>
    <w:rsid w:val="006E67B9"/>
    <w:rsid w:val="006F4081"/>
    <w:rsid w:val="00702067"/>
    <w:rsid w:val="007118F7"/>
    <w:rsid w:val="00714D1B"/>
    <w:rsid w:val="00725FDC"/>
    <w:rsid w:val="00731DFC"/>
    <w:rsid w:val="00735EF4"/>
    <w:rsid w:val="007401FE"/>
    <w:rsid w:val="00743410"/>
    <w:rsid w:val="0076494E"/>
    <w:rsid w:val="00764F14"/>
    <w:rsid w:val="00774CA6"/>
    <w:rsid w:val="007756FB"/>
    <w:rsid w:val="00781075"/>
    <w:rsid w:val="0078381A"/>
    <w:rsid w:val="00785F87"/>
    <w:rsid w:val="00794101"/>
    <w:rsid w:val="007961CD"/>
    <w:rsid w:val="007A07C5"/>
    <w:rsid w:val="007B0D47"/>
    <w:rsid w:val="007C0002"/>
    <w:rsid w:val="007C3E28"/>
    <w:rsid w:val="007C51DF"/>
    <w:rsid w:val="007D1A10"/>
    <w:rsid w:val="007E7AF1"/>
    <w:rsid w:val="007F5F81"/>
    <w:rsid w:val="007F6104"/>
    <w:rsid w:val="007F6FFF"/>
    <w:rsid w:val="008017E8"/>
    <w:rsid w:val="00804750"/>
    <w:rsid w:val="0080652B"/>
    <w:rsid w:val="008105C4"/>
    <w:rsid w:val="00810BAF"/>
    <w:rsid w:val="008147BC"/>
    <w:rsid w:val="008203B4"/>
    <w:rsid w:val="008210C7"/>
    <w:rsid w:val="00822CC1"/>
    <w:rsid w:val="008270B3"/>
    <w:rsid w:val="00827512"/>
    <w:rsid w:val="008313CA"/>
    <w:rsid w:val="00834390"/>
    <w:rsid w:val="00836BAA"/>
    <w:rsid w:val="00840284"/>
    <w:rsid w:val="008437A6"/>
    <w:rsid w:val="008441C4"/>
    <w:rsid w:val="008460C6"/>
    <w:rsid w:val="00847951"/>
    <w:rsid w:val="00862020"/>
    <w:rsid w:val="00862CAA"/>
    <w:rsid w:val="0086438E"/>
    <w:rsid w:val="00864BA4"/>
    <w:rsid w:val="00866E4D"/>
    <w:rsid w:val="0087388F"/>
    <w:rsid w:val="008774C5"/>
    <w:rsid w:val="00887539"/>
    <w:rsid w:val="00890440"/>
    <w:rsid w:val="0089091C"/>
    <w:rsid w:val="00891C3B"/>
    <w:rsid w:val="008961E6"/>
    <w:rsid w:val="008A1DE9"/>
    <w:rsid w:val="008A31FB"/>
    <w:rsid w:val="008A7464"/>
    <w:rsid w:val="008B0498"/>
    <w:rsid w:val="008C4958"/>
    <w:rsid w:val="008D09E5"/>
    <w:rsid w:val="008D2889"/>
    <w:rsid w:val="008D2983"/>
    <w:rsid w:val="008D3CDC"/>
    <w:rsid w:val="008D5C2E"/>
    <w:rsid w:val="008D7ABD"/>
    <w:rsid w:val="008D7C94"/>
    <w:rsid w:val="008E2D18"/>
    <w:rsid w:val="008E5717"/>
    <w:rsid w:val="008E792D"/>
    <w:rsid w:val="008F3D6D"/>
    <w:rsid w:val="008F618C"/>
    <w:rsid w:val="008F7DF2"/>
    <w:rsid w:val="00906DD8"/>
    <w:rsid w:val="0091278B"/>
    <w:rsid w:val="00924E45"/>
    <w:rsid w:val="00927EC1"/>
    <w:rsid w:val="00934026"/>
    <w:rsid w:val="00943CD8"/>
    <w:rsid w:val="009525A0"/>
    <w:rsid w:val="00953BB7"/>
    <w:rsid w:val="00954D03"/>
    <w:rsid w:val="00956883"/>
    <w:rsid w:val="00977DD4"/>
    <w:rsid w:val="00981B9B"/>
    <w:rsid w:val="00983706"/>
    <w:rsid w:val="0098535D"/>
    <w:rsid w:val="00990ED9"/>
    <w:rsid w:val="009920E0"/>
    <w:rsid w:val="00994A1A"/>
    <w:rsid w:val="009A0F50"/>
    <w:rsid w:val="009A1F3D"/>
    <w:rsid w:val="009B0FD6"/>
    <w:rsid w:val="009C0664"/>
    <w:rsid w:val="009C14A0"/>
    <w:rsid w:val="009C6D55"/>
    <w:rsid w:val="009D3F3D"/>
    <w:rsid w:val="009D4290"/>
    <w:rsid w:val="009D4DAE"/>
    <w:rsid w:val="009F1159"/>
    <w:rsid w:val="009F2EC3"/>
    <w:rsid w:val="009F441B"/>
    <w:rsid w:val="009F693E"/>
    <w:rsid w:val="00A00266"/>
    <w:rsid w:val="00A009FE"/>
    <w:rsid w:val="00A0308B"/>
    <w:rsid w:val="00A0541D"/>
    <w:rsid w:val="00A06374"/>
    <w:rsid w:val="00A119B1"/>
    <w:rsid w:val="00A15DA6"/>
    <w:rsid w:val="00A16748"/>
    <w:rsid w:val="00A24013"/>
    <w:rsid w:val="00A3208E"/>
    <w:rsid w:val="00A34424"/>
    <w:rsid w:val="00A4459A"/>
    <w:rsid w:val="00A44C40"/>
    <w:rsid w:val="00A54408"/>
    <w:rsid w:val="00A54D5B"/>
    <w:rsid w:val="00A57B9F"/>
    <w:rsid w:val="00A62D1F"/>
    <w:rsid w:val="00A643E2"/>
    <w:rsid w:val="00A66233"/>
    <w:rsid w:val="00A70A89"/>
    <w:rsid w:val="00A77DC1"/>
    <w:rsid w:val="00A82C44"/>
    <w:rsid w:val="00A909D4"/>
    <w:rsid w:val="00A9513F"/>
    <w:rsid w:val="00A97BF7"/>
    <w:rsid w:val="00AA6281"/>
    <w:rsid w:val="00AB01EB"/>
    <w:rsid w:val="00AB25B1"/>
    <w:rsid w:val="00AB3E30"/>
    <w:rsid w:val="00AB4549"/>
    <w:rsid w:val="00AB57C7"/>
    <w:rsid w:val="00AD1C9F"/>
    <w:rsid w:val="00AD45E2"/>
    <w:rsid w:val="00AD4B36"/>
    <w:rsid w:val="00AD6A12"/>
    <w:rsid w:val="00AE3D7B"/>
    <w:rsid w:val="00AE3F15"/>
    <w:rsid w:val="00AE4E30"/>
    <w:rsid w:val="00AF6BB4"/>
    <w:rsid w:val="00AF7C13"/>
    <w:rsid w:val="00B00C44"/>
    <w:rsid w:val="00B02BFC"/>
    <w:rsid w:val="00B1728A"/>
    <w:rsid w:val="00B236FA"/>
    <w:rsid w:val="00B32A57"/>
    <w:rsid w:val="00B35925"/>
    <w:rsid w:val="00B406B7"/>
    <w:rsid w:val="00B47AB8"/>
    <w:rsid w:val="00B50153"/>
    <w:rsid w:val="00B51FDE"/>
    <w:rsid w:val="00B62252"/>
    <w:rsid w:val="00B66512"/>
    <w:rsid w:val="00B71218"/>
    <w:rsid w:val="00B7396A"/>
    <w:rsid w:val="00B741D1"/>
    <w:rsid w:val="00B7606A"/>
    <w:rsid w:val="00B85575"/>
    <w:rsid w:val="00B85AE4"/>
    <w:rsid w:val="00B86095"/>
    <w:rsid w:val="00B94BFC"/>
    <w:rsid w:val="00BA7295"/>
    <w:rsid w:val="00BA774C"/>
    <w:rsid w:val="00BA79D6"/>
    <w:rsid w:val="00BB060F"/>
    <w:rsid w:val="00BB4594"/>
    <w:rsid w:val="00BC13A4"/>
    <w:rsid w:val="00BC1D26"/>
    <w:rsid w:val="00BC2110"/>
    <w:rsid w:val="00BD2E79"/>
    <w:rsid w:val="00BF28AE"/>
    <w:rsid w:val="00BF2F04"/>
    <w:rsid w:val="00C0662A"/>
    <w:rsid w:val="00C111F7"/>
    <w:rsid w:val="00C154F6"/>
    <w:rsid w:val="00C1653F"/>
    <w:rsid w:val="00C207AB"/>
    <w:rsid w:val="00C21036"/>
    <w:rsid w:val="00C2475B"/>
    <w:rsid w:val="00C25FE3"/>
    <w:rsid w:val="00C338EC"/>
    <w:rsid w:val="00C3731B"/>
    <w:rsid w:val="00C44B05"/>
    <w:rsid w:val="00C451F1"/>
    <w:rsid w:val="00C52494"/>
    <w:rsid w:val="00C55FB9"/>
    <w:rsid w:val="00C61924"/>
    <w:rsid w:val="00C74583"/>
    <w:rsid w:val="00C77A11"/>
    <w:rsid w:val="00C837B1"/>
    <w:rsid w:val="00C86AC2"/>
    <w:rsid w:val="00C91762"/>
    <w:rsid w:val="00C97932"/>
    <w:rsid w:val="00CA23A1"/>
    <w:rsid w:val="00CA3A25"/>
    <w:rsid w:val="00CA3FFA"/>
    <w:rsid w:val="00CA7EA4"/>
    <w:rsid w:val="00CB09FA"/>
    <w:rsid w:val="00CB0EE5"/>
    <w:rsid w:val="00CB3C74"/>
    <w:rsid w:val="00CB7B71"/>
    <w:rsid w:val="00CE2005"/>
    <w:rsid w:val="00CE5203"/>
    <w:rsid w:val="00CE6188"/>
    <w:rsid w:val="00CF01E4"/>
    <w:rsid w:val="00CF2DDB"/>
    <w:rsid w:val="00CF5BDC"/>
    <w:rsid w:val="00CF5BFC"/>
    <w:rsid w:val="00CF737C"/>
    <w:rsid w:val="00D02168"/>
    <w:rsid w:val="00D03B18"/>
    <w:rsid w:val="00D121EC"/>
    <w:rsid w:val="00D175E9"/>
    <w:rsid w:val="00D17BBA"/>
    <w:rsid w:val="00D22CE1"/>
    <w:rsid w:val="00D238CD"/>
    <w:rsid w:val="00D26D28"/>
    <w:rsid w:val="00D3032B"/>
    <w:rsid w:val="00D36D69"/>
    <w:rsid w:val="00D42C68"/>
    <w:rsid w:val="00D434C3"/>
    <w:rsid w:val="00D564B1"/>
    <w:rsid w:val="00D60652"/>
    <w:rsid w:val="00D64583"/>
    <w:rsid w:val="00D67EBF"/>
    <w:rsid w:val="00D722A3"/>
    <w:rsid w:val="00D744B6"/>
    <w:rsid w:val="00D80B20"/>
    <w:rsid w:val="00D874C6"/>
    <w:rsid w:val="00D91E04"/>
    <w:rsid w:val="00D92FB0"/>
    <w:rsid w:val="00D94FDC"/>
    <w:rsid w:val="00DA236D"/>
    <w:rsid w:val="00DB0B72"/>
    <w:rsid w:val="00DC1D76"/>
    <w:rsid w:val="00DE0625"/>
    <w:rsid w:val="00DE3821"/>
    <w:rsid w:val="00DE3D90"/>
    <w:rsid w:val="00DE521C"/>
    <w:rsid w:val="00DE5CFE"/>
    <w:rsid w:val="00DF3CBC"/>
    <w:rsid w:val="00DF5348"/>
    <w:rsid w:val="00E00069"/>
    <w:rsid w:val="00E005E6"/>
    <w:rsid w:val="00E07878"/>
    <w:rsid w:val="00E11110"/>
    <w:rsid w:val="00E11457"/>
    <w:rsid w:val="00E158EC"/>
    <w:rsid w:val="00E20AE9"/>
    <w:rsid w:val="00E22BB2"/>
    <w:rsid w:val="00E250EB"/>
    <w:rsid w:val="00E26F15"/>
    <w:rsid w:val="00E300CF"/>
    <w:rsid w:val="00E30105"/>
    <w:rsid w:val="00E316DA"/>
    <w:rsid w:val="00E51879"/>
    <w:rsid w:val="00E60D8F"/>
    <w:rsid w:val="00E63872"/>
    <w:rsid w:val="00E74D8B"/>
    <w:rsid w:val="00E76EB0"/>
    <w:rsid w:val="00E81F89"/>
    <w:rsid w:val="00E82843"/>
    <w:rsid w:val="00E82CCB"/>
    <w:rsid w:val="00E90A57"/>
    <w:rsid w:val="00E961D5"/>
    <w:rsid w:val="00EA1287"/>
    <w:rsid w:val="00EA527E"/>
    <w:rsid w:val="00EA5FA1"/>
    <w:rsid w:val="00EB050E"/>
    <w:rsid w:val="00EB077C"/>
    <w:rsid w:val="00EB1818"/>
    <w:rsid w:val="00EF0B31"/>
    <w:rsid w:val="00EF3EBE"/>
    <w:rsid w:val="00EF53DF"/>
    <w:rsid w:val="00F01528"/>
    <w:rsid w:val="00F0480D"/>
    <w:rsid w:val="00F054DD"/>
    <w:rsid w:val="00F064A5"/>
    <w:rsid w:val="00F06673"/>
    <w:rsid w:val="00F1055D"/>
    <w:rsid w:val="00F13243"/>
    <w:rsid w:val="00F177AA"/>
    <w:rsid w:val="00F24904"/>
    <w:rsid w:val="00F34E2D"/>
    <w:rsid w:val="00F40D44"/>
    <w:rsid w:val="00F420C0"/>
    <w:rsid w:val="00F43911"/>
    <w:rsid w:val="00F47011"/>
    <w:rsid w:val="00F50E37"/>
    <w:rsid w:val="00F50F65"/>
    <w:rsid w:val="00F65706"/>
    <w:rsid w:val="00F678BE"/>
    <w:rsid w:val="00F81DAE"/>
    <w:rsid w:val="00F90E6F"/>
    <w:rsid w:val="00F9296D"/>
    <w:rsid w:val="00F95E61"/>
    <w:rsid w:val="00FA728C"/>
    <w:rsid w:val="00FA79D0"/>
    <w:rsid w:val="00FB0C45"/>
    <w:rsid w:val="00FB1395"/>
    <w:rsid w:val="00FB4488"/>
    <w:rsid w:val="00FB4789"/>
    <w:rsid w:val="00FB5DDA"/>
    <w:rsid w:val="00FC42A1"/>
    <w:rsid w:val="00FD0B0A"/>
    <w:rsid w:val="00FD13B6"/>
    <w:rsid w:val="00FD2229"/>
    <w:rsid w:val="00FD4443"/>
    <w:rsid w:val="00FD6F89"/>
    <w:rsid w:val="00FE6B83"/>
    <w:rsid w:val="00FE779F"/>
    <w:rsid w:val="00FF2D35"/>
    <w:rsid w:val="00FF3321"/>
    <w:rsid w:val="00FF593A"/>
    <w:rsid w:val="00FF67C4"/>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3BF1908-61D0-4133-98EB-92357CA55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1B4F"/>
    <w:rPr>
      <w:rFonts w:eastAsia="Times New Roman"/>
      <w:sz w:val="24"/>
      <w:szCs w:val="24"/>
    </w:rPr>
  </w:style>
  <w:style w:type="paragraph" w:styleId="Heading3">
    <w:name w:val="heading 3"/>
    <w:basedOn w:val="Normal"/>
    <w:link w:val="Heading3Char"/>
    <w:uiPriority w:val="9"/>
    <w:qFormat/>
    <w:locked/>
    <w:rsid w:val="00D175E9"/>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F1B4F"/>
    <w:pPr>
      <w:tabs>
        <w:tab w:val="center" w:pos="4153"/>
        <w:tab w:val="right" w:pos="8306"/>
      </w:tabs>
    </w:pPr>
  </w:style>
  <w:style w:type="character" w:customStyle="1" w:styleId="HeaderChar">
    <w:name w:val="Header Char"/>
    <w:link w:val="Header"/>
    <w:uiPriority w:val="99"/>
    <w:locked/>
    <w:rsid w:val="004F1B4F"/>
    <w:rPr>
      <w:rFonts w:eastAsia="Times New Roman" w:cs="Times New Roman"/>
      <w:sz w:val="24"/>
      <w:szCs w:val="24"/>
      <w:lang w:eastAsia="lv-LV"/>
    </w:rPr>
  </w:style>
  <w:style w:type="character" w:styleId="PageNumber">
    <w:name w:val="page number"/>
    <w:uiPriority w:val="99"/>
    <w:rsid w:val="004F1B4F"/>
    <w:rPr>
      <w:rFonts w:cs="Times New Roman"/>
    </w:rPr>
  </w:style>
  <w:style w:type="paragraph" w:customStyle="1" w:styleId="naisf">
    <w:name w:val="naisf"/>
    <w:basedOn w:val="Normal"/>
    <w:rsid w:val="004F1B4F"/>
    <w:pPr>
      <w:spacing w:before="75" w:after="75"/>
      <w:ind w:firstLine="375"/>
      <w:jc w:val="both"/>
    </w:pPr>
  </w:style>
  <w:style w:type="paragraph" w:customStyle="1" w:styleId="naisnod">
    <w:name w:val="naisnod"/>
    <w:basedOn w:val="Normal"/>
    <w:rsid w:val="004F1B4F"/>
    <w:pPr>
      <w:spacing w:before="150" w:after="150"/>
      <w:jc w:val="center"/>
    </w:pPr>
    <w:rPr>
      <w:b/>
      <w:bCs/>
    </w:rPr>
  </w:style>
  <w:style w:type="paragraph" w:customStyle="1" w:styleId="naislab">
    <w:name w:val="naislab"/>
    <w:basedOn w:val="Normal"/>
    <w:uiPriority w:val="99"/>
    <w:rsid w:val="004F1B4F"/>
    <w:pPr>
      <w:spacing w:before="75" w:after="75"/>
      <w:jc w:val="right"/>
    </w:pPr>
  </w:style>
  <w:style w:type="paragraph" w:customStyle="1" w:styleId="naiskr">
    <w:name w:val="naiskr"/>
    <w:basedOn w:val="Normal"/>
    <w:rsid w:val="004F1B4F"/>
    <w:pPr>
      <w:spacing w:before="75" w:after="75"/>
    </w:pPr>
  </w:style>
  <w:style w:type="paragraph" w:customStyle="1" w:styleId="naisc">
    <w:name w:val="naisc"/>
    <w:basedOn w:val="Normal"/>
    <w:uiPriority w:val="99"/>
    <w:rsid w:val="004F1B4F"/>
    <w:pPr>
      <w:spacing w:before="75" w:after="75"/>
      <w:jc w:val="center"/>
    </w:pPr>
  </w:style>
  <w:style w:type="character" w:customStyle="1" w:styleId="apple-style-span">
    <w:name w:val="apple-style-span"/>
    <w:uiPriority w:val="99"/>
    <w:rsid w:val="004F1B4F"/>
    <w:rPr>
      <w:rFonts w:cs="Times New Roman"/>
    </w:rPr>
  </w:style>
  <w:style w:type="paragraph" w:styleId="NormalWeb">
    <w:name w:val="Normal (Web)"/>
    <w:basedOn w:val="Normal"/>
    <w:uiPriority w:val="99"/>
    <w:rsid w:val="004F1B4F"/>
    <w:pPr>
      <w:spacing w:before="100" w:beforeAutospacing="1" w:after="100" w:afterAutospacing="1"/>
    </w:pPr>
  </w:style>
  <w:style w:type="paragraph" w:styleId="BalloonText">
    <w:name w:val="Balloon Text"/>
    <w:basedOn w:val="Normal"/>
    <w:link w:val="BalloonTextChar"/>
    <w:uiPriority w:val="99"/>
    <w:semiHidden/>
    <w:rsid w:val="004F1B4F"/>
    <w:rPr>
      <w:rFonts w:ascii="Tahoma" w:hAnsi="Tahoma" w:cs="Tahoma"/>
      <w:sz w:val="16"/>
      <w:szCs w:val="16"/>
    </w:rPr>
  </w:style>
  <w:style w:type="character" w:customStyle="1" w:styleId="BalloonTextChar">
    <w:name w:val="Balloon Text Char"/>
    <w:link w:val="BalloonText"/>
    <w:uiPriority w:val="99"/>
    <w:semiHidden/>
    <w:locked/>
    <w:rsid w:val="004F1B4F"/>
    <w:rPr>
      <w:rFonts w:ascii="Tahoma" w:hAnsi="Tahoma" w:cs="Tahoma"/>
      <w:sz w:val="16"/>
      <w:szCs w:val="16"/>
      <w:lang w:eastAsia="lv-LV"/>
    </w:rPr>
  </w:style>
  <w:style w:type="paragraph" w:styleId="Footer">
    <w:name w:val="footer"/>
    <w:basedOn w:val="Normal"/>
    <w:link w:val="FooterChar"/>
    <w:uiPriority w:val="99"/>
    <w:rsid w:val="00994A1A"/>
    <w:pPr>
      <w:tabs>
        <w:tab w:val="center" w:pos="4153"/>
        <w:tab w:val="right" w:pos="8306"/>
      </w:tabs>
    </w:pPr>
  </w:style>
  <w:style w:type="character" w:customStyle="1" w:styleId="FooterChar">
    <w:name w:val="Footer Char"/>
    <w:link w:val="Footer"/>
    <w:uiPriority w:val="99"/>
    <w:locked/>
    <w:rsid w:val="00994A1A"/>
    <w:rPr>
      <w:rFonts w:eastAsia="Times New Roman" w:cs="Times New Roman"/>
      <w:sz w:val="24"/>
      <w:szCs w:val="24"/>
      <w:lang w:eastAsia="lv-LV"/>
    </w:rPr>
  </w:style>
  <w:style w:type="character" w:styleId="Hyperlink">
    <w:name w:val="Hyperlink"/>
    <w:uiPriority w:val="99"/>
    <w:rsid w:val="007756FB"/>
    <w:rPr>
      <w:rFonts w:cs="Times New Roman"/>
      <w:color w:val="0000FF"/>
      <w:u w:val="single"/>
    </w:rPr>
  </w:style>
  <w:style w:type="paragraph" w:styleId="ListParagraph">
    <w:name w:val="List Paragraph"/>
    <w:basedOn w:val="Normal"/>
    <w:uiPriority w:val="34"/>
    <w:qFormat/>
    <w:rsid w:val="007756FB"/>
    <w:pPr>
      <w:ind w:left="720"/>
      <w:contextualSpacing/>
    </w:pPr>
  </w:style>
  <w:style w:type="character" w:styleId="CommentReference">
    <w:name w:val="annotation reference"/>
    <w:uiPriority w:val="99"/>
    <w:semiHidden/>
    <w:rsid w:val="00075879"/>
    <w:rPr>
      <w:rFonts w:cs="Times New Roman"/>
      <w:sz w:val="16"/>
      <w:szCs w:val="16"/>
    </w:rPr>
  </w:style>
  <w:style w:type="paragraph" w:styleId="CommentText">
    <w:name w:val="annotation text"/>
    <w:basedOn w:val="Normal"/>
    <w:link w:val="CommentTextChar"/>
    <w:uiPriority w:val="99"/>
    <w:semiHidden/>
    <w:rsid w:val="00075879"/>
    <w:rPr>
      <w:sz w:val="20"/>
      <w:szCs w:val="20"/>
    </w:rPr>
  </w:style>
  <w:style w:type="character" w:customStyle="1" w:styleId="CommentTextChar">
    <w:name w:val="Comment Text Char"/>
    <w:link w:val="CommentText"/>
    <w:uiPriority w:val="99"/>
    <w:semiHidden/>
    <w:locked/>
    <w:rsid w:val="00075879"/>
    <w:rPr>
      <w:rFonts w:eastAsia="Times New Roman" w:cs="Times New Roman"/>
      <w:sz w:val="20"/>
      <w:szCs w:val="20"/>
      <w:lang w:eastAsia="lv-LV"/>
    </w:rPr>
  </w:style>
  <w:style w:type="table" w:styleId="TableGrid">
    <w:name w:val="Table Grid"/>
    <w:basedOn w:val="TableNormal"/>
    <w:uiPriority w:val="59"/>
    <w:locked/>
    <w:rsid w:val="00FD2229"/>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D175E9"/>
    <w:rPr>
      <w:rFonts w:eastAsia="Times New Roman"/>
      <w:b/>
      <w:bCs/>
      <w:sz w:val="27"/>
      <w:szCs w:val="27"/>
    </w:rPr>
  </w:style>
  <w:style w:type="paragraph" w:styleId="CommentSubject">
    <w:name w:val="annotation subject"/>
    <w:basedOn w:val="CommentText"/>
    <w:next w:val="CommentText"/>
    <w:link w:val="CommentSubjectChar"/>
    <w:uiPriority w:val="99"/>
    <w:semiHidden/>
    <w:unhideWhenUsed/>
    <w:rsid w:val="00272BC5"/>
    <w:rPr>
      <w:b/>
      <w:bCs/>
    </w:rPr>
  </w:style>
  <w:style w:type="character" w:customStyle="1" w:styleId="CommentSubjectChar">
    <w:name w:val="Comment Subject Char"/>
    <w:basedOn w:val="CommentTextChar"/>
    <w:link w:val="CommentSubject"/>
    <w:uiPriority w:val="99"/>
    <w:semiHidden/>
    <w:rsid w:val="00272BC5"/>
    <w:rPr>
      <w:rFonts w:eastAsia="Times New Roman" w:cs="Times New Roman"/>
      <w:b/>
      <w:bCs/>
      <w:sz w:val="20"/>
      <w:szCs w:val="20"/>
      <w:lang w:eastAsia="lv-LV"/>
    </w:rPr>
  </w:style>
  <w:style w:type="paragraph" w:styleId="NoSpacing">
    <w:name w:val="No Spacing"/>
    <w:uiPriority w:val="1"/>
    <w:qFormat/>
    <w:rsid w:val="002653DD"/>
    <w:rPr>
      <w:sz w:val="28"/>
      <w:szCs w:val="2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81793">
      <w:bodyDiv w:val="1"/>
      <w:marLeft w:val="0"/>
      <w:marRight w:val="0"/>
      <w:marTop w:val="0"/>
      <w:marBottom w:val="0"/>
      <w:divBdr>
        <w:top w:val="none" w:sz="0" w:space="0" w:color="auto"/>
        <w:left w:val="none" w:sz="0" w:space="0" w:color="auto"/>
        <w:bottom w:val="none" w:sz="0" w:space="0" w:color="auto"/>
        <w:right w:val="none" w:sz="0" w:space="0" w:color="auto"/>
      </w:divBdr>
    </w:div>
    <w:div w:id="79841413">
      <w:bodyDiv w:val="1"/>
      <w:marLeft w:val="0"/>
      <w:marRight w:val="0"/>
      <w:marTop w:val="0"/>
      <w:marBottom w:val="0"/>
      <w:divBdr>
        <w:top w:val="none" w:sz="0" w:space="0" w:color="auto"/>
        <w:left w:val="none" w:sz="0" w:space="0" w:color="auto"/>
        <w:bottom w:val="none" w:sz="0" w:space="0" w:color="auto"/>
        <w:right w:val="none" w:sz="0" w:space="0" w:color="auto"/>
      </w:divBdr>
    </w:div>
    <w:div w:id="81609527">
      <w:bodyDiv w:val="1"/>
      <w:marLeft w:val="0"/>
      <w:marRight w:val="0"/>
      <w:marTop w:val="0"/>
      <w:marBottom w:val="0"/>
      <w:divBdr>
        <w:top w:val="none" w:sz="0" w:space="0" w:color="auto"/>
        <w:left w:val="none" w:sz="0" w:space="0" w:color="auto"/>
        <w:bottom w:val="none" w:sz="0" w:space="0" w:color="auto"/>
        <w:right w:val="none" w:sz="0" w:space="0" w:color="auto"/>
      </w:divBdr>
    </w:div>
    <w:div w:id="197090195">
      <w:bodyDiv w:val="1"/>
      <w:marLeft w:val="0"/>
      <w:marRight w:val="0"/>
      <w:marTop w:val="0"/>
      <w:marBottom w:val="0"/>
      <w:divBdr>
        <w:top w:val="none" w:sz="0" w:space="0" w:color="auto"/>
        <w:left w:val="none" w:sz="0" w:space="0" w:color="auto"/>
        <w:bottom w:val="none" w:sz="0" w:space="0" w:color="auto"/>
        <w:right w:val="none" w:sz="0" w:space="0" w:color="auto"/>
      </w:divBdr>
    </w:div>
    <w:div w:id="233667846">
      <w:bodyDiv w:val="1"/>
      <w:marLeft w:val="0"/>
      <w:marRight w:val="0"/>
      <w:marTop w:val="0"/>
      <w:marBottom w:val="0"/>
      <w:divBdr>
        <w:top w:val="none" w:sz="0" w:space="0" w:color="auto"/>
        <w:left w:val="none" w:sz="0" w:space="0" w:color="auto"/>
        <w:bottom w:val="none" w:sz="0" w:space="0" w:color="auto"/>
        <w:right w:val="none" w:sz="0" w:space="0" w:color="auto"/>
      </w:divBdr>
    </w:div>
    <w:div w:id="547303581">
      <w:bodyDiv w:val="1"/>
      <w:marLeft w:val="0"/>
      <w:marRight w:val="0"/>
      <w:marTop w:val="0"/>
      <w:marBottom w:val="0"/>
      <w:divBdr>
        <w:top w:val="none" w:sz="0" w:space="0" w:color="auto"/>
        <w:left w:val="none" w:sz="0" w:space="0" w:color="auto"/>
        <w:bottom w:val="none" w:sz="0" w:space="0" w:color="auto"/>
        <w:right w:val="none" w:sz="0" w:space="0" w:color="auto"/>
      </w:divBdr>
    </w:div>
    <w:div w:id="659382531">
      <w:marLeft w:val="0"/>
      <w:marRight w:val="0"/>
      <w:marTop w:val="0"/>
      <w:marBottom w:val="0"/>
      <w:divBdr>
        <w:top w:val="none" w:sz="0" w:space="0" w:color="auto"/>
        <w:left w:val="none" w:sz="0" w:space="0" w:color="auto"/>
        <w:bottom w:val="none" w:sz="0" w:space="0" w:color="auto"/>
        <w:right w:val="none" w:sz="0" w:space="0" w:color="auto"/>
      </w:divBdr>
    </w:div>
    <w:div w:id="659382532">
      <w:marLeft w:val="0"/>
      <w:marRight w:val="0"/>
      <w:marTop w:val="0"/>
      <w:marBottom w:val="0"/>
      <w:divBdr>
        <w:top w:val="none" w:sz="0" w:space="0" w:color="auto"/>
        <w:left w:val="none" w:sz="0" w:space="0" w:color="auto"/>
        <w:bottom w:val="none" w:sz="0" w:space="0" w:color="auto"/>
        <w:right w:val="none" w:sz="0" w:space="0" w:color="auto"/>
      </w:divBdr>
    </w:div>
    <w:div w:id="659382533">
      <w:marLeft w:val="0"/>
      <w:marRight w:val="0"/>
      <w:marTop w:val="0"/>
      <w:marBottom w:val="0"/>
      <w:divBdr>
        <w:top w:val="none" w:sz="0" w:space="0" w:color="auto"/>
        <w:left w:val="none" w:sz="0" w:space="0" w:color="auto"/>
        <w:bottom w:val="none" w:sz="0" w:space="0" w:color="auto"/>
        <w:right w:val="none" w:sz="0" w:space="0" w:color="auto"/>
      </w:divBdr>
    </w:div>
    <w:div w:id="659382534">
      <w:marLeft w:val="0"/>
      <w:marRight w:val="0"/>
      <w:marTop w:val="0"/>
      <w:marBottom w:val="0"/>
      <w:divBdr>
        <w:top w:val="none" w:sz="0" w:space="0" w:color="auto"/>
        <w:left w:val="none" w:sz="0" w:space="0" w:color="auto"/>
        <w:bottom w:val="none" w:sz="0" w:space="0" w:color="auto"/>
        <w:right w:val="none" w:sz="0" w:space="0" w:color="auto"/>
      </w:divBdr>
    </w:div>
    <w:div w:id="659382535">
      <w:marLeft w:val="0"/>
      <w:marRight w:val="0"/>
      <w:marTop w:val="0"/>
      <w:marBottom w:val="0"/>
      <w:divBdr>
        <w:top w:val="none" w:sz="0" w:space="0" w:color="auto"/>
        <w:left w:val="none" w:sz="0" w:space="0" w:color="auto"/>
        <w:bottom w:val="none" w:sz="0" w:space="0" w:color="auto"/>
        <w:right w:val="none" w:sz="0" w:space="0" w:color="auto"/>
      </w:divBdr>
    </w:div>
    <w:div w:id="659382536">
      <w:marLeft w:val="0"/>
      <w:marRight w:val="0"/>
      <w:marTop w:val="0"/>
      <w:marBottom w:val="0"/>
      <w:divBdr>
        <w:top w:val="none" w:sz="0" w:space="0" w:color="auto"/>
        <w:left w:val="none" w:sz="0" w:space="0" w:color="auto"/>
        <w:bottom w:val="none" w:sz="0" w:space="0" w:color="auto"/>
        <w:right w:val="none" w:sz="0" w:space="0" w:color="auto"/>
      </w:divBdr>
    </w:div>
    <w:div w:id="659382537">
      <w:marLeft w:val="0"/>
      <w:marRight w:val="0"/>
      <w:marTop w:val="0"/>
      <w:marBottom w:val="0"/>
      <w:divBdr>
        <w:top w:val="none" w:sz="0" w:space="0" w:color="auto"/>
        <w:left w:val="none" w:sz="0" w:space="0" w:color="auto"/>
        <w:bottom w:val="none" w:sz="0" w:space="0" w:color="auto"/>
        <w:right w:val="none" w:sz="0" w:space="0" w:color="auto"/>
      </w:divBdr>
    </w:div>
    <w:div w:id="713577018">
      <w:bodyDiv w:val="1"/>
      <w:marLeft w:val="0"/>
      <w:marRight w:val="0"/>
      <w:marTop w:val="0"/>
      <w:marBottom w:val="0"/>
      <w:divBdr>
        <w:top w:val="none" w:sz="0" w:space="0" w:color="auto"/>
        <w:left w:val="none" w:sz="0" w:space="0" w:color="auto"/>
        <w:bottom w:val="none" w:sz="0" w:space="0" w:color="auto"/>
        <w:right w:val="none" w:sz="0" w:space="0" w:color="auto"/>
      </w:divBdr>
    </w:div>
    <w:div w:id="797141571">
      <w:bodyDiv w:val="1"/>
      <w:marLeft w:val="0"/>
      <w:marRight w:val="0"/>
      <w:marTop w:val="0"/>
      <w:marBottom w:val="0"/>
      <w:divBdr>
        <w:top w:val="none" w:sz="0" w:space="0" w:color="auto"/>
        <w:left w:val="none" w:sz="0" w:space="0" w:color="auto"/>
        <w:bottom w:val="none" w:sz="0" w:space="0" w:color="auto"/>
        <w:right w:val="none" w:sz="0" w:space="0" w:color="auto"/>
      </w:divBdr>
    </w:div>
    <w:div w:id="936793476">
      <w:bodyDiv w:val="1"/>
      <w:marLeft w:val="0"/>
      <w:marRight w:val="0"/>
      <w:marTop w:val="0"/>
      <w:marBottom w:val="0"/>
      <w:divBdr>
        <w:top w:val="none" w:sz="0" w:space="0" w:color="auto"/>
        <w:left w:val="none" w:sz="0" w:space="0" w:color="auto"/>
        <w:bottom w:val="none" w:sz="0" w:space="0" w:color="auto"/>
        <w:right w:val="none" w:sz="0" w:space="0" w:color="auto"/>
      </w:divBdr>
    </w:div>
    <w:div w:id="1130712732">
      <w:bodyDiv w:val="1"/>
      <w:marLeft w:val="0"/>
      <w:marRight w:val="0"/>
      <w:marTop w:val="0"/>
      <w:marBottom w:val="0"/>
      <w:divBdr>
        <w:top w:val="none" w:sz="0" w:space="0" w:color="auto"/>
        <w:left w:val="none" w:sz="0" w:space="0" w:color="auto"/>
        <w:bottom w:val="none" w:sz="0" w:space="0" w:color="auto"/>
        <w:right w:val="none" w:sz="0" w:space="0" w:color="auto"/>
      </w:divBdr>
    </w:div>
    <w:div w:id="1869250326">
      <w:bodyDiv w:val="1"/>
      <w:marLeft w:val="0"/>
      <w:marRight w:val="0"/>
      <w:marTop w:val="0"/>
      <w:marBottom w:val="0"/>
      <w:divBdr>
        <w:top w:val="none" w:sz="0" w:space="0" w:color="auto"/>
        <w:left w:val="none" w:sz="0" w:space="0" w:color="auto"/>
        <w:bottom w:val="none" w:sz="0" w:space="0" w:color="auto"/>
        <w:right w:val="none" w:sz="0" w:space="0" w:color="auto"/>
      </w:divBdr>
    </w:div>
    <w:div w:id="2002391965">
      <w:bodyDiv w:val="1"/>
      <w:marLeft w:val="0"/>
      <w:marRight w:val="0"/>
      <w:marTop w:val="0"/>
      <w:marBottom w:val="0"/>
      <w:divBdr>
        <w:top w:val="none" w:sz="0" w:space="0" w:color="auto"/>
        <w:left w:val="none" w:sz="0" w:space="0" w:color="auto"/>
        <w:bottom w:val="none" w:sz="0" w:space="0" w:color="auto"/>
        <w:right w:val="none" w:sz="0" w:space="0" w:color="auto"/>
      </w:divBdr>
    </w:div>
    <w:div w:id="2071422619">
      <w:bodyDiv w:val="1"/>
      <w:marLeft w:val="0"/>
      <w:marRight w:val="0"/>
      <w:marTop w:val="0"/>
      <w:marBottom w:val="0"/>
      <w:divBdr>
        <w:top w:val="none" w:sz="0" w:space="0" w:color="auto"/>
        <w:left w:val="none" w:sz="0" w:space="0" w:color="auto"/>
        <w:bottom w:val="none" w:sz="0" w:space="0" w:color="auto"/>
        <w:right w:val="none" w:sz="0" w:space="0" w:color="auto"/>
      </w:divBdr>
    </w:div>
    <w:div w:id="2128968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5688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ese.Berzina@vid.gov.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csb.gov.lv/statistikas-temas/darba-samaksa-galvenie-raditaji-30270.html" TargetMode="External"/><Relationship Id="rId4" Type="http://schemas.openxmlformats.org/officeDocument/2006/relationships/settings" Target="settings.xml"/><Relationship Id="rId9" Type="http://schemas.openxmlformats.org/officeDocument/2006/relationships/hyperlink" Target="http://likumi.lv/doc.php?id=5688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5B93E-B68C-47B2-AAA1-57C91D043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9648</Words>
  <Characters>5500</Characters>
  <Application>Microsoft Office Word</Application>
  <DocSecurity>0</DocSecurity>
  <Lines>45</Lines>
  <Paragraphs>30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projekta “Grozījumi Ministru kabineta 2012.gada 21.augusta noteikumos Nr.568 “Noteikumi par iedzīvotāju ienākuma nodokļa deklarācijām un to aizpildīšanas kārtību”” sākotnējās ietekmes novērtējuma ziņojums (anotācija)</vt:lpstr>
      <vt:lpstr>Ministru kabineta noteikumu projekta “Grozījumi Ministru kabineta 2012.gada 21.augusta noteikumos Nr.568 “Noteikumi par iedzīvotāju ienākuma nodokļa deklarācijām un to aizpildīšanas kārtību”” sākotnējās ietekmes novērtējuma ziņojums (anotācija)</vt:lpstr>
    </vt:vector>
  </TitlesOfParts>
  <Company>Valsts ieņēmumu dienests</Company>
  <LinksUpToDate>false</LinksUpToDate>
  <CharactersWithSpaces>15118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2012.gada 21.augusta noteikumos Nr.568 “Noteikumi par iedzīvotāju ienākuma nodokļa deklarācijām un to aizpildīšanas kārtību”” sākotnējās ietekmes novērtējuma ziņojums (anotācija)</dc:title>
  <dc:subject>anotācija</dc:subject>
  <dc:creator>Inese Bārziņa</dc:creator>
  <dc:description>Inese.Berzina@vid.gov.lv_x000d_
67121810</dc:description>
  <cp:lastModifiedBy>Liene Strēlniece</cp:lastModifiedBy>
  <cp:revision>6</cp:revision>
  <cp:lastPrinted>2014-07-14T05:02:00Z</cp:lastPrinted>
  <dcterms:created xsi:type="dcterms:W3CDTF">2014-07-17T09:52:00Z</dcterms:created>
  <dcterms:modified xsi:type="dcterms:W3CDTF">2014-07-23T08:18:00Z</dcterms:modified>
</cp:coreProperties>
</file>