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EA" w:rsidRPr="00D60914" w:rsidRDefault="00B81E25" w:rsidP="00A443A3">
      <w:pPr>
        <w:pStyle w:val="Heading2"/>
        <w:spacing w:before="0" w:after="0"/>
        <w:jc w:val="center"/>
        <w:rPr>
          <w:rFonts w:ascii="Times New Roman" w:hAnsi="Times New Roman"/>
          <w:bCs w:val="0"/>
          <w:i w:val="0"/>
          <w:lang w:eastAsia="lv-LV"/>
        </w:rPr>
      </w:pPr>
      <w:r w:rsidRPr="00D60914">
        <w:rPr>
          <w:rFonts w:ascii="Times New Roman" w:hAnsi="Times New Roman"/>
          <w:b w:val="0"/>
          <w:bCs w:val="0"/>
          <w:i w:val="0"/>
          <w:lang w:eastAsia="lv-LV"/>
        </w:rPr>
        <w:t>Ministru kabineta noteikumu projekta</w:t>
      </w:r>
      <w:r w:rsidRPr="00D60914">
        <w:rPr>
          <w:rFonts w:ascii="Times New Roman" w:hAnsi="Times New Roman"/>
          <w:bCs w:val="0"/>
          <w:i w:val="0"/>
          <w:lang w:eastAsia="lv-LV"/>
        </w:rPr>
        <w:t xml:space="preserve"> </w:t>
      </w:r>
    </w:p>
    <w:p w:rsidR="0013380F" w:rsidRPr="00D60914" w:rsidRDefault="00562FBE" w:rsidP="00A443A3">
      <w:pPr>
        <w:pStyle w:val="Heading2"/>
        <w:spacing w:before="0" w:after="0"/>
        <w:jc w:val="center"/>
        <w:rPr>
          <w:rFonts w:ascii="Times New Roman" w:hAnsi="Times New Roman"/>
          <w:i w:val="0"/>
        </w:rPr>
      </w:pPr>
      <w:r w:rsidRPr="00D60914">
        <w:rPr>
          <w:rFonts w:ascii="Times New Roman" w:hAnsi="Times New Roman"/>
          <w:bCs w:val="0"/>
          <w:i w:val="0"/>
          <w:lang w:eastAsia="lv-LV"/>
        </w:rPr>
        <w:t>„</w:t>
      </w:r>
      <w:bookmarkStart w:id="0" w:name="OLE_LINK1"/>
      <w:bookmarkStart w:id="1" w:name="OLE_LINK2"/>
      <w:r w:rsidR="002A5D47" w:rsidRPr="00D60914">
        <w:rPr>
          <w:rFonts w:ascii="Times New Roman" w:hAnsi="Times New Roman"/>
          <w:i w:val="0"/>
        </w:rPr>
        <w:t>Kārtība, kādā 2015.gadā piešķir valsts budžeta dotāciju novadu pašvaldībām, lai nodrošinātu vērtētos ieņēmumus pēc pašvaldību finanšu izlīdzināšanas, finanšu nepieciešamības neizlīdzināmās apakšējās robežas 99 procentu līmenī</w:t>
      </w:r>
      <w:r w:rsidR="00AA1FF4" w:rsidRPr="00D60914">
        <w:rPr>
          <w:rFonts w:ascii="Times New Roman" w:hAnsi="Times New Roman"/>
          <w:i w:val="0"/>
        </w:rPr>
        <w:t>”</w:t>
      </w:r>
    </w:p>
    <w:p w:rsidR="004B709E" w:rsidRPr="00D60914" w:rsidRDefault="00952345" w:rsidP="004B709E">
      <w:pPr>
        <w:pStyle w:val="Heading2"/>
        <w:spacing w:before="0" w:after="0"/>
        <w:jc w:val="center"/>
      </w:pPr>
      <w:r w:rsidRPr="00D60914">
        <w:rPr>
          <w:rFonts w:ascii="Times New Roman" w:hAnsi="Times New Roman"/>
          <w:b w:val="0"/>
          <w:i w:val="0"/>
        </w:rPr>
        <w:t>sākotnējās ietekmes novērtējuma ziņojums (anotācija)</w:t>
      </w:r>
    </w:p>
    <w:tbl>
      <w:tblPr>
        <w:tblpPr w:leftFromText="181" w:rightFromText="181" w:vertAnchor="text" w:horzAnchor="margin" w:tblpXSpec="center" w:tblpY="148"/>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290"/>
        <w:gridCol w:w="6521"/>
      </w:tblGrid>
      <w:tr w:rsidR="00AE2658" w:rsidRPr="00D60914" w:rsidTr="00AE2658">
        <w:tc>
          <w:tcPr>
            <w:tcW w:w="9361" w:type="dxa"/>
            <w:gridSpan w:val="3"/>
            <w:vAlign w:val="center"/>
          </w:tcPr>
          <w:p w:rsidR="006B5F57" w:rsidRPr="00D60914" w:rsidRDefault="006B5F57" w:rsidP="00B91A14">
            <w:pPr>
              <w:pStyle w:val="naisnod"/>
              <w:spacing w:before="60" w:after="60"/>
              <w:ind w:left="113" w:right="113"/>
              <w:rPr>
                <w:sz w:val="26"/>
                <w:szCs w:val="26"/>
              </w:rPr>
            </w:pPr>
            <w:r w:rsidRPr="00D60914">
              <w:rPr>
                <w:sz w:val="26"/>
                <w:szCs w:val="26"/>
              </w:rPr>
              <w:t>I. Tiesību akta projekta izstrādes nepieciešamība</w:t>
            </w:r>
          </w:p>
        </w:tc>
      </w:tr>
      <w:tr w:rsidR="00AE2658" w:rsidRPr="00D60914" w:rsidTr="00AE2658">
        <w:trPr>
          <w:trHeight w:val="630"/>
        </w:trPr>
        <w:tc>
          <w:tcPr>
            <w:tcW w:w="550" w:type="dxa"/>
          </w:tcPr>
          <w:p w:rsidR="006B5F57" w:rsidRPr="00D60914" w:rsidRDefault="006B5F57" w:rsidP="00B91A14">
            <w:pPr>
              <w:pStyle w:val="naiskr"/>
              <w:spacing w:before="60" w:beforeAutospacing="0" w:after="60" w:afterAutospacing="0"/>
              <w:ind w:left="113" w:right="113"/>
              <w:rPr>
                <w:sz w:val="26"/>
                <w:szCs w:val="26"/>
              </w:rPr>
            </w:pPr>
            <w:r w:rsidRPr="00D60914">
              <w:rPr>
                <w:sz w:val="26"/>
                <w:szCs w:val="26"/>
              </w:rPr>
              <w:t>1.</w:t>
            </w:r>
          </w:p>
        </w:tc>
        <w:tc>
          <w:tcPr>
            <w:tcW w:w="2290" w:type="dxa"/>
          </w:tcPr>
          <w:p w:rsidR="006B5F57" w:rsidRPr="00D60914" w:rsidRDefault="006B5F57" w:rsidP="00B91A14">
            <w:pPr>
              <w:pStyle w:val="naiskr"/>
              <w:spacing w:before="60" w:beforeAutospacing="0" w:after="60" w:afterAutospacing="0"/>
              <w:ind w:left="113" w:right="113"/>
              <w:rPr>
                <w:sz w:val="26"/>
                <w:szCs w:val="26"/>
                <w:lang w:val="lv-LV"/>
              </w:rPr>
            </w:pPr>
            <w:r w:rsidRPr="00D60914">
              <w:rPr>
                <w:sz w:val="26"/>
                <w:szCs w:val="26"/>
                <w:lang w:val="lv-LV"/>
              </w:rPr>
              <w:t>Pamatojums</w:t>
            </w:r>
          </w:p>
        </w:tc>
        <w:tc>
          <w:tcPr>
            <w:tcW w:w="6521" w:type="dxa"/>
            <w:vAlign w:val="center"/>
          </w:tcPr>
          <w:p w:rsidR="00BC6CE1" w:rsidRPr="00D60914" w:rsidRDefault="006B5F57" w:rsidP="00B91A14">
            <w:pPr>
              <w:pStyle w:val="naiskr"/>
              <w:spacing w:before="60" w:beforeAutospacing="0" w:after="60" w:afterAutospacing="0"/>
              <w:ind w:left="113" w:right="113"/>
              <w:jc w:val="both"/>
              <w:rPr>
                <w:sz w:val="26"/>
                <w:szCs w:val="26"/>
                <w:lang w:val="lv-LV"/>
              </w:rPr>
            </w:pPr>
            <w:r w:rsidRPr="00D60914">
              <w:rPr>
                <w:sz w:val="26"/>
                <w:szCs w:val="26"/>
                <w:lang w:val="lv-LV"/>
              </w:rPr>
              <w:t>Ministru kabineta noteikumu projekts „</w:t>
            </w:r>
            <w:r w:rsidR="00A81FD6" w:rsidRPr="00D60914">
              <w:rPr>
                <w:sz w:val="26"/>
                <w:szCs w:val="26"/>
                <w:lang w:val="lv-LV"/>
              </w:rPr>
              <w:t>Kārtība, kādā 201</w:t>
            </w:r>
            <w:r w:rsidR="00245777" w:rsidRPr="00D60914">
              <w:rPr>
                <w:sz w:val="26"/>
                <w:szCs w:val="26"/>
                <w:lang w:val="lv-LV"/>
              </w:rPr>
              <w:t>5</w:t>
            </w:r>
            <w:r w:rsidR="000A6F47" w:rsidRPr="00D60914">
              <w:rPr>
                <w:sz w:val="26"/>
                <w:szCs w:val="26"/>
                <w:lang w:val="lv-LV"/>
              </w:rPr>
              <w:t>.gadā piešķi</w:t>
            </w:r>
            <w:r w:rsidR="00B45605" w:rsidRPr="00D60914">
              <w:rPr>
                <w:sz w:val="26"/>
                <w:szCs w:val="26"/>
                <w:lang w:val="lv-LV"/>
              </w:rPr>
              <w:t>r valsts budžeta dotāciju novadu</w:t>
            </w:r>
            <w:r w:rsidR="000A6F47" w:rsidRPr="00D60914">
              <w:rPr>
                <w:sz w:val="26"/>
                <w:szCs w:val="26"/>
                <w:lang w:val="lv-LV"/>
              </w:rPr>
              <w:t xml:space="preserve"> pašvaldībām, lai nodrošinātu vērtētos ieņēmumus pēc pašvaldību finanšu izlīdzināšanas, finanšu nepieciešamības nei</w:t>
            </w:r>
            <w:r w:rsidR="00245777" w:rsidRPr="00D60914">
              <w:rPr>
                <w:sz w:val="26"/>
                <w:szCs w:val="26"/>
                <w:lang w:val="lv-LV"/>
              </w:rPr>
              <w:t>zlīdzināmās apakšējās robežas 99</w:t>
            </w:r>
            <w:r w:rsidR="000A6F47" w:rsidRPr="00D60914">
              <w:rPr>
                <w:sz w:val="26"/>
                <w:szCs w:val="26"/>
                <w:lang w:val="lv-LV"/>
              </w:rPr>
              <w:t xml:space="preserve"> procentu līmenī</w:t>
            </w:r>
            <w:r w:rsidR="00A55417" w:rsidRPr="00D60914">
              <w:rPr>
                <w:sz w:val="26"/>
                <w:szCs w:val="26"/>
                <w:lang w:val="lv-LV"/>
              </w:rPr>
              <w:t>”</w:t>
            </w:r>
            <w:r w:rsidRPr="00D60914">
              <w:rPr>
                <w:sz w:val="26"/>
                <w:szCs w:val="26"/>
                <w:lang w:val="lv-LV"/>
              </w:rPr>
              <w:t xml:space="preserve"> (turpmāk – noteikumu projekts) izstrādāts, pamatojoties uz likuma „Par valsts budžetu 201</w:t>
            </w:r>
            <w:r w:rsidR="00245777" w:rsidRPr="00D60914">
              <w:rPr>
                <w:sz w:val="26"/>
                <w:szCs w:val="26"/>
                <w:lang w:val="lv-LV"/>
              </w:rPr>
              <w:t>5</w:t>
            </w:r>
            <w:r w:rsidRPr="00D60914">
              <w:rPr>
                <w:sz w:val="26"/>
                <w:szCs w:val="26"/>
                <w:lang w:val="lv-LV"/>
              </w:rPr>
              <w:t xml:space="preserve">.gadam” 4.panta </w:t>
            </w:r>
            <w:r w:rsidR="00684209" w:rsidRPr="00D60914">
              <w:rPr>
                <w:sz w:val="26"/>
                <w:szCs w:val="26"/>
                <w:lang w:val="lv-LV"/>
              </w:rPr>
              <w:t>2.</w:t>
            </w:r>
            <w:r w:rsidR="00555B01" w:rsidRPr="00D60914">
              <w:rPr>
                <w:sz w:val="26"/>
                <w:szCs w:val="26"/>
                <w:lang w:val="lv-LV"/>
              </w:rPr>
              <w:t xml:space="preserve"> punktu</w:t>
            </w:r>
            <w:r w:rsidR="006579EA" w:rsidRPr="00D60914">
              <w:rPr>
                <w:sz w:val="26"/>
                <w:szCs w:val="26"/>
                <w:lang w:val="lv-LV"/>
              </w:rPr>
              <w:t>.</w:t>
            </w:r>
          </w:p>
        </w:tc>
      </w:tr>
      <w:tr w:rsidR="00AE2658" w:rsidRPr="00D60914" w:rsidTr="00AE2658">
        <w:trPr>
          <w:trHeight w:val="1618"/>
        </w:trPr>
        <w:tc>
          <w:tcPr>
            <w:tcW w:w="550" w:type="dxa"/>
          </w:tcPr>
          <w:p w:rsidR="006B5F57" w:rsidRPr="00D60914" w:rsidRDefault="006B5F57" w:rsidP="00B91A14">
            <w:pPr>
              <w:pStyle w:val="naiskr"/>
              <w:spacing w:before="60" w:beforeAutospacing="0" w:after="60" w:afterAutospacing="0"/>
              <w:ind w:left="113" w:right="113"/>
              <w:rPr>
                <w:sz w:val="26"/>
                <w:szCs w:val="26"/>
              </w:rPr>
            </w:pPr>
            <w:r w:rsidRPr="00D60914">
              <w:rPr>
                <w:sz w:val="26"/>
                <w:szCs w:val="26"/>
              </w:rPr>
              <w:t>2.</w:t>
            </w:r>
          </w:p>
        </w:tc>
        <w:tc>
          <w:tcPr>
            <w:tcW w:w="2290" w:type="dxa"/>
          </w:tcPr>
          <w:p w:rsidR="006B5F57" w:rsidRPr="00D60914" w:rsidRDefault="00F606FF" w:rsidP="00B91A14">
            <w:pPr>
              <w:pStyle w:val="naiskr"/>
              <w:tabs>
                <w:tab w:val="left" w:pos="170"/>
              </w:tabs>
              <w:spacing w:before="60" w:beforeAutospacing="0" w:after="60" w:afterAutospacing="0"/>
              <w:ind w:left="113" w:right="113"/>
              <w:rPr>
                <w:sz w:val="26"/>
                <w:szCs w:val="26"/>
                <w:lang w:val="lv-LV"/>
              </w:rPr>
            </w:pPr>
            <w:r w:rsidRPr="00D60914">
              <w:rPr>
                <w:sz w:val="26"/>
                <w:szCs w:val="26"/>
                <w:shd w:val="clear" w:color="auto" w:fill="FFFFFF"/>
                <w:lang w:val="lv-LV"/>
              </w:rPr>
              <w:t>Pašreizējā situācija un problēmas, kuru risināšanai tiesību akta projekts izstrādāts, tiesiskā regulējuma mērķis un būtība</w:t>
            </w:r>
          </w:p>
        </w:tc>
        <w:tc>
          <w:tcPr>
            <w:tcW w:w="6521" w:type="dxa"/>
          </w:tcPr>
          <w:p w:rsidR="00586123" w:rsidRPr="00D60914" w:rsidRDefault="006C1C9D" w:rsidP="00586123">
            <w:pPr>
              <w:spacing w:before="60" w:after="60"/>
              <w:ind w:left="113" w:right="113"/>
              <w:rPr>
                <w:sz w:val="26"/>
                <w:szCs w:val="26"/>
              </w:rPr>
            </w:pPr>
            <w:r w:rsidRPr="00D60914">
              <w:rPr>
                <w:sz w:val="26"/>
                <w:szCs w:val="26"/>
                <w:shd w:val="clear" w:color="auto" w:fill="FFFFFF"/>
              </w:rPr>
              <w:t>Ņemot vērā, ka spēkā esošais pašvaldību finanšu izlīdzināšanas mehānisms vairs nenodrošina sabalansētu resursu pieejamību visām pašvaldībām un Vides aizsardzības un reģionālās attīstības ministrija nav izpildījusi doto uzdevumu līdz 2013.gada 31.decembrim izstrādāt likumprojektu par pašvaldību finanšu izlīdzināšanu, s</w:t>
            </w:r>
            <w:r w:rsidRPr="00D60914">
              <w:rPr>
                <w:sz w:val="26"/>
                <w:szCs w:val="26"/>
              </w:rPr>
              <w:t xml:space="preserve">askaņā ar Ministru kabineta 2014.gada 18.marta sēdē (prot.17., 44.§, 10.punkts) nolemto </w:t>
            </w:r>
            <w:r w:rsidRPr="00D60914">
              <w:rPr>
                <w:sz w:val="26"/>
                <w:szCs w:val="26"/>
                <w:shd w:val="clear" w:color="auto" w:fill="FFFFFF"/>
              </w:rPr>
              <w:t>Finanšu ministrijai 2015.gada pašvaldību finanšu izlīdzināšanas aprēķinu veikšanā jāievēro likuma „Par valsts budžetu 2014.gadam” 4.pantā noteiktos nosacījumus.</w:t>
            </w:r>
          </w:p>
          <w:p w:rsidR="006C1C9D" w:rsidRPr="00D60914" w:rsidRDefault="006C1C9D" w:rsidP="00B91A14">
            <w:pPr>
              <w:spacing w:before="60" w:after="60"/>
              <w:ind w:left="113" w:right="113"/>
              <w:rPr>
                <w:sz w:val="26"/>
                <w:szCs w:val="26"/>
              </w:rPr>
            </w:pPr>
            <w:r w:rsidRPr="00D60914">
              <w:rPr>
                <w:sz w:val="26"/>
                <w:szCs w:val="26"/>
              </w:rPr>
              <w:t>Gatavojot Ministru kabineta un Latvijas Pašvaldību vienošanās un domstarpību protokola projektu</w:t>
            </w:r>
            <w:r w:rsidR="00210DAE" w:rsidRPr="00D60914">
              <w:rPr>
                <w:sz w:val="26"/>
                <w:szCs w:val="26"/>
              </w:rPr>
              <w:t>,</w:t>
            </w:r>
            <w:r w:rsidRPr="00D60914">
              <w:rPr>
                <w:sz w:val="26"/>
                <w:szCs w:val="26"/>
              </w:rPr>
              <w:t xml:space="preserve"> </w:t>
            </w:r>
            <w:r w:rsidR="00586123" w:rsidRPr="00D60914">
              <w:rPr>
                <w:sz w:val="26"/>
                <w:szCs w:val="26"/>
              </w:rPr>
              <w:t xml:space="preserve">ir panākta vienošanās ar Latvijas Pašvaldību </w:t>
            </w:r>
            <w:r w:rsidR="006670D7" w:rsidRPr="00D60914">
              <w:rPr>
                <w:sz w:val="26"/>
                <w:szCs w:val="26"/>
              </w:rPr>
              <w:t>s</w:t>
            </w:r>
            <w:r w:rsidR="00586123" w:rsidRPr="00D60914">
              <w:rPr>
                <w:sz w:val="26"/>
                <w:szCs w:val="26"/>
              </w:rPr>
              <w:t xml:space="preserve">avienību, ka </w:t>
            </w:r>
            <w:r w:rsidR="00586123" w:rsidRPr="00D60914">
              <w:rPr>
                <w:sz w:val="26"/>
                <w:szCs w:val="26"/>
                <w:lang w:eastAsia="lv-LV"/>
              </w:rPr>
              <w:t xml:space="preserve"> Finanšu ministrija, veicot pašvaldību finanšu izlīdzināšanas aprēķinu</w:t>
            </w:r>
            <w:r w:rsidR="00210DAE" w:rsidRPr="00D60914">
              <w:rPr>
                <w:sz w:val="26"/>
                <w:szCs w:val="26"/>
                <w:lang w:eastAsia="lv-LV"/>
              </w:rPr>
              <w:t>,</w:t>
            </w:r>
            <w:r w:rsidR="00586123" w:rsidRPr="00D60914">
              <w:rPr>
                <w:sz w:val="26"/>
                <w:szCs w:val="26"/>
                <w:lang w:eastAsia="lv-LV"/>
              </w:rPr>
              <w:t xml:space="preserve"> </w:t>
            </w:r>
            <w:r w:rsidR="00586123" w:rsidRPr="00D60914">
              <w:rPr>
                <w:sz w:val="26"/>
                <w:szCs w:val="26"/>
              </w:rPr>
              <w:t>sadala pašvaldību kopējo finanšu nepieciešamību republikas pilsētu pašvaldību grupai pēc koeficienta 0,48 un novadu pašvaldību grupai pēc koeficienta 0,52</w:t>
            </w:r>
            <w:r w:rsidR="00210DAE" w:rsidRPr="00D60914">
              <w:rPr>
                <w:sz w:val="26"/>
                <w:szCs w:val="26"/>
              </w:rPr>
              <w:t xml:space="preserve"> (likuma “Par pašvaldību finanšu izlīdzināšanu” spēkā esošā redakcija paredz, ka  pašvaldību kopējo finanšu nepieciešamību sadala republikas pilsētu pašvaldību grupai pēc koeficienta 0,47 un novadu pašvaldību grupai pēc koeficienta 0,53)</w:t>
            </w:r>
            <w:r w:rsidR="00586123" w:rsidRPr="00D60914">
              <w:rPr>
                <w:sz w:val="26"/>
                <w:szCs w:val="26"/>
              </w:rPr>
              <w:t>. Savukārt, lai novadu pašvaldībām kompensētu finanšu nepieciešamības koeficienta samazināšanos, Finanšu ministrijai</w:t>
            </w:r>
            <w:r w:rsidR="00210DAE" w:rsidRPr="00D60914">
              <w:rPr>
                <w:sz w:val="26"/>
                <w:szCs w:val="26"/>
              </w:rPr>
              <w:t>,</w:t>
            </w:r>
            <w:r w:rsidR="00586123" w:rsidRPr="00D60914">
              <w:rPr>
                <w:sz w:val="26"/>
                <w:szCs w:val="26"/>
              </w:rPr>
              <w:t xml:space="preserve"> aprēķinot papildu dotāciju novadu pašvaldībām pēc pašvaldību finanšu izlīdzināšanas, nepieciešams paredzēt novadu pašvaldību vērtēto ieņēmu nodrošināšanu pēc pašvaldību finanšu izlīdzināšanas  finanšu nepieciešamības neizlīdzināmās apakšējās robežas 99 procentu līmenī.</w:t>
            </w:r>
          </w:p>
          <w:p w:rsidR="001928A7" w:rsidRPr="00D60914" w:rsidRDefault="00210DAE" w:rsidP="00B91A14">
            <w:pPr>
              <w:spacing w:before="60" w:after="60"/>
              <w:ind w:left="113" w:right="113"/>
              <w:rPr>
                <w:sz w:val="26"/>
                <w:szCs w:val="26"/>
              </w:rPr>
            </w:pPr>
            <w:r w:rsidRPr="00D60914">
              <w:rPr>
                <w:sz w:val="26"/>
                <w:szCs w:val="26"/>
              </w:rPr>
              <w:lastRenderedPageBreak/>
              <w:t>Ņemot vērā iepriekšminēto un l</w:t>
            </w:r>
            <w:r w:rsidR="000A02AD" w:rsidRPr="00D60914">
              <w:rPr>
                <w:sz w:val="26"/>
                <w:szCs w:val="26"/>
              </w:rPr>
              <w:t>ai nodrošinātu  līdzsvarotu un reģionāli sabalansētu valsts budžeta līdzekļu piešķiršanu pašvaldībām, l</w:t>
            </w:r>
            <w:r w:rsidR="00DC1D91" w:rsidRPr="00D60914">
              <w:rPr>
                <w:sz w:val="26"/>
                <w:szCs w:val="26"/>
              </w:rPr>
              <w:t>ikuma „Par valsts budžetu 201</w:t>
            </w:r>
            <w:r w:rsidR="00245777" w:rsidRPr="00D60914">
              <w:rPr>
                <w:sz w:val="26"/>
                <w:szCs w:val="26"/>
              </w:rPr>
              <w:t>5</w:t>
            </w:r>
            <w:r w:rsidR="00E91356" w:rsidRPr="00D60914">
              <w:rPr>
                <w:sz w:val="26"/>
                <w:szCs w:val="26"/>
              </w:rPr>
              <w:t xml:space="preserve">.gadam” 4.panta </w:t>
            </w:r>
            <w:r w:rsidR="002C4438" w:rsidRPr="00D60914">
              <w:rPr>
                <w:sz w:val="26"/>
                <w:szCs w:val="26"/>
              </w:rPr>
              <w:t>2.</w:t>
            </w:r>
            <w:r w:rsidR="006C6A05" w:rsidRPr="00D60914">
              <w:rPr>
                <w:sz w:val="26"/>
                <w:szCs w:val="26"/>
              </w:rPr>
              <w:t>punktā</w:t>
            </w:r>
            <w:r w:rsidR="000A02AD" w:rsidRPr="00D60914">
              <w:rPr>
                <w:sz w:val="26"/>
                <w:szCs w:val="26"/>
              </w:rPr>
              <w:t xml:space="preserve"> ir</w:t>
            </w:r>
            <w:r w:rsidR="00E91356" w:rsidRPr="00D60914">
              <w:rPr>
                <w:sz w:val="26"/>
                <w:szCs w:val="26"/>
              </w:rPr>
              <w:t xml:space="preserve"> noteikta apropriācija </w:t>
            </w:r>
            <w:r w:rsidR="00586123" w:rsidRPr="00D60914">
              <w:rPr>
                <w:sz w:val="26"/>
                <w:szCs w:val="26"/>
              </w:rPr>
              <w:t xml:space="preserve">novadu pašvaldībām </w:t>
            </w:r>
            <w:r w:rsidR="00BF263A" w:rsidRPr="00D60914">
              <w:rPr>
                <w:sz w:val="26"/>
                <w:szCs w:val="26"/>
                <w:lang w:eastAsia="lv-LV"/>
              </w:rPr>
              <w:t>18</w:t>
            </w:r>
            <w:r w:rsidR="000A02AD" w:rsidRPr="00D60914">
              <w:rPr>
                <w:sz w:val="26"/>
                <w:szCs w:val="26"/>
                <w:lang w:eastAsia="lv-LV"/>
              </w:rPr>
              <w:t> </w:t>
            </w:r>
            <w:r w:rsidR="00BF263A" w:rsidRPr="00D60914">
              <w:rPr>
                <w:sz w:val="26"/>
                <w:szCs w:val="26"/>
                <w:lang w:eastAsia="lv-LV"/>
              </w:rPr>
              <w:t>266</w:t>
            </w:r>
            <w:r w:rsidR="000A02AD" w:rsidRPr="00D60914">
              <w:rPr>
                <w:sz w:val="26"/>
                <w:szCs w:val="26"/>
                <w:lang w:eastAsia="lv-LV"/>
              </w:rPr>
              <w:t> </w:t>
            </w:r>
            <w:r w:rsidR="00BF263A" w:rsidRPr="00D60914">
              <w:rPr>
                <w:sz w:val="26"/>
                <w:szCs w:val="26"/>
                <w:lang w:eastAsia="lv-LV"/>
              </w:rPr>
              <w:t>640</w:t>
            </w:r>
            <w:r w:rsidR="000A02AD" w:rsidRPr="00D60914">
              <w:rPr>
                <w:sz w:val="26"/>
                <w:szCs w:val="26"/>
                <w:lang w:eastAsia="lv-LV"/>
              </w:rPr>
              <w:t> </w:t>
            </w:r>
            <w:r w:rsidR="00DC1D91" w:rsidRPr="00D60914">
              <w:rPr>
                <w:sz w:val="26"/>
                <w:szCs w:val="26"/>
              </w:rPr>
              <w:t>euro</w:t>
            </w:r>
            <w:r w:rsidR="00E91356" w:rsidRPr="00D60914">
              <w:rPr>
                <w:sz w:val="26"/>
                <w:szCs w:val="26"/>
              </w:rPr>
              <w:t xml:space="preserve"> apmērā vērtēto ieņēmumu nodrošināšanai</w:t>
            </w:r>
            <w:r w:rsidR="00BB0902" w:rsidRPr="00D60914">
              <w:rPr>
                <w:sz w:val="26"/>
                <w:szCs w:val="26"/>
              </w:rPr>
              <w:t xml:space="preserve"> pēc pašvaldību finanšu izlīdzināšanas </w:t>
            </w:r>
            <w:r w:rsidR="009937FA" w:rsidRPr="00D60914">
              <w:rPr>
                <w:sz w:val="26"/>
                <w:szCs w:val="26"/>
              </w:rPr>
              <w:t>finanšu nepieciešamības neizlīdzi</w:t>
            </w:r>
            <w:r w:rsidR="00BB0902" w:rsidRPr="00D60914">
              <w:rPr>
                <w:sz w:val="26"/>
                <w:szCs w:val="26"/>
              </w:rPr>
              <w:t>nāmās ap</w:t>
            </w:r>
            <w:r w:rsidR="00CF1FD0" w:rsidRPr="00D60914">
              <w:rPr>
                <w:sz w:val="26"/>
                <w:szCs w:val="26"/>
              </w:rPr>
              <w:t xml:space="preserve">akšējās robežas </w:t>
            </w:r>
            <w:r w:rsidR="00BB0902" w:rsidRPr="00D60914">
              <w:rPr>
                <w:sz w:val="26"/>
                <w:szCs w:val="26"/>
              </w:rPr>
              <w:t>9</w:t>
            </w:r>
            <w:r w:rsidR="00BF263A" w:rsidRPr="00D60914">
              <w:rPr>
                <w:sz w:val="26"/>
                <w:szCs w:val="26"/>
              </w:rPr>
              <w:t>9</w:t>
            </w:r>
            <w:r w:rsidR="00CF1FD0" w:rsidRPr="00D60914">
              <w:rPr>
                <w:sz w:val="26"/>
                <w:szCs w:val="26"/>
              </w:rPr>
              <w:t xml:space="preserve"> </w:t>
            </w:r>
            <w:r w:rsidR="00BB0902" w:rsidRPr="00D60914">
              <w:rPr>
                <w:sz w:val="26"/>
                <w:szCs w:val="26"/>
              </w:rPr>
              <w:t>procentu līmenī</w:t>
            </w:r>
            <w:r w:rsidRPr="00D60914">
              <w:rPr>
                <w:sz w:val="26"/>
                <w:szCs w:val="26"/>
              </w:rPr>
              <w:t>.</w:t>
            </w:r>
            <w:r w:rsidR="000A02AD" w:rsidRPr="00D60914">
              <w:rPr>
                <w:sz w:val="26"/>
                <w:szCs w:val="26"/>
              </w:rPr>
              <w:t xml:space="preserve"> </w:t>
            </w:r>
            <w:r w:rsidRPr="00D60914">
              <w:rPr>
                <w:sz w:val="26"/>
                <w:szCs w:val="26"/>
              </w:rPr>
              <w:t>T</w:t>
            </w:r>
            <w:r w:rsidR="005B7573" w:rsidRPr="00D60914">
              <w:rPr>
                <w:sz w:val="26"/>
                <w:szCs w:val="26"/>
              </w:rPr>
              <w:t>ādējādi</w:t>
            </w:r>
            <w:r w:rsidRPr="00D60914">
              <w:rPr>
                <w:sz w:val="26"/>
                <w:szCs w:val="26"/>
              </w:rPr>
              <w:t xml:space="preserve"> tiek sniegts </w:t>
            </w:r>
            <w:r w:rsidR="00977216" w:rsidRPr="00D60914">
              <w:rPr>
                <w:sz w:val="26"/>
                <w:szCs w:val="26"/>
              </w:rPr>
              <w:t xml:space="preserve">valsts budžeta </w:t>
            </w:r>
            <w:r w:rsidR="00BB0902" w:rsidRPr="00D60914">
              <w:rPr>
                <w:sz w:val="26"/>
                <w:szCs w:val="26"/>
              </w:rPr>
              <w:t>atbalst</w:t>
            </w:r>
            <w:r w:rsidRPr="00D60914">
              <w:rPr>
                <w:sz w:val="26"/>
                <w:szCs w:val="26"/>
              </w:rPr>
              <w:t>s</w:t>
            </w:r>
            <w:r w:rsidR="00BB0902" w:rsidRPr="00D60914">
              <w:rPr>
                <w:sz w:val="26"/>
                <w:szCs w:val="26"/>
              </w:rPr>
              <w:t xml:space="preserve"> tām novadu pašvaldībām, kurām ir ierobežot</w:t>
            </w:r>
            <w:r w:rsidR="000A02AD" w:rsidRPr="00D60914">
              <w:rPr>
                <w:sz w:val="26"/>
                <w:szCs w:val="26"/>
              </w:rPr>
              <w:t>i</w:t>
            </w:r>
            <w:r w:rsidR="00BB0902" w:rsidRPr="00D60914">
              <w:rPr>
                <w:sz w:val="26"/>
                <w:szCs w:val="26"/>
              </w:rPr>
              <w:t xml:space="preserve"> finanšu resursi, kā arī pakāpeniski </w:t>
            </w:r>
            <w:r w:rsidR="00977216" w:rsidRPr="00D60914">
              <w:rPr>
                <w:sz w:val="26"/>
                <w:szCs w:val="26"/>
              </w:rPr>
              <w:t>mazin</w:t>
            </w:r>
            <w:r w:rsidRPr="00D60914">
              <w:rPr>
                <w:sz w:val="26"/>
                <w:szCs w:val="26"/>
              </w:rPr>
              <w:t>āta</w:t>
            </w:r>
            <w:r w:rsidR="00977216" w:rsidRPr="00D60914">
              <w:rPr>
                <w:sz w:val="26"/>
                <w:szCs w:val="26"/>
              </w:rPr>
              <w:t xml:space="preserve"> reģionāl</w:t>
            </w:r>
            <w:r w:rsidRPr="00D60914">
              <w:rPr>
                <w:sz w:val="26"/>
                <w:szCs w:val="26"/>
              </w:rPr>
              <w:t>ā</w:t>
            </w:r>
            <w:r w:rsidR="00977216" w:rsidRPr="00D60914">
              <w:rPr>
                <w:sz w:val="26"/>
                <w:szCs w:val="26"/>
              </w:rPr>
              <w:t xml:space="preserve"> nevienlīdzību</w:t>
            </w:r>
            <w:r w:rsidR="00BB0902" w:rsidRPr="00D60914">
              <w:rPr>
                <w:sz w:val="26"/>
                <w:szCs w:val="26"/>
              </w:rPr>
              <w:t xml:space="preserve"> finanšu resursu pieejamības ziņā</w:t>
            </w:r>
            <w:r w:rsidR="00CF1FD0" w:rsidRPr="00D60914">
              <w:rPr>
                <w:sz w:val="26"/>
                <w:szCs w:val="26"/>
              </w:rPr>
              <w:t>.</w:t>
            </w:r>
            <w:r w:rsidR="00BB0902" w:rsidRPr="00D60914">
              <w:rPr>
                <w:sz w:val="26"/>
                <w:szCs w:val="26"/>
              </w:rPr>
              <w:t xml:space="preserve"> </w:t>
            </w:r>
          </w:p>
          <w:p w:rsidR="00F606FF" w:rsidRPr="00D60914" w:rsidRDefault="00F606FF" w:rsidP="00B91A14">
            <w:pPr>
              <w:pStyle w:val="Heading2"/>
              <w:spacing w:before="60"/>
              <w:ind w:left="113" w:right="113"/>
              <w:rPr>
                <w:rFonts w:ascii="Times New Roman" w:hAnsi="Times New Roman"/>
                <w:b w:val="0"/>
                <w:i w:val="0"/>
                <w:sz w:val="26"/>
                <w:szCs w:val="26"/>
              </w:rPr>
            </w:pPr>
            <w:r w:rsidRPr="00D60914">
              <w:rPr>
                <w:rFonts w:ascii="Times New Roman" w:hAnsi="Times New Roman"/>
                <w:b w:val="0"/>
                <w:i w:val="0"/>
                <w:sz w:val="26"/>
                <w:szCs w:val="26"/>
              </w:rPr>
              <w:t>Valsts budžeta dotācija tiek piešķirta, pamatojoties uz Finanšu ministrijas veiktajiem aprēķiniem, par pamatu izmantojot pašvaldību finanšu izlīdzināšanas aprēķinus 201</w:t>
            </w:r>
            <w:r w:rsidR="00251CF8" w:rsidRPr="00D60914">
              <w:rPr>
                <w:rFonts w:ascii="Times New Roman" w:hAnsi="Times New Roman"/>
                <w:b w:val="0"/>
                <w:i w:val="0"/>
                <w:sz w:val="26"/>
                <w:szCs w:val="26"/>
              </w:rPr>
              <w:t>5</w:t>
            </w:r>
            <w:r w:rsidRPr="00D60914">
              <w:rPr>
                <w:rFonts w:ascii="Times New Roman" w:hAnsi="Times New Roman"/>
                <w:b w:val="0"/>
                <w:i w:val="0"/>
                <w:sz w:val="26"/>
                <w:szCs w:val="26"/>
              </w:rPr>
              <w:t>.gadam.</w:t>
            </w:r>
          </w:p>
          <w:p w:rsidR="00F606FF" w:rsidRPr="00D60914" w:rsidRDefault="00F606FF" w:rsidP="00251CF8">
            <w:pPr>
              <w:spacing w:before="60" w:after="60"/>
              <w:ind w:left="113" w:right="113"/>
              <w:rPr>
                <w:sz w:val="26"/>
                <w:szCs w:val="26"/>
              </w:rPr>
            </w:pPr>
            <w:r w:rsidRPr="00D60914">
              <w:rPr>
                <w:sz w:val="26"/>
                <w:szCs w:val="26"/>
              </w:rPr>
              <w:t>Valsts budžeta dotāciju saņem tās novadu pašvaldības, kuru vērtētie ieņēmumi pēc pašvaldību finanšu izlīdzināšanas ir zemāki par finanšu nepieciešamības neizlīdzināmo apakšējo robežu 9</w:t>
            </w:r>
            <w:r w:rsidR="00251CF8" w:rsidRPr="00D60914">
              <w:rPr>
                <w:sz w:val="26"/>
                <w:szCs w:val="26"/>
              </w:rPr>
              <w:t>9</w:t>
            </w:r>
            <w:r w:rsidRPr="00D60914">
              <w:rPr>
                <w:sz w:val="26"/>
                <w:szCs w:val="26"/>
              </w:rPr>
              <w:t xml:space="preserve"> procentiem. Valsts kase nodrošina finansējuma pārskaitīšanu uz attiecīgās pašvaldības kontu vienu reizi mēnesī </w:t>
            </w:r>
            <w:r w:rsidRPr="00D60914">
              <w:rPr>
                <w:sz w:val="26"/>
                <w:szCs w:val="26"/>
                <w:lang w:eastAsia="lv-LV"/>
              </w:rPr>
              <w:t>līdz attiecīgā mēneša 12.datumam 1/12 daļas apmērā no šo noteikumu pielikumā attiecīgajai pašvaldībai norādītā finansējuma apmēra.</w:t>
            </w:r>
          </w:p>
        </w:tc>
      </w:tr>
      <w:tr w:rsidR="00AE2658" w:rsidRPr="00D60914" w:rsidTr="00AE2658">
        <w:trPr>
          <w:trHeight w:val="476"/>
        </w:trPr>
        <w:tc>
          <w:tcPr>
            <w:tcW w:w="550" w:type="dxa"/>
          </w:tcPr>
          <w:p w:rsidR="006B5F57" w:rsidRPr="00D60914" w:rsidRDefault="00F606FF" w:rsidP="00B91A14">
            <w:pPr>
              <w:pStyle w:val="naiskr"/>
              <w:spacing w:before="60" w:beforeAutospacing="0" w:after="60" w:afterAutospacing="0"/>
              <w:ind w:left="113" w:right="113"/>
              <w:rPr>
                <w:sz w:val="26"/>
                <w:szCs w:val="26"/>
                <w:lang w:val="lv-LV"/>
              </w:rPr>
            </w:pPr>
            <w:r w:rsidRPr="00D60914">
              <w:rPr>
                <w:sz w:val="26"/>
                <w:szCs w:val="26"/>
                <w:lang w:val="lv-LV"/>
              </w:rPr>
              <w:lastRenderedPageBreak/>
              <w:t>3</w:t>
            </w:r>
            <w:r w:rsidR="006B5F57" w:rsidRPr="00D60914">
              <w:rPr>
                <w:sz w:val="26"/>
                <w:szCs w:val="26"/>
                <w:lang w:val="lv-LV"/>
              </w:rPr>
              <w:t>.</w:t>
            </w:r>
          </w:p>
        </w:tc>
        <w:tc>
          <w:tcPr>
            <w:tcW w:w="2290" w:type="dxa"/>
          </w:tcPr>
          <w:p w:rsidR="006B5F57" w:rsidRPr="00D60914" w:rsidRDefault="006B5F57" w:rsidP="00B91A14">
            <w:pPr>
              <w:pStyle w:val="naiskr"/>
              <w:spacing w:before="60" w:beforeAutospacing="0" w:after="60" w:afterAutospacing="0"/>
              <w:ind w:left="113" w:right="113"/>
              <w:rPr>
                <w:sz w:val="26"/>
                <w:szCs w:val="26"/>
                <w:lang w:val="lv-LV"/>
              </w:rPr>
            </w:pPr>
            <w:r w:rsidRPr="00D60914">
              <w:rPr>
                <w:sz w:val="26"/>
                <w:szCs w:val="26"/>
                <w:lang w:val="lv-LV"/>
              </w:rPr>
              <w:t>Projekta izstrādē iesaistītās institūcijas</w:t>
            </w:r>
          </w:p>
        </w:tc>
        <w:tc>
          <w:tcPr>
            <w:tcW w:w="6521" w:type="dxa"/>
          </w:tcPr>
          <w:p w:rsidR="006B5F57" w:rsidRPr="00D60914" w:rsidRDefault="009052BF" w:rsidP="00B91A14">
            <w:pPr>
              <w:pStyle w:val="naiskr"/>
              <w:spacing w:before="60" w:beforeAutospacing="0" w:after="60" w:afterAutospacing="0"/>
              <w:ind w:left="113" w:right="113"/>
              <w:rPr>
                <w:sz w:val="26"/>
                <w:szCs w:val="26"/>
                <w:lang w:val="lv-LV"/>
              </w:rPr>
            </w:pPr>
            <w:r w:rsidRPr="00D60914">
              <w:rPr>
                <w:iCs/>
                <w:sz w:val="26"/>
                <w:szCs w:val="26"/>
                <w:lang w:val="lv-LV"/>
              </w:rPr>
              <w:t>Projekts šo jomu neskar.</w:t>
            </w:r>
          </w:p>
        </w:tc>
      </w:tr>
      <w:tr w:rsidR="00AE2658" w:rsidRPr="00D60914" w:rsidTr="00AE2658">
        <w:tc>
          <w:tcPr>
            <w:tcW w:w="550" w:type="dxa"/>
          </w:tcPr>
          <w:p w:rsidR="006B5F57" w:rsidRPr="00D60914" w:rsidRDefault="00F606FF" w:rsidP="00B91A14">
            <w:pPr>
              <w:pStyle w:val="naiskr"/>
              <w:spacing w:before="60" w:beforeAutospacing="0" w:after="60" w:afterAutospacing="0"/>
              <w:ind w:left="113" w:right="113"/>
              <w:rPr>
                <w:sz w:val="26"/>
                <w:szCs w:val="26"/>
              </w:rPr>
            </w:pPr>
            <w:r w:rsidRPr="00D60914">
              <w:rPr>
                <w:sz w:val="26"/>
                <w:szCs w:val="26"/>
              </w:rPr>
              <w:t>4</w:t>
            </w:r>
            <w:r w:rsidR="006B5F57" w:rsidRPr="00D60914">
              <w:rPr>
                <w:sz w:val="26"/>
                <w:szCs w:val="26"/>
              </w:rPr>
              <w:t>.</w:t>
            </w:r>
          </w:p>
        </w:tc>
        <w:tc>
          <w:tcPr>
            <w:tcW w:w="2290" w:type="dxa"/>
          </w:tcPr>
          <w:p w:rsidR="006B5F57" w:rsidRPr="00D60914" w:rsidRDefault="006B5F57" w:rsidP="00B91A14">
            <w:pPr>
              <w:spacing w:before="60" w:after="60"/>
              <w:ind w:left="113" w:right="113"/>
              <w:rPr>
                <w:sz w:val="26"/>
                <w:szCs w:val="26"/>
              </w:rPr>
            </w:pPr>
            <w:r w:rsidRPr="00D60914">
              <w:rPr>
                <w:sz w:val="26"/>
                <w:szCs w:val="26"/>
              </w:rPr>
              <w:t>Cita informācija</w:t>
            </w:r>
          </w:p>
        </w:tc>
        <w:tc>
          <w:tcPr>
            <w:tcW w:w="6521" w:type="dxa"/>
          </w:tcPr>
          <w:p w:rsidR="006B5F57" w:rsidRPr="00D60914" w:rsidRDefault="006B5F57" w:rsidP="00B91A14">
            <w:pPr>
              <w:spacing w:before="60" w:after="60"/>
              <w:ind w:left="113" w:right="113"/>
              <w:rPr>
                <w:sz w:val="26"/>
                <w:szCs w:val="26"/>
              </w:rPr>
            </w:pPr>
            <w:r w:rsidRPr="00D60914">
              <w:rPr>
                <w:sz w:val="26"/>
                <w:szCs w:val="26"/>
              </w:rPr>
              <w:t>Nav</w:t>
            </w:r>
            <w:r w:rsidR="00D60914" w:rsidRPr="00D60914">
              <w:rPr>
                <w:sz w:val="26"/>
                <w:szCs w:val="26"/>
              </w:rPr>
              <w:t>.</w:t>
            </w:r>
          </w:p>
        </w:tc>
      </w:tr>
    </w:tbl>
    <w:p w:rsidR="006579EA" w:rsidRDefault="006579EA" w:rsidP="001928A7">
      <w:pPr>
        <w:pStyle w:val="naisf"/>
        <w:tabs>
          <w:tab w:val="left" w:pos="5760"/>
        </w:tabs>
        <w:spacing w:before="0" w:after="0"/>
        <w:ind w:firstLine="0"/>
        <w:jc w:val="left"/>
        <w:rPr>
          <w:i/>
          <w:sz w:val="28"/>
          <w:szCs w:val="28"/>
        </w:rPr>
      </w:pPr>
    </w:p>
    <w:tbl>
      <w:tblPr>
        <w:tblW w:w="5286"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57" w:type="dxa"/>
          <w:left w:w="113" w:type="dxa"/>
          <w:bottom w:w="57" w:type="dxa"/>
          <w:right w:w="113" w:type="dxa"/>
        </w:tblCellMar>
        <w:tblLook w:val="04A0" w:firstRow="1" w:lastRow="0" w:firstColumn="1" w:lastColumn="0" w:noHBand="0" w:noVBand="1"/>
      </w:tblPr>
      <w:tblGrid>
        <w:gridCol w:w="709"/>
        <w:gridCol w:w="2209"/>
        <w:gridCol w:w="6613"/>
      </w:tblGrid>
      <w:tr w:rsidR="00550BB3" w:rsidRPr="00D60914" w:rsidTr="008C679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0BB3" w:rsidRPr="00D60914" w:rsidRDefault="00550BB3" w:rsidP="008C679E">
            <w:pPr>
              <w:pStyle w:val="tvhtml"/>
              <w:spacing w:before="0" w:beforeAutospacing="0" w:after="0" w:afterAutospacing="0"/>
              <w:jc w:val="center"/>
              <w:rPr>
                <w:b/>
                <w:bCs/>
                <w:sz w:val="26"/>
                <w:szCs w:val="26"/>
              </w:rPr>
            </w:pPr>
            <w:r w:rsidRPr="00D60914">
              <w:rPr>
                <w:b/>
                <w:bCs/>
                <w:sz w:val="26"/>
                <w:szCs w:val="26"/>
              </w:rPr>
              <w:t>VI. Sabiedrības līdzdalība un komunikācijas aktivitātes</w:t>
            </w:r>
          </w:p>
        </w:tc>
      </w:tr>
      <w:tr w:rsidR="00550BB3" w:rsidRPr="00D60914" w:rsidTr="00D60914">
        <w:trPr>
          <w:trHeight w:val="212"/>
        </w:trPr>
        <w:tc>
          <w:tcPr>
            <w:tcW w:w="372"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rPr>
                <w:sz w:val="26"/>
                <w:szCs w:val="26"/>
              </w:rPr>
            </w:pPr>
            <w:r w:rsidRPr="00D60914">
              <w:rPr>
                <w:sz w:val="26"/>
                <w:szCs w:val="26"/>
              </w:rPr>
              <w:t>1.</w:t>
            </w:r>
          </w:p>
        </w:tc>
        <w:tc>
          <w:tcPr>
            <w:tcW w:w="115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jc w:val="left"/>
              <w:rPr>
                <w:sz w:val="26"/>
                <w:szCs w:val="26"/>
              </w:rPr>
            </w:pPr>
            <w:r w:rsidRPr="00D60914">
              <w:rPr>
                <w:sz w:val="26"/>
                <w:szCs w:val="26"/>
              </w:rPr>
              <w:t>Plānotās sabiedrības līdzdalības un komunikācijas aktivitātes saistībā ar projektu</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0E1F62" w:rsidRDefault="00F46BD7" w:rsidP="00F46BD7">
            <w:pPr>
              <w:rPr>
                <w:sz w:val="26"/>
                <w:szCs w:val="26"/>
              </w:rPr>
            </w:pPr>
            <w:r>
              <w:rPr>
                <w:sz w:val="26"/>
                <w:szCs w:val="26"/>
              </w:rPr>
              <w:t>Noteikumu p</w:t>
            </w:r>
            <w:r w:rsidR="008C679E" w:rsidRPr="000E1F62">
              <w:rPr>
                <w:sz w:val="26"/>
                <w:szCs w:val="26"/>
              </w:rPr>
              <w:t>rojekts tik</w:t>
            </w:r>
            <w:r w:rsidR="000E1F62" w:rsidRPr="000E1F62">
              <w:rPr>
                <w:sz w:val="26"/>
                <w:szCs w:val="26"/>
              </w:rPr>
              <w:t>a</w:t>
            </w:r>
            <w:r w:rsidR="008C679E" w:rsidRPr="000E1F62">
              <w:rPr>
                <w:sz w:val="26"/>
                <w:szCs w:val="26"/>
              </w:rPr>
              <w:t xml:space="preserve"> </w:t>
            </w:r>
            <w:r w:rsidR="000E1F62" w:rsidRPr="000E1F62">
              <w:rPr>
                <w:sz w:val="26"/>
                <w:szCs w:val="26"/>
              </w:rPr>
              <w:t xml:space="preserve">nosūtīts saskaņošanai Latvijas Pašvaldību savienībai. </w:t>
            </w:r>
          </w:p>
        </w:tc>
      </w:tr>
      <w:tr w:rsidR="00550BB3" w:rsidRPr="00D60914" w:rsidTr="00D60914">
        <w:trPr>
          <w:trHeight w:val="330"/>
        </w:trPr>
        <w:tc>
          <w:tcPr>
            <w:tcW w:w="372"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rPr>
                <w:sz w:val="26"/>
                <w:szCs w:val="26"/>
              </w:rPr>
            </w:pPr>
            <w:r w:rsidRPr="00D60914">
              <w:rPr>
                <w:sz w:val="26"/>
                <w:szCs w:val="26"/>
              </w:rPr>
              <w:t>2.</w:t>
            </w:r>
          </w:p>
        </w:tc>
        <w:tc>
          <w:tcPr>
            <w:tcW w:w="115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jc w:val="left"/>
              <w:rPr>
                <w:sz w:val="26"/>
                <w:szCs w:val="26"/>
              </w:rPr>
            </w:pPr>
            <w:r w:rsidRPr="00D60914">
              <w:rPr>
                <w:sz w:val="26"/>
                <w:szCs w:val="26"/>
              </w:rPr>
              <w:t>Sabiedrības līdzdalība projekta izstrādē</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8C679E" w:rsidP="00D60914">
            <w:pPr>
              <w:rPr>
                <w:sz w:val="26"/>
                <w:szCs w:val="26"/>
              </w:rPr>
            </w:pPr>
            <w:r w:rsidRPr="00D60914">
              <w:rPr>
                <w:sz w:val="26"/>
                <w:szCs w:val="26"/>
              </w:rPr>
              <w:t>Par Finanšu ministrijas priekšlikumiem pašvaldību finanšu izlīdzināšanai 2015.gadam</w:t>
            </w:r>
            <w:r w:rsidR="00D60914" w:rsidRPr="00D60914">
              <w:rPr>
                <w:sz w:val="26"/>
                <w:szCs w:val="26"/>
              </w:rPr>
              <w:t xml:space="preserve">, </w:t>
            </w:r>
            <w:r w:rsidR="00D60914">
              <w:rPr>
                <w:sz w:val="26"/>
                <w:szCs w:val="26"/>
              </w:rPr>
              <w:t>tai skaitā par</w:t>
            </w:r>
            <w:r w:rsidR="00D60914" w:rsidRPr="00D60914">
              <w:rPr>
                <w:sz w:val="26"/>
                <w:szCs w:val="26"/>
              </w:rPr>
              <w:t xml:space="preserve"> valsts budžeta dotācij</w:t>
            </w:r>
            <w:r w:rsidR="00D60914">
              <w:rPr>
                <w:sz w:val="26"/>
                <w:szCs w:val="26"/>
              </w:rPr>
              <w:t>ām</w:t>
            </w:r>
            <w:r w:rsidR="00D60914" w:rsidRPr="00D60914">
              <w:rPr>
                <w:sz w:val="26"/>
                <w:szCs w:val="26"/>
              </w:rPr>
              <w:t xml:space="preserve"> novadu pašvaldībām, lai nodrošinātu vērtētos ieņēmumus pēc pašvaldību finanšu izlīdzināšanas, finanšu nepieciešamības neizlīdzināmās apakšējās robežas 99</w:t>
            </w:r>
            <w:r w:rsidR="00D60914">
              <w:rPr>
                <w:sz w:val="26"/>
                <w:szCs w:val="26"/>
              </w:rPr>
              <w:t> </w:t>
            </w:r>
            <w:r w:rsidR="00D60914" w:rsidRPr="00D60914">
              <w:rPr>
                <w:sz w:val="26"/>
                <w:szCs w:val="26"/>
              </w:rPr>
              <w:t xml:space="preserve">procentu līmenī, </w:t>
            </w:r>
            <w:r w:rsidRPr="00D60914">
              <w:rPr>
                <w:sz w:val="26"/>
                <w:szCs w:val="26"/>
              </w:rPr>
              <w:t xml:space="preserve">Ministru kabinets un Latvijas Pašvaldību savienība ir panākusi vienošanos, kas iekļauta Ministru kabineta un Latvijas Pašvaldību savienības vienošanās un </w:t>
            </w:r>
            <w:r w:rsidRPr="00D60914">
              <w:rPr>
                <w:sz w:val="26"/>
                <w:szCs w:val="26"/>
              </w:rPr>
              <w:lastRenderedPageBreak/>
              <w:t>domstarpību protokolā, kas tika parakstīts 2014.gada 9.decembrī.</w:t>
            </w:r>
          </w:p>
        </w:tc>
      </w:tr>
      <w:tr w:rsidR="00550BB3" w:rsidRPr="00D60914" w:rsidTr="00D60914">
        <w:trPr>
          <w:trHeight w:val="465"/>
        </w:trPr>
        <w:tc>
          <w:tcPr>
            <w:tcW w:w="372"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rPr>
                <w:sz w:val="26"/>
                <w:szCs w:val="26"/>
              </w:rPr>
            </w:pPr>
            <w:r w:rsidRPr="00D60914">
              <w:rPr>
                <w:sz w:val="26"/>
                <w:szCs w:val="26"/>
              </w:rPr>
              <w:lastRenderedPageBreak/>
              <w:t>3.</w:t>
            </w:r>
          </w:p>
        </w:tc>
        <w:tc>
          <w:tcPr>
            <w:tcW w:w="115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jc w:val="left"/>
              <w:rPr>
                <w:sz w:val="26"/>
                <w:szCs w:val="26"/>
              </w:rPr>
            </w:pPr>
            <w:r w:rsidRPr="00D60914">
              <w:rPr>
                <w:sz w:val="26"/>
                <w:szCs w:val="26"/>
              </w:rPr>
              <w:t>Sabiedrības līdzdalības rezultāti</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F46BD7" w:rsidP="008C679E">
            <w:pPr>
              <w:rPr>
                <w:sz w:val="26"/>
                <w:szCs w:val="26"/>
              </w:rPr>
            </w:pPr>
            <w:r w:rsidRPr="000E1F62">
              <w:rPr>
                <w:sz w:val="26"/>
                <w:szCs w:val="26"/>
              </w:rPr>
              <w:t xml:space="preserve">Latvijas Pašvaldību savienība </w:t>
            </w:r>
            <w:r w:rsidRPr="000E1F62">
              <w:rPr>
                <w:iCs/>
                <w:sz w:val="26"/>
                <w:szCs w:val="26"/>
                <w:lang w:eastAsia="lv-LV"/>
              </w:rPr>
              <w:t>noteikumu projektu saskaņoja bez iebildumiem</w:t>
            </w:r>
            <w:r>
              <w:rPr>
                <w:iCs/>
                <w:sz w:val="26"/>
                <w:szCs w:val="26"/>
                <w:lang w:eastAsia="lv-LV"/>
              </w:rPr>
              <w:t>.</w:t>
            </w:r>
          </w:p>
        </w:tc>
      </w:tr>
      <w:tr w:rsidR="00550BB3" w:rsidRPr="00D60914" w:rsidTr="00D60914">
        <w:trPr>
          <w:trHeight w:val="465"/>
        </w:trPr>
        <w:tc>
          <w:tcPr>
            <w:tcW w:w="372"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rPr>
                <w:sz w:val="26"/>
                <w:szCs w:val="26"/>
              </w:rPr>
            </w:pPr>
            <w:r w:rsidRPr="00D60914">
              <w:rPr>
                <w:sz w:val="26"/>
                <w:szCs w:val="26"/>
              </w:rPr>
              <w:t>4.</w:t>
            </w:r>
          </w:p>
        </w:tc>
        <w:tc>
          <w:tcPr>
            <w:tcW w:w="115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550BB3" w:rsidP="008C679E">
            <w:pPr>
              <w:jc w:val="left"/>
              <w:rPr>
                <w:sz w:val="26"/>
                <w:szCs w:val="26"/>
              </w:rPr>
            </w:pPr>
            <w:r w:rsidRPr="00D60914">
              <w:rPr>
                <w:sz w:val="26"/>
                <w:szCs w:val="26"/>
              </w:rPr>
              <w:t>Cita informācija</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rsidR="00550BB3" w:rsidRPr="00D60914" w:rsidRDefault="00D60914" w:rsidP="008C679E">
            <w:pPr>
              <w:pStyle w:val="tvhtml"/>
              <w:spacing w:before="0" w:beforeAutospacing="0" w:after="0" w:afterAutospacing="0"/>
              <w:rPr>
                <w:sz w:val="26"/>
                <w:szCs w:val="26"/>
              </w:rPr>
            </w:pPr>
            <w:r w:rsidRPr="00D60914">
              <w:rPr>
                <w:sz w:val="26"/>
                <w:szCs w:val="26"/>
              </w:rPr>
              <w:t>Nav.</w:t>
            </w:r>
          </w:p>
        </w:tc>
      </w:tr>
    </w:tbl>
    <w:p w:rsidR="00550BB3" w:rsidRPr="006A747C" w:rsidRDefault="00550BB3" w:rsidP="001928A7">
      <w:pPr>
        <w:pStyle w:val="naisf"/>
        <w:tabs>
          <w:tab w:val="left" w:pos="5760"/>
        </w:tabs>
        <w:spacing w:before="0" w:after="0"/>
        <w:ind w:firstLine="0"/>
        <w:jc w:val="left"/>
        <w:rPr>
          <w:i/>
          <w:sz w:val="28"/>
          <w:szCs w:val="28"/>
        </w:rPr>
      </w:pPr>
    </w:p>
    <w:tbl>
      <w:tblPr>
        <w:tblpPr w:leftFromText="181" w:rightFromText="181" w:vertAnchor="text" w:horzAnchor="margin" w:tblpXSpec="center" w:tblpY="148"/>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290"/>
        <w:gridCol w:w="6663"/>
      </w:tblGrid>
      <w:tr w:rsidR="00AE2658" w:rsidRPr="00D60914" w:rsidTr="00550BB3">
        <w:tc>
          <w:tcPr>
            <w:tcW w:w="9503" w:type="dxa"/>
            <w:gridSpan w:val="3"/>
            <w:vAlign w:val="center"/>
          </w:tcPr>
          <w:p w:rsidR="006579EA" w:rsidRPr="00D60914" w:rsidRDefault="006579EA" w:rsidP="00550BB3">
            <w:pPr>
              <w:pStyle w:val="naisnod"/>
              <w:spacing w:before="60" w:after="60"/>
              <w:ind w:left="113" w:right="113"/>
              <w:rPr>
                <w:sz w:val="26"/>
                <w:szCs w:val="26"/>
              </w:rPr>
            </w:pPr>
            <w:r w:rsidRPr="00D60914">
              <w:rPr>
                <w:bCs w:val="0"/>
                <w:sz w:val="26"/>
                <w:szCs w:val="26"/>
              </w:rPr>
              <w:t> VII. Tiesību akta projekta izpildes nodrošināšana un tās ietekme uz institūcijām</w:t>
            </w:r>
          </w:p>
        </w:tc>
      </w:tr>
      <w:tr w:rsidR="00AE2658" w:rsidRPr="00D60914" w:rsidTr="00D60914">
        <w:trPr>
          <w:trHeight w:val="630"/>
        </w:trPr>
        <w:tc>
          <w:tcPr>
            <w:tcW w:w="550" w:type="dxa"/>
          </w:tcPr>
          <w:p w:rsidR="006579EA" w:rsidRPr="00D60914" w:rsidRDefault="006579EA" w:rsidP="00550BB3">
            <w:pPr>
              <w:pStyle w:val="naiskr"/>
              <w:spacing w:before="60" w:beforeAutospacing="0" w:after="60" w:afterAutospacing="0"/>
              <w:ind w:left="113" w:right="113"/>
              <w:rPr>
                <w:sz w:val="26"/>
                <w:szCs w:val="26"/>
              </w:rPr>
            </w:pPr>
            <w:r w:rsidRPr="00D60914">
              <w:rPr>
                <w:sz w:val="26"/>
                <w:szCs w:val="26"/>
              </w:rPr>
              <w:t>1.</w:t>
            </w:r>
          </w:p>
        </w:tc>
        <w:tc>
          <w:tcPr>
            <w:tcW w:w="2290" w:type="dxa"/>
          </w:tcPr>
          <w:p w:rsidR="006579EA" w:rsidRPr="00D60914" w:rsidRDefault="006579EA" w:rsidP="00550BB3">
            <w:pPr>
              <w:pStyle w:val="naiskr"/>
              <w:spacing w:before="60" w:beforeAutospacing="0" w:after="60" w:afterAutospacing="0"/>
              <w:ind w:left="113" w:right="113"/>
              <w:rPr>
                <w:sz w:val="26"/>
                <w:szCs w:val="26"/>
                <w:lang w:val="lv-LV"/>
              </w:rPr>
            </w:pPr>
            <w:r w:rsidRPr="00D60914">
              <w:rPr>
                <w:sz w:val="26"/>
                <w:szCs w:val="26"/>
                <w:lang w:val="lv-LV"/>
              </w:rPr>
              <w:t>Projekta izpildē iesaistītās institūcijas</w:t>
            </w:r>
          </w:p>
        </w:tc>
        <w:tc>
          <w:tcPr>
            <w:tcW w:w="6663" w:type="dxa"/>
          </w:tcPr>
          <w:p w:rsidR="001928A7" w:rsidRPr="00D60914" w:rsidRDefault="006579EA" w:rsidP="00D60914">
            <w:pPr>
              <w:pStyle w:val="naiskr"/>
              <w:spacing w:before="60" w:beforeAutospacing="0" w:after="60" w:afterAutospacing="0"/>
              <w:ind w:left="113" w:right="113"/>
              <w:jc w:val="both"/>
              <w:rPr>
                <w:sz w:val="26"/>
                <w:szCs w:val="26"/>
                <w:lang w:val="lv-LV"/>
              </w:rPr>
            </w:pPr>
            <w:r w:rsidRPr="00D60914">
              <w:rPr>
                <w:sz w:val="26"/>
                <w:szCs w:val="26"/>
                <w:lang w:val="lv-LV"/>
              </w:rPr>
              <w:t xml:space="preserve">Finanšu ministrija, Valsts kase un </w:t>
            </w:r>
            <w:r w:rsidR="007C0366" w:rsidRPr="00D60914">
              <w:rPr>
                <w:sz w:val="26"/>
                <w:szCs w:val="26"/>
                <w:lang w:val="lv-LV"/>
              </w:rPr>
              <w:t xml:space="preserve">novadu </w:t>
            </w:r>
            <w:r w:rsidRPr="00D60914">
              <w:rPr>
                <w:sz w:val="26"/>
                <w:szCs w:val="26"/>
                <w:lang w:val="lv-LV"/>
              </w:rPr>
              <w:t>pašvaldības, uz kurām attiecas noteikumu projekts.</w:t>
            </w:r>
          </w:p>
        </w:tc>
      </w:tr>
      <w:tr w:rsidR="00AE2658" w:rsidRPr="00D60914" w:rsidTr="00D60914">
        <w:trPr>
          <w:trHeight w:val="842"/>
        </w:trPr>
        <w:tc>
          <w:tcPr>
            <w:tcW w:w="550" w:type="dxa"/>
          </w:tcPr>
          <w:p w:rsidR="006579EA" w:rsidRPr="00D60914" w:rsidRDefault="007304C8" w:rsidP="00550BB3">
            <w:pPr>
              <w:pStyle w:val="naiskr"/>
              <w:spacing w:before="60" w:beforeAutospacing="0" w:after="60" w:afterAutospacing="0"/>
              <w:ind w:left="113" w:right="113"/>
              <w:rPr>
                <w:sz w:val="26"/>
                <w:szCs w:val="26"/>
              </w:rPr>
            </w:pPr>
            <w:r w:rsidRPr="00D60914">
              <w:rPr>
                <w:sz w:val="26"/>
                <w:szCs w:val="26"/>
              </w:rPr>
              <w:t>2</w:t>
            </w:r>
            <w:r w:rsidR="006579EA" w:rsidRPr="00D60914">
              <w:rPr>
                <w:sz w:val="26"/>
                <w:szCs w:val="26"/>
              </w:rPr>
              <w:t>.</w:t>
            </w:r>
          </w:p>
        </w:tc>
        <w:tc>
          <w:tcPr>
            <w:tcW w:w="2290" w:type="dxa"/>
          </w:tcPr>
          <w:p w:rsidR="007304C8" w:rsidRPr="00D60914" w:rsidRDefault="007304C8" w:rsidP="00550BB3">
            <w:pPr>
              <w:spacing w:before="60" w:after="60"/>
              <w:ind w:left="113" w:right="113"/>
              <w:jc w:val="left"/>
              <w:rPr>
                <w:sz w:val="26"/>
                <w:szCs w:val="26"/>
                <w:shd w:val="clear" w:color="auto" w:fill="FFFFFF"/>
                <w:lang w:eastAsia="lv-LV"/>
              </w:rPr>
            </w:pPr>
            <w:r w:rsidRPr="00D60914">
              <w:rPr>
                <w:sz w:val="26"/>
                <w:szCs w:val="26"/>
                <w:shd w:val="clear" w:color="auto" w:fill="FFFFFF"/>
                <w:lang w:eastAsia="lv-LV"/>
              </w:rPr>
              <w:t>Projekta izpildes ietekme uz pārvaldes funkcijām un institucionālo struktūru.</w:t>
            </w:r>
          </w:p>
          <w:p w:rsidR="00BC6CE1" w:rsidRPr="00D60914" w:rsidRDefault="007304C8" w:rsidP="00550BB3">
            <w:pPr>
              <w:shd w:val="clear" w:color="auto" w:fill="FFFFFF"/>
              <w:spacing w:after="60"/>
              <w:ind w:left="113" w:right="113"/>
              <w:jc w:val="left"/>
              <w:rPr>
                <w:rFonts w:ascii="Arial" w:hAnsi="Arial" w:cs="Arial"/>
                <w:sz w:val="26"/>
                <w:szCs w:val="26"/>
                <w:lang w:eastAsia="lv-LV"/>
              </w:rPr>
            </w:pPr>
            <w:r w:rsidRPr="00D60914">
              <w:rPr>
                <w:sz w:val="26"/>
                <w:szCs w:val="26"/>
                <w:lang w:eastAsia="lv-LV"/>
              </w:rPr>
              <w:t>Jaunu institūciju izveide, esošu institūciju likvidācija vai reorganizācija, to ietekme uz institūcijas cilvēkresursiem</w:t>
            </w:r>
          </w:p>
        </w:tc>
        <w:tc>
          <w:tcPr>
            <w:tcW w:w="6663" w:type="dxa"/>
          </w:tcPr>
          <w:p w:rsidR="007304C8" w:rsidRPr="00D60914" w:rsidRDefault="007304C8" w:rsidP="00550BB3">
            <w:pPr>
              <w:pStyle w:val="FootnoteText"/>
              <w:spacing w:before="60" w:after="60"/>
              <w:ind w:left="113" w:right="113"/>
              <w:jc w:val="both"/>
              <w:rPr>
                <w:sz w:val="26"/>
                <w:szCs w:val="26"/>
              </w:rPr>
            </w:pPr>
            <w:r w:rsidRPr="00D60914">
              <w:rPr>
                <w:sz w:val="26"/>
                <w:szCs w:val="26"/>
              </w:rPr>
              <w:t>Iesaistītās institūcijas noteikumu projekta izpildi nodrošina to esošo funkciju un uzdevumus ietvaros.</w:t>
            </w:r>
          </w:p>
          <w:p w:rsidR="007304C8" w:rsidRPr="00D60914" w:rsidRDefault="007304C8" w:rsidP="00550BB3">
            <w:pPr>
              <w:pStyle w:val="FootnoteText"/>
              <w:spacing w:before="60" w:after="60"/>
              <w:ind w:left="113" w:right="113"/>
              <w:jc w:val="both"/>
              <w:rPr>
                <w:sz w:val="26"/>
                <w:szCs w:val="26"/>
              </w:rPr>
            </w:pPr>
            <w:r w:rsidRPr="00D60914">
              <w:rPr>
                <w:sz w:val="26"/>
                <w:szCs w:val="26"/>
              </w:rPr>
              <w:t>Noteikumu projekta izpildei nav nepieciešams radīt jaunas vai likvidēt esošās institūcijas</w:t>
            </w:r>
            <w:r w:rsidR="00245777" w:rsidRPr="00D60914">
              <w:rPr>
                <w:sz w:val="26"/>
                <w:szCs w:val="26"/>
              </w:rPr>
              <w:t xml:space="preserve">, kā arī </w:t>
            </w:r>
            <w:r w:rsidRPr="00D60914">
              <w:rPr>
                <w:sz w:val="26"/>
                <w:szCs w:val="26"/>
              </w:rPr>
              <w:t>nav nepieciešams reorganizēt esošās institūcijas.</w:t>
            </w:r>
          </w:p>
        </w:tc>
      </w:tr>
      <w:tr w:rsidR="00AE2658" w:rsidRPr="00D60914" w:rsidTr="00D60914">
        <w:trPr>
          <w:trHeight w:val="426"/>
        </w:trPr>
        <w:tc>
          <w:tcPr>
            <w:tcW w:w="550" w:type="dxa"/>
          </w:tcPr>
          <w:p w:rsidR="006579EA" w:rsidRPr="00D60914" w:rsidRDefault="007304C8" w:rsidP="00550BB3">
            <w:pPr>
              <w:pStyle w:val="naiskr"/>
              <w:spacing w:before="60" w:beforeAutospacing="0" w:after="60" w:afterAutospacing="0"/>
              <w:ind w:left="113" w:right="113"/>
              <w:rPr>
                <w:sz w:val="26"/>
                <w:szCs w:val="26"/>
              </w:rPr>
            </w:pPr>
            <w:r w:rsidRPr="00D60914">
              <w:rPr>
                <w:sz w:val="26"/>
                <w:szCs w:val="26"/>
              </w:rPr>
              <w:t>3</w:t>
            </w:r>
            <w:r w:rsidR="006579EA" w:rsidRPr="00D60914">
              <w:rPr>
                <w:sz w:val="26"/>
                <w:szCs w:val="26"/>
              </w:rPr>
              <w:t>.</w:t>
            </w:r>
          </w:p>
        </w:tc>
        <w:tc>
          <w:tcPr>
            <w:tcW w:w="2290" w:type="dxa"/>
          </w:tcPr>
          <w:p w:rsidR="006579EA" w:rsidRPr="00D60914" w:rsidRDefault="006579EA" w:rsidP="00550BB3">
            <w:pPr>
              <w:spacing w:before="60" w:after="60"/>
              <w:ind w:left="113" w:right="113"/>
              <w:rPr>
                <w:sz w:val="26"/>
                <w:szCs w:val="26"/>
              </w:rPr>
            </w:pPr>
            <w:r w:rsidRPr="00D60914">
              <w:rPr>
                <w:sz w:val="26"/>
                <w:szCs w:val="26"/>
              </w:rPr>
              <w:t>Cita informācija</w:t>
            </w:r>
          </w:p>
        </w:tc>
        <w:tc>
          <w:tcPr>
            <w:tcW w:w="6663" w:type="dxa"/>
          </w:tcPr>
          <w:p w:rsidR="006579EA" w:rsidRPr="00D60914" w:rsidRDefault="006579EA" w:rsidP="00550BB3">
            <w:pPr>
              <w:spacing w:before="60" w:after="60"/>
              <w:ind w:left="113" w:right="113"/>
              <w:rPr>
                <w:sz w:val="26"/>
                <w:szCs w:val="26"/>
              </w:rPr>
            </w:pPr>
            <w:r w:rsidRPr="00D60914">
              <w:rPr>
                <w:sz w:val="26"/>
                <w:szCs w:val="26"/>
              </w:rPr>
              <w:t> Nav</w:t>
            </w:r>
            <w:r w:rsidR="00D60914" w:rsidRPr="00D60914">
              <w:rPr>
                <w:sz w:val="26"/>
                <w:szCs w:val="26"/>
              </w:rPr>
              <w:t>.</w:t>
            </w:r>
          </w:p>
        </w:tc>
      </w:tr>
      <w:bookmarkEnd w:id="0"/>
      <w:bookmarkEnd w:id="1"/>
    </w:tbl>
    <w:p w:rsidR="009938F6" w:rsidRPr="006A747C" w:rsidRDefault="009938F6" w:rsidP="00235EF4">
      <w:pPr>
        <w:rPr>
          <w:sz w:val="28"/>
          <w:szCs w:val="28"/>
        </w:rPr>
      </w:pPr>
    </w:p>
    <w:p w:rsidR="007D6BF8" w:rsidRPr="006A747C" w:rsidRDefault="007D6BF8" w:rsidP="007D6BF8">
      <w:pPr>
        <w:pStyle w:val="naisf"/>
        <w:tabs>
          <w:tab w:val="left" w:pos="5760"/>
        </w:tabs>
        <w:spacing w:before="0" w:after="0"/>
        <w:ind w:firstLine="0"/>
        <w:jc w:val="left"/>
        <w:rPr>
          <w:i/>
          <w:sz w:val="28"/>
          <w:szCs w:val="28"/>
        </w:rPr>
      </w:pPr>
      <w:r w:rsidRPr="006A747C">
        <w:rPr>
          <w:i/>
          <w:sz w:val="28"/>
          <w:szCs w:val="28"/>
        </w:rPr>
        <w:t>Anotācijas II, III, IV</w:t>
      </w:r>
      <w:r w:rsidR="00550BB3">
        <w:rPr>
          <w:i/>
          <w:sz w:val="28"/>
          <w:szCs w:val="28"/>
        </w:rPr>
        <w:t xml:space="preserve"> un</w:t>
      </w:r>
      <w:r w:rsidRPr="006A747C">
        <w:rPr>
          <w:i/>
          <w:sz w:val="28"/>
          <w:szCs w:val="28"/>
        </w:rPr>
        <w:t xml:space="preserve"> V sadaļa – </w:t>
      </w:r>
      <w:r w:rsidR="00245777" w:rsidRPr="006A747C">
        <w:rPr>
          <w:i/>
          <w:sz w:val="28"/>
          <w:szCs w:val="28"/>
        </w:rPr>
        <w:t>projekts šīs jomas neskar</w:t>
      </w:r>
      <w:r w:rsidRPr="006A747C">
        <w:rPr>
          <w:i/>
          <w:sz w:val="28"/>
          <w:szCs w:val="28"/>
        </w:rPr>
        <w:t>.</w:t>
      </w:r>
    </w:p>
    <w:p w:rsidR="001928A7" w:rsidRPr="006A747C" w:rsidRDefault="001928A7" w:rsidP="003C40B9">
      <w:pPr>
        <w:rPr>
          <w:sz w:val="28"/>
          <w:szCs w:val="28"/>
        </w:rPr>
      </w:pPr>
    </w:p>
    <w:p w:rsidR="001928A7" w:rsidRPr="006A747C" w:rsidRDefault="001928A7" w:rsidP="003C40B9">
      <w:pPr>
        <w:rPr>
          <w:sz w:val="28"/>
          <w:szCs w:val="28"/>
        </w:rPr>
      </w:pPr>
    </w:p>
    <w:p w:rsidR="003C40B9" w:rsidRPr="006A747C" w:rsidRDefault="00687C53" w:rsidP="003C40B9">
      <w:pPr>
        <w:rPr>
          <w:sz w:val="28"/>
          <w:szCs w:val="28"/>
        </w:rPr>
      </w:pPr>
      <w:r w:rsidRPr="006A747C">
        <w:rPr>
          <w:sz w:val="28"/>
          <w:szCs w:val="28"/>
        </w:rPr>
        <w:t>Finanšu ministr</w:t>
      </w:r>
      <w:r w:rsidR="003C40B9" w:rsidRPr="006A747C">
        <w:rPr>
          <w:sz w:val="28"/>
          <w:szCs w:val="28"/>
        </w:rPr>
        <w:t xml:space="preserve">s                                                                             </w:t>
      </w:r>
      <w:r w:rsidR="009938F6" w:rsidRPr="006A747C">
        <w:rPr>
          <w:sz w:val="28"/>
          <w:szCs w:val="28"/>
        </w:rPr>
        <w:t xml:space="preserve">   </w:t>
      </w:r>
      <w:r w:rsidR="00352A9B" w:rsidRPr="006A747C">
        <w:rPr>
          <w:sz w:val="28"/>
          <w:szCs w:val="28"/>
        </w:rPr>
        <w:t>J</w:t>
      </w:r>
      <w:r w:rsidR="003C40B9" w:rsidRPr="006A747C">
        <w:rPr>
          <w:sz w:val="28"/>
          <w:szCs w:val="28"/>
        </w:rPr>
        <w:t>.</w:t>
      </w:r>
      <w:r w:rsidR="00352A9B" w:rsidRPr="006A747C">
        <w:rPr>
          <w:sz w:val="28"/>
          <w:szCs w:val="28"/>
        </w:rPr>
        <w:t>Reirs</w:t>
      </w:r>
    </w:p>
    <w:p w:rsidR="001928A7" w:rsidRPr="001928A7" w:rsidRDefault="00A34A44" w:rsidP="00C02E3D">
      <w:pPr>
        <w:rPr>
          <w:sz w:val="26"/>
          <w:szCs w:val="26"/>
        </w:rPr>
      </w:pPr>
      <w:r w:rsidRPr="001928A7">
        <w:rPr>
          <w:sz w:val="26"/>
          <w:szCs w:val="26"/>
        </w:rPr>
        <w:tab/>
      </w:r>
    </w:p>
    <w:p w:rsidR="009938F6" w:rsidRDefault="009938F6" w:rsidP="00C02E3D">
      <w:pPr>
        <w:rPr>
          <w:sz w:val="20"/>
        </w:rPr>
      </w:pPr>
    </w:p>
    <w:p w:rsidR="00BC6CE1" w:rsidRDefault="00BC6CE1" w:rsidP="00C02E3D">
      <w:pPr>
        <w:rPr>
          <w:sz w:val="20"/>
        </w:rPr>
      </w:pPr>
    </w:p>
    <w:p w:rsidR="00BC6CE1" w:rsidRPr="001928A7" w:rsidRDefault="00BC6CE1" w:rsidP="00C02E3D">
      <w:pPr>
        <w:rPr>
          <w:sz w:val="20"/>
        </w:rPr>
      </w:pPr>
    </w:p>
    <w:p w:rsidR="00352A9B" w:rsidRPr="00352A9B" w:rsidRDefault="00DB323D" w:rsidP="00352A9B">
      <w:pPr>
        <w:rPr>
          <w:sz w:val="18"/>
          <w:szCs w:val="18"/>
        </w:rPr>
      </w:pPr>
      <w:r>
        <w:rPr>
          <w:sz w:val="18"/>
          <w:szCs w:val="18"/>
        </w:rPr>
        <w:t>17.12.2014 11:34</w:t>
      </w:r>
      <w:bookmarkStart w:id="2" w:name="_GoBack"/>
      <w:bookmarkEnd w:id="2"/>
    </w:p>
    <w:p w:rsidR="00352A9B" w:rsidRPr="00352A9B" w:rsidRDefault="00352A9B" w:rsidP="00352A9B">
      <w:pPr>
        <w:tabs>
          <w:tab w:val="left" w:pos="6840"/>
        </w:tabs>
        <w:spacing w:line="20" w:lineRule="atLeast"/>
        <w:rPr>
          <w:sz w:val="18"/>
          <w:szCs w:val="18"/>
        </w:rPr>
      </w:pPr>
      <w:r w:rsidRPr="00352A9B">
        <w:rPr>
          <w:sz w:val="18"/>
          <w:szCs w:val="18"/>
        </w:rPr>
        <w:fldChar w:fldCharType="begin"/>
      </w:r>
      <w:r w:rsidRPr="00352A9B">
        <w:rPr>
          <w:sz w:val="18"/>
          <w:szCs w:val="18"/>
        </w:rPr>
        <w:instrText xml:space="preserve"> NUMWORDS   \* MERGEFORMAT </w:instrText>
      </w:r>
      <w:r w:rsidRPr="00352A9B">
        <w:rPr>
          <w:sz w:val="18"/>
          <w:szCs w:val="18"/>
        </w:rPr>
        <w:fldChar w:fldCharType="separate"/>
      </w:r>
      <w:r w:rsidR="005106DF">
        <w:rPr>
          <w:noProof/>
          <w:sz w:val="18"/>
          <w:szCs w:val="18"/>
        </w:rPr>
        <w:t>641</w:t>
      </w:r>
      <w:r w:rsidRPr="00352A9B">
        <w:rPr>
          <w:sz w:val="18"/>
          <w:szCs w:val="18"/>
        </w:rPr>
        <w:fldChar w:fldCharType="end"/>
      </w:r>
    </w:p>
    <w:p w:rsidR="00352A9B" w:rsidRPr="00352A9B" w:rsidRDefault="00352A9B" w:rsidP="00352A9B">
      <w:pPr>
        <w:tabs>
          <w:tab w:val="left" w:pos="6840"/>
        </w:tabs>
        <w:spacing w:line="20" w:lineRule="atLeast"/>
        <w:rPr>
          <w:sz w:val="18"/>
          <w:szCs w:val="18"/>
        </w:rPr>
      </w:pPr>
      <w:r w:rsidRPr="00352A9B">
        <w:rPr>
          <w:sz w:val="18"/>
          <w:szCs w:val="18"/>
        </w:rPr>
        <w:t xml:space="preserve">D.Hildebrante, </w:t>
      </w:r>
    </w:p>
    <w:p w:rsidR="00352A9B" w:rsidRPr="00352A9B" w:rsidRDefault="00352A9B" w:rsidP="00352A9B">
      <w:pPr>
        <w:tabs>
          <w:tab w:val="left" w:pos="6840"/>
        </w:tabs>
        <w:spacing w:line="20" w:lineRule="atLeast"/>
        <w:rPr>
          <w:color w:val="FF0000"/>
          <w:sz w:val="18"/>
          <w:szCs w:val="18"/>
        </w:rPr>
      </w:pPr>
      <w:r w:rsidRPr="00352A9B">
        <w:rPr>
          <w:sz w:val="18"/>
          <w:szCs w:val="18"/>
        </w:rPr>
        <w:t xml:space="preserve">67083876, </w:t>
      </w:r>
      <w:hyperlink r:id="rId8" w:history="1">
        <w:r w:rsidRPr="00352A9B">
          <w:rPr>
            <w:rStyle w:val="Hyperlink"/>
            <w:color w:val="auto"/>
            <w:sz w:val="18"/>
            <w:szCs w:val="18"/>
          </w:rPr>
          <w:t>dace.hildebrante@fm.gov.lv</w:t>
        </w:r>
      </w:hyperlink>
      <w:r w:rsidRPr="00352A9B">
        <w:rPr>
          <w:sz w:val="18"/>
          <w:szCs w:val="18"/>
        </w:rPr>
        <w:t xml:space="preserve"> </w:t>
      </w:r>
    </w:p>
    <w:p w:rsidR="00693493" w:rsidRPr="001928A7" w:rsidRDefault="00693493" w:rsidP="006579EA">
      <w:pPr>
        <w:rPr>
          <w:sz w:val="20"/>
        </w:rPr>
      </w:pPr>
    </w:p>
    <w:sectPr w:rsidR="00693493" w:rsidRPr="001928A7" w:rsidSect="009938F6">
      <w:headerReference w:type="even" r:id="rId9"/>
      <w:headerReference w:type="default" r:id="rId10"/>
      <w:footerReference w:type="default" r:id="rId11"/>
      <w:footerReference w:type="first" r:id="rId12"/>
      <w:pgSz w:w="11906" w:h="16838" w:code="9"/>
      <w:pgMar w:top="1134" w:right="1416"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99" w:rsidRDefault="00A97299">
      <w:r>
        <w:separator/>
      </w:r>
    </w:p>
  </w:endnote>
  <w:endnote w:type="continuationSeparator" w:id="0">
    <w:p w:rsidR="00A97299" w:rsidRDefault="00A9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99" w:rsidRPr="002A5D47" w:rsidRDefault="002A5D47" w:rsidP="002A5D47">
    <w:pPr>
      <w:pStyle w:val="Heading2"/>
      <w:spacing w:before="0" w:after="0"/>
      <w:ind w:right="-108"/>
      <w:rPr>
        <w:b w:val="0"/>
        <w:i w:val="0"/>
        <w:iCs w:val="0"/>
        <w:sz w:val="20"/>
        <w:szCs w:val="20"/>
        <w:lang w:eastAsia="lv-LV"/>
      </w:rPr>
    </w:pPr>
    <w:r w:rsidRPr="002A5D47">
      <w:rPr>
        <w:rFonts w:ascii="Times New Roman" w:hAnsi="Times New Roman"/>
        <w:b w:val="0"/>
        <w:i w:val="0"/>
        <w:sz w:val="20"/>
        <w:szCs w:val="20"/>
      </w:rPr>
      <w:fldChar w:fldCharType="begin"/>
    </w:r>
    <w:r w:rsidRPr="002A5D47">
      <w:rPr>
        <w:rFonts w:ascii="Times New Roman" w:hAnsi="Times New Roman"/>
        <w:b w:val="0"/>
        <w:i w:val="0"/>
        <w:sz w:val="20"/>
        <w:szCs w:val="20"/>
      </w:rPr>
      <w:instrText xml:space="preserve"> FILENAME   \* MERGEFORMAT </w:instrText>
    </w:r>
    <w:r w:rsidRPr="002A5D47">
      <w:rPr>
        <w:rFonts w:ascii="Times New Roman" w:hAnsi="Times New Roman"/>
        <w:b w:val="0"/>
        <w:i w:val="0"/>
        <w:sz w:val="20"/>
        <w:szCs w:val="20"/>
      </w:rPr>
      <w:fldChar w:fldCharType="separate"/>
    </w:r>
    <w:r w:rsidR="005E0273">
      <w:rPr>
        <w:rFonts w:ascii="Times New Roman" w:hAnsi="Times New Roman"/>
        <w:b w:val="0"/>
        <w:i w:val="0"/>
        <w:noProof/>
        <w:sz w:val="20"/>
        <w:szCs w:val="20"/>
      </w:rPr>
      <w:t>FMAnot_171214_dot_nov</w:t>
    </w:r>
    <w:r w:rsidRPr="002A5D47">
      <w:rPr>
        <w:rFonts w:ascii="Times New Roman" w:hAnsi="Times New Roman"/>
        <w:b w:val="0"/>
        <w:i w:val="0"/>
        <w:noProof/>
        <w:sz w:val="20"/>
        <w:szCs w:val="20"/>
      </w:rPr>
      <w:fldChar w:fldCharType="end"/>
    </w:r>
    <w:r w:rsidRPr="002A5D47">
      <w:rPr>
        <w:rFonts w:ascii="Times New Roman" w:hAnsi="Times New Roman"/>
        <w:b w:val="0"/>
        <w:i w:val="0"/>
        <w:sz w:val="20"/>
        <w:szCs w:val="20"/>
      </w:rPr>
      <w:t>;</w:t>
    </w:r>
    <w:r w:rsidR="00FD7499" w:rsidRPr="002A5D47">
      <w:rPr>
        <w:rFonts w:ascii="Times New Roman" w:hAnsi="Times New Roman"/>
        <w:b w:val="0"/>
        <w:bCs w:val="0"/>
        <w:i w:val="0"/>
        <w:sz w:val="20"/>
        <w:szCs w:val="20"/>
        <w:lang w:eastAsia="lv-LV"/>
      </w:rPr>
      <w:t xml:space="preserve"> Ministru kabineta noteikumu projekta </w:t>
    </w:r>
    <w:r w:rsidR="00DE4FF7" w:rsidRPr="002A5D47">
      <w:rPr>
        <w:rFonts w:ascii="Times New Roman" w:hAnsi="Times New Roman"/>
        <w:b w:val="0"/>
        <w:bCs w:val="0"/>
        <w:i w:val="0"/>
        <w:sz w:val="20"/>
        <w:szCs w:val="20"/>
        <w:lang w:eastAsia="lv-LV"/>
      </w:rPr>
      <w:t>„</w:t>
    </w:r>
    <w:r w:rsidRPr="002A5D47">
      <w:rPr>
        <w:rFonts w:ascii="Times New Roman" w:hAnsi="Times New Roman"/>
        <w:b w:val="0"/>
        <w:i w:val="0"/>
        <w:sz w:val="20"/>
        <w:szCs w:val="20"/>
      </w:rPr>
      <w:t xml:space="preserve">Kārtība, kādā 2015.gadā piešķir valsts budžeta dotāciju novadu pašvaldībām, lai nodrošinātu vērtētos ieņēmumus pēc </w:t>
    </w:r>
    <w:r w:rsidRPr="002A5D47">
      <w:rPr>
        <w:rFonts w:ascii="Times New Roman" w:hAnsi="Times New Roman"/>
        <w:b w:val="0"/>
        <w:i w:val="0"/>
        <w:color w:val="000000"/>
        <w:sz w:val="20"/>
        <w:szCs w:val="20"/>
      </w:rPr>
      <w:t>pašvaldību finanšu izlīdzināšanas,</w:t>
    </w:r>
    <w:r w:rsidRPr="002A5D47">
      <w:rPr>
        <w:rFonts w:ascii="Times New Roman" w:hAnsi="Times New Roman"/>
        <w:b w:val="0"/>
        <w:i w:val="0"/>
        <w:sz w:val="20"/>
        <w:szCs w:val="20"/>
      </w:rPr>
      <w:t xml:space="preserve"> finanšu nepieciešamības neizlīdzināmās apakšējās robežas 99 procentu līmenī</w:t>
    </w:r>
    <w:r w:rsidR="0013380F" w:rsidRPr="002A5D47">
      <w:rPr>
        <w:rFonts w:ascii="Times New Roman" w:hAnsi="Times New Roman"/>
        <w:b w:val="0"/>
        <w:bCs w:val="0"/>
        <w:i w:val="0"/>
        <w:sz w:val="20"/>
        <w:szCs w:val="20"/>
        <w:lang w:eastAsia="lv-LV"/>
      </w:rPr>
      <w:t>”</w:t>
    </w:r>
    <w:r w:rsidR="00FD7499" w:rsidRPr="002A5D47">
      <w:rPr>
        <w:rFonts w:ascii="Times New Roman" w:hAnsi="Times New Roman"/>
        <w:b w:val="0"/>
        <w:bCs w:val="0"/>
        <w:i w:val="0"/>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99" w:rsidRPr="002A5D47" w:rsidRDefault="002A5D47" w:rsidP="002A5D47">
    <w:pPr>
      <w:pStyle w:val="Heading2"/>
      <w:spacing w:before="0" w:after="0"/>
      <w:ind w:right="-108"/>
      <w:rPr>
        <w:b w:val="0"/>
        <w:i w:val="0"/>
        <w:iCs w:val="0"/>
        <w:sz w:val="20"/>
        <w:szCs w:val="20"/>
        <w:lang w:eastAsia="lv-LV"/>
      </w:rPr>
    </w:pPr>
    <w:r w:rsidRPr="002A5D47">
      <w:rPr>
        <w:rFonts w:ascii="Times New Roman" w:hAnsi="Times New Roman"/>
        <w:b w:val="0"/>
        <w:i w:val="0"/>
        <w:sz w:val="20"/>
        <w:szCs w:val="20"/>
      </w:rPr>
      <w:fldChar w:fldCharType="begin"/>
    </w:r>
    <w:r w:rsidRPr="002A5D47">
      <w:rPr>
        <w:rFonts w:ascii="Times New Roman" w:hAnsi="Times New Roman"/>
        <w:b w:val="0"/>
        <w:i w:val="0"/>
        <w:sz w:val="20"/>
        <w:szCs w:val="20"/>
      </w:rPr>
      <w:instrText xml:space="preserve"> FILENAME   \* MERGEFORMAT </w:instrText>
    </w:r>
    <w:r w:rsidRPr="002A5D47">
      <w:rPr>
        <w:rFonts w:ascii="Times New Roman" w:hAnsi="Times New Roman"/>
        <w:b w:val="0"/>
        <w:i w:val="0"/>
        <w:sz w:val="20"/>
        <w:szCs w:val="20"/>
      </w:rPr>
      <w:fldChar w:fldCharType="separate"/>
    </w:r>
    <w:r w:rsidR="005E0273">
      <w:rPr>
        <w:rFonts w:ascii="Times New Roman" w:hAnsi="Times New Roman"/>
        <w:b w:val="0"/>
        <w:i w:val="0"/>
        <w:noProof/>
        <w:sz w:val="20"/>
        <w:szCs w:val="20"/>
      </w:rPr>
      <w:t>FMAnot_171214_dot_nov</w:t>
    </w:r>
    <w:r w:rsidRPr="002A5D47">
      <w:rPr>
        <w:rFonts w:ascii="Times New Roman" w:hAnsi="Times New Roman"/>
        <w:b w:val="0"/>
        <w:i w:val="0"/>
        <w:noProof/>
        <w:sz w:val="20"/>
        <w:szCs w:val="20"/>
      </w:rPr>
      <w:fldChar w:fldCharType="end"/>
    </w:r>
    <w:r w:rsidRPr="002A5D47">
      <w:rPr>
        <w:rFonts w:ascii="Times New Roman" w:hAnsi="Times New Roman"/>
        <w:b w:val="0"/>
        <w:i w:val="0"/>
        <w:sz w:val="20"/>
        <w:szCs w:val="20"/>
      </w:rPr>
      <w:t>;</w:t>
    </w:r>
    <w:r w:rsidRPr="002A5D47">
      <w:rPr>
        <w:rFonts w:ascii="Times New Roman" w:hAnsi="Times New Roman"/>
        <w:b w:val="0"/>
        <w:bCs w:val="0"/>
        <w:i w:val="0"/>
        <w:sz w:val="20"/>
        <w:szCs w:val="20"/>
        <w:lang w:eastAsia="lv-LV"/>
      </w:rPr>
      <w:t xml:space="preserve"> Ministru kabineta noteikumu projekta „</w:t>
    </w:r>
    <w:r w:rsidRPr="002A5D47">
      <w:rPr>
        <w:rFonts w:ascii="Times New Roman" w:hAnsi="Times New Roman"/>
        <w:b w:val="0"/>
        <w:i w:val="0"/>
        <w:sz w:val="20"/>
        <w:szCs w:val="20"/>
      </w:rPr>
      <w:t xml:space="preserve">Kārtība, kādā 2015.gadā piešķir valsts budžeta dotāciju novadu pašvaldībām, lai nodrošinātu vērtētos ieņēmumus pēc </w:t>
    </w:r>
    <w:r w:rsidRPr="002A5D47">
      <w:rPr>
        <w:rFonts w:ascii="Times New Roman" w:hAnsi="Times New Roman"/>
        <w:b w:val="0"/>
        <w:i w:val="0"/>
        <w:color w:val="000000"/>
        <w:sz w:val="20"/>
        <w:szCs w:val="20"/>
      </w:rPr>
      <w:t>pašvaldību finanšu izlīdzināšanas,</w:t>
    </w:r>
    <w:r w:rsidRPr="002A5D47">
      <w:rPr>
        <w:rFonts w:ascii="Times New Roman" w:hAnsi="Times New Roman"/>
        <w:b w:val="0"/>
        <w:i w:val="0"/>
        <w:sz w:val="20"/>
        <w:szCs w:val="20"/>
      </w:rPr>
      <w:t xml:space="preserve"> finanšu nepieciešamības neizlīdzināmās apakšējās robežas 99 procentu līmenī</w:t>
    </w:r>
    <w:r w:rsidRPr="002A5D47">
      <w:rPr>
        <w:rFonts w:ascii="Times New Roman" w:hAnsi="Times New Roman"/>
        <w:b w:val="0"/>
        <w:bCs w:val="0"/>
        <w:i w:val="0"/>
        <w:sz w:val="20"/>
        <w:szCs w:val="20"/>
        <w:lang w:eastAsia="lv-LV"/>
      </w:rPr>
      <w:t>” sākotnējās ietekmes n</w:t>
    </w:r>
    <w:r w:rsidR="001901C5">
      <w:rPr>
        <w:rFonts w:ascii="Times New Roman" w:hAnsi="Times New Roman"/>
        <w:b w:val="0"/>
        <w:bCs w:val="0"/>
        <w:i w:val="0"/>
        <w:sz w:val="20"/>
        <w:szCs w:val="20"/>
        <w:lang w:eastAsia="lv-LV"/>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99" w:rsidRDefault="00A97299">
      <w:r>
        <w:separator/>
      </w:r>
    </w:p>
  </w:footnote>
  <w:footnote w:type="continuationSeparator" w:id="0">
    <w:p w:rsidR="00A97299" w:rsidRDefault="00A9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99" w:rsidRDefault="00FD7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499" w:rsidRDefault="00FD7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99" w:rsidRDefault="00FD7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23D">
      <w:rPr>
        <w:rStyle w:val="PageNumber"/>
        <w:noProof/>
      </w:rPr>
      <w:t>3</w:t>
    </w:r>
    <w:r>
      <w:rPr>
        <w:rStyle w:val="PageNumber"/>
      </w:rPr>
      <w:fldChar w:fldCharType="end"/>
    </w:r>
  </w:p>
  <w:p w:rsidR="00FD7499" w:rsidRDefault="00FD7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9414510"/>
    <w:multiLevelType w:val="hybridMultilevel"/>
    <w:tmpl w:val="52167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2B35AE"/>
    <w:multiLevelType w:val="hybridMultilevel"/>
    <w:tmpl w:val="B302DFCE"/>
    <w:lvl w:ilvl="0" w:tplc="497EBC1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88D1679"/>
    <w:multiLevelType w:val="hybridMultilevel"/>
    <w:tmpl w:val="6A9C6624"/>
    <w:lvl w:ilvl="0" w:tplc="033087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95B64E5"/>
    <w:multiLevelType w:val="hybridMultilevel"/>
    <w:tmpl w:val="613486AE"/>
    <w:lvl w:ilvl="0" w:tplc="5EE629BE">
      <w:start w:val="1"/>
      <w:numFmt w:val="decimal"/>
      <w:lvlText w:val="(%1)"/>
      <w:lvlJc w:val="left"/>
      <w:pPr>
        <w:ind w:left="511" w:hanging="360"/>
      </w:pPr>
      <w:rPr>
        <w:rFonts w:hint="default"/>
        <w:i w:val="0"/>
      </w:rPr>
    </w:lvl>
    <w:lvl w:ilvl="1" w:tplc="04260019" w:tentative="1">
      <w:start w:val="1"/>
      <w:numFmt w:val="lowerLetter"/>
      <w:lvlText w:val="%2."/>
      <w:lvlJc w:val="left"/>
      <w:pPr>
        <w:ind w:left="1231" w:hanging="360"/>
      </w:pPr>
    </w:lvl>
    <w:lvl w:ilvl="2" w:tplc="0426001B" w:tentative="1">
      <w:start w:val="1"/>
      <w:numFmt w:val="lowerRoman"/>
      <w:lvlText w:val="%3."/>
      <w:lvlJc w:val="right"/>
      <w:pPr>
        <w:ind w:left="1951" w:hanging="180"/>
      </w:pPr>
    </w:lvl>
    <w:lvl w:ilvl="3" w:tplc="0426000F" w:tentative="1">
      <w:start w:val="1"/>
      <w:numFmt w:val="decimal"/>
      <w:lvlText w:val="%4."/>
      <w:lvlJc w:val="left"/>
      <w:pPr>
        <w:ind w:left="2671" w:hanging="360"/>
      </w:pPr>
    </w:lvl>
    <w:lvl w:ilvl="4" w:tplc="04260019" w:tentative="1">
      <w:start w:val="1"/>
      <w:numFmt w:val="lowerLetter"/>
      <w:lvlText w:val="%5."/>
      <w:lvlJc w:val="left"/>
      <w:pPr>
        <w:ind w:left="3391" w:hanging="360"/>
      </w:pPr>
    </w:lvl>
    <w:lvl w:ilvl="5" w:tplc="0426001B" w:tentative="1">
      <w:start w:val="1"/>
      <w:numFmt w:val="lowerRoman"/>
      <w:lvlText w:val="%6."/>
      <w:lvlJc w:val="right"/>
      <w:pPr>
        <w:ind w:left="4111" w:hanging="180"/>
      </w:pPr>
    </w:lvl>
    <w:lvl w:ilvl="6" w:tplc="0426000F" w:tentative="1">
      <w:start w:val="1"/>
      <w:numFmt w:val="decimal"/>
      <w:lvlText w:val="%7."/>
      <w:lvlJc w:val="left"/>
      <w:pPr>
        <w:ind w:left="4831" w:hanging="360"/>
      </w:pPr>
    </w:lvl>
    <w:lvl w:ilvl="7" w:tplc="04260019" w:tentative="1">
      <w:start w:val="1"/>
      <w:numFmt w:val="lowerLetter"/>
      <w:lvlText w:val="%8."/>
      <w:lvlJc w:val="left"/>
      <w:pPr>
        <w:ind w:left="5551" w:hanging="360"/>
      </w:pPr>
    </w:lvl>
    <w:lvl w:ilvl="8" w:tplc="0426001B" w:tentative="1">
      <w:start w:val="1"/>
      <w:numFmt w:val="lowerRoman"/>
      <w:lvlText w:val="%9."/>
      <w:lvlJc w:val="right"/>
      <w:pPr>
        <w:ind w:left="6271" w:hanging="180"/>
      </w:pPr>
    </w:lvl>
  </w:abstractNum>
  <w:abstractNum w:abstractNumId="7">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4"/>
  </w:num>
  <w:num w:numId="3">
    <w:abstractNumId w:val="0"/>
  </w:num>
  <w:num w:numId="4">
    <w:abstractNumId w:val="8"/>
  </w:num>
  <w:num w:numId="5">
    <w:abstractNumId w:val="10"/>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
  </w:num>
  <w:num w:numId="17">
    <w:abstractNumId w:val="3"/>
  </w:num>
  <w:num w:numId="18">
    <w:abstractNumId w:val="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2FA"/>
    <w:rsid w:val="0000118B"/>
    <w:rsid w:val="00003F7B"/>
    <w:rsid w:val="00013FD1"/>
    <w:rsid w:val="00021601"/>
    <w:rsid w:val="000336E3"/>
    <w:rsid w:val="000345DF"/>
    <w:rsid w:val="00043C6D"/>
    <w:rsid w:val="00051B1A"/>
    <w:rsid w:val="00052DA2"/>
    <w:rsid w:val="00055AE1"/>
    <w:rsid w:val="000565B2"/>
    <w:rsid w:val="00061C09"/>
    <w:rsid w:val="00067236"/>
    <w:rsid w:val="000713B2"/>
    <w:rsid w:val="00075574"/>
    <w:rsid w:val="00092A72"/>
    <w:rsid w:val="00095E4B"/>
    <w:rsid w:val="000A02AD"/>
    <w:rsid w:val="000A0E88"/>
    <w:rsid w:val="000A6F47"/>
    <w:rsid w:val="000E1F62"/>
    <w:rsid w:val="000E3D15"/>
    <w:rsid w:val="000F229D"/>
    <w:rsid w:val="000F57B6"/>
    <w:rsid w:val="00100AFC"/>
    <w:rsid w:val="00104F69"/>
    <w:rsid w:val="00106FB3"/>
    <w:rsid w:val="0010786B"/>
    <w:rsid w:val="00110A10"/>
    <w:rsid w:val="0012721F"/>
    <w:rsid w:val="0013380F"/>
    <w:rsid w:val="00134D4E"/>
    <w:rsid w:val="00135AC0"/>
    <w:rsid w:val="00142A7D"/>
    <w:rsid w:val="00142AA9"/>
    <w:rsid w:val="00144EA1"/>
    <w:rsid w:val="001456D6"/>
    <w:rsid w:val="001513A5"/>
    <w:rsid w:val="0017337F"/>
    <w:rsid w:val="00183CD5"/>
    <w:rsid w:val="00184955"/>
    <w:rsid w:val="001901C5"/>
    <w:rsid w:val="001928A7"/>
    <w:rsid w:val="001A2230"/>
    <w:rsid w:val="001A7617"/>
    <w:rsid w:val="001A7B5B"/>
    <w:rsid w:val="001B207D"/>
    <w:rsid w:val="001B6D32"/>
    <w:rsid w:val="001D25B3"/>
    <w:rsid w:val="001D5352"/>
    <w:rsid w:val="001E33FA"/>
    <w:rsid w:val="001E5BDF"/>
    <w:rsid w:val="00210DAE"/>
    <w:rsid w:val="00214FCC"/>
    <w:rsid w:val="00220CDA"/>
    <w:rsid w:val="00235EF4"/>
    <w:rsid w:val="00245777"/>
    <w:rsid w:val="00251CF8"/>
    <w:rsid w:val="00255622"/>
    <w:rsid w:val="00255E8E"/>
    <w:rsid w:val="0027358C"/>
    <w:rsid w:val="00281794"/>
    <w:rsid w:val="00281F2D"/>
    <w:rsid w:val="00284AAA"/>
    <w:rsid w:val="002A147C"/>
    <w:rsid w:val="002A5D47"/>
    <w:rsid w:val="002B4FFF"/>
    <w:rsid w:val="002C1FD8"/>
    <w:rsid w:val="002C4438"/>
    <w:rsid w:val="002D0D48"/>
    <w:rsid w:val="002D7D1A"/>
    <w:rsid w:val="002E334C"/>
    <w:rsid w:val="002F3A8F"/>
    <w:rsid w:val="00305DB3"/>
    <w:rsid w:val="00320781"/>
    <w:rsid w:val="0032101B"/>
    <w:rsid w:val="003236BC"/>
    <w:rsid w:val="003272A5"/>
    <w:rsid w:val="003307B4"/>
    <w:rsid w:val="003366B6"/>
    <w:rsid w:val="00344F6E"/>
    <w:rsid w:val="00352A9B"/>
    <w:rsid w:val="00353430"/>
    <w:rsid w:val="003632E2"/>
    <w:rsid w:val="00363EF8"/>
    <w:rsid w:val="003778BE"/>
    <w:rsid w:val="0038680C"/>
    <w:rsid w:val="0039382A"/>
    <w:rsid w:val="0039728A"/>
    <w:rsid w:val="003A08F3"/>
    <w:rsid w:val="003A257D"/>
    <w:rsid w:val="003C40B9"/>
    <w:rsid w:val="003E5630"/>
    <w:rsid w:val="003E615D"/>
    <w:rsid w:val="003F6E52"/>
    <w:rsid w:val="00403EA0"/>
    <w:rsid w:val="00414A47"/>
    <w:rsid w:val="00414B08"/>
    <w:rsid w:val="0042282E"/>
    <w:rsid w:val="00423D83"/>
    <w:rsid w:val="00425BA4"/>
    <w:rsid w:val="00427020"/>
    <w:rsid w:val="004332C7"/>
    <w:rsid w:val="004333ED"/>
    <w:rsid w:val="004337AB"/>
    <w:rsid w:val="00443F2E"/>
    <w:rsid w:val="00444470"/>
    <w:rsid w:val="004507C8"/>
    <w:rsid w:val="00451E00"/>
    <w:rsid w:val="00452AEB"/>
    <w:rsid w:val="00454CE8"/>
    <w:rsid w:val="004639F5"/>
    <w:rsid w:val="0047056B"/>
    <w:rsid w:val="00475591"/>
    <w:rsid w:val="00485D47"/>
    <w:rsid w:val="00492174"/>
    <w:rsid w:val="004951DF"/>
    <w:rsid w:val="0049601E"/>
    <w:rsid w:val="004B709E"/>
    <w:rsid w:val="004E3D6D"/>
    <w:rsid w:val="004E4A77"/>
    <w:rsid w:val="004F285E"/>
    <w:rsid w:val="004F68FF"/>
    <w:rsid w:val="00504CEC"/>
    <w:rsid w:val="005106DF"/>
    <w:rsid w:val="005134A7"/>
    <w:rsid w:val="0052450A"/>
    <w:rsid w:val="005325D2"/>
    <w:rsid w:val="00545866"/>
    <w:rsid w:val="00550BB3"/>
    <w:rsid w:val="00555B01"/>
    <w:rsid w:val="00560E38"/>
    <w:rsid w:val="0056130E"/>
    <w:rsid w:val="00561FB0"/>
    <w:rsid w:val="00562834"/>
    <w:rsid w:val="00562FBE"/>
    <w:rsid w:val="00563498"/>
    <w:rsid w:val="00570972"/>
    <w:rsid w:val="00573C0B"/>
    <w:rsid w:val="00586123"/>
    <w:rsid w:val="00592196"/>
    <w:rsid w:val="005B701E"/>
    <w:rsid w:val="005B7573"/>
    <w:rsid w:val="005C0367"/>
    <w:rsid w:val="005C25BD"/>
    <w:rsid w:val="005D22BE"/>
    <w:rsid w:val="005D495C"/>
    <w:rsid w:val="005D5414"/>
    <w:rsid w:val="005E0273"/>
    <w:rsid w:val="005E2254"/>
    <w:rsid w:val="006033AB"/>
    <w:rsid w:val="006067EF"/>
    <w:rsid w:val="00622A50"/>
    <w:rsid w:val="00630776"/>
    <w:rsid w:val="00653A69"/>
    <w:rsid w:val="00655851"/>
    <w:rsid w:val="006579EA"/>
    <w:rsid w:val="00660A3E"/>
    <w:rsid w:val="00661DEE"/>
    <w:rsid w:val="006670D7"/>
    <w:rsid w:val="0068022D"/>
    <w:rsid w:val="00684209"/>
    <w:rsid w:val="00687C53"/>
    <w:rsid w:val="0069156A"/>
    <w:rsid w:val="00693493"/>
    <w:rsid w:val="00693E1C"/>
    <w:rsid w:val="00696BC3"/>
    <w:rsid w:val="006A747C"/>
    <w:rsid w:val="006B42DD"/>
    <w:rsid w:val="006B5F57"/>
    <w:rsid w:val="006C1C9D"/>
    <w:rsid w:val="006C6A05"/>
    <w:rsid w:val="006D3E8F"/>
    <w:rsid w:val="006E5EF6"/>
    <w:rsid w:val="006F22CB"/>
    <w:rsid w:val="00707DC8"/>
    <w:rsid w:val="007125BD"/>
    <w:rsid w:val="00714901"/>
    <w:rsid w:val="0072502D"/>
    <w:rsid w:val="00726C31"/>
    <w:rsid w:val="007304C8"/>
    <w:rsid w:val="00732543"/>
    <w:rsid w:val="00733E36"/>
    <w:rsid w:val="00747E69"/>
    <w:rsid w:val="0075324C"/>
    <w:rsid w:val="00753AA9"/>
    <w:rsid w:val="00773ACE"/>
    <w:rsid w:val="00784290"/>
    <w:rsid w:val="00785499"/>
    <w:rsid w:val="0078668C"/>
    <w:rsid w:val="0079008F"/>
    <w:rsid w:val="007901E1"/>
    <w:rsid w:val="007A6355"/>
    <w:rsid w:val="007B21C9"/>
    <w:rsid w:val="007C0366"/>
    <w:rsid w:val="007D6BF8"/>
    <w:rsid w:val="007D7D25"/>
    <w:rsid w:val="007E094A"/>
    <w:rsid w:val="00802FA8"/>
    <w:rsid w:val="00805EC8"/>
    <w:rsid w:val="00816EB3"/>
    <w:rsid w:val="0083785E"/>
    <w:rsid w:val="00842018"/>
    <w:rsid w:val="008471C4"/>
    <w:rsid w:val="00850BEE"/>
    <w:rsid w:val="00866432"/>
    <w:rsid w:val="008713CC"/>
    <w:rsid w:val="00893DF7"/>
    <w:rsid w:val="008A5FE6"/>
    <w:rsid w:val="008B411C"/>
    <w:rsid w:val="008C679E"/>
    <w:rsid w:val="008D2005"/>
    <w:rsid w:val="008D4801"/>
    <w:rsid w:val="008D70BA"/>
    <w:rsid w:val="008E364B"/>
    <w:rsid w:val="008F4DDE"/>
    <w:rsid w:val="008F5BD3"/>
    <w:rsid w:val="00902F07"/>
    <w:rsid w:val="009052BF"/>
    <w:rsid w:val="00911E46"/>
    <w:rsid w:val="0092609B"/>
    <w:rsid w:val="00942D11"/>
    <w:rsid w:val="00952345"/>
    <w:rsid w:val="009605E9"/>
    <w:rsid w:val="00973BCF"/>
    <w:rsid w:val="00977216"/>
    <w:rsid w:val="0098103A"/>
    <w:rsid w:val="009937FA"/>
    <w:rsid w:val="009938F6"/>
    <w:rsid w:val="00994068"/>
    <w:rsid w:val="00995327"/>
    <w:rsid w:val="009959AE"/>
    <w:rsid w:val="00996291"/>
    <w:rsid w:val="009B2F48"/>
    <w:rsid w:val="009B7F80"/>
    <w:rsid w:val="009C458F"/>
    <w:rsid w:val="009C662A"/>
    <w:rsid w:val="009C7054"/>
    <w:rsid w:val="009D05C3"/>
    <w:rsid w:val="009D153F"/>
    <w:rsid w:val="009D167C"/>
    <w:rsid w:val="009E0A4A"/>
    <w:rsid w:val="009E7EDC"/>
    <w:rsid w:val="00A07C85"/>
    <w:rsid w:val="00A11693"/>
    <w:rsid w:val="00A23EFD"/>
    <w:rsid w:val="00A262E9"/>
    <w:rsid w:val="00A3329C"/>
    <w:rsid w:val="00A34A44"/>
    <w:rsid w:val="00A36354"/>
    <w:rsid w:val="00A42336"/>
    <w:rsid w:val="00A434DD"/>
    <w:rsid w:val="00A43AF9"/>
    <w:rsid w:val="00A443A3"/>
    <w:rsid w:val="00A510D7"/>
    <w:rsid w:val="00A5347A"/>
    <w:rsid w:val="00A55417"/>
    <w:rsid w:val="00A656DE"/>
    <w:rsid w:val="00A65A0D"/>
    <w:rsid w:val="00A66F05"/>
    <w:rsid w:val="00A7345C"/>
    <w:rsid w:val="00A81FD6"/>
    <w:rsid w:val="00A86A64"/>
    <w:rsid w:val="00A97299"/>
    <w:rsid w:val="00AA1FF4"/>
    <w:rsid w:val="00AA2C16"/>
    <w:rsid w:val="00AA3912"/>
    <w:rsid w:val="00AB70AB"/>
    <w:rsid w:val="00AC1661"/>
    <w:rsid w:val="00AC1664"/>
    <w:rsid w:val="00AD218E"/>
    <w:rsid w:val="00AD41A8"/>
    <w:rsid w:val="00AE2658"/>
    <w:rsid w:val="00AE36EA"/>
    <w:rsid w:val="00AF1F52"/>
    <w:rsid w:val="00AF24A3"/>
    <w:rsid w:val="00AF70FE"/>
    <w:rsid w:val="00B15F3E"/>
    <w:rsid w:val="00B30385"/>
    <w:rsid w:val="00B45605"/>
    <w:rsid w:val="00B532F4"/>
    <w:rsid w:val="00B56C4B"/>
    <w:rsid w:val="00B609AD"/>
    <w:rsid w:val="00B72D32"/>
    <w:rsid w:val="00B7393D"/>
    <w:rsid w:val="00B7409C"/>
    <w:rsid w:val="00B74EB9"/>
    <w:rsid w:val="00B77BC1"/>
    <w:rsid w:val="00B81E25"/>
    <w:rsid w:val="00B878D1"/>
    <w:rsid w:val="00B91A14"/>
    <w:rsid w:val="00B925F8"/>
    <w:rsid w:val="00BA1AFA"/>
    <w:rsid w:val="00BA5B96"/>
    <w:rsid w:val="00BB0902"/>
    <w:rsid w:val="00BB4211"/>
    <w:rsid w:val="00BB4781"/>
    <w:rsid w:val="00BC067F"/>
    <w:rsid w:val="00BC6B9A"/>
    <w:rsid w:val="00BC6CE1"/>
    <w:rsid w:val="00BE1791"/>
    <w:rsid w:val="00BF0824"/>
    <w:rsid w:val="00BF08B4"/>
    <w:rsid w:val="00BF263A"/>
    <w:rsid w:val="00BF4FD4"/>
    <w:rsid w:val="00C02E3D"/>
    <w:rsid w:val="00C325AE"/>
    <w:rsid w:val="00C33288"/>
    <w:rsid w:val="00C3752D"/>
    <w:rsid w:val="00C37695"/>
    <w:rsid w:val="00C43ABD"/>
    <w:rsid w:val="00C45F45"/>
    <w:rsid w:val="00C505C4"/>
    <w:rsid w:val="00C64E10"/>
    <w:rsid w:val="00C66944"/>
    <w:rsid w:val="00C74916"/>
    <w:rsid w:val="00C94603"/>
    <w:rsid w:val="00C95C0A"/>
    <w:rsid w:val="00CA0657"/>
    <w:rsid w:val="00CA1FB1"/>
    <w:rsid w:val="00CA4F63"/>
    <w:rsid w:val="00CA6447"/>
    <w:rsid w:val="00CB2D97"/>
    <w:rsid w:val="00CC29F6"/>
    <w:rsid w:val="00CC2D79"/>
    <w:rsid w:val="00CE0266"/>
    <w:rsid w:val="00CF1FD0"/>
    <w:rsid w:val="00CF3097"/>
    <w:rsid w:val="00CF54CA"/>
    <w:rsid w:val="00CF79FB"/>
    <w:rsid w:val="00D03FA5"/>
    <w:rsid w:val="00D0534B"/>
    <w:rsid w:val="00D06258"/>
    <w:rsid w:val="00D14764"/>
    <w:rsid w:val="00D30949"/>
    <w:rsid w:val="00D33CA5"/>
    <w:rsid w:val="00D575ED"/>
    <w:rsid w:val="00D60914"/>
    <w:rsid w:val="00D70909"/>
    <w:rsid w:val="00D759E3"/>
    <w:rsid w:val="00DB2B18"/>
    <w:rsid w:val="00DB323D"/>
    <w:rsid w:val="00DB3A6C"/>
    <w:rsid w:val="00DB3AED"/>
    <w:rsid w:val="00DC1D91"/>
    <w:rsid w:val="00DC37B6"/>
    <w:rsid w:val="00DD0CE2"/>
    <w:rsid w:val="00DE006E"/>
    <w:rsid w:val="00DE0FE7"/>
    <w:rsid w:val="00DE2924"/>
    <w:rsid w:val="00DE2DD7"/>
    <w:rsid w:val="00DE4FF7"/>
    <w:rsid w:val="00E05ECF"/>
    <w:rsid w:val="00E07857"/>
    <w:rsid w:val="00E12011"/>
    <w:rsid w:val="00E24544"/>
    <w:rsid w:val="00E351E9"/>
    <w:rsid w:val="00E369FA"/>
    <w:rsid w:val="00E45A66"/>
    <w:rsid w:val="00E603B2"/>
    <w:rsid w:val="00E60AC2"/>
    <w:rsid w:val="00E727F1"/>
    <w:rsid w:val="00E861A5"/>
    <w:rsid w:val="00E91356"/>
    <w:rsid w:val="00EA61E5"/>
    <w:rsid w:val="00EB159A"/>
    <w:rsid w:val="00EB312E"/>
    <w:rsid w:val="00EB7D18"/>
    <w:rsid w:val="00EC21EB"/>
    <w:rsid w:val="00EC3160"/>
    <w:rsid w:val="00EC419F"/>
    <w:rsid w:val="00EC6ED2"/>
    <w:rsid w:val="00EE06E1"/>
    <w:rsid w:val="00EE5519"/>
    <w:rsid w:val="00EF20FA"/>
    <w:rsid w:val="00EF7A03"/>
    <w:rsid w:val="00F0173C"/>
    <w:rsid w:val="00F23E11"/>
    <w:rsid w:val="00F25736"/>
    <w:rsid w:val="00F27E68"/>
    <w:rsid w:val="00F30EF2"/>
    <w:rsid w:val="00F34404"/>
    <w:rsid w:val="00F3599D"/>
    <w:rsid w:val="00F45392"/>
    <w:rsid w:val="00F46BD7"/>
    <w:rsid w:val="00F537F9"/>
    <w:rsid w:val="00F5760B"/>
    <w:rsid w:val="00F606FF"/>
    <w:rsid w:val="00F62FD7"/>
    <w:rsid w:val="00F67908"/>
    <w:rsid w:val="00F67A47"/>
    <w:rsid w:val="00F73568"/>
    <w:rsid w:val="00F80A4F"/>
    <w:rsid w:val="00F94A04"/>
    <w:rsid w:val="00F96600"/>
    <w:rsid w:val="00F9725F"/>
    <w:rsid w:val="00FA432A"/>
    <w:rsid w:val="00FA60E0"/>
    <w:rsid w:val="00FC12FA"/>
    <w:rsid w:val="00FD332C"/>
    <w:rsid w:val="00FD4A98"/>
    <w:rsid w:val="00FD7499"/>
    <w:rsid w:val="00FF04E1"/>
    <w:rsid w:val="00FF23F9"/>
    <w:rsid w:val="00FF2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6EC8FB-A2AA-4BC4-8FBA-894FB2A4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62FB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35EF4"/>
    <w:pPr>
      <w:keepNext/>
      <w:widowControl w:val="0"/>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764"/>
    <w:pPr>
      <w:tabs>
        <w:tab w:val="center" w:pos="4153"/>
        <w:tab w:val="right" w:pos="8306"/>
      </w:tabs>
    </w:pPr>
    <w:rPr>
      <w:sz w:val="20"/>
    </w:rPr>
  </w:style>
  <w:style w:type="paragraph" w:customStyle="1" w:styleId="H4">
    <w:name w:val="H4"/>
    <w:rsid w:val="00D14764"/>
    <w:pPr>
      <w:spacing w:after="120"/>
      <w:jc w:val="center"/>
      <w:outlineLvl w:val="3"/>
    </w:pPr>
    <w:rPr>
      <w:b/>
      <w:sz w:val="28"/>
      <w:lang w:eastAsia="zh-CN"/>
    </w:rPr>
  </w:style>
  <w:style w:type="paragraph" w:customStyle="1" w:styleId="H3">
    <w:name w:val="H3"/>
    <w:rsid w:val="00D14764"/>
    <w:pPr>
      <w:spacing w:after="120"/>
      <w:jc w:val="center"/>
      <w:outlineLvl w:val="2"/>
    </w:pPr>
    <w:rPr>
      <w:b/>
      <w:sz w:val="32"/>
      <w:lang w:eastAsia="zh-CN"/>
    </w:rPr>
  </w:style>
  <w:style w:type="paragraph" w:customStyle="1" w:styleId="H2">
    <w:name w:val="H2"/>
    <w:rsid w:val="00D14764"/>
    <w:pPr>
      <w:spacing w:after="120"/>
      <w:jc w:val="center"/>
      <w:outlineLvl w:val="1"/>
    </w:pPr>
    <w:rPr>
      <w:b/>
      <w:sz w:val="36"/>
      <w:lang w:eastAsia="zh-CN"/>
    </w:rPr>
  </w:style>
  <w:style w:type="paragraph" w:customStyle="1" w:styleId="H1">
    <w:name w:val="H1"/>
    <w:rsid w:val="00D14764"/>
    <w:pPr>
      <w:spacing w:after="120"/>
      <w:jc w:val="center"/>
      <w:outlineLvl w:val="0"/>
    </w:pPr>
    <w:rPr>
      <w:b/>
      <w:sz w:val="44"/>
      <w:lang w:eastAsia="zh-CN"/>
    </w:rPr>
  </w:style>
  <w:style w:type="paragraph" w:customStyle="1" w:styleId="T">
    <w:name w:val="T"/>
    <w:basedOn w:val="Normal"/>
    <w:rsid w:val="00D14764"/>
    <w:pPr>
      <w:jc w:val="center"/>
    </w:pPr>
    <w:rPr>
      <w:b/>
      <w:i/>
    </w:rPr>
  </w:style>
  <w:style w:type="paragraph" w:customStyle="1" w:styleId="Z">
    <w:name w:val="Z"/>
    <w:basedOn w:val="T"/>
    <w:rsid w:val="00D14764"/>
  </w:style>
  <w:style w:type="character" w:styleId="PageNumber">
    <w:name w:val="page number"/>
    <w:basedOn w:val="DefaultParagraphFont"/>
    <w:rsid w:val="00D14764"/>
  </w:style>
  <w:style w:type="paragraph" w:styleId="Header">
    <w:name w:val="header"/>
    <w:basedOn w:val="Normal"/>
    <w:link w:val="HeaderChar"/>
    <w:rsid w:val="00D14764"/>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12FA"/>
    <w:pPr>
      <w:widowControl w:val="0"/>
      <w:adjustRightInd w:val="0"/>
      <w:spacing w:line="360" w:lineRule="atLeast"/>
      <w:jc w:val="center"/>
      <w:textAlignment w:val="baseline"/>
    </w:pPr>
    <w:rPr>
      <w:b/>
      <w:bCs/>
      <w:sz w:val="28"/>
    </w:rPr>
  </w:style>
  <w:style w:type="character" w:customStyle="1" w:styleId="BodyText2Char">
    <w:name w:val="Body Text 2 Char"/>
    <w:link w:val="BodyText2"/>
    <w:rsid w:val="00FC12FA"/>
    <w:rPr>
      <w:b/>
      <w:bCs/>
      <w:sz w:val="28"/>
      <w:lang w:eastAsia="en-US"/>
    </w:rPr>
  </w:style>
  <w:style w:type="character" w:styleId="Hyperlink">
    <w:name w:val="Hyperlink"/>
    <w:rsid w:val="001D25B3"/>
    <w:rPr>
      <w:color w:val="0000FF"/>
      <w:u w:val="single"/>
    </w:rPr>
  </w:style>
  <w:style w:type="character" w:customStyle="1" w:styleId="Heading4Char">
    <w:name w:val="Heading 4 Char"/>
    <w:link w:val="Heading4"/>
    <w:rsid w:val="00235EF4"/>
    <w:rPr>
      <w:i/>
      <w:iCs/>
      <w:sz w:val="24"/>
      <w:szCs w:val="24"/>
      <w:lang w:eastAsia="en-US"/>
    </w:rPr>
  </w:style>
  <w:style w:type="paragraph" w:styleId="Subtitle">
    <w:name w:val="Subtitle"/>
    <w:basedOn w:val="Normal"/>
    <w:link w:val="SubtitleChar"/>
    <w:qFormat/>
    <w:rsid w:val="00235EF4"/>
    <w:pPr>
      <w:jc w:val="center"/>
    </w:pPr>
    <w:rPr>
      <w:b/>
      <w:bCs/>
      <w:sz w:val="28"/>
      <w:szCs w:val="28"/>
    </w:rPr>
  </w:style>
  <w:style w:type="character" w:customStyle="1" w:styleId="SubtitleChar">
    <w:name w:val="Subtitle Char"/>
    <w:link w:val="Subtitle"/>
    <w:rsid w:val="00235EF4"/>
    <w:rPr>
      <w:b/>
      <w:bCs/>
      <w:sz w:val="28"/>
      <w:szCs w:val="28"/>
      <w:lang w:eastAsia="en-US"/>
    </w:rPr>
  </w:style>
  <w:style w:type="paragraph" w:styleId="CommentText">
    <w:name w:val="annotation text"/>
    <w:basedOn w:val="Normal"/>
    <w:link w:val="CommentTextChar"/>
    <w:rsid w:val="00235EF4"/>
    <w:pPr>
      <w:jc w:val="left"/>
    </w:pPr>
    <w:rPr>
      <w:sz w:val="20"/>
      <w:lang w:val="en-GB"/>
    </w:rPr>
  </w:style>
  <w:style w:type="character" w:customStyle="1" w:styleId="CommentTextChar">
    <w:name w:val="Comment Text Char"/>
    <w:link w:val="CommentText"/>
    <w:rsid w:val="00235EF4"/>
    <w:rPr>
      <w:lang w:val="en-GB" w:eastAsia="en-US"/>
    </w:rPr>
  </w:style>
  <w:style w:type="paragraph" w:customStyle="1" w:styleId="naiskr">
    <w:name w:val="naiskr"/>
    <w:basedOn w:val="Normal"/>
    <w:rsid w:val="00235EF4"/>
    <w:pPr>
      <w:spacing w:before="100" w:beforeAutospacing="1" w:after="100" w:afterAutospacing="1"/>
      <w:jc w:val="left"/>
    </w:pPr>
    <w:rPr>
      <w:szCs w:val="24"/>
      <w:lang w:val="en-US"/>
    </w:rPr>
  </w:style>
  <w:style w:type="paragraph" w:customStyle="1" w:styleId="MKNormal">
    <w:name w:val="MKNormal"/>
    <w:basedOn w:val="Normal"/>
    <w:autoRedefine/>
    <w:rsid w:val="00235EF4"/>
    <w:pPr>
      <w:ind w:firstLine="720"/>
    </w:pPr>
    <w:rPr>
      <w:szCs w:val="24"/>
      <w:lang w:eastAsia="lv-LV"/>
    </w:rPr>
  </w:style>
  <w:style w:type="character" w:styleId="Emphasis">
    <w:name w:val="Emphasis"/>
    <w:qFormat/>
    <w:rsid w:val="00235EF4"/>
    <w:rPr>
      <w:i/>
      <w:iCs/>
    </w:rPr>
  </w:style>
  <w:style w:type="character" w:styleId="Strong">
    <w:name w:val="Strong"/>
    <w:qFormat/>
    <w:rsid w:val="00235EF4"/>
    <w:rPr>
      <w:b/>
      <w:bCs/>
    </w:rPr>
  </w:style>
  <w:style w:type="character" w:customStyle="1" w:styleId="Heading2Char">
    <w:name w:val="Heading 2 Char"/>
    <w:link w:val="Heading2"/>
    <w:rsid w:val="00562FBE"/>
    <w:rPr>
      <w:rFonts w:ascii="Cambria" w:eastAsia="Times New Roman" w:hAnsi="Cambria" w:cs="Times New Roman"/>
      <w:b/>
      <w:bCs/>
      <w:i/>
      <w:iCs/>
      <w:sz w:val="28"/>
      <w:szCs w:val="28"/>
      <w:lang w:eastAsia="en-US"/>
    </w:rPr>
  </w:style>
  <w:style w:type="character" w:customStyle="1" w:styleId="HeaderChar">
    <w:name w:val="Header Char"/>
    <w:link w:val="Header"/>
    <w:uiPriority w:val="99"/>
    <w:rsid w:val="00952345"/>
    <w:rPr>
      <w:sz w:val="24"/>
      <w:lang w:eastAsia="en-US"/>
    </w:rPr>
  </w:style>
  <w:style w:type="paragraph" w:customStyle="1" w:styleId="naisnod">
    <w:name w:val="naisnod"/>
    <w:basedOn w:val="Normal"/>
    <w:rsid w:val="00952345"/>
    <w:pPr>
      <w:spacing w:before="150" w:after="150"/>
      <w:jc w:val="center"/>
    </w:pPr>
    <w:rPr>
      <w:b/>
      <w:bCs/>
      <w:szCs w:val="24"/>
      <w:lang w:eastAsia="lv-LV"/>
    </w:rPr>
  </w:style>
  <w:style w:type="paragraph" w:customStyle="1" w:styleId="naisc">
    <w:name w:val="naisc"/>
    <w:basedOn w:val="Normal"/>
    <w:rsid w:val="00952345"/>
    <w:pPr>
      <w:spacing w:before="75" w:after="75"/>
      <w:jc w:val="center"/>
    </w:pPr>
    <w:rPr>
      <w:szCs w:val="24"/>
      <w:lang w:eastAsia="lv-LV"/>
    </w:rPr>
  </w:style>
  <w:style w:type="paragraph" w:customStyle="1" w:styleId="naisf">
    <w:name w:val="naisf"/>
    <w:basedOn w:val="Normal"/>
    <w:rsid w:val="006B5F57"/>
    <w:pPr>
      <w:spacing w:before="75" w:after="75"/>
      <w:ind w:firstLine="375"/>
    </w:pPr>
    <w:rPr>
      <w:szCs w:val="24"/>
      <w:lang w:eastAsia="lv-LV"/>
    </w:rPr>
  </w:style>
  <w:style w:type="paragraph" w:styleId="FootnoteText">
    <w:name w:val="footnote text"/>
    <w:basedOn w:val="Normal"/>
    <w:link w:val="FootnoteTextChar"/>
    <w:rsid w:val="006B5F57"/>
    <w:pPr>
      <w:jc w:val="left"/>
    </w:pPr>
    <w:rPr>
      <w:sz w:val="20"/>
      <w:lang w:eastAsia="lv-LV"/>
    </w:rPr>
  </w:style>
  <w:style w:type="character" w:customStyle="1" w:styleId="FootnoteTextChar">
    <w:name w:val="Footnote Text Char"/>
    <w:basedOn w:val="DefaultParagraphFont"/>
    <w:link w:val="FootnoteText"/>
    <w:rsid w:val="006B5F57"/>
  </w:style>
  <w:style w:type="paragraph" w:customStyle="1" w:styleId="tvhtml">
    <w:name w:val="tv_html"/>
    <w:basedOn w:val="Normal"/>
    <w:rsid w:val="007304C8"/>
    <w:pPr>
      <w:spacing w:before="100" w:beforeAutospacing="1" w:after="100" w:afterAutospacing="1"/>
      <w:jc w:val="left"/>
    </w:pPr>
    <w:rPr>
      <w:szCs w:val="24"/>
      <w:lang w:eastAsia="lv-LV"/>
    </w:rPr>
  </w:style>
  <w:style w:type="character" w:customStyle="1" w:styleId="apple-converted-space">
    <w:name w:val="apple-converted-space"/>
    <w:rsid w:val="006C1C9D"/>
  </w:style>
  <w:style w:type="paragraph" w:customStyle="1" w:styleId="tv213">
    <w:name w:val="tv213"/>
    <w:basedOn w:val="Normal"/>
    <w:rsid w:val="00586123"/>
    <w:pPr>
      <w:spacing w:before="100" w:beforeAutospacing="1" w:after="100" w:afterAutospacing="1"/>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7290">
      <w:bodyDiv w:val="1"/>
      <w:marLeft w:val="0"/>
      <w:marRight w:val="0"/>
      <w:marTop w:val="0"/>
      <w:marBottom w:val="0"/>
      <w:divBdr>
        <w:top w:val="none" w:sz="0" w:space="0" w:color="auto"/>
        <w:left w:val="none" w:sz="0" w:space="0" w:color="auto"/>
        <w:bottom w:val="none" w:sz="0" w:space="0" w:color="auto"/>
        <w:right w:val="none" w:sz="0" w:space="0" w:color="auto"/>
      </w:divBdr>
    </w:div>
    <w:div w:id="13499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hildebrant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2F16-D4AB-4E2B-8C57-B5B4F008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3648</Words>
  <Characters>2080</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2015.gadā piešķir valsts budžeta dotāciju novadu pašvaldībām, lai nodrošinātu vērtētos ieņēmumus pēc pašvaldību finanšu izlīdzināšanas, finanšu nepieciešamības neizlīdzināmās apakšējās robežas 99 procent</vt:lpstr>
      <vt:lpstr>nosaukums</vt:lpstr>
    </vt:vector>
  </TitlesOfParts>
  <Company>Finanšu ministrija</Company>
  <LinksUpToDate>false</LinksUpToDate>
  <CharactersWithSpaces>5717</CharactersWithSpaces>
  <SharedDoc>false</SharedDoc>
  <HLinks>
    <vt:vector size="6" baseType="variant">
      <vt:variant>
        <vt:i4>4128781</vt:i4>
      </vt:variant>
      <vt:variant>
        <vt:i4>0</vt:i4>
      </vt:variant>
      <vt:variant>
        <vt:i4>0</vt:i4>
      </vt:variant>
      <vt:variant>
        <vt:i4>5</vt:i4>
      </vt:variant>
      <vt:variant>
        <vt:lpwstr>mailto:anita.alksne@fm.gov.lv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2015.gadā piešķir valsts budžeta dotāciju novadu pašvaldībām, lai nodrošinātu vērtētos ieņēmumus pēc pašvaldību finanšu izlīdzināšanas, finanšu nepieciešamības neizlīdzināmās apakšējās robežas 99 procentu līmenī” sākotnējās ietekmes novērtējuma ziņojums (anotācija)</dc:title>
  <dc:subject>MK noteikumu projekta anotācija</dc:subject>
  <dc:creator>Dace Hildebrante</dc:creator>
  <cp:keywords/>
  <dc:description>D.Hildebrante, 67083876, dace.hildebrante@fm.gov.lv</dc:description>
  <cp:lastModifiedBy>Liene Strēlniece</cp:lastModifiedBy>
  <cp:revision>39</cp:revision>
  <cp:lastPrinted>2013-12-02T10:03:00Z</cp:lastPrinted>
  <dcterms:created xsi:type="dcterms:W3CDTF">2014-12-02T08:00:00Z</dcterms:created>
  <dcterms:modified xsi:type="dcterms:W3CDTF">2014-12-18T14:51:00Z</dcterms:modified>
</cp:coreProperties>
</file>