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FB" w:rsidRPr="00045B81" w:rsidRDefault="00F031FB" w:rsidP="00F031FB">
      <w:pPr>
        <w:jc w:val="center"/>
        <w:rPr>
          <w:bCs/>
          <w:sz w:val="26"/>
          <w:szCs w:val="26"/>
          <w14:shadow w14:blurRad="50800" w14:dist="38100" w14:dir="2700000" w14:sx="100000" w14:sy="100000" w14:kx="0" w14:ky="0" w14:algn="tl">
            <w14:srgbClr w14:val="000000">
              <w14:alpha w14:val="60000"/>
            </w14:srgbClr>
          </w14:shadow>
        </w:rPr>
      </w:pPr>
      <w:bookmarkStart w:id="0" w:name="_GoBack"/>
      <w:bookmarkEnd w:id="0"/>
      <w:r w:rsidRPr="00045B81">
        <w:rPr>
          <w:b/>
          <w:sz w:val="26"/>
          <w:szCs w:val="26"/>
        </w:rPr>
        <w:t xml:space="preserve">Likumprojekta </w:t>
      </w:r>
      <w:r w:rsidR="00D73EB0" w:rsidRPr="00045B81">
        <w:rPr>
          <w:b/>
          <w:sz w:val="26"/>
          <w:szCs w:val="26"/>
        </w:rPr>
        <w:t>"</w:t>
      </w:r>
      <w:r w:rsidR="009B42E5" w:rsidRPr="00045B81">
        <w:rPr>
          <w:b/>
          <w:sz w:val="26"/>
          <w:szCs w:val="26"/>
        </w:rPr>
        <w:t>Grozījum</w:t>
      </w:r>
      <w:r w:rsidR="00EA7A27">
        <w:rPr>
          <w:b/>
          <w:sz w:val="26"/>
          <w:szCs w:val="26"/>
        </w:rPr>
        <w:t>s</w:t>
      </w:r>
      <w:r w:rsidR="009B42E5" w:rsidRPr="00045B81">
        <w:rPr>
          <w:b/>
          <w:sz w:val="26"/>
          <w:szCs w:val="26"/>
        </w:rPr>
        <w:t xml:space="preserve"> </w:t>
      </w:r>
      <w:r w:rsidR="00E866EA" w:rsidRPr="00045B81">
        <w:rPr>
          <w:b/>
          <w:sz w:val="26"/>
          <w:szCs w:val="26"/>
        </w:rPr>
        <w:t>likumā</w:t>
      </w:r>
      <w:r w:rsidR="00FA4FD9">
        <w:rPr>
          <w:b/>
          <w:sz w:val="26"/>
          <w:szCs w:val="26"/>
        </w:rPr>
        <w:t xml:space="preserve"> par valsts un pašvaldību </w:t>
      </w:r>
      <w:r w:rsidR="007976B7">
        <w:rPr>
          <w:b/>
          <w:sz w:val="26"/>
          <w:szCs w:val="26"/>
        </w:rPr>
        <w:t xml:space="preserve">kapitāla daļām un </w:t>
      </w:r>
      <w:r w:rsidR="00FA4FD9">
        <w:rPr>
          <w:b/>
          <w:sz w:val="26"/>
          <w:szCs w:val="26"/>
        </w:rPr>
        <w:t>kapitālsabiedrībām</w:t>
      </w:r>
      <w:r w:rsidR="009B42E5" w:rsidRPr="00045B81">
        <w:rPr>
          <w:b/>
          <w:sz w:val="26"/>
          <w:szCs w:val="26"/>
        </w:rPr>
        <w:t>"</w:t>
      </w:r>
      <w:r w:rsidRPr="00045B81">
        <w:rPr>
          <w:b/>
          <w:sz w:val="26"/>
          <w:szCs w:val="26"/>
        </w:rPr>
        <w:t xml:space="preserve"> </w:t>
      </w:r>
      <w:r w:rsidRPr="00045B81">
        <w:rPr>
          <w:b/>
          <w:bCs/>
          <w:sz w:val="26"/>
          <w:szCs w:val="26"/>
        </w:rPr>
        <w:t>sākotnējās ietekmes novērtējuma ziņojums (anotācija)</w:t>
      </w:r>
    </w:p>
    <w:p w:rsidR="001B71CD" w:rsidRPr="00045B81" w:rsidRDefault="001B71CD" w:rsidP="001B71CD">
      <w:pPr>
        <w:jc w:val="center"/>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045B81">
        <w:tc>
          <w:tcPr>
            <w:tcW w:w="9725" w:type="dxa"/>
            <w:gridSpan w:val="3"/>
            <w:vAlign w:val="center"/>
          </w:tcPr>
          <w:p w:rsidR="00852042" w:rsidRPr="00045B81" w:rsidRDefault="00852042" w:rsidP="006C4607">
            <w:pPr>
              <w:pStyle w:val="naisnod"/>
              <w:spacing w:before="0" w:after="0"/>
              <w:rPr>
                <w:sz w:val="26"/>
                <w:szCs w:val="26"/>
              </w:rPr>
            </w:pPr>
            <w:r w:rsidRPr="00045B81">
              <w:rPr>
                <w:sz w:val="26"/>
                <w:szCs w:val="26"/>
              </w:rPr>
              <w:t>I</w:t>
            </w:r>
            <w:r w:rsidR="000941C5" w:rsidRPr="00045B81">
              <w:rPr>
                <w:sz w:val="26"/>
                <w:szCs w:val="26"/>
              </w:rPr>
              <w:t>.</w:t>
            </w:r>
            <w:r w:rsidRPr="00045B81">
              <w:rPr>
                <w:sz w:val="26"/>
                <w:szCs w:val="26"/>
              </w:rPr>
              <w:t xml:space="preserve"> Tiesību akta </w:t>
            </w:r>
            <w:r w:rsidR="002E3FF4" w:rsidRPr="00045B81">
              <w:rPr>
                <w:sz w:val="26"/>
                <w:szCs w:val="26"/>
              </w:rPr>
              <w:t xml:space="preserve">projekta </w:t>
            </w:r>
            <w:r w:rsidRPr="00045B81">
              <w:rPr>
                <w:sz w:val="26"/>
                <w:szCs w:val="26"/>
              </w:rPr>
              <w:t>izstrādes nepieciešamība</w:t>
            </w:r>
          </w:p>
        </w:tc>
      </w:tr>
      <w:tr w:rsidR="00262E2B" w:rsidRPr="00045B81">
        <w:trPr>
          <w:trHeight w:val="630"/>
        </w:trPr>
        <w:tc>
          <w:tcPr>
            <w:tcW w:w="550" w:type="dxa"/>
          </w:tcPr>
          <w:p w:rsidR="00262E2B" w:rsidRPr="00045B81" w:rsidRDefault="00262E2B" w:rsidP="006C4607">
            <w:pPr>
              <w:pStyle w:val="naiskr"/>
              <w:spacing w:before="0" w:after="0"/>
              <w:rPr>
                <w:sz w:val="26"/>
                <w:szCs w:val="26"/>
              </w:rPr>
            </w:pPr>
            <w:r w:rsidRPr="00045B81">
              <w:rPr>
                <w:sz w:val="26"/>
                <w:szCs w:val="26"/>
              </w:rPr>
              <w:t>1.</w:t>
            </w:r>
          </w:p>
        </w:tc>
        <w:tc>
          <w:tcPr>
            <w:tcW w:w="4315" w:type="dxa"/>
          </w:tcPr>
          <w:p w:rsidR="00262E2B" w:rsidRPr="00045B81" w:rsidRDefault="002D7F54" w:rsidP="006C4607">
            <w:pPr>
              <w:pStyle w:val="naiskr"/>
              <w:spacing w:before="0" w:after="0"/>
              <w:ind w:hanging="10"/>
              <w:rPr>
                <w:sz w:val="26"/>
                <w:szCs w:val="26"/>
              </w:rPr>
            </w:pPr>
            <w:r w:rsidRPr="00045B81">
              <w:rPr>
                <w:sz w:val="26"/>
                <w:szCs w:val="26"/>
              </w:rPr>
              <w:t>Pamatojums</w:t>
            </w:r>
          </w:p>
        </w:tc>
        <w:tc>
          <w:tcPr>
            <w:tcW w:w="4860" w:type="dxa"/>
          </w:tcPr>
          <w:p w:rsidR="00642E8D" w:rsidRDefault="00D73EB0" w:rsidP="00642E8D">
            <w:pPr>
              <w:spacing w:after="120"/>
              <w:jc w:val="both"/>
              <w:rPr>
                <w:sz w:val="26"/>
                <w:szCs w:val="26"/>
              </w:rPr>
            </w:pPr>
            <w:r w:rsidRPr="00045B81">
              <w:rPr>
                <w:sz w:val="26"/>
                <w:szCs w:val="26"/>
              </w:rPr>
              <w:t xml:space="preserve">Ministru kabinets 2013.gada </w:t>
            </w:r>
            <w:r w:rsidR="00FA4FD9">
              <w:rPr>
                <w:sz w:val="26"/>
                <w:szCs w:val="26"/>
              </w:rPr>
              <w:t>17</w:t>
            </w:r>
            <w:r w:rsidRPr="00045B81">
              <w:rPr>
                <w:sz w:val="26"/>
                <w:szCs w:val="26"/>
              </w:rPr>
              <w:t>.</w:t>
            </w:r>
            <w:r w:rsidR="00FA4FD9">
              <w:rPr>
                <w:sz w:val="26"/>
                <w:szCs w:val="26"/>
              </w:rPr>
              <w:t>decembrī</w:t>
            </w:r>
            <w:r w:rsidRPr="00045B81">
              <w:rPr>
                <w:sz w:val="26"/>
                <w:szCs w:val="26"/>
              </w:rPr>
              <w:t xml:space="preserve"> izskatīja informatīvo ziņojumu par vienotās attīstības finanšu institūcijas izveidi un atbalstīja, ka </w:t>
            </w:r>
            <w:r w:rsidR="00617BC7" w:rsidRPr="00045B81">
              <w:rPr>
                <w:sz w:val="26"/>
                <w:szCs w:val="26"/>
              </w:rPr>
              <w:t>vienotā attīstības finanšu institūcija tiek veidota kā holdinga sabiedrība, apvienojot valsts akciju sabiedrību „Latvijas Hipotēku un zemes banka”</w:t>
            </w:r>
            <w:r w:rsidR="00FE6828" w:rsidRPr="00045B81">
              <w:rPr>
                <w:sz w:val="26"/>
                <w:szCs w:val="26"/>
              </w:rPr>
              <w:t xml:space="preserve"> (</w:t>
            </w:r>
            <w:r w:rsidR="00104E29">
              <w:rPr>
                <w:sz w:val="26"/>
                <w:szCs w:val="26"/>
              </w:rPr>
              <w:t>kopš 2014.gada 1.janvāra valsts akciju sabiedrība „Attīstības finanšu institūcija „</w:t>
            </w:r>
            <w:proofErr w:type="spellStart"/>
            <w:r w:rsidR="00104E29">
              <w:rPr>
                <w:sz w:val="26"/>
                <w:szCs w:val="26"/>
              </w:rPr>
              <w:t>Altum</w:t>
            </w:r>
            <w:proofErr w:type="spellEnd"/>
            <w:r w:rsidR="00104E29">
              <w:rPr>
                <w:sz w:val="26"/>
                <w:szCs w:val="26"/>
              </w:rPr>
              <w:t>””</w:t>
            </w:r>
            <w:r w:rsidR="00617BC7" w:rsidRPr="00045B81">
              <w:rPr>
                <w:sz w:val="26"/>
                <w:szCs w:val="26"/>
              </w:rPr>
              <w:t>)</w:t>
            </w:r>
            <w:r w:rsidR="00A473F1">
              <w:rPr>
                <w:sz w:val="26"/>
                <w:szCs w:val="26"/>
              </w:rPr>
              <w:t xml:space="preserve"> (turpmāk- </w:t>
            </w:r>
            <w:proofErr w:type="spellStart"/>
            <w:r w:rsidR="00A473F1">
              <w:rPr>
                <w:sz w:val="26"/>
                <w:szCs w:val="26"/>
              </w:rPr>
              <w:t>Altum</w:t>
            </w:r>
            <w:proofErr w:type="spellEnd"/>
            <w:r w:rsidR="00A473F1">
              <w:rPr>
                <w:sz w:val="26"/>
                <w:szCs w:val="26"/>
              </w:rPr>
              <w:t>)</w:t>
            </w:r>
            <w:r w:rsidR="00617BC7" w:rsidRPr="00045B81">
              <w:rPr>
                <w:sz w:val="26"/>
                <w:szCs w:val="26"/>
              </w:rPr>
              <w:t>, sabiedrību ar ierobežotu atbildību  „Latvijas Garantiju aģentūra”</w:t>
            </w:r>
            <w:r w:rsidR="00A473F1">
              <w:rPr>
                <w:sz w:val="26"/>
                <w:szCs w:val="26"/>
              </w:rPr>
              <w:t xml:space="preserve"> (turpmāk- LGA)</w:t>
            </w:r>
            <w:r w:rsidR="00617BC7" w:rsidRPr="00045B81">
              <w:rPr>
                <w:sz w:val="26"/>
                <w:szCs w:val="26"/>
              </w:rPr>
              <w:t>, valsts akciju sabiedrību „Lauku attīstības fonds”</w:t>
            </w:r>
            <w:r w:rsidR="00A473F1">
              <w:rPr>
                <w:sz w:val="26"/>
                <w:szCs w:val="26"/>
              </w:rPr>
              <w:t xml:space="preserve"> (turpmāk- LAF)</w:t>
            </w:r>
            <w:r w:rsidR="00617BC7" w:rsidRPr="00045B81">
              <w:rPr>
                <w:sz w:val="26"/>
                <w:szCs w:val="26"/>
              </w:rPr>
              <w:t xml:space="preserve"> un dibinot jaunu holdinga sabiedrību. Lai nodrošinātu vienotās attīstības finanšu institūcijas </w:t>
            </w:r>
            <w:r w:rsidR="001875B5">
              <w:rPr>
                <w:sz w:val="26"/>
                <w:szCs w:val="26"/>
              </w:rPr>
              <w:t>darbību kā holdingam, akciju sabiedrībai „Attīstības finanšu institūcija”</w:t>
            </w:r>
            <w:r w:rsidR="00A473F1">
              <w:rPr>
                <w:sz w:val="26"/>
                <w:szCs w:val="26"/>
              </w:rPr>
              <w:t xml:space="preserve"> (turpmāk- AFI)</w:t>
            </w:r>
            <w:r w:rsidR="001875B5">
              <w:rPr>
                <w:sz w:val="26"/>
                <w:szCs w:val="26"/>
              </w:rPr>
              <w:t xml:space="preserve"> kā holdinga vadošajai sabiedrībai </w:t>
            </w:r>
            <w:r w:rsidR="00104E29">
              <w:rPr>
                <w:sz w:val="26"/>
                <w:szCs w:val="26"/>
              </w:rPr>
              <w:t>atbilstoši Ministru kabineta 2013.gada 17.decembra lēmumam (Ministru kabineta 2013.gada 17.decembra protokols Nr.</w:t>
            </w:r>
            <w:r w:rsidR="00B20FD0">
              <w:rPr>
                <w:sz w:val="26"/>
                <w:szCs w:val="26"/>
              </w:rPr>
              <w:t>67, 141.§</w:t>
            </w:r>
            <w:r w:rsidR="0035410B">
              <w:rPr>
                <w:sz w:val="26"/>
                <w:szCs w:val="26"/>
              </w:rPr>
              <w:t>.</w:t>
            </w:r>
            <w:r w:rsidR="00B20FD0">
              <w:rPr>
                <w:sz w:val="26"/>
                <w:szCs w:val="26"/>
              </w:rPr>
              <w:t>)</w:t>
            </w:r>
            <w:r w:rsidR="00104E29">
              <w:rPr>
                <w:sz w:val="26"/>
                <w:szCs w:val="26"/>
              </w:rPr>
              <w:t xml:space="preserve"> </w:t>
            </w:r>
            <w:r w:rsidR="001875B5">
              <w:rPr>
                <w:sz w:val="26"/>
                <w:szCs w:val="26"/>
              </w:rPr>
              <w:t>iegūstot izšķirošo ietekmi</w:t>
            </w:r>
            <w:r w:rsidR="00A473F1">
              <w:rPr>
                <w:sz w:val="26"/>
                <w:szCs w:val="26"/>
              </w:rPr>
              <w:t xml:space="preserve"> LAF</w:t>
            </w:r>
            <w:r w:rsidR="001875B5">
              <w:rPr>
                <w:sz w:val="26"/>
                <w:szCs w:val="26"/>
              </w:rPr>
              <w:t xml:space="preserve">, </w:t>
            </w:r>
            <w:proofErr w:type="spellStart"/>
            <w:r w:rsidR="001875B5">
              <w:rPr>
                <w:sz w:val="26"/>
                <w:szCs w:val="26"/>
              </w:rPr>
              <w:t>Altum</w:t>
            </w:r>
            <w:proofErr w:type="spellEnd"/>
            <w:r w:rsidR="001875B5">
              <w:rPr>
                <w:sz w:val="26"/>
                <w:szCs w:val="26"/>
              </w:rPr>
              <w:t xml:space="preserve"> un LG</w:t>
            </w:r>
            <w:r w:rsidR="00A473F1">
              <w:rPr>
                <w:sz w:val="26"/>
                <w:szCs w:val="26"/>
              </w:rPr>
              <w:t>A</w:t>
            </w:r>
            <w:r w:rsidR="00EA7A27">
              <w:rPr>
                <w:sz w:val="26"/>
                <w:szCs w:val="26"/>
              </w:rPr>
              <w:t>.</w:t>
            </w:r>
            <w:r w:rsidR="00104E29">
              <w:rPr>
                <w:sz w:val="26"/>
                <w:szCs w:val="26"/>
              </w:rPr>
              <w:t xml:space="preserve"> </w:t>
            </w:r>
            <w:r w:rsidR="001875B5">
              <w:rPr>
                <w:sz w:val="26"/>
                <w:szCs w:val="26"/>
              </w:rPr>
              <w:t xml:space="preserve"> </w:t>
            </w:r>
            <w:r w:rsidR="00EA7A27">
              <w:rPr>
                <w:sz w:val="26"/>
                <w:szCs w:val="26"/>
              </w:rPr>
              <w:t>Atbilstoši Ministru kabineta</w:t>
            </w:r>
            <w:r w:rsidR="00A473F1">
              <w:rPr>
                <w:sz w:val="26"/>
                <w:szCs w:val="26"/>
              </w:rPr>
              <w:t xml:space="preserve"> 2014.gada 29.jūlija lēmumam (Ministru kabineta 2014.gada 29.jūlija protokols Nr.41, 32.§.) ir uzsākta</w:t>
            </w:r>
            <w:r w:rsidR="00642E8D">
              <w:rPr>
                <w:sz w:val="26"/>
                <w:szCs w:val="26"/>
              </w:rPr>
              <w:t xml:space="preserve"> </w:t>
            </w:r>
            <w:proofErr w:type="spellStart"/>
            <w:r w:rsidR="00642E8D">
              <w:rPr>
                <w:sz w:val="26"/>
                <w:szCs w:val="26"/>
              </w:rPr>
              <w:t>Altum</w:t>
            </w:r>
            <w:proofErr w:type="spellEnd"/>
            <w:r w:rsidR="00642E8D">
              <w:rPr>
                <w:sz w:val="26"/>
                <w:szCs w:val="26"/>
              </w:rPr>
              <w:t xml:space="preserve">, LGA, LAF un AFI reorganizācija, </w:t>
            </w:r>
            <w:proofErr w:type="spellStart"/>
            <w:r w:rsidR="00642E8D">
              <w:rPr>
                <w:sz w:val="26"/>
                <w:szCs w:val="26"/>
              </w:rPr>
              <w:t>Altum</w:t>
            </w:r>
            <w:proofErr w:type="spellEnd"/>
            <w:r w:rsidR="00642E8D">
              <w:rPr>
                <w:sz w:val="26"/>
                <w:szCs w:val="26"/>
              </w:rPr>
              <w:t xml:space="preserve">, LGA, LAF pievienojot AFI. </w:t>
            </w:r>
          </w:p>
          <w:p w:rsidR="00642E8D" w:rsidRDefault="00642E8D" w:rsidP="00642E8D">
            <w:pPr>
              <w:spacing w:after="120"/>
              <w:jc w:val="both"/>
              <w:rPr>
                <w:sz w:val="26"/>
                <w:szCs w:val="26"/>
              </w:rPr>
            </w:pPr>
            <w:r>
              <w:rPr>
                <w:sz w:val="26"/>
                <w:szCs w:val="26"/>
              </w:rPr>
              <w:t>Tāpat Ministru kabinets Finanšu ministrijai ar Ministru kabineta 2014.gada 29.jūlija lēmum</w:t>
            </w:r>
            <w:r w:rsidR="005C6284">
              <w:rPr>
                <w:sz w:val="26"/>
                <w:szCs w:val="26"/>
              </w:rPr>
              <w:t>u</w:t>
            </w:r>
            <w:r>
              <w:rPr>
                <w:sz w:val="26"/>
                <w:szCs w:val="26"/>
              </w:rPr>
              <w:t xml:space="preserve"> (Ministru kabineta 2014.gada 29.jūlija protokols Nr.41, 32.§., 5.punkts) uzdeva izstrādāt speciālo regulējumu </w:t>
            </w:r>
            <w:r w:rsidR="00DE553A">
              <w:rPr>
                <w:sz w:val="26"/>
                <w:szCs w:val="26"/>
              </w:rPr>
              <w:t xml:space="preserve">AFI darbībai un </w:t>
            </w:r>
            <w:r w:rsidR="00DE553A" w:rsidRPr="00DE553A">
              <w:rPr>
                <w:sz w:val="26"/>
                <w:szCs w:val="26"/>
              </w:rPr>
              <w:t>līdz 2014.gada 1.oktobrim iesniegt izskatīšanai Ministru kabinetā AFI likumprojektu, kas paredz reorganizētās AFI darbību un dalītu kapitāla daļu turēšanu</w:t>
            </w:r>
            <w:r w:rsidR="00DE553A">
              <w:rPr>
                <w:sz w:val="26"/>
                <w:szCs w:val="26"/>
              </w:rPr>
              <w:t xml:space="preserve">, atbilstoši Ministru kabineta 2014.gada 29.jūlija protokola Nr.41, 32.§. 4.punktā noteiktajai kapitāla daļu turēšanas proporcijai. </w:t>
            </w:r>
          </w:p>
          <w:p w:rsidR="00DD4EA0" w:rsidRPr="00045B81" w:rsidRDefault="00DD4EA0" w:rsidP="00C6341E">
            <w:pPr>
              <w:spacing w:after="120"/>
              <w:jc w:val="both"/>
              <w:rPr>
                <w:sz w:val="26"/>
                <w:szCs w:val="26"/>
              </w:rPr>
            </w:pPr>
            <w:r>
              <w:rPr>
                <w:sz w:val="26"/>
                <w:szCs w:val="26"/>
              </w:rPr>
              <w:t xml:space="preserve">Tādēļ, lai nodrošinātu  </w:t>
            </w:r>
            <w:r w:rsidR="00DE553A">
              <w:rPr>
                <w:sz w:val="26"/>
                <w:szCs w:val="26"/>
              </w:rPr>
              <w:t>AFI</w:t>
            </w:r>
            <w:r w:rsidRPr="00DD4EA0">
              <w:rPr>
                <w:sz w:val="26"/>
                <w:szCs w:val="26"/>
              </w:rPr>
              <w:t xml:space="preserve"> darbību </w:t>
            </w:r>
            <w:r w:rsidR="00DE553A">
              <w:rPr>
                <w:sz w:val="26"/>
                <w:szCs w:val="26"/>
              </w:rPr>
              <w:t xml:space="preserve">pēc kapitālsabiedrību </w:t>
            </w:r>
            <w:proofErr w:type="spellStart"/>
            <w:r w:rsidR="00DE553A">
              <w:rPr>
                <w:sz w:val="26"/>
                <w:szCs w:val="26"/>
              </w:rPr>
              <w:t>Altum</w:t>
            </w:r>
            <w:proofErr w:type="spellEnd"/>
            <w:r w:rsidR="00DE553A">
              <w:rPr>
                <w:sz w:val="26"/>
                <w:szCs w:val="26"/>
              </w:rPr>
              <w:t xml:space="preserve">, LGA, LAF un AFI  </w:t>
            </w:r>
            <w:r w:rsidRPr="00DD4EA0">
              <w:rPr>
                <w:sz w:val="26"/>
                <w:szCs w:val="26"/>
              </w:rPr>
              <w:t xml:space="preserve"> </w:t>
            </w:r>
            <w:r w:rsidR="00DE553A">
              <w:rPr>
                <w:sz w:val="26"/>
                <w:szCs w:val="26"/>
              </w:rPr>
              <w:lastRenderedPageBreak/>
              <w:t>reorganizācijas pabeigšanas, ir izstrādāts likumprojekts “Attīstības finanšu institūcijas likums”</w:t>
            </w:r>
            <w:r w:rsidR="0015279E">
              <w:rPr>
                <w:sz w:val="26"/>
                <w:szCs w:val="26"/>
              </w:rPr>
              <w:t xml:space="preserve">. Ar likumprojekta “Attīstības finanšu institūcijas likums” spēkā stāšanos ir paredzēts, ka </w:t>
            </w:r>
            <w:r w:rsidR="00DC7EC8">
              <w:rPr>
                <w:sz w:val="26"/>
                <w:szCs w:val="26"/>
              </w:rPr>
              <w:t>likuma „Par valsts un pašvaldību kapitāla daļām un kapitālsabiedrībām” regulējum</w:t>
            </w:r>
            <w:r w:rsidR="00B950AD">
              <w:rPr>
                <w:sz w:val="26"/>
                <w:szCs w:val="26"/>
              </w:rPr>
              <w:t xml:space="preserve">s </w:t>
            </w:r>
            <w:r w:rsidR="00C6341E">
              <w:rPr>
                <w:sz w:val="26"/>
                <w:szCs w:val="26"/>
              </w:rPr>
              <w:t>E sadaļas “Valsts un pašvaldības akciju sabiedrība”</w:t>
            </w:r>
            <w:r w:rsidR="00DC7EC8">
              <w:rPr>
                <w:sz w:val="26"/>
                <w:szCs w:val="26"/>
              </w:rPr>
              <w:t xml:space="preserve"> </w:t>
            </w:r>
            <w:r w:rsidR="00C6341E">
              <w:rPr>
                <w:sz w:val="26"/>
                <w:szCs w:val="26"/>
              </w:rPr>
              <w:t xml:space="preserve">IV nodaļā “To valsts un pašvaldību akciju sabiedrību organizatoriskā struktūra, kuras darbojas kā kredītiestāde, ieguldījumu pārvaldes sabiedrība vai finanšu iestāde Kredītiestāžu likuma izpratnē” zaudēs spēku. </w:t>
            </w:r>
          </w:p>
        </w:tc>
      </w:tr>
      <w:tr w:rsidR="00262E2B" w:rsidRPr="00045B81">
        <w:trPr>
          <w:trHeight w:val="472"/>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2.</w:t>
            </w:r>
          </w:p>
        </w:tc>
        <w:tc>
          <w:tcPr>
            <w:tcW w:w="4315" w:type="dxa"/>
          </w:tcPr>
          <w:p w:rsidR="00D543DB" w:rsidRPr="00045B81" w:rsidRDefault="00262E2B" w:rsidP="006C4607">
            <w:pPr>
              <w:pStyle w:val="naiskr"/>
              <w:tabs>
                <w:tab w:val="left" w:pos="170"/>
              </w:tabs>
              <w:spacing w:before="0" w:after="0"/>
              <w:rPr>
                <w:sz w:val="26"/>
                <w:szCs w:val="26"/>
              </w:rPr>
            </w:pPr>
            <w:r w:rsidRPr="00045B81">
              <w:rPr>
                <w:sz w:val="26"/>
                <w:szCs w:val="26"/>
              </w:rPr>
              <w:t>Pašreizējā situācija</w:t>
            </w:r>
            <w:r w:rsidR="001F5CD6" w:rsidRPr="00045B81">
              <w:rPr>
                <w:sz w:val="26"/>
                <w:szCs w:val="26"/>
              </w:rPr>
              <w:t xml:space="preserve"> un problēmas</w:t>
            </w:r>
            <w:r w:rsidR="00DC7EC8">
              <w:rPr>
                <w:sz w:val="26"/>
                <w:szCs w:val="26"/>
              </w:rPr>
              <w:t>, kuru risināšanai tiesību akta projekts izstrādāts, tiesiskā regulējuma mērķis un būtība</w:t>
            </w:r>
            <w:r w:rsidR="001B71CD" w:rsidRPr="00045B81">
              <w:rPr>
                <w:sz w:val="26"/>
                <w:szCs w:val="26"/>
              </w:rPr>
              <w:t xml:space="preserve"> </w:t>
            </w:r>
          </w:p>
          <w:p w:rsidR="00D543DB" w:rsidRPr="00045B81" w:rsidRDefault="00D543DB" w:rsidP="00D543DB">
            <w:pPr>
              <w:rPr>
                <w:sz w:val="26"/>
                <w:szCs w:val="26"/>
              </w:rPr>
            </w:pPr>
          </w:p>
          <w:p w:rsidR="00D543DB" w:rsidRPr="00045B81" w:rsidRDefault="00D543DB" w:rsidP="00D543DB">
            <w:pPr>
              <w:rPr>
                <w:sz w:val="26"/>
                <w:szCs w:val="26"/>
              </w:rPr>
            </w:pPr>
          </w:p>
          <w:p w:rsidR="00262E2B" w:rsidRPr="00045B81" w:rsidRDefault="00262E2B" w:rsidP="00D543DB">
            <w:pPr>
              <w:ind w:firstLine="720"/>
              <w:rPr>
                <w:sz w:val="26"/>
                <w:szCs w:val="26"/>
              </w:rPr>
            </w:pPr>
          </w:p>
        </w:tc>
        <w:tc>
          <w:tcPr>
            <w:tcW w:w="4860" w:type="dxa"/>
          </w:tcPr>
          <w:p w:rsidR="00C6341E" w:rsidRDefault="00997609" w:rsidP="00997609">
            <w:pPr>
              <w:spacing w:before="120" w:after="120"/>
              <w:jc w:val="both"/>
              <w:rPr>
                <w:sz w:val="26"/>
                <w:szCs w:val="26"/>
              </w:rPr>
            </w:pPr>
            <w:r>
              <w:rPr>
                <w:sz w:val="26"/>
                <w:szCs w:val="26"/>
              </w:rPr>
              <w:t xml:space="preserve">Pašreizējā situācijā </w:t>
            </w:r>
            <w:r w:rsidR="00B20FD0">
              <w:rPr>
                <w:sz w:val="26"/>
                <w:szCs w:val="26"/>
              </w:rPr>
              <w:t xml:space="preserve">valsts </w:t>
            </w:r>
            <w:r>
              <w:rPr>
                <w:sz w:val="26"/>
                <w:szCs w:val="26"/>
              </w:rPr>
              <w:t xml:space="preserve">kapitālsabiedrību </w:t>
            </w:r>
            <w:r w:rsidR="00C6341E">
              <w:rPr>
                <w:sz w:val="26"/>
                <w:szCs w:val="26"/>
              </w:rPr>
              <w:t xml:space="preserve"> likuma „Par valsts un pašvaldību kapitāla daļām un kapitālsabiedrībām” regulējums E sadaļas “Valsts un pašvaldības akciju sabiedrība” IV nodaļā “To valsts un pašvaldību akciju sabiedrību organizatoriskā struktūra, kuras darbojas kā kredītiestāde, ieguldījumu pārvaldes sabiedrība vai finanšu iestāde Kredītiestāžu likuma izpratnē” attiecas uz ierobežotu loku valsts akciju sabiedrību, kuras darbojas kā kredītiestādes, ieguldījumu pārvaldes sabiedrības vai finanšu iestādes Kredītiestāžu likuma izpratnē. Tās ir AFI, LAF un </w:t>
            </w:r>
            <w:proofErr w:type="spellStart"/>
            <w:r w:rsidR="00C6341E">
              <w:rPr>
                <w:sz w:val="26"/>
                <w:szCs w:val="26"/>
              </w:rPr>
              <w:t>Altum</w:t>
            </w:r>
            <w:proofErr w:type="spellEnd"/>
            <w:r w:rsidR="00C6341E">
              <w:rPr>
                <w:sz w:val="26"/>
                <w:szCs w:val="26"/>
              </w:rPr>
              <w:t>, kuru darbību pēc šo valsts akciju sabiedrību reorganizācijas pabeigšanas regulēs likumprojekta “Attīstības finanšu institūcijas likums”</w:t>
            </w:r>
            <w:r w:rsidR="005C6284">
              <w:rPr>
                <w:sz w:val="26"/>
                <w:szCs w:val="26"/>
              </w:rPr>
              <w:t xml:space="preserve"> normas, pēc LAF un </w:t>
            </w:r>
            <w:proofErr w:type="spellStart"/>
            <w:r w:rsidR="005C6284">
              <w:rPr>
                <w:sz w:val="26"/>
                <w:szCs w:val="26"/>
              </w:rPr>
              <w:t>Altum</w:t>
            </w:r>
            <w:proofErr w:type="spellEnd"/>
            <w:r w:rsidR="005C6284">
              <w:rPr>
                <w:sz w:val="26"/>
                <w:szCs w:val="26"/>
              </w:rPr>
              <w:t xml:space="preserve"> pievienošanas AFI. </w:t>
            </w:r>
          </w:p>
          <w:p w:rsidR="008E744B" w:rsidRPr="00045B81" w:rsidRDefault="00FE619C" w:rsidP="00FE619C">
            <w:pPr>
              <w:spacing w:before="120" w:after="120"/>
              <w:jc w:val="both"/>
              <w:rPr>
                <w:sz w:val="26"/>
                <w:szCs w:val="26"/>
              </w:rPr>
            </w:pPr>
            <w:r>
              <w:rPr>
                <w:sz w:val="26"/>
                <w:szCs w:val="26"/>
              </w:rPr>
              <w:t xml:space="preserve">Esošā normatīvā regulējuma izmaiņas nodrošinās </w:t>
            </w:r>
            <w:r w:rsidR="005C6284">
              <w:rPr>
                <w:sz w:val="26"/>
                <w:szCs w:val="26"/>
              </w:rPr>
              <w:t>Ministru kabineta 2014.gada 29.jūlija l</w:t>
            </w:r>
            <w:r>
              <w:rPr>
                <w:sz w:val="26"/>
                <w:szCs w:val="26"/>
              </w:rPr>
              <w:t>ēmumu izpildi atbilstoši</w:t>
            </w:r>
            <w:r w:rsidR="005C6284">
              <w:rPr>
                <w:sz w:val="26"/>
                <w:szCs w:val="26"/>
              </w:rPr>
              <w:t xml:space="preserve"> Ministru kabineta 2014.gada 29.jūlija protokol</w:t>
            </w:r>
            <w:r>
              <w:rPr>
                <w:sz w:val="26"/>
                <w:szCs w:val="26"/>
              </w:rPr>
              <w:t>a</w:t>
            </w:r>
            <w:r w:rsidR="005C6284">
              <w:rPr>
                <w:sz w:val="26"/>
                <w:szCs w:val="26"/>
              </w:rPr>
              <w:t xml:space="preserve"> Nr.41, 32.§.</w:t>
            </w:r>
            <w:r>
              <w:rPr>
                <w:sz w:val="26"/>
                <w:szCs w:val="26"/>
              </w:rPr>
              <w:t xml:space="preserve"> 4. un 5.punktā noteiktajam.</w:t>
            </w:r>
            <w:r w:rsidR="008E744B">
              <w:rPr>
                <w:sz w:val="26"/>
                <w:szCs w:val="26"/>
              </w:rPr>
              <w:t xml:space="preserve"> </w:t>
            </w:r>
          </w:p>
        </w:tc>
      </w:tr>
      <w:tr w:rsidR="00262E2B" w:rsidRPr="00045B81">
        <w:trPr>
          <w:trHeight w:val="1071"/>
        </w:trPr>
        <w:tc>
          <w:tcPr>
            <w:tcW w:w="550" w:type="dxa"/>
          </w:tcPr>
          <w:p w:rsidR="00262E2B" w:rsidRPr="00045B81" w:rsidRDefault="00262E2B" w:rsidP="006C4607">
            <w:pPr>
              <w:pStyle w:val="naiskr"/>
              <w:spacing w:before="0" w:after="0"/>
              <w:rPr>
                <w:sz w:val="26"/>
                <w:szCs w:val="26"/>
              </w:rPr>
            </w:pPr>
            <w:r w:rsidRPr="00045B81">
              <w:rPr>
                <w:sz w:val="26"/>
                <w:szCs w:val="26"/>
              </w:rPr>
              <w:t>3.</w:t>
            </w:r>
          </w:p>
        </w:tc>
        <w:tc>
          <w:tcPr>
            <w:tcW w:w="4315" w:type="dxa"/>
          </w:tcPr>
          <w:p w:rsidR="00262E2B" w:rsidRPr="00045B81" w:rsidRDefault="00DC7EC8" w:rsidP="006C4607">
            <w:pPr>
              <w:pStyle w:val="naiskr"/>
              <w:spacing w:before="0" w:after="0"/>
              <w:rPr>
                <w:sz w:val="26"/>
                <w:szCs w:val="26"/>
              </w:rPr>
            </w:pPr>
            <w:r>
              <w:rPr>
                <w:sz w:val="26"/>
                <w:szCs w:val="26"/>
              </w:rPr>
              <w:t>Projekta izstrādē iesaistītās institūcijas</w:t>
            </w:r>
          </w:p>
        </w:tc>
        <w:tc>
          <w:tcPr>
            <w:tcW w:w="4860" w:type="dxa"/>
          </w:tcPr>
          <w:p w:rsidR="00D20FF4" w:rsidRPr="00045B81" w:rsidRDefault="00997609" w:rsidP="006C4607">
            <w:pPr>
              <w:pStyle w:val="FootnoteText"/>
              <w:rPr>
                <w:sz w:val="26"/>
                <w:szCs w:val="26"/>
              </w:rPr>
            </w:pPr>
            <w:r>
              <w:rPr>
                <w:sz w:val="26"/>
                <w:szCs w:val="26"/>
              </w:rPr>
              <w:t xml:space="preserve">Nav. </w:t>
            </w:r>
          </w:p>
        </w:tc>
      </w:tr>
      <w:tr w:rsidR="00262E2B" w:rsidRPr="00045B81">
        <w:tc>
          <w:tcPr>
            <w:tcW w:w="550" w:type="dxa"/>
          </w:tcPr>
          <w:p w:rsidR="00262E2B" w:rsidRPr="00045B81" w:rsidRDefault="00997609" w:rsidP="006C4607">
            <w:pPr>
              <w:pStyle w:val="naiskr"/>
              <w:spacing w:before="0" w:after="0"/>
              <w:rPr>
                <w:sz w:val="26"/>
                <w:szCs w:val="26"/>
              </w:rPr>
            </w:pPr>
            <w:r>
              <w:rPr>
                <w:sz w:val="26"/>
                <w:szCs w:val="26"/>
              </w:rPr>
              <w:t>4</w:t>
            </w:r>
            <w:r w:rsidR="00262E2B" w:rsidRPr="00045B81">
              <w:rPr>
                <w:sz w:val="26"/>
                <w:szCs w:val="26"/>
              </w:rPr>
              <w:t>.</w:t>
            </w:r>
          </w:p>
        </w:tc>
        <w:tc>
          <w:tcPr>
            <w:tcW w:w="4315" w:type="dxa"/>
          </w:tcPr>
          <w:p w:rsidR="00262E2B" w:rsidRPr="00045B81" w:rsidRDefault="00262E2B" w:rsidP="006C4607">
            <w:pPr>
              <w:pStyle w:val="naiskr"/>
              <w:spacing w:before="0" w:after="0"/>
              <w:rPr>
                <w:sz w:val="26"/>
                <w:szCs w:val="26"/>
              </w:rPr>
            </w:pPr>
            <w:r w:rsidRPr="00045B81">
              <w:rPr>
                <w:sz w:val="26"/>
                <w:szCs w:val="26"/>
              </w:rPr>
              <w:t>Cita informācija</w:t>
            </w:r>
          </w:p>
        </w:tc>
        <w:tc>
          <w:tcPr>
            <w:tcW w:w="4860" w:type="dxa"/>
          </w:tcPr>
          <w:p w:rsidR="00262E2B" w:rsidRPr="00045B81" w:rsidRDefault="001B71CD" w:rsidP="006C4607">
            <w:pPr>
              <w:pStyle w:val="naiskr"/>
              <w:spacing w:before="0" w:after="0"/>
              <w:rPr>
                <w:sz w:val="26"/>
                <w:szCs w:val="26"/>
              </w:rPr>
            </w:pPr>
            <w:r w:rsidRPr="00045B81">
              <w:rPr>
                <w:sz w:val="26"/>
                <w:szCs w:val="26"/>
              </w:rPr>
              <w:t>Nav.</w:t>
            </w:r>
          </w:p>
        </w:tc>
      </w:tr>
    </w:tbl>
    <w:p w:rsidR="00FB42BB" w:rsidRDefault="00FB42BB" w:rsidP="00A27EDB">
      <w:pPr>
        <w:pStyle w:val="naisf"/>
        <w:spacing w:before="0" w:after="0"/>
        <w:ind w:firstLine="0"/>
        <w:rPr>
          <w:sz w:val="26"/>
          <w:szCs w:val="26"/>
        </w:rPr>
      </w:pPr>
    </w:p>
    <w:p w:rsidR="00FB42BB" w:rsidRPr="00045B81" w:rsidRDefault="00FB42BB" w:rsidP="00A27EDB">
      <w:pPr>
        <w:pStyle w:val="naisf"/>
        <w:spacing w:before="0" w:after="0"/>
        <w:ind w:firstLine="0"/>
        <w:rPr>
          <w:sz w:val="26"/>
          <w:szCs w:val="26"/>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045B81">
        <w:tc>
          <w:tcPr>
            <w:tcW w:w="9905" w:type="dxa"/>
            <w:gridSpan w:val="3"/>
            <w:vAlign w:val="center"/>
          </w:tcPr>
          <w:p w:rsidR="0062298A" w:rsidRPr="00045B81" w:rsidRDefault="0062298A" w:rsidP="006C4607">
            <w:pPr>
              <w:pStyle w:val="naisnod"/>
              <w:spacing w:before="0" w:after="0"/>
              <w:rPr>
                <w:sz w:val="26"/>
                <w:szCs w:val="26"/>
              </w:rPr>
            </w:pPr>
            <w:r w:rsidRPr="00045B81">
              <w:rPr>
                <w:sz w:val="26"/>
                <w:szCs w:val="26"/>
              </w:rPr>
              <w:t>II</w:t>
            </w:r>
            <w:r w:rsidR="000941C5" w:rsidRPr="00045B81">
              <w:rPr>
                <w:sz w:val="26"/>
                <w:szCs w:val="26"/>
              </w:rPr>
              <w:t>.</w:t>
            </w:r>
            <w:r w:rsidRPr="00045B81">
              <w:rPr>
                <w:sz w:val="26"/>
                <w:szCs w:val="26"/>
              </w:rPr>
              <w:t xml:space="preserve"> Tiesību akta projekta ietekme uz sabiedrību</w:t>
            </w:r>
            <w:r w:rsidR="00610833">
              <w:rPr>
                <w:sz w:val="26"/>
                <w:szCs w:val="26"/>
              </w:rPr>
              <w:t>, tautsaimniecības attīstību un administratīvo slogu</w:t>
            </w:r>
          </w:p>
        </w:tc>
      </w:tr>
      <w:tr w:rsidR="0062298A" w:rsidRPr="00045B81">
        <w:trPr>
          <w:trHeight w:val="467"/>
        </w:trPr>
        <w:tc>
          <w:tcPr>
            <w:tcW w:w="550" w:type="dxa"/>
          </w:tcPr>
          <w:p w:rsidR="0062298A" w:rsidRPr="00045B81" w:rsidRDefault="0062298A" w:rsidP="006C4607">
            <w:pPr>
              <w:pStyle w:val="naiskr"/>
              <w:spacing w:before="0" w:after="0"/>
              <w:rPr>
                <w:sz w:val="26"/>
                <w:szCs w:val="26"/>
              </w:rPr>
            </w:pPr>
            <w:r w:rsidRPr="00045B81">
              <w:rPr>
                <w:sz w:val="26"/>
                <w:szCs w:val="26"/>
              </w:rPr>
              <w:lastRenderedPageBreak/>
              <w:t>1.</w:t>
            </w:r>
          </w:p>
        </w:tc>
        <w:tc>
          <w:tcPr>
            <w:tcW w:w="4855" w:type="dxa"/>
          </w:tcPr>
          <w:p w:rsidR="0062298A" w:rsidRPr="00045B81" w:rsidRDefault="00C27A08" w:rsidP="006C4607">
            <w:pPr>
              <w:pStyle w:val="naiskr"/>
              <w:spacing w:before="0" w:after="0"/>
              <w:rPr>
                <w:sz w:val="26"/>
                <w:szCs w:val="26"/>
              </w:rPr>
            </w:pPr>
            <w:r w:rsidRPr="00045B81">
              <w:rPr>
                <w:sz w:val="26"/>
                <w:szCs w:val="26"/>
              </w:rPr>
              <w:t xml:space="preserve">Sabiedrības </w:t>
            </w:r>
            <w:proofErr w:type="spellStart"/>
            <w:r w:rsidRPr="00045B81">
              <w:rPr>
                <w:sz w:val="26"/>
                <w:szCs w:val="26"/>
              </w:rPr>
              <w:t>mērķgrupa</w:t>
            </w:r>
            <w:r w:rsidR="00610833">
              <w:rPr>
                <w:sz w:val="26"/>
                <w:szCs w:val="26"/>
              </w:rPr>
              <w:t>s</w:t>
            </w:r>
            <w:proofErr w:type="spellEnd"/>
            <w:r w:rsidR="00610833">
              <w:rPr>
                <w:sz w:val="26"/>
                <w:szCs w:val="26"/>
              </w:rPr>
              <w:t>, kuras tiesiskais regulējums ietekmē vai varētu ietekmēt</w:t>
            </w:r>
          </w:p>
        </w:tc>
        <w:tc>
          <w:tcPr>
            <w:tcW w:w="4500" w:type="dxa"/>
          </w:tcPr>
          <w:p w:rsidR="00A75E7F" w:rsidRPr="00045B81" w:rsidRDefault="004E3970" w:rsidP="0015279E">
            <w:pPr>
              <w:pStyle w:val="naiskr"/>
              <w:spacing w:before="120" w:after="120"/>
              <w:jc w:val="both"/>
              <w:rPr>
                <w:iCs/>
                <w:sz w:val="26"/>
                <w:szCs w:val="26"/>
              </w:rPr>
            </w:pPr>
            <w:r>
              <w:rPr>
                <w:iCs/>
                <w:sz w:val="26"/>
                <w:szCs w:val="26"/>
              </w:rPr>
              <w:t>Kapitālsabiedrības, kurās valstij pieder 100% akciju</w:t>
            </w:r>
            <w:r w:rsidR="0015279E">
              <w:rPr>
                <w:iCs/>
                <w:sz w:val="26"/>
                <w:szCs w:val="26"/>
              </w:rPr>
              <w:t xml:space="preserve">- </w:t>
            </w:r>
            <w:r>
              <w:rPr>
                <w:iCs/>
                <w:sz w:val="26"/>
                <w:szCs w:val="26"/>
              </w:rPr>
              <w:t xml:space="preserve"> </w:t>
            </w:r>
            <w:r w:rsidR="0015279E">
              <w:rPr>
                <w:iCs/>
                <w:sz w:val="26"/>
                <w:szCs w:val="26"/>
              </w:rPr>
              <w:t xml:space="preserve">AFI, </w:t>
            </w:r>
            <w:proofErr w:type="spellStart"/>
            <w:r w:rsidR="0015279E">
              <w:rPr>
                <w:iCs/>
                <w:sz w:val="26"/>
                <w:szCs w:val="26"/>
              </w:rPr>
              <w:t>Altum</w:t>
            </w:r>
            <w:proofErr w:type="spellEnd"/>
            <w:r w:rsidR="0015279E">
              <w:rPr>
                <w:iCs/>
                <w:sz w:val="26"/>
                <w:szCs w:val="26"/>
              </w:rPr>
              <w:t xml:space="preserve"> un LAF, kas pēc reorganizācijas uzsāks darbu kā valsts akciju sabiedrība AFI.</w:t>
            </w:r>
          </w:p>
        </w:tc>
      </w:tr>
      <w:tr w:rsidR="0062298A" w:rsidRPr="00045B81">
        <w:trPr>
          <w:trHeight w:val="523"/>
        </w:trPr>
        <w:tc>
          <w:tcPr>
            <w:tcW w:w="550" w:type="dxa"/>
          </w:tcPr>
          <w:p w:rsidR="0062298A" w:rsidRPr="00045B81" w:rsidRDefault="0062298A" w:rsidP="006C4607">
            <w:pPr>
              <w:pStyle w:val="naiskr"/>
              <w:spacing w:before="0" w:after="0"/>
              <w:rPr>
                <w:sz w:val="26"/>
                <w:szCs w:val="26"/>
              </w:rPr>
            </w:pPr>
            <w:r w:rsidRPr="00045B81">
              <w:rPr>
                <w:sz w:val="26"/>
                <w:szCs w:val="26"/>
              </w:rPr>
              <w:t>2.</w:t>
            </w:r>
          </w:p>
        </w:tc>
        <w:tc>
          <w:tcPr>
            <w:tcW w:w="4855" w:type="dxa"/>
          </w:tcPr>
          <w:p w:rsidR="00C1133D" w:rsidRPr="00045B81" w:rsidRDefault="007C414F" w:rsidP="006C4607">
            <w:pPr>
              <w:pStyle w:val="naiskr"/>
              <w:spacing w:before="0" w:after="0"/>
              <w:rPr>
                <w:sz w:val="26"/>
                <w:szCs w:val="26"/>
              </w:rPr>
            </w:pPr>
            <w:r>
              <w:rPr>
                <w:sz w:val="26"/>
                <w:szCs w:val="26"/>
              </w:rPr>
              <w:t>Tiesiskā regulējuma ietekme uz tautsaimniecību un administratīvo slogu</w:t>
            </w:r>
          </w:p>
        </w:tc>
        <w:tc>
          <w:tcPr>
            <w:tcW w:w="4500" w:type="dxa"/>
          </w:tcPr>
          <w:p w:rsidR="007C78FD" w:rsidRDefault="007C414F" w:rsidP="00102DD8">
            <w:pPr>
              <w:pStyle w:val="naiskr"/>
              <w:spacing w:before="0" w:after="0"/>
              <w:jc w:val="both"/>
              <w:rPr>
                <w:sz w:val="26"/>
                <w:szCs w:val="26"/>
              </w:rPr>
            </w:pPr>
            <w:r>
              <w:rPr>
                <w:sz w:val="26"/>
                <w:szCs w:val="26"/>
              </w:rPr>
              <w:t xml:space="preserve">Grozījumi esošajā normatīvajā regulējumā nodrošinās pozitīvu ietekmi uz </w:t>
            </w:r>
            <w:r w:rsidR="00102DD8">
              <w:rPr>
                <w:sz w:val="26"/>
                <w:szCs w:val="26"/>
              </w:rPr>
              <w:t>t</w:t>
            </w:r>
            <w:r>
              <w:rPr>
                <w:sz w:val="26"/>
                <w:szCs w:val="26"/>
              </w:rPr>
              <w:t xml:space="preserve">autsaimniecību un </w:t>
            </w:r>
            <w:r w:rsidR="00102DD8">
              <w:rPr>
                <w:sz w:val="26"/>
                <w:szCs w:val="26"/>
              </w:rPr>
              <w:t xml:space="preserve">mazinās administratīvo slogu, jo ir paredzēts optimizēt to esošo atbalsta sniegšanas institūciju struktūru, kuras īsteno valsts atbalsta un attīstības programmas finanšu instrumentu veidā. </w:t>
            </w:r>
          </w:p>
          <w:p w:rsidR="007C78FD" w:rsidRPr="00045B81" w:rsidRDefault="007C78FD" w:rsidP="0015279E">
            <w:pPr>
              <w:pStyle w:val="naiskr"/>
              <w:spacing w:before="0" w:after="0"/>
              <w:jc w:val="both"/>
              <w:rPr>
                <w:sz w:val="26"/>
                <w:szCs w:val="26"/>
              </w:rPr>
            </w:pPr>
            <w:r>
              <w:rPr>
                <w:sz w:val="26"/>
                <w:szCs w:val="26"/>
              </w:rPr>
              <w:t xml:space="preserve">Sakarā ar to, ka valsts kapitālsabiedrības (kapitālsabiedrības, kurās valstij pieder 100% kapitāla daļu vai akciju) </w:t>
            </w:r>
            <w:r>
              <w:t xml:space="preserve"> s</w:t>
            </w:r>
            <w:r w:rsidRPr="007C78FD">
              <w:rPr>
                <w:sz w:val="26"/>
                <w:szCs w:val="26"/>
              </w:rPr>
              <w:t>askaņā ar institūciju sektoru klasifikāciju atbilstoši Eiropas nacionālo un reģionālo kontu klasifikācijas sistēmai ESA 95</w:t>
            </w:r>
            <w:r w:rsidR="00102DD8">
              <w:rPr>
                <w:sz w:val="26"/>
                <w:szCs w:val="26"/>
              </w:rPr>
              <w:t xml:space="preserve"> </w:t>
            </w:r>
            <w:r>
              <w:rPr>
                <w:sz w:val="26"/>
                <w:szCs w:val="26"/>
              </w:rPr>
              <w:t>darbojas publiskajā sektorā, valsts kapitālsabiedrīb</w:t>
            </w:r>
            <w:r w:rsidR="0015279E">
              <w:rPr>
                <w:sz w:val="26"/>
                <w:szCs w:val="26"/>
              </w:rPr>
              <w:t xml:space="preserve">u </w:t>
            </w:r>
            <w:r>
              <w:rPr>
                <w:sz w:val="26"/>
                <w:szCs w:val="26"/>
              </w:rPr>
              <w:t xml:space="preserve"> </w:t>
            </w:r>
            <w:r w:rsidR="0015279E">
              <w:rPr>
                <w:sz w:val="26"/>
                <w:szCs w:val="26"/>
              </w:rPr>
              <w:t xml:space="preserve">reorganizācija </w:t>
            </w:r>
            <w:r>
              <w:rPr>
                <w:sz w:val="26"/>
                <w:szCs w:val="26"/>
              </w:rPr>
              <w:t xml:space="preserve">neietekmēs kopējo valsts saistību apmēru.  </w:t>
            </w:r>
          </w:p>
        </w:tc>
      </w:tr>
      <w:tr w:rsidR="0062298A" w:rsidRPr="00045B81">
        <w:trPr>
          <w:trHeight w:val="517"/>
        </w:trPr>
        <w:tc>
          <w:tcPr>
            <w:tcW w:w="550" w:type="dxa"/>
          </w:tcPr>
          <w:p w:rsidR="0062298A" w:rsidRPr="00045B81" w:rsidRDefault="0062298A" w:rsidP="006C4607">
            <w:pPr>
              <w:pStyle w:val="naiskr"/>
              <w:spacing w:before="0" w:after="0"/>
              <w:rPr>
                <w:sz w:val="26"/>
                <w:szCs w:val="26"/>
              </w:rPr>
            </w:pPr>
            <w:r w:rsidRPr="00045B81">
              <w:rPr>
                <w:sz w:val="26"/>
                <w:szCs w:val="26"/>
              </w:rPr>
              <w:t>3.</w:t>
            </w:r>
          </w:p>
        </w:tc>
        <w:tc>
          <w:tcPr>
            <w:tcW w:w="4855" w:type="dxa"/>
          </w:tcPr>
          <w:p w:rsidR="00C1133D" w:rsidRPr="00045B81" w:rsidRDefault="00102DD8" w:rsidP="006C4607">
            <w:pPr>
              <w:pStyle w:val="naiskr"/>
              <w:spacing w:before="0" w:after="0"/>
              <w:rPr>
                <w:sz w:val="26"/>
                <w:szCs w:val="26"/>
              </w:rPr>
            </w:pPr>
            <w:r>
              <w:rPr>
                <w:sz w:val="26"/>
                <w:szCs w:val="26"/>
              </w:rPr>
              <w:t>Administratīvo izmaksu monetārs novērtējums</w:t>
            </w:r>
          </w:p>
        </w:tc>
        <w:tc>
          <w:tcPr>
            <w:tcW w:w="4500" w:type="dxa"/>
          </w:tcPr>
          <w:p w:rsidR="0062298A" w:rsidRPr="00045B81" w:rsidRDefault="00102DD8" w:rsidP="005C6284">
            <w:pPr>
              <w:pStyle w:val="naiskr"/>
              <w:spacing w:before="120" w:after="120"/>
              <w:jc w:val="both"/>
              <w:rPr>
                <w:sz w:val="26"/>
                <w:szCs w:val="26"/>
              </w:rPr>
            </w:pPr>
            <w:r w:rsidRPr="00102DD8">
              <w:rPr>
                <w:sz w:val="26"/>
                <w:szCs w:val="26"/>
              </w:rPr>
              <w:t>Grozījumi esošajā normatīvajā regulējumā</w:t>
            </w:r>
            <w:r>
              <w:rPr>
                <w:sz w:val="26"/>
                <w:szCs w:val="26"/>
              </w:rPr>
              <w:t xml:space="preserve"> neparedz papildu administratīvās izmaksas un neradīs papildu slogu valsts budžetam</w:t>
            </w:r>
            <w:r w:rsidR="0015279E">
              <w:rPr>
                <w:sz w:val="26"/>
                <w:szCs w:val="26"/>
              </w:rPr>
              <w:t xml:space="preserve">, jo izstrādātais jaunais normatīvais regulējums- likumprojekts “Attīstības finanšu institūcijas likums” aizstās esošo normatīvo regulējumu, kurā ir paredzēts veikt grozījumus ar </w:t>
            </w:r>
            <w:r w:rsidR="005C6284">
              <w:rPr>
                <w:sz w:val="26"/>
                <w:szCs w:val="26"/>
              </w:rPr>
              <w:t xml:space="preserve">Finanšu ministrijas izstrādāto likumprojektu </w:t>
            </w:r>
            <w:r w:rsidR="005C6284" w:rsidRPr="005C6284">
              <w:rPr>
                <w:sz w:val="26"/>
                <w:szCs w:val="26"/>
              </w:rPr>
              <w:t>"Grozījums likumā par valsts un pašvaldību kapitāla daļām un kapitālsabiedrībām"</w:t>
            </w:r>
            <w:r w:rsidR="005C6284">
              <w:rPr>
                <w:sz w:val="26"/>
                <w:szCs w:val="26"/>
              </w:rPr>
              <w:t>.</w:t>
            </w:r>
          </w:p>
        </w:tc>
      </w:tr>
      <w:tr w:rsidR="0062298A" w:rsidRPr="00045B81">
        <w:tc>
          <w:tcPr>
            <w:tcW w:w="550" w:type="dxa"/>
          </w:tcPr>
          <w:p w:rsidR="0062298A" w:rsidRPr="00045B81" w:rsidRDefault="00102DD8" w:rsidP="006C4607">
            <w:pPr>
              <w:pStyle w:val="naiskr"/>
              <w:spacing w:before="0" w:after="0"/>
              <w:rPr>
                <w:sz w:val="26"/>
                <w:szCs w:val="26"/>
              </w:rPr>
            </w:pPr>
            <w:r>
              <w:rPr>
                <w:sz w:val="26"/>
                <w:szCs w:val="26"/>
              </w:rPr>
              <w:t>4</w:t>
            </w:r>
            <w:r w:rsidR="0062298A" w:rsidRPr="00045B81">
              <w:rPr>
                <w:sz w:val="26"/>
                <w:szCs w:val="26"/>
              </w:rPr>
              <w:t>.</w:t>
            </w:r>
          </w:p>
        </w:tc>
        <w:tc>
          <w:tcPr>
            <w:tcW w:w="4855" w:type="dxa"/>
          </w:tcPr>
          <w:p w:rsidR="0062298A" w:rsidRPr="00045B81" w:rsidRDefault="009E12D7" w:rsidP="006C4607">
            <w:pPr>
              <w:pStyle w:val="naiskr"/>
              <w:spacing w:before="0" w:after="0"/>
              <w:rPr>
                <w:sz w:val="26"/>
                <w:szCs w:val="26"/>
              </w:rPr>
            </w:pPr>
            <w:r w:rsidRPr="00045B81">
              <w:rPr>
                <w:sz w:val="26"/>
                <w:szCs w:val="26"/>
              </w:rPr>
              <w:t>Cita informācija</w:t>
            </w:r>
          </w:p>
        </w:tc>
        <w:tc>
          <w:tcPr>
            <w:tcW w:w="4500" w:type="dxa"/>
          </w:tcPr>
          <w:p w:rsidR="0062298A" w:rsidRPr="00045B81" w:rsidRDefault="001B71CD" w:rsidP="006C4607">
            <w:pPr>
              <w:pStyle w:val="naiskr"/>
              <w:spacing w:before="0" w:after="0"/>
              <w:rPr>
                <w:sz w:val="26"/>
                <w:szCs w:val="26"/>
              </w:rPr>
            </w:pPr>
            <w:r w:rsidRPr="00045B81">
              <w:rPr>
                <w:sz w:val="26"/>
                <w:szCs w:val="26"/>
              </w:rPr>
              <w:t>Nav</w:t>
            </w:r>
            <w:r w:rsidR="00102DD8">
              <w:rPr>
                <w:sz w:val="26"/>
                <w:szCs w:val="26"/>
              </w:rPr>
              <w:t>.</w:t>
            </w:r>
          </w:p>
        </w:tc>
      </w:tr>
    </w:tbl>
    <w:p w:rsidR="00F52382" w:rsidRDefault="00F52382" w:rsidP="005C5EDC">
      <w:pPr>
        <w:pStyle w:val="naisf"/>
        <w:spacing w:before="0" w:after="0"/>
        <w:ind w:firstLine="0"/>
        <w:rPr>
          <w:sz w:val="26"/>
          <w:szCs w:val="26"/>
        </w:rPr>
      </w:pPr>
    </w:p>
    <w:p w:rsidR="005C4010" w:rsidRPr="00045B81" w:rsidRDefault="005C4010" w:rsidP="005C5EDC">
      <w:pPr>
        <w:pStyle w:val="naisf"/>
        <w:spacing w:before="0" w:after="0"/>
        <w:ind w:firstLine="0"/>
        <w:rPr>
          <w:sz w:val="26"/>
          <w:szCs w:val="26"/>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24F12" w:rsidRPr="00045B81" w:rsidTr="00A27EDB">
        <w:trPr>
          <w:trHeight w:val="410"/>
          <w:jc w:val="center"/>
        </w:trPr>
        <w:tc>
          <w:tcPr>
            <w:tcW w:w="10124" w:type="dxa"/>
          </w:tcPr>
          <w:p w:rsidR="00124F12" w:rsidRPr="00045B81" w:rsidRDefault="00124F12" w:rsidP="006C4607">
            <w:pPr>
              <w:pStyle w:val="naisnod"/>
              <w:spacing w:before="0" w:after="0"/>
              <w:rPr>
                <w:i/>
                <w:sz w:val="26"/>
                <w:szCs w:val="26"/>
              </w:rPr>
            </w:pPr>
            <w:r w:rsidRPr="00045B81">
              <w:rPr>
                <w:sz w:val="26"/>
                <w:szCs w:val="26"/>
              </w:rPr>
              <w:br w:type="page"/>
              <w:t>III</w:t>
            </w:r>
            <w:r w:rsidR="000941C5" w:rsidRPr="00045B81">
              <w:rPr>
                <w:sz w:val="26"/>
                <w:szCs w:val="26"/>
              </w:rPr>
              <w:t>.</w:t>
            </w:r>
            <w:r w:rsidRPr="00045B81">
              <w:rPr>
                <w:sz w:val="26"/>
                <w:szCs w:val="26"/>
              </w:rPr>
              <w:t xml:space="preserve"> Tiesību akta projekta ietekme uz valsts budžetu un pašvaldību budžetiem</w:t>
            </w:r>
          </w:p>
        </w:tc>
      </w:tr>
      <w:tr w:rsidR="00E66595" w:rsidRPr="00045B81" w:rsidTr="00045B81">
        <w:trPr>
          <w:trHeight w:val="462"/>
          <w:jc w:val="center"/>
        </w:trPr>
        <w:tc>
          <w:tcPr>
            <w:tcW w:w="10124" w:type="dxa"/>
          </w:tcPr>
          <w:p w:rsidR="00E66595" w:rsidRPr="00045B81" w:rsidRDefault="00E66595" w:rsidP="00191865">
            <w:pPr>
              <w:pStyle w:val="naisnod"/>
              <w:spacing w:before="0" w:after="0"/>
              <w:rPr>
                <w:b w:val="0"/>
                <w:sz w:val="26"/>
                <w:szCs w:val="26"/>
              </w:rPr>
            </w:pPr>
            <w:r w:rsidRPr="00045B81">
              <w:rPr>
                <w:b w:val="0"/>
                <w:sz w:val="26"/>
                <w:szCs w:val="26"/>
              </w:rPr>
              <w:t>Projekts šo jomu neskar.</w:t>
            </w:r>
          </w:p>
        </w:tc>
      </w:tr>
    </w:tbl>
    <w:p w:rsidR="00A718FC" w:rsidRDefault="00A718FC"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p w:rsidR="005C4010" w:rsidRPr="00045B81" w:rsidRDefault="005C4010" w:rsidP="006C4607">
      <w:pPr>
        <w:pStyle w:val="naiskr"/>
        <w:tabs>
          <w:tab w:val="left" w:pos="2628"/>
        </w:tabs>
        <w:spacing w:before="0" w:after="0"/>
        <w:rPr>
          <w:i/>
          <w:sz w:val="26"/>
          <w:szCs w:val="2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62"/>
        <w:gridCol w:w="5048"/>
      </w:tblGrid>
      <w:tr w:rsidR="00924023" w:rsidRPr="00045B81" w:rsidTr="000A325D">
        <w:trPr>
          <w:jc w:val="center"/>
        </w:trPr>
        <w:tc>
          <w:tcPr>
            <w:tcW w:w="10098" w:type="dxa"/>
            <w:gridSpan w:val="3"/>
          </w:tcPr>
          <w:p w:rsidR="00924023" w:rsidRPr="00045B81" w:rsidRDefault="00924023" w:rsidP="000A325D">
            <w:pPr>
              <w:pStyle w:val="naisnod"/>
              <w:spacing w:before="0" w:after="0"/>
              <w:rPr>
                <w:sz w:val="26"/>
                <w:szCs w:val="26"/>
              </w:rPr>
            </w:pPr>
            <w:r w:rsidRPr="00045B81">
              <w:rPr>
                <w:sz w:val="26"/>
                <w:szCs w:val="26"/>
              </w:rPr>
              <w:lastRenderedPageBreak/>
              <w:t>IV</w:t>
            </w:r>
            <w:r w:rsidR="000941C5" w:rsidRPr="00045B81">
              <w:rPr>
                <w:sz w:val="26"/>
                <w:szCs w:val="26"/>
              </w:rPr>
              <w:t>.</w:t>
            </w:r>
            <w:r w:rsidRPr="00045B81">
              <w:rPr>
                <w:sz w:val="26"/>
                <w:szCs w:val="26"/>
              </w:rPr>
              <w:t xml:space="preserve"> Tiesību akta projekta ietekme uz</w:t>
            </w:r>
            <w:r w:rsidR="005060A1" w:rsidRPr="00045B81">
              <w:rPr>
                <w:sz w:val="26"/>
                <w:szCs w:val="26"/>
              </w:rPr>
              <w:t xml:space="preserve"> </w:t>
            </w:r>
            <w:r w:rsidRPr="00045B81">
              <w:rPr>
                <w:sz w:val="26"/>
                <w:szCs w:val="26"/>
              </w:rPr>
              <w:t>spēkā esošo tiesību normu sistēmu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1.</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Nepieciešamie saistītie tiesību akt</w:t>
            </w:r>
            <w:r w:rsidR="00DD1020" w:rsidRPr="00045B81">
              <w:rPr>
                <w:sz w:val="26"/>
                <w:szCs w:val="26"/>
              </w:rPr>
              <w:t>u</w:t>
            </w:r>
            <w:r w:rsidRPr="00045B81">
              <w:rPr>
                <w:sz w:val="26"/>
                <w:szCs w:val="26"/>
              </w:rPr>
              <w:t xml:space="preserve"> projekti</w:t>
            </w:r>
          </w:p>
        </w:tc>
        <w:tc>
          <w:tcPr>
            <w:tcW w:w="5048" w:type="dxa"/>
          </w:tcPr>
          <w:p w:rsidR="00102DD8" w:rsidRPr="00D15C07" w:rsidRDefault="00B4661D" w:rsidP="005C6284">
            <w:pPr>
              <w:pStyle w:val="naiskr"/>
              <w:tabs>
                <w:tab w:val="left" w:pos="427"/>
                <w:tab w:val="left" w:pos="2628"/>
              </w:tabs>
              <w:spacing w:before="0" w:after="0"/>
              <w:ind w:left="1"/>
              <w:jc w:val="both"/>
              <w:rPr>
                <w:sz w:val="26"/>
                <w:szCs w:val="26"/>
              </w:rPr>
            </w:pPr>
            <w:r w:rsidRPr="00045B81">
              <w:rPr>
                <w:sz w:val="26"/>
                <w:szCs w:val="26"/>
              </w:rPr>
              <w:t xml:space="preserve">Lai nodrošinātu </w:t>
            </w:r>
            <w:r w:rsidR="00102DD8">
              <w:rPr>
                <w:sz w:val="26"/>
                <w:szCs w:val="26"/>
              </w:rPr>
              <w:t xml:space="preserve">grozījumu esošajā normatīvajā regulējumā </w:t>
            </w:r>
            <w:r w:rsidR="005C6284">
              <w:rPr>
                <w:sz w:val="26"/>
                <w:szCs w:val="26"/>
              </w:rPr>
              <w:t>stāšanos spēkā</w:t>
            </w:r>
            <w:r w:rsidR="00102DD8">
              <w:rPr>
                <w:sz w:val="26"/>
                <w:szCs w:val="26"/>
              </w:rPr>
              <w:t xml:space="preserve">, </w:t>
            </w:r>
            <w:r w:rsidR="00C832A6">
              <w:rPr>
                <w:sz w:val="26"/>
                <w:szCs w:val="26"/>
              </w:rPr>
              <w:t xml:space="preserve">papildus likumprojektam </w:t>
            </w:r>
            <w:r w:rsidR="00C832A6" w:rsidRPr="00C832A6">
              <w:rPr>
                <w:sz w:val="26"/>
                <w:szCs w:val="26"/>
              </w:rPr>
              <w:t>"Grozījum</w:t>
            </w:r>
            <w:r w:rsidR="005C6284">
              <w:rPr>
                <w:sz w:val="26"/>
                <w:szCs w:val="26"/>
              </w:rPr>
              <w:t>s</w:t>
            </w:r>
            <w:r w:rsidR="00C832A6" w:rsidRPr="00C832A6">
              <w:rPr>
                <w:sz w:val="26"/>
                <w:szCs w:val="26"/>
              </w:rPr>
              <w:t xml:space="preserve"> likumā par valsts un pašvaldību kapitālsabiedrībām"</w:t>
            </w:r>
            <w:r w:rsidR="00C832A6">
              <w:rPr>
                <w:sz w:val="26"/>
                <w:szCs w:val="26"/>
              </w:rPr>
              <w:t xml:space="preserve">  nepieciešams </w:t>
            </w:r>
            <w:r w:rsidR="005C6284">
              <w:rPr>
                <w:sz w:val="26"/>
                <w:szCs w:val="26"/>
              </w:rPr>
              <w:t xml:space="preserve">nodrošināt likumprojekta </w:t>
            </w:r>
            <w:r w:rsidR="00C832A6">
              <w:rPr>
                <w:sz w:val="26"/>
                <w:szCs w:val="26"/>
              </w:rPr>
              <w:t xml:space="preserve"> „Attīstības finanšu institūcija</w:t>
            </w:r>
            <w:r w:rsidR="005C6284">
              <w:rPr>
                <w:sz w:val="26"/>
                <w:szCs w:val="26"/>
              </w:rPr>
              <w:t>s likums</w:t>
            </w:r>
            <w:r w:rsidR="00C832A6">
              <w:rPr>
                <w:sz w:val="26"/>
                <w:szCs w:val="26"/>
              </w:rPr>
              <w:t>”</w:t>
            </w:r>
            <w:r w:rsidR="005C6284">
              <w:rPr>
                <w:sz w:val="26"/>
                <w:szCs w:val="26"/>
              </w:rPr>
              <w:t xml:space="preserve"> vienlaicīgu spēkā stāšanos. </w:t>
            </w:r>
          </w:p>
        </w:tc>
      </w:tr>
      <w:tr w:rsidR="00C832A6" w:rsidRPr="00045B81" w:rsidTr="005C5EDC">
        <w:trPr>
          <w:jc w:val="center"/>
        </w:trPr>
        <w:tc>
          <w:tcPr>
            <w:tcW w:w="1188" w:type="dxa"/>
          </w:tcPr>
          <w:p w:rsidR="00C832A6" w:rsidRPr="00045B81" w:rsidRDefault="00C832A6" w:rsidP="000A325D">
            <w:pPr>
              <w:pStyle w:val="naiskr"/>
              <w:tabs>
                <w:tab w:val="left" w:pos="2628"/>
              </w:tabs>
              <w:spacing w:before="0" w:after="0"/>
              <w:jc w:val="both"/>
              <w:rPr>
                <w:iCs/>
                <w:sz w:val="26"/>
                <w:szCs w:val="26"/>
              </w:rPr>
            </w:pPr>
            <w:r>
              <w:rPr>
                <w:iCs/>
                <w:sz w:val="26"/>
                <w:szCs w:val="26"/>
              </w:rPr>
              <w:t>2.</w:t>
            </w:r>
          </w:p>
        </w:tc>
        <w:tc>
          <w:tcPr>
            <w:tcW w:w="3862" w:type="dxa"/>
          </w:tcPr>
          <w:p w:rsidR="00C832A6" w:rsidRPr="00045B81" w:rsidRDefault="00C832A6" w:rsidP="000A325D">
            <w:pPr>
              <w:pStyle w:val="naiskr"/>
              <w:tabs>
                <w:tab w:val="left" w:pos="2628"/>
              </w:tabs>
              <w:spacing w:before="0" w:after="0"/>
              <w:jc w:val="both"/>
              <w:rPr>
                <w:sz w:val="26"/>
                <w:szCs w:val="26"/>
              </w:rPr>
            </w:pPr>
            <w:r>
              <w:rPr>
                <w:sz w:val="26"/>
                <w:szCs w:val="26"/>
              </w:rPr>
              <w:t>Atbildīgā institūcija</w:t>
            </w:r>
          </w:p>
        </w:tc>
        <w:tc>
          <w:tcPr>
            <w:tcW w:w="5048" w:type="dxa"/>
          </w:tcPr>
          <w:p w:rsidR="00C832A6" w:rsidRPr="00D15C07" w:rsidRDefault="00C832A6" w:rsidP="005C5EDC">
            <w:pPr>
              <w:pStyle w:val="naiskr"/>
              <w:tabs>
                <w:tab w:val="left" w:pos="427"/>
                <w:tab w:val="left" w:pos="2628"/>
              </w:tabs>
              <w:spacing w:before="0" w:after="0"/>
              <w:ind w:left="1"/>
              <w:jc w:val="both"/>
              <w:rPr>
                <w:sz w:val="26"/>
                <w:szCs w:val="26"/>
              </w:rPr>
            </w:pPr>
            <w:r>
              <w:rPr>
                <w:sz w:val="26"/>
                <w:szCs w:val="26"/>
              </w:rPr>
              <w:t>Finanšu ministrija.</w:t>
            </w:r>
          </w:p>
        </w:tc>
      </w:tr>
      <w:tr w:rsidR="00924023" w:rsidRPr="00045B81" w:rsidTr="005C5EDC">
        <w:trPr>
          <w:jc w:val="center"/>
        </w:trPr>
        <w:tc>
          <w:tcPr>
            <w:tcW w:w="1188" w:type="dxa"/>
          </w:tcPr>
          <w:p w:rsidR="00924023" w:rsidRPr="00045B81" w:rsidRDefault="00C832A6" w:rsidP="000A325D">
            <w:pPr>
              <w:pStyle w:val="naiskr"/>
              <w:tabs>
                <w:tab w:val="left" w:pos="2628"/>
              </w:tabs>
              <w:spacing w:before="0" w:after="0"/>
              <w:jc w:val="both"/>
              <w:rPr>
                <w:iCs/>
                <w:sz w:val="26"/>
                <w:szCs w:val="26"/>
              </w:rPr>
            </w:pPr>
            <w:r>
              <w:rPr>
                <w:iCs/>
                <w:sz w:val="26"/>
                <w:szCs w:val="26"/>
              </w:rPr>
              <w:t>3</w:t>
            </w:r>
            <w:r w:rsidR="00924023" w:rsidRPr="00045B81">
              <w:rPr>
                <w:iCs/>
                <w:sz w:val="26"/>
                <w:szCs w:val="26"/>
              </w:rPr>
              <w:t>.</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Cita informācija</w:t>
            </w:r>
          </w:p>
        </w:tc>
        <w:tc>
          <w:tcPr>
            <w:tcW w:w="5048" w:type="dxa"/>
          </w:tcPr>
          <w:p w:rsidR="00D15C07" w:rsidRPr="00D15C07" w:rsidRDefault="00C832A6" w:rsidP="005C5EDC">
            <w:pPr>
              <w:pStyle w:val="naiskr"/>
              <w:tabs>
                <w:tab w:val="left" w:pos="427"/>
                <w:tab w:val="left" w:pos="2628"/>
              </w:tabs>
              <w:spacing w:before="0" w:after="0"/>
              <w:ind w:left="1"/>
              <w:jc w:val="both"/>
              <w:rPr>
                <w:sz w:val="26"/>
                <w:szCs w:val="26"/>
              </w:rPr>
            </w:pPr>
            <w:r>
              <w:rPr>
                <w:sz w:val="26"/>
                <w:szCs w:val="26"/>
              </w:rPr>
              <w:t>Nav.</w:t>
            </w:r>
          </w:p>
        </w:tc>
      </w:tr>
    </w:tbl>
    <w:p w:rsidR="00917342" w:rsidRPr="00045B81" w:rsidRDefault="00917342">
      <w:pPr>
        <w:rPr>
          <w:sz w:val="26"/>
          <w:szCs w:val="26"/>
        </w:rPr>
      </w:pPr>
    </w:p>
    <w:tbl>
      <w:tblPr>
        <w:tblW w:w="5468" w:type="pct"/>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154"/>
        <w:gridCol w:w="2051"/>
        <w:gridCol w:w="7007"/>
      </w:tblGrid>
      <w:tr w:rsidR="00FE72CA" w:rsidRPr="00045B81" w:rsidTr="00FE72CA">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jc w:val="center"/>
              <w:rPr>
                <w:b/>
                <w:sz w:val="26"/>
                <w:szCs w:val="26"/>
              </w:rPr>
            </w:pPr>
            <w:r w:rsidRPr="00045B81">
              <w:rPr>
                <w:b/>
                <w:sz w:val="26"/>
                <w:szCs w:val="26"/>
              </w:rPr>
              <w:t>V. Tiesību akta projekta atbilstība Latvijas Republikas starptautiskajām saistībām</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1.</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Saistības pret Eiropas Savienību</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jc w:val="both"/>
              <w:rPr>
                <w:sz w:val="26"/>
                <w:szCs w:val="26"/>
              </w:rPr>
            </w:pPr>
            <w:r w:rsidRPr="00045B81">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2.</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Citas starptautiskās saistības</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173681">
            <w:pPr>
              <w:ind w:left="57"/>
              <w:jc w:val="both"/>
              <w:rPr>
                <w:sz w:val="26"/>
                <w:szCs w:val="26"/>
              </w:rPr>
            </w:pPr>
            <w:r>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3.</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 informācija</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FE72CA">
            <w:pPr>
              <w:ind w:left="57"/>
              <w:jc w:val="both"/>
              <w:rPr>
                <w:sz w:val="26"/>
                <w:szCs w:val="26"/>
              </w:rPr>
            </w:pPr>
            <w:r>
              <w:rPr>
                <w:sz w:val="26"/>
                <w:szCs w:val="26"/>
              </w:rPr>
              <w:t>Nav.</w:t>
            </w:r>
          </w:p>
        </w:tc>
      </w:tr>
    </w:tbl>
    <w:p w:rsidR="00F52382" w:rsidRDefault="00F52382"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1.tabula</w:t>
            </w:r>
          </w:p>
          <w:p w:rsidR="00FE72CA" w:rsidRPr="00045B81" w:rsidRDefault="00FE72CA" w:rsidP="00173681">
            <w:pPr>
              <w:ind w:left="57"/>
              <w:jc w:val="center"/>
              <w:rPr>
                <w:sz w:val="26"/>
                <w:szCs w:val="26"/>
              </w:rPr>
            </w:pPr>
            <w:r w:rsidRPr="00045B81">
              <w:rPr>
                <w:b/>
                <w:sz w:val="26"/>
                <w:szCs w:val="26"/>
              </w:rPr>
              <w:t>Tiesību akta projekta atbilstība ES tiesību aktiem</w:t>
            </w:r>
          </w:p>
        </w:tc>
      </w:tr>
      <w:tr w:rsidR="00FE72CA" w:rsidRPr="00045B81" w:rsidTr="00A7270B">
        <w:trPr>
          <w:trHeight w:val="408"/>
        </w:trPr>
        <w:tc>
          <w:tcPr>
            <w:tcW w:w="10206" w:type="dxa"/>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center"/>
              <w:rPr>
                <w:sz w:val="26"/>
                <w:szCs w:val="26"/>
              </w:rPr>
            </w:pPr>
            <w:r w:rsidRPr="00045B81">
              <w:rPr>
                <w:sz w:val="26"/>
                <w:szCs w:val="26"/>
              </w:rPr>
              <w:t>Projekts šo jomu neskar.</w:t>
            </w:r>
          </w:p>
        </w:tc>
      </w:tr>
    </w:tbl>
    <w:p w:rsidR="00FE72CA" w:rsidRPr="00045B81" w:rsidRDefault="00FE72CA"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2.tabula</w:t>
            </w:r>
          </w:p>
          <w:p w:rsidR="00FE72CA" w:rsidRPr="00045B81" w:rsidRDefault="00FE72CA" w:rsidP="00173681">
            <w:pPr>
              <w:ind w:left="57"/>
              <w:jc w:val="center"/>
              <w:rPr>
                <w:b/>
                <w:sz w:val="26"/>
                <w:szCs w:val="26"/>
              </w:rPr>
            </w:pPr>
            <w:r w:rsidRPr="00045B81">
              <w:rPr>
                <w:b/>
                <w:sz w:val="26"/>
                <w:szCs w:val="26"/>
              </w:rPr>
              <w:t>Ar tiesību akta projektu izpildītās vai uzņemtās saistības, kas izriet no starptautiskajiem tiesību aktiem vai starptautiskas institūcijas vai organizācijas dokumentiem.</w:t>
            </w:r>
          </w:p>
          <w:p w:rsidR="00FE72CA" w:rsidRPr="00045B81" w:rsidRDefault="00FE72CA" w:rsidP="00173681">
            <w:pPr>
              <w:ind w:left="57"/>
              <w:jc w:val="center"/>
              <w:rPr>
                <w:b/>
                <w:sz w:val="26"/>
                <w:szCs w:val="26"/>
              </w:rPr>
            </w:pPr>
            <w:r w:rsidRPr="00045B81">
              <w:rPr>
                <w:b/>
                <w:sz w:val="26"/>
                <w:szCs w:val="26"/>
              </w:rPr>
              <w:t>Pasākumi šo saistību izpildei</w:t>
            </w:r>
          </w:p>
        </w:tc>
      </w:tr>
      <w:tr w:rsidR="00FE72CA" w:rsidRPr="00045B81" w:rsidTr="00A7270B">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FE72CA">
            <w:pPr>
              <w:ind w:left="57"/>
              <w:jc w:val="center"/>
              <w:rPr>
                <w:sz w:val="26"/>
                <w:szCs w:val="26"/>
              </w:rPr>
            </w:pPr>
            <w:r w:rsidRPr="00045B81">
              <w:rPr>
                <w:sz w:val="26"/>
                <w:szCs w:val="26"/>
              </w:rPr>
              <w:t>Projekts šo jomu neskar.</w:t>
            </w:r>
          </w:p>
        </w:tc>
      </w:tr>
    </w:tbl>
    <w:p w:rsidR="00F52382" w:rsidRPr="00045B81" w:rsidRDefault="00F52382">
      <w:pPr>
        <w:rPr>
          <w:sz w:val="26"/>
          <w:szCs w:val="26"/>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8"/>
      </w:tblGrid>
      <w:tr w:rsidR="00277929" w:rsidRPr="00045B81" w:rsidTr="00FE72CA">
        <w:trPr>
          <w:jc w:val="center"/>
        </w:trPr>
        <w:tc>
          <w:tcPr>
            <w:tcW w:w="10148" w:type="dxa"/>
          </w:tcPr>
          <w:p w:rsidR="00277929" w:rsidRPr="00045B81" w:rsidRDefault="00277929" w:rsidP="00917342">
            <w:pPr>
              <w:pStyle w:val="naisnod"/>
              <w:spacing w:before="0" w:after="0"/>
              <w:ind w:left="57" w:right="57"/>
              <w:rPr>
                <w:sz w:val="26"/>
                <w:szCs w:val="26"/>
              </w:rPr>
            </w:pPr>
            <w:r w:rsidRPr="00045B81">
              <w:rPr>
                <w:sz w:val="26"/>
                <w:szCs w:val="26"/>
              </w:rPr>
              <w:t>VI</w:t>
            </w:r>
            <w:r w:rsidR="000941C5" w:rsidRPr="00045B81">
              <w:rPr>
                <w:sz w:val="26"/>
                <w:szCs w:val="26"/>
              </w:rPr>
              <w:t>.</w:t>
            </w:r>
            <w:r w:rsidRPr="00045B81">
              <w:rPr>
                <w:sz w:val="26"/>
                <w:szCs w:val="26"/>
              </w:rPr>
              <w:t xml:space="preserve"> Sabiedrības līdzdalība un </w:t>
            </w:r>
            <w:r w:rsidR="00917342">
              <w:rPr>
                <w:sz w:val="26"/>
                <w:szCs w:val="26"/>
              </w:rPr>
              <w:t>komunikācijas aktivitātes</w:t>
            </w:r>
          </w:p>
        </w:tc>
      </w:tr>
      <w:tr w:rsidR="00E66595" w:rsidRPr="00045B81" w:rsidTr="00A7270B">
        <w:trPr>
          <w:trHeight w:val="481"/>
          <w:jc w:val="center"/>
        </w:trPr>
        <w:tc>
          <w:tcPr>
            <w:tcW w:w="10148" w:type="dxa"/>
          </w:tcPr>
          <w:p w:rsidR="00E66595" w:rsidRPr="00045B81" w:rsidRDefault="00E66595" w:rsidP="008E5A64">
            <w:pPr>
              <w:pStyle w:val="naisnod"/>
              <w:spacing w:before="0" w:after="0"/>
              <w:ind w:left="57" w:right="57"/>
              <w:rPr>
                <w:b w:val="0"/>
                <w:sz w:val="26"/>
                <w:szCs w:val="26"/>
              </w:rPr>
            </w:pPr>
            <w:r w:rsidRPr="00045B81">
              <w:rPr>
                <w:b w:val="0"/>
                <w:sz w:val="26"/>
                <w:szCs w:val="26"/>
              </w:rPr>
              <w:t>Projekts šo jomu neskar.</w:t>
            </w:r>
          </w:p>
        </w:tc>
      </w:tr>
    </w:tbl>
    <w:p w:rsidR="00A7270B" w:rsidRPr="00045B81" w:rsidRDefault="00A7270B" w:rsidP="00A7270B">
      <w:pPr>
        <w:pStyle w:val="naisf"/>
        <w:spacing w:before="0" w:after="0"/>
        <w:ind w:firstLine="0"/>
        <w:rPr>
          <w:sz w:val="26"/>
          <w:szCs w:val="26"/>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490"/>
        <w:gridCol w:w="5342"/>
      </w:tblGrid>
      <w:tr w:rsidR="0023436E" w:rsidRPr="00045B81" w:rsidTr="00191865">
        <w:tc>
          <w:tcPr>
            <w:tcW w:w="10206" w:type="dxa"/>
            <w:gridSpan w:val="3"/>
            <w:tcBorders>
              <w:top w:val="single" w:sz="4" w:space="0" w:color="auto"/>
            </w:tcBorders>
          </w:tcPr>
          <w:p w:rsidR="0023436E" w:rsidRPr="00045B81" w:rsidRDefault="0023436E" w:rsidP="007D099D">
            <w:pPr>
              <w:pStyle w:val="naisnod"/>
              <w:spacing w:before="0" w:after="0"/>
              <w:ind w:left="57" w:right="57"/>
              <w:rPr>
                <w:sz w:val="26"/>
                <w:szCs w:val="26"/>
              </w:rPr>
            </w:pPr>
            <w:r w:rsidRPr="00045B81">
              <w:rPr>
                <w:sz w:val="26"/>
                <w:szCs w:val="26"/>
              </w:rPr>
              <w:t>VII</w:t>
            </w:r>
            <w:r w:rsidR="000941C5" w:rsidRPr="00045B81">
              <w:rPr>
                <w:sz w:val="26"/>
                <w:szCs w:val="26"/>
              </w:rPr>
              <w:t>.</w:t>
            </w:r>
            <w:r w:rsidRPr="00045B81">
              <w:rPr>
                <w:sz w:val="26"/>
                <w:szCs w:val="26"/>
              </w:rPr>
              <w:t xml:space="preserve"> Tiesību akta projekta izpildes nodrošināšana un tās ietekme uz institūcijām</w:t>
            </w:r>
          </w:p>
        </w:tc>
      </w:tr>
      <w:tr w:rsidR="0023436E" w:rsidRPr="00045B81" w:rsidTr="00191865">
        <w:trPr>
          <w:trHeight w:val="427"/>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1.</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w:t>
            </w:r>
            <w:r w:rsidR="0023436E" w:rsidRPr="00045B81">
              <w:rPr>
                <w:sz w:val="26"/>
                <w:szCs w:val="26"/>
              </w:rPr>
              <w:t xml:space="preserve">rojekta izpildē iesaistītās institūcijas </w:t>
            </w:r>
          </w:p>
        </w:tc>
        <w:tc>
          <w:tcPr>
            <w:tcW w:w="5342" w:type="dxa"/>
          </w:tcPr>
          <w:p w:rsidR="00917342" w:rsidRPr="00045B81" w:rsidRDefault="00917342" w:rsidP="005C6284">
            <w:pPr>
              <w:pStyle w:val="naiskr"/>
              <w:tabs>
                <w:tab w:val="left" w:pos="427"/>
                <w:tab w:val="left" w:pos="2628"/>
              </w:tabs>
              <w:spacing w:before="0" w:after="0"/>
              <w:ind w:left="70"/>
              <w:jc w:val="both"/>
              <w:rPr>
                <w:iCs/>
                <w:sz w:val="26"/>
                <w:szCs w:val="26"/>
              </w:rPr>
            </w:pPr>
            <w:r>
              <w:rPr>
                <w:iCs/>
                <w:sz w:val="26"/>
                <w:szCs w:val="26"/>
              </w:rPr>
              <w:t xml:space="preserve">Finanšu ministrija, Ekonomikas ministrija, Zemkopības ministrija, </w:t>
            </w:r>
            <w:r w:rsidR="005C6284">
              <w:rPr>
                <w:iCs/>
                <w:sz w:val="26"/>
                <w:szCs w:val="26"/>
              </w:rPr>
              <w:t xml:space="preserve">AFI, </w:t>
            </w:r>
            <w:proofErr w:type="spellStart"/>
            <w:r w:rsidR="005C6284">
              <w:rPr>
                <w:iCs/>
                <w:sz w:val="26"/>
                <w:szCs w:val="26"/>
              </w:rPr>
              <w:t>Altum</w:t>
            </w:r>
            <w:proofErr w:type="spellEnd"/>
            <w:r w:rsidR="005C6284">
              <w:rPr>
                <w:iCs/>
                <w:sz w:val="26"/>
                <w:szCs w:val="26"/>
              </w:rPr>
              <w:t>, LAF.</w:t>
            </w:r>
          </w:p>
        </w:tc>
      </w:tr>
      <w:tr w:rsidR="0023436E" w:rsidRPr="00045B81" w:rsidTr="00191865">
        <w:trPr>
          <w:trHeight w:val="46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2.</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 xml:space="preserve">zpildes ietekme uz pārvaldes funkcijām </w:t>
            </w:r>
          </w:p>
        </w:tc>
        <w:tc>
          <w:tcPr>
            <w:tcW w:w="5342" w:type="dxa"/>
          </w:tcPr>
          <w:p w:rsidR="0023436E" w:rsidRPr="00045B81" w:rsidRDefault="00054D69" w:rsidP="005C5EDC">
            <w:pPr>
              <w:pStyle w:val="naisnod"/>
              <w:spacing w:before="0" w:after="0"/>
              <w:ind w:left="57" w:right="57"/>
              <w:jc w:val="both"/>
              <w:rPr>
                <w:b w:val="0"/>
                <w:iCs/>
                <w:sz w:val="26"/>
                <w:szCs w:val="26"/>
              </w:rPr>
            </w:pPr>
            <w:r w:rsidRPr="00045B81">
              <w:rPr>
                <w:b w:val="0"/>
                <w:sz w:val="26"/>
                <w:szCs w:val="26"/>
              </w:rPr>
              <w:t>Projekts šo jomu neskar.</w:t>
            </w:r>
          </w:p>
        </w:tc>
      </w:tr>
      <w:tr w:rsidR="0023436E" w:rsidRPr="00045B81" w:rsidTr="00191865">
        <w:trPr>
          <w:trHeight w:val="725"/>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3.</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iz</w:t>
            </w:r>
            <w:r w:rsidR="0023436E" w:rsidRPr="00045B81">
              <w:rPr>
                <w:sz w:val="26"/>
                <w:szCs w:val="26"/>
              </w:rPr>
              <w:t>pildes ietekme uz pārvaldes institucionālo struktūru.</w:t>
            </w:r>
          </w:p>
          <w:p w:rsidR="0023436E" w:rsidRPr="00045B81" w:rsidRDefault="006C4607" w:rsidP="00DB39FC">
            <w:pPr>
              <w:pStyle w:val="naisf"/>
              <w:spacing w:before="0" w:after="0"/>
              <w:ind w:left="57" w:right="57" w:firstLine="0"/>
              <w:jc w:val="left"/>
              <w:rPr>
                <w:sz w:val="26"/>
                <w:szCs w:val="26"/>
              </w:rPr>
            </w:pPr>
            <w:r w:rsidRPr="00045B81">
              <w:rPr>
                <w:sz w:val="26"/>
                <w:szCs w:val="26"/>
              </w:rPr>
              <w:t>Jaunu institūciju izveide</w:t>
            </w:r>
            <w:r w:rsidR="00DB39FC">
              <w:rPr>
                <w:sz w:val="26"/>
                <w:szCs w:val="26"/>
              </w:rPr>
              <w:t>, esošu institūciju likvidācija vai reorganizācija, to ietekme uz institūcijas cilvēkresursiem</w:t>
            </w:r>
          </w:p>
        </w:tc>
        <w:tc>
          <w:tcPr>
            <w:tcW w:w="5342" w:type="dxa"/>
          </w:tcPr>
          <w:p w:rsidR="00DB39FC" w:rsidRPr="00DB39FC" w:rsidRDefault="00DB39FC" w:rsidP="005C6284">
            <w:pPr>
              <w:pStyle w:val="naisnod"/>
              <w:spacing w:before="0" w:after="0"/>
              <w:ind w:left="57" w:right="57"/>
              <w:jc w:val="both"/>
              <w:rPr>
                <w:b w:val="0"/>
                <w:sz w:val="26"/>
                <w:szCs w:val="26"/>
              </w:rPr>
            </w:pPr>
            <w:r w:rsidRPr="00DB39FC">
              <w:rPr>
                <w:b w:val="0"/>
                <w:sz w:val="26"/>
                <w:szCs w:val="26"/>
              </w:rPr>
              <w:t xml:space="preserve">Īstenojot </w:t>
            </w:r>
            <w:r>
              <w:rPr>
                <w:b w:val="0"/>
                <w:sz w:val="26"/>
                <w:szCs w:val="26"/>
              </w:rPr>
              <w:t>grozījumus esošajā normatīvajā regulējumā, tiks optimizēta esošā finanšu instrumentu valsts atbalsta un attīstības programmu ieviešanas institucionālā sistēma</w:t>
            </w:r>
            <w:r w:rsidR="005C6284">
              <w:rPr>
                <w:b w:val="0"/>
                <w:sz w:val="26"/>
                <w:szCs w:val="26"/>
              </w:rPr>
              <w:t xml:space="preserve">, reorganizējot esošās valsts kapitālsabiedrības, kuras sniedz atbalstu finanšu instrumentu veidā- </w:t>
            </w:r>
            <w:proofErr w:type="spellStart"/>
            <w:r w:rsidR="005C6284">
              <w:rPr>
                <w:b w:val="0"/>
                <w:sz w:val="26"/>
                <w:szCs w:val="26"/>
              </w:rPr>
              <w:lastRenderedPageBreak/>
              <w:t>Altum</w:t>
            </w:r>
            <w:proofErr w:type="spellEnd"/>
            <w:r w:rsidR="005C6284">
              <w:rPr>
                <w:b w:val="0"/>
                <w:sz w:val="26"/>
                <w:szCs w:val="26"/>
              </w:rPr>
              <w:t>, LAF un LGA pēc reorganizācijas pabeigšanas tiks pievienotas AFI.</w:t>
            </w:r>
          </w:p>
        </w:tc>
      </w:tr>
      <w:tr w:rsidR="0023436E" w:rsidRPr="00045B81" w:rsidTr="00DB39FC">
        <w:trPr>
          <w:trHeight w:val="591"/>
        </w:trPr>
        <w:tc>
          <w:tcPr>
            <w:tcW w:w="374" w:type="dxa"/>
          </w:tcPr>
          <w:p w:rsidR="0023436E" w:rsidRPr="00045B81" w:rsidRDefault="00DB39FC" w:rsidP="007D099D">
            <w:pPr>
              <w:pStyle w:val="naisnod"/>
              <w:spacing w:before="0" w:after="0"/>
              <w:ind w:left="57" w:right="57"/>
              <w:jc w:val="left"/>
              <w:rPr>
                <w:b w:val="0"/>
                <w:sz w:val="26"/>
                <w:szCs w:val="26"/>
              </w:rPr>
            </w:pPr>
            <w:r>
              <w:rPr>
                <w:b w:val="0"/>
                <w:sz w:val="26"/>
                <w:szCs w:val="26"/>
              </w:rPr>
              <w:lastRenderedPageBreak/>
              <w:t>3</w:t>
            </w:r>
            <w:r w:rsidR="0023436E" w:rsidRPr="00045B81">
              <w:rPr>
                <w:b w:val="0"/>
                <w:sz w:val="26"/>
                <w:szCs w:val="26"/>
              </w:rPr>
              <w:t>.</w:t>
            </w:r>
          </w:p>
        </w:tc>
        <w:tc>
          <w:tcPr>
            <w:tcW w:w="4490" w:type="dxa"/>
          </w:tcPr>
          <w:p w:rsidR="0023436E" w:rsidRPr="00045B81" w:rsidRDefault="00DB39FC" w:rsidP="00104E29">
            <w:pPr>
              <w:pStyle w:val="naisf"/>
              <w:spacing w:before="0" w:after="0"/>
              <w:ind w:left="57" w:right="57" w:firstLine="0"/>
              <w:jc w:val="left"/>
              <w:rPr>
                <w:sz w:val="26"/>
                <w:szCs w:val="26"/>
              </w:rPr>
            </w:pPr>
            <w:r>
              <w:rPr>
                <w:sz w:val="26"/>
                <w:szCs w:val="26"/>
              </w:rPr>
              <w:t>Cita info</w:t>
            </w:r>
            <w:r w:rsidR="00104E29">
              <w:rPr>
                <w:sz w:val="26"/>
                <w:szCs w:val="26"/>
              </w:rPr>
              <w:t>r</w:t>
            </w:r>
            <w:r>
              <w:rPr>
                <w:sz w:val="26"/>
                <w:szCs w:val="26"/>
              </w:rPr>
              <w:t>mācija</w:t>
            </w:r>
          </w:p>
        </w:tc>
        <w:tc>
          <w:tcPr>
            <w:tcW w:w="5342" w:type="dxa"/>
          </w:tcPr>
          <w:p w:rsidR="0023436E" w:rsidRPr="00045B81" w:rsidRDefault="00DB39FC" w:rsidP="005C5EDC">
            <w:pPr>
              <w:pStyle w:val="naisnod"/>
              <w:spacing w:before="0" w:after="0"/>
              <w:ind w:left="57" w:right="57"/>
              <w:jc w:val="left"/>
              <w:rPr>
                <w:b w:val="0"/>
                <w:sz w:val="26"/>
                <w:szCs w:val="26"/>
                <w:highlight w:val="yellow"/>
              </w:rPr>
            </w:pPr>
            <w:r w:rsidRPr="00DB39FC">
              <w:rPr>
                <w:b w:val="0"/>
                <w:sz w:val="26"/>
                <w:szCs w:val="26"/>
              </w:rPr>
              <w:t>Nav.</w:t>
            </w:r>
          </w:p>
        </w:tc>
      </w:tr>
    </w:tbl>
    <w:p w:rsidR="00BF40ED" w:rsidRPr="00045B81" w:rsidRDefault="00BF40ED" w:rsidP="00DB383F">
      <w:pPr>
        <w:pStyle w:val="naisf"/>
        <w:tabs>
          <w:tab w:val="left" w:pos="6804"/>
        </w:tabs>
        <w:spacing w:before="0" w:after="0"/>
        <w:ind w:firstLine="0"/>
        <w:rPr>
          <w:sz w:val="26"/>
          <w:szCs w:val="26"/>
        </w:rPr>
      </w:pPr>
    </w:p>
    <w:p w:rsidR="00FB42BB" w:rsidRDefault="00FB42BB" w:rsidP="00845811">
      <w:pPr>
        <w:pStyle w:val="naisf"/>
        <w:tabs>
          <w:tab w:val="left" w:pos="6804"/>
        </w:tabs>
        <w:spacing w:before="0" w:after="0"/>
        <w:ind w:firstLine="720"/>
        <w:rPr>
          <w:sz w:val="26"/>
          <w:szCs w:val="26"/>
        </w:rPr>
      </w:pPr>
    </w:p>
    <w:p w:rsidR="0015060C" w:rsidRPr="00045B81" w:rsidRDefault="00D543DB" w:rsidP="00845811">
      <w:pPr>
        <w:pStyle w:val="naisf"/>
        <w:tabs>
          <w:tab w:val="left" w:pos="6804"/>
        </w:tabs>
        <w:spacing w:before="0" w:after="0"/>
        <w:ind w:firstLine="720"/>
        <w:rPr>
          <w:sz w:val="26"/>
          <w:szCs w:val="26"/>
        </w:rPr>
      </w:pPr>
      <w:r w:rsidRPr="00045B81">
        <w:rPr>
          <w:sz w:val="26"/>
          <w:szCs w:val="26"/>
        </w:rPr>
        <w:t>Finanšu</w:t>
      </w:r>
      <w:r w:rsidR="0015060C" w:rsidRPr="00045B81">
        <w:rPr>
          <w:sz w:val="26"/>
          <w:szCs w:val="26"/>
        </w:rPr>
        <w:t xml:space="preserve"> ministrs</w:t>
      </w:r>
      <w:r w:rsidR="00214094" w:rsidRPr="00045B81">
        <w:rPr>
          <w:sz w:val="26"/>
          <w:szCs w:val="26"/>
        </w:rPr>
        <w:tab/>
      </w:r>
      <w:proofErr w:type="spellStart"/>
      <w:r w:rsidRPr="00045B81">
        <w:rPr>
          <w:sz w:val="26"/>
          <w:szCs w:val="26"/>
        </w:rPr>
        <w:t>A.Vilks</w:t>
      </w:r>
      <w:proofErr w:type="spellEnd"/>
      <w:r w:rsidRPr="00045B81">
        <w:rPr>
          <w:sz w:val="26"/>
          <w:szCs w:val="26"/>
        </w:rPr>
        <w:t xml:space="preserve"> </w:t>
      </w:r>
    </w:p>
    <w:p w:rsidR="00D543DB" w:rsidRPr="00045B81" w:rsidRDefault="00D543DB" w:rsidP="00845811">
      <w:pPr>
        <w:pStyle w:val="naisf"/>
        <w:tabs>
          <w:tab w:val="left" w:pos="6804"/>
        </w:tabs>
        <w:spacing w:before="0" w:after="0"/>
        <w:ind w:firstLine="720"/>
        <w:rPr>
          <w:sz w:val="26"/>
          <w:szCs w:val="26"/>
        </w:rPr>
      </w:pPr>
    </w:p>
    <w:p w:rsidR="00874FD4" w:rsidRPr="007C78FD" w:rsidRDefault="00C457A3" w:rsidP="00874FD4">
      <w:pPr>
        <w:pStyle w:val="BlockText"/>
        <w:spacing w:before="0" w:beforeAutospacing="0" w:after="0" w:afterAutospacing="0"/>
        <w:jc w:val="both"/>
        <w:rPr>
          <w:color w:val="auto"/>
          <w:sz w:val="18"/>
          <w:szCs w:val="18"/>
        </w:rPr>
      </w:pPr>
      <w:r w:rsidRPr="007C78FD">
        <w:rPr>
          <w:color w:val="auto"/>
          <w:sz w:val="18"/>
          <w:szCs w:val="18"/>
        </w:rPr>
        <w:t>1</w:t>
      </w:r>
      <w:r w:rsidR="00B950AD">
        <w:rPr>
          <w:color w:val="auto"/>
          <w:sz w:val="18"/>
          <w:szCs w:val="18"/>
        </w:rPr>
        <w:t>9</w:t>
      </w:r>
      <w:r w:rsidR="0030011F" w:rsidRPr="007C78FD">
        <w:rPr>
          <w:color w:val="auto"/>
          <w:sz w:val="18"/>
          <w:szCs w:val="18"/>
        </w:rPr>
        <w:t>.</w:t>
      </w:r>
      <w:r w:rsidR="00917342" w:rsidRPr="007C78FD">
        <w:rPr>
          <w:color w:val="auto"/>
          <w:sz w:val="18"/>
          <w:szCs w:val="18"/>
        </w:rPr>
        <w:t>0</w:t>
      </w:r>
      <w:r w:rsidR="00B950AD">
        <w:rPr>
          <w:color w:val="auto"/>
          <w:sz w:val="18"/>
          <w:szCs w:val="18"/>
        </w:rPr>
        <w:t>9</w:t>
      </w:r>
      <w:r w:rsidR="00045B81" w:rsidRPr="007C78FD">
        <w:rPr>
          <w:color w:val="auto"/>
          <w:sz w:val="18"/>
          <w:szCs w:val="18"/>
        </w:rPr>
        <w:t>.201</w:t>
      </w:r>
      <w:r w:rsidR="00917342" w:rsidRPr="007C78FD">
        <w:rPr>
          <w:color w:val="auto"/>
          <w:sz w:val="18"/>
          <w:szCs w:val="18"/>
        </w:rPr>
        <w:t>4</w:t>
      </w:r>
      <w:r w:rsidR="00045B81" w:rsidRPr="007C78FD">
        <w:rPr>
          <w:color w:val="auto"/>
          <w:sz w:val="18"/>
          <w:szCs w:val="18"/>
        </w:rPr>
        <w:t xml:space="preserve">. </w:t>
      </w:r>
      <w:r w:rsidR="001825CC" w:rsidRPr="007C78FD">
        <w:rPr>
          <w:color w:val="auto"/>
          <w:sz w:val="18"/>
          <w:szCs w:val="18"/>
        </w:rPr>
        <w:t>1</w:t>
      </w:r>
      <w:r w:rsidR="00B950AD">
        <w:rPr>
          <w:color w:val="auto"/>
          <w:sz w:val="18"/>
          <w:szCs w:val="18"/>
        </w:rPr>
        <w:t>0</w:t>
      </w:r>
      <w:r w:rsidR="001825CC" w:rsidRPr="007C78FD">
        <w:rPr>
          <w:color w:val="auto"/>
          <w:sz w:val="18"/>
          <w:szCs w:val="18"/>
        </w:rPr>
        <w:t>.</w:t>
      </w:r>
      <w:r w:rsidR="00B950AD">
        <w:rPr>
          <w:color w:val="auto"/>
          <w:sz w:val="18"/>
          <w:szCs w:val="18"/>
        </w:rPr>
        <w:t>25</w:t>
      </w:r>
    </w:p>
    <w:p w:rsidR="00874FD4" w:rsidRPr="007C78FD" w:rsidRDefault="00FE619C" w:rsidP="00874FD4">
      <w:pPr>
        <w:pStyle w:val="BlockText"/>
        <w:spacing w:before="0" w:beforeAutospacing="0" w:after="0" w:afterAutospacing="0"/>
        <w:jc w:val="both"/>
        <w:rPr>
          <w:color w:val="auto"/>
          <w:sz w:val="18"/>
          <w:szCs w:val="18"/>
        </w:rPr>
      </w:pPr>
      <w:r>
        <w:rPr>
          <w:color w:val="auto"/>
          <w:sz w:val="18"/>
          <w:szCs w:val="18"/>
        </w:rPr>
        <w:t>8</w:t>
      </w:r>
      <w:r w:rsidR="00FB42BB">
        <w:rPr>
          <w:color w:val="auto"/>
          <w:sz w:val="18"/>
          <w:szCs w:val="18"/>
        </w:rPr>
        <w:t>6</w:t>
      </w:r>
      <w:r>
        <w:rPr>
          <w:color w:val="auto"/>
          <w:sz w:val="18"/>
          <w:szCs w:val="18"/>
        </w:rPr>
        <w:t>6</w:t>
      </w:r>
    </w:p>
    <w:p w:rsidR="00874FD4" w:rsidRPr="007C78FD" w:rsidRDefault="00917342" w:rsidP="00874FD4">
      <w:pPr>
        <w:rPr>
          <w:sz w:val="18"/>
          <w:szCs w:val="18"/>
        </w:rPr>
      </w:pPr>
      <w:r w:rsidRPr="007C78FD">
        <w:rPr>
          <w:sz w:val="18"/>
          <w:szCs w:val="18"/>
        </w:rPr>
        <w:t>D</w:t>
      </w:r>
      <w:r w:rsidR="00874FD4" w:rsidRPr="007C78FD">
        <w:rPr>
          <w:sz w:val="18"/>
          <w:szCs w:val="18"/>
        </w:rPr>
        <w:t xml:space="preserve">. </w:t>
      </w:r>
      <w:r w:rsidRPr="007C78FD">
        <w:rPr>
          <w:sz w:val="18"/>
          <w:szCs w:val="18"/>
        </w:rPr>
        <w:t>Buse</w:t>
      </w:r>
    </w:p>
    <w:p w:rsidR="003F40CC" w:rsidRPr="00045B81" w:rsidRDefault="00874FD4" w:rsidP="00054D69">
      <w:pPr>
        <w:rPr>
          <w:rStyle w:val="Hyperlink"/>
          <w:color w:val="auto"/>
          <w:sz w:val="20"/>
          <w:szCs w:val="20"/>
        </w:rPr>
      </w:pPr>
      <w:r w:rsidRPr="007C78FD">
        <w:rPr>
          <w:sz w:val="18"/>
          <w:szCs w:val="18"/>
        </w:rPr>
        <w:t>67095</w:t>
      </w:r>
      <w:r w:rsidR="00917342" w:rsidRPr="007C78FD">
        <w:rPr>
          <w:sz w:val="18"/>
          <w:szCs w:val="18"/>
        </w:rPr>
        <w:t>535</w:t>
      </w:r>
      <w:r w:rsidRPr="007C78FD">
        <w:rPr>
          <w:sz w:val="18"/>
          <w:szCs w:val="18"/>
        </w:rPr>
        <w:t xml:space="preserve">, </w:t>
      </w:r>
      <w:r w:rsidR="00917342" w:rsidRPr="007C78FD">
        <w:rPr>
          <w:sz w:val="18"/>
          <w:szCs w:val="18"/>
        </w:rPr>
        <w:t>Dina.Buse@fm.gov.lv</w:t>
      </w:r>
    </w:p>
    <w:sectPr w:rsidR="003F40CC" w:rsidRPr="00045B81" w:rsidSect="007C78FD">
      <w:headerReference w:type="even" r:id="rId11"/>
      <w:headerReference w:type="default" r:id="rId12"/>
      <w:footerReference w:type="default" r:id="rId13"/>
      <w:footerReference w:type="first" r:id="rId14"/>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A5" w:rsidRDefault="008210A5">
      <w:r>
        <w:separator/>
      </w:r>
    </w:p>
  </w:endnote>
  <w:endnote w:type="continuationSeparator" w:id="0">
    <w:p w:rsidR="008210A5" w:rsidRDefault="0082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BD4D10" w:rsidRDefault="00BD4D10" w:rsidP="00BD4D10">
    <w:pPr>
      <w:pStyle w:val="Footer"/>
      <w:jc w:val="both"/>
      <w:rPr>
        <w:noProof/>
        <w:sz w:val="20"/>
        <w:szCs w:val="20"/>
      </w:rPr>
    </w:pPr>
    <w:r w:rsidRPr="00BD4D10">
      <w:rPr>
        <w:noProof/>
        <w:sz w:val="20"/>
        <w:szCs w:val="20"/>
      </w:rPr>
      <w:t>F</w:t>
    </w:r>
    <w:r w:rsidR="00104E29">
      <w:rPr>
        <w:noProof/>
        <w:sz w:val="20"/>
        <w:szCs w:val="20"/>
      </w:rPr>
      <w:t>M</w:t>
    </w:r>
    <w:r w:rsidR="003032CE">
      <w:rPr>
        <w:noProof/>
        <w:sz w:val="20"/>
        <w:szCs w:val="20"/>
      </w:rPr>
      <w:t>A</w:t>
    </w:r>
    <w:r w:rsidR="00104E29">
      <w:rPr>
        <w:noProof/>
        <w:sz w:val="20"/>
        <w:szCs w:val="20"/>
      </w:rPr>
      <w:t>not_</w:t>
    </w:r>
    <w:r w:rsidR="00C457A3">
      <w:rPr>
        <w:noProof/>
        <w:sz w:val="20"/>
        <w:szCs w:val="20"/>
      </w:rPr>
      <w:t>1</w:t>
    </w:r>
    <w:r w:rsidR="00B950AD">
      <w:rPr>
        <w:noProof/>
        <w:sz w:val="20"/>
        <w:szCs w:val="20"/>
      </w:rPr>
      <w:t>9</w:t>
    </w:r>
    <w:r w:rsidR="00104E29">
      <w:rPr>
        <w:noProof/>
        <w:sz w:val="20"/>
        <w:szCs w:val="20"/>
      </w:rPr>
      <w:t>0</w:t>
    </w:r>
    <w:r w:rsidR="00B950AD">
      <w:rPr>
        <w:noProof/>
        <w:sz w:val="20"/>
        <w:szCs w:val="20"/>
      </w:rPr>
      <w:t>9</w:t>
    </w:r>
    <w:r w:rsidR="00104E29">
      <w:rPr>
        <w:noProof/>
        <w:sz w:val="20"/>
        <w:szCs w:val="20"/>
      </w:rPr>
      <w:t>14_AFI</w:t>
    </w:r>
    <w:r w:rsidRPr="00BD4D10">
      <w:rPr>
        <w:noProof/>
        <w:sz w:val="20"/>
        <w:szCs w:val="20"/>
      </w:rPr>
      <w:t>; Likumprojekta "Grozījum</w:t>
    </w:r>
    <w:r w:rsidR="007976B7">
      <w:rPr>
        <w:noProof/>
        <w:sz w:val="20"/>
        <w:szCs w:val="20"/>
      </w:rPr>
      <w:t>i</w:t>
    </w:r>
    <w:r w:rsidRPr="00BD4D10">
      <w:rPr>
        <w:noProof/>
        <w:sz w:val="20"/>
        <w:szCs w:val="20"/>
      </w:rPr>
      <w:t xml:space="preserve"> likumā par valsts un pašvaldību kapitālsabiedrībām”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CA05C8" w:rsidRDefault="00F52382" w:rsidP="001B71C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C78FD">
      <w:rPr>
        <w:noProof/>
        <w:sz w:val="20"/>
        <w:szCs w:val="20"/>
      </w:rPr>
      <w:t>FMAnot_1</w:t>
    </w:r>
    <w:r w:rsidR="00B950AD">
      <w:rPr>
        <w:noProof/>
        <w:sz w:val="20"/>
        <w:szCs w:val="20"/>
      </w:rPr>
      <w:t>9</w:t>
    </w:r>
    <w:r w:rsidR="007C78FD">
      <w:rPr>
        <w:noProof/>
        <w:sz w:val="20"/>
        <w:szCs w:val="20"/>
      </w:rPr>
      <w:t>0</w:t>
    </w:r>
    <w:r w:rsidR="00B950AD">
      <w:rPr>
        <w:noProof/>
        <w:sz w:val="20"/>
        <w:szCs w:val="20"/>
      </w:rPr>
      <w:t>9</w:t>
    </w:r>
    <w:r w:rsidR="007C78FD">
      <w:rPr>
        <w:noProof/>
        <w:sz w:val="20"/>
        <w:szCs w:val="20"/>
      </w:rPr>
      <w:t>14_AFI</w:t>
    </w:r>
    <w:r>
      <w:rPr>
        <w:sz w:val="20"/>
        <w:szCs w:val="20"/>
      </w:rPr>
      <w:fldChar w:fldCharType="end"/>
    </w:r>
    <w:r w:rsidR="00CC0350" w:rsidRPr="00CA05C8">
      <w:rPr>
        <w:sz w:val="20"/>
        <w:szCs w:val="20"/>
      </w:rPr>
      <w:t xml:space="preserve">; </w:t>
    </w:r>
    <w:r w:rsidR="001B71CD" w:rsidRPr="00CA05C8">
      <w:rPr>
        <w:sz w:val="20"/>
        <w:szCs w:val="20"/>
      </w:rPr>
      <w:t xml:space="preserve">Likumprojekta </w:t>
    </w:r>
    <w:r w:rsidR="00054D69" w:rsidRPr="00CA05C8">
      <w:rPr>
        <w:sz w:val="20"/>
        <w:szCs w:val="20"/>
      </w:rPr>
      <w:t>"</w:t>
    </w:r>
    <w:r w:rsidR="001825CC">
      <w:rPr>
        <w:sz w:val="20"/>
        <w:szCs w:val="20"/>
      </w:rPr>
      <w:t>Grozījumi</w:t>
    </w:r>
    <w:r w:rsidR="00DC7EC8">
      <w:rPr>
        <w:sz w:val="20"/>
        <w:szCs w:val="20"/>
      </w:rPr>
      <w:t xml:space="preserve"> </w:t>
    </w:r>
    <w:r w:rsidR="00DC7EC8" w:rsidRPr="00DC7EC8">
      <w:rPr>
        <w:sz w:val="20"/>
        <w:szCs w:val="20"/>
      </w:rPr>
      <w:t>likumā par valsts un pašvaldību kapitālsabiedrībām</w:t>
    </w:r>
    <w:r w:rsidR="00DC7EC8">
      <w:rPr>
        <w:sz w:val="20"/>
        <w:szCs w:val="20"/>
      </w:rPr>
      <w:t>”</w:t>
    </w:r>
    <w:r w:rsidR="00DC7EC8" w:rsidRPr="00DC7EC8">
      <w:rPr>
        <w:sz w:val="20"/>
        <w:szCs w:val="20"/>
      </w:rPr>
      <w:t xml:space="preserve"> </w:t>
    </w:r>
    <w:r w:rsidR="001B71CD" w:rsidRPr="00CA05C8">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A5" w:rsidRDefault="008210A5">
      <w:r>
        <w:separator/>
      </w:r>
    </w:p>
  </w:footnote>
  <w:footnote w:type="continuationSeparator" w:id="0">
    <w:p w:rsidR="008210A5" w:rsidRDefault="0082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834">
      <w:rPr>
        <w:rStyle w:val="PageNumber"/>
        <w:noProof/>
      </w:rPr>
      <w:t>4</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2"/>
  </w:num>
  <w:num w:numId="5">
    <w:abstractNumId w:val="1"/>
  </w:num>
  <w:num w:numId="6">
    <w:abstractNumId w:val="13"/>
  </w:num>
  <w:num w:numId="7">
    <w:abstractNumId w:val="17"/>
  </w:num>
  <w:num w:numId="8">
    <w:abstractNumId w:val="9"/>
  </w:num>
  <w:num w:numId="9">
    <w:abstractNumId w:val="3"/>
  </w:num>
  <w:num w:numId="10">
    <w:abstractNumId w:val="10"/>
  </w:num>
  <w:num w:numId="11">
    <w:abstractNumId w:val="11"/>
  </w:num>
  <w:num w:numId="12">
    <w:abstractNumId w:val="14"/>
  </w:num>
  <w:num w:numId="13">
    <w:abstractNumId w:val="15"/>
  </w:num>
  <w:num w:numId="14">
    <w:abstractNumId w:val="18"/>
  </w:num>
  <w:num w:numId="15">
    <w:abstractNumId w:val="4"/>
  </w:num>
  <w:num w:numId="16">
    <w:abstractNumId w:val="19"/>
  </w:num>
  <w:num w:numId="17">
    <w:abstractNumId w:val="0"/>
  </w:num>
  <w:num w:numId="18">
    <w:abstractNumId w:val="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322C"/>
    <w:rsid w:val="00032388"/>
    <w:rsid w:val="00035CE2"/>
    <w:rsid w:val="00045B81"/>
    <w:rsid w:val="00054D69"/>
    <w:rsid w:val="0005553B"/>
    <w:rsid w:val="00056D81"/>
    <w:rsid w:val="000604D2"/>
    <w:rsid w:val="000824C6"/>
    <w:rsid w:val="00084751"/>
    <w:rsid w:val="0009005E"/>
    <w:rsid w:val="000941C5"/>
    <w:rsid w:val="000A325D"/>
    <w:rsid w:val="000A6451"/>
    <w:rsid w:val="000B064E"/>
    <w:rsid w:val="000B69CF"/>
    <w:rsid w:val="000C790C"/>
    <w:rsid w:val="000F061D"/>
    <w:rsid w:val="000F4794"/>
    <w:rsid w:val="00102DD8"/>
    <w:rsid w:val="00104E29"/>
    <w:rsid w:val="00124F12"/>
    <w:rsid w:val="00133905"/>
    <w:rsid w:val="00144E3A"/>
    <w:rsid w:val="0015060C"/>
    <w:rsid w:val="0015279E"/>
    <w:rsid w:val="00157F32"/>
    <w:rsid w:val="0016018A"/>
    <w:rsid w:val="00161814"/>
    <w:rsid w:val="00161F0E"/>
    <w:rsid w:val="00170E2A"/>
    <w:rsid w:val="00175482"/>
    <w:rsid w:val="00177394"/>
    <w:rsid w:val="001825CC"/>
    <w:rsid w:val="00182C18"/>
    <w:rsid w:val="00183CC2"/>
    <w:rsid w:val="00183E35"/>
    <w:rsid w:val="001875B5"/>
    <w:rsid w:val="001900E4"/>
    <w:rsid w:val="00190F88"/>
    <w:rsid w:val="00191865"/>
    <w:rsid w:val="001A4066"/>
    <w:rsid w:val="001A6AE4"/>
    <w:rsid w:val="001B01FD"/>
    <w:rsid w:val="001B4A71"/>
    <w:rsid w:val="001B71AB"/>
    <w:rsid w:val="001B71CD"/>
    <w:rsid w:val="001C6135"/>
    <w:rsid w:val="001D5B54"/>
    <w:rsid w:val="001D711B"/>
    <w:rsid w:val="001E06FA"/>
    <w:rsid w:val="001E1DBF"/>
    <w:rsid w:val="001E3A84"/>
    <w:rsid w:val="001E4639"/>
    <w:rsid w:val="001E4A7D"/>
    <w:rsid w:val="001F43A8"/>
    <w:rsid w:val="001F5CD6"/>
    <w:rsid w:val="00210BD8"/>
    <w:rsid w:val="0021263D"/>
    <w:rsid w:val="00213F0C"/>
    <w:rsid w:val="00214094"/>
    <w:rsid w:val="0021592D"/>
    <w:rsid w:val="00221999"/>
    <w:rsid w:val="00222660"/>
    <w:rsid w:val="00222D76"/>
    <w:rsid w:val="00223EB1"/>
    <w:rsid w:val="00231344"/>
    <w:rsid w:val="0023436E"/>
    <w:rsid w:val="002347C0"/>
    <w:rsid w:val="002362E4"/>
    <w:rsid w:val="00241A6C"/>
    <w:rsid w:val="00242D2B"/>
    <w:rsid w:val="002537CF"/>
    <w:rsid w:val="00262E2B"/>
    <w:rsid w:val="00270429"/>
    <w:rsid w:val="0027054C"/>
    <w:rsid w:val="002720EB"/>
    <w:rsid w:val="002723E9"/>
    <w:rsid w:val="00277929"/>
    <w:rsid w:val="00277AB3"/>
    <w:rsid w:val="00282E88"/>
    <w:rsid w:val="00283B82"/>
    <w:rsid w:val="002846E9"/>
    <w:rsid w:val="00284C34"/>
    <w:rsid w:val="0029066C"/>
    <w:rsid w:val="002A6E62"/>
    <w:rsid w:val="002B03E7"/>
    <w:rsid w:val="002B200B"/>
    <w:rsid w:val="002B50DB"/>
    <w:rsid w:val="002C12AB"/>
    <w:rsid w:val="002C7CAC"/>
    <w:rsid w:val="002D3306"/>
    <w:rsid w:val="002D48AA"/>
    <w:rsid w:val="002D7BAA"/>
    <w:rsid w:val="002D7F54"/>
    <w:rsid w:val="002E3FF4"/>
    <w:rsid w:val="002F78C8"/>
    <w:rsid w:val="0030011F"/>
    <w:rsid w:val="00301CF3"/>
    <w:rsid w:val="003032CE"/>
    <w:rsid w:val="00305BBD"/>
    <w:rsid w:val="0030705C"/>
    <w:rsid w:val="0032715C"/>
    <w:rsid w:val="00337CA5"/>
    <w:rsid w:val="0034622F"/>
    <w:rsid w:val="00351F03"/>
    <w:rsid w:val="0035410B"/>
    <w:rsid w:val="00360CCC"/>
    <w:rsid w:val="00362478"/>
    <w:rsid w:val="003652D0"/>
    <w:rsid w:val="00370649"/>
    <w:rsid w:val="00375B25"/>
    <w:rsid w:val="00385B77"/>
    <w:rsid w:val="00385D1E"/>
    <w:rsid w:val="00396542"/>
    <w:rsid w:val="0039685B"/>
    <w:rsid w:val="003A31A6"/>
    <w:rsid w:val="003A7F0C"/>
    <w:rsid w:val="003A7F79"/>
    <w:rsid w:val="003B0BA1"/>
    <w:rsid w:val="003B33FD"/>
    <w:rsid w:val="003B6404"/>
    <w:rsid w:val="003C098F"/>
    <w:rsid w:val="003C2392"/>
    <w:rsid w:val="003C449B"/>
    <w:rsid w:val="003C4862"/>
    <w:rsid w:val="003C7B68"/>
    <w:rsid w:val="003D21FF"/>
    <w:rsid w:val="003F0112"/>
    <w:rsid w:val="003F071A"/>
    <w:rsid w:val="003F127A"/>
    <w:rsid w:val="003F160B"/>
    <w:rsid w:val="003F40CC"/>
    <w:rsid w:val="00400032"/>
    <w:rsid w:val="00400B5B"/>
    <w:rsid w:val="00405A00"/>
    <w:rsid w:val="00406E17"/>
    <w:rsid w:val="00420870"/>
    <w:rsid w:val="0043791B"/>
    <w:rsid w:val="00441483"/>
    <w:rsid w:val="00441BCB"/>
    <w:rsid w:val="0045176A"/>
    <w:rsid w:val="00456332"/>
    <w:rsid w:val="00461826"/>
    <w:rsid w:val="004800F9"/>
    <w:rsid w:val="0049134A"/>
    <w:rsid w:val="00491985"/>
    <w:rsid w:val="004933F1"/>
    <w:rsid w:val="004A58CB"/>
    <w:rsid w:val="004B1795"/>
    <w:rsid w:val="004B1F53"/>
    <w:rsid w:val="004B56DD"/>
    <w:rsid w:val="004C020F"/>
    <w:rsid w:val="004C1AFD"/>
    <w:rsid w:val="004C558B"/>
    <w:rsid w:val="004C6A82"/>
    <w:rsid w:val="004D5832"/>
    <w:rsid w:val="004E371E"/>
    <w:rsid w:val="004E3970"/>
    <w:rsid w:val="004F1331"/>
    <w:rsid w:val="004F1F88"/>
    <w:rsid w:val="004F5F1B"/>
    <w:rsid w:val="004F6EEC"/>
    <w:rsid w:val="00502374"/>
    <w:rsid w:val="005060A1"/>
    <w:rsid w:val="00507312"/>
    <w:rsid w:val="00516072"/>
    <w:rsid w:val="00526FE9"/>
    <w:rsid w:val="005311E7"/>
    <w:rsid w:val="005332EC"/>
    <w:rsid w:val="00534418"/>
    <w:rsid w:val="005353AB"/>
    <w:rsid w:val="00541FEA"/>
    <w:rsid w:val="00544417"/>
    <w:rsid w:val="005560BC"/>
    <w:rsid w:val="005573BE"/>
    <w:rsid w:val="00561069"/>
    <w:rsid w:val="0056766B"/>
    <w:rsid w:val="00572700"/>
    <w:rsid w:val="00580468"/>
    <w:rsid w:val="005848E0"/>
    <w:rsid w:val="0058603B"/>
    <w:rsid w:val="005860A1"/>
    <w:rsid w:val="0059232A"/>
    <w:rsid w:val="0059431B"/>
    <w:rsid w:val="005A39CC"/>
    <w:rsid w:val="005B401B"/>
    <w:rsid w:val="005B4730"/>
    <w:rsid w:val="005C3924"/>
    <w:rsid w:val="005C4010"/>
    <w:rsid w:val="005C5EDC"/>
    <w:rsid w:val="005C6284"/>
    <w:rsid w:val="005D624F"/>
    <w:rsid w:val="005E05D7"/>
    <w:rsid w:val="005E41E7"/>
    <w:rsid w:val="005E450F"/>
    <w:rsid w:val="005E596F"/>
    <w:rsid w:val="006077F5"/>
    <w:rsid w:val="00610833"/>
    <w:rsid w:val="00617BC7"/>
    <w:rsid w:val="0062298A"/>
    <w:rsid w:val="00626514"/>
    <w:rsid w:val="00626589"/>
    <w:rsid w:val="006334AB"/>
    <w:rsid w:val="006339A0"/>
    <w:rsid w:val="006413A8"/>
    <w:rsid w:val="00642E56"/>
    <w:rsid w:val="00642E8D"/>
    <w:rsid w:val="00644813"/>
    <w:rsid w:val="006448B5"/>
    <w:rsid w:val="00651E00"/>
    <w:rsid w:val="00674572"/>
    <w:rsid w:val="00685834"/>
    <w:rsid w:val="00687763"/>
    <w:rsid w:val="00692B0D"/>
    <w:rsid w:val="00693E0E"/>
    <w:rsid w:val="00696A69"/>
    <w:rsid w:val="006A1AE3"/>
    <w:rsid w:val="006B20CC"/>
    <w:rsid w:val="006C0427"/>
    <w:rsid w:val="006C30E1"/>
    <w:rsid w:val="006C3316"/>
    <w:rsid w:val="006C4607"/>
    <w:rsid w:val="006D48F1"/>
    <w:rsid w:val="006E08F9"/>
    <w:rsid w:val="006E1407"/>
    <w:rsid w:val="006F0091"/>
    <w:rsid w:val="006F45BE"/>
    <w:rsid w:val="006F520D"/>
    <w:rsid w:val="006F601C"/>
    <w:rsid w:val="006F6551"/>
    <w:rsid w:val="006F6579"/>
    <w:rsid w:val="007004FC"/>
    <w:rsid w:val="00706670"/>
    <w:rsid w:val="00715CFA"/>
    <w:rsid w:val="0072417C"/>
    <w:rsid w:val="00726DE2"/>
    <w:rsid w:val="007278AC"/>
    <w:rsid w:val="00734211"/>
    <w:rsid w:val="00734450"/>
    <w:rsid w:val="00737664"/>
    <w:rsid w:val="00745F67"/>
    <w:rsid w:val="0075039E"/>
    <w:rsid w:val="00752D9D"/>
    <w:rsid w:val="00752DDD"/>
    <w:rsid w:val="00754784"/>
    <w:rsid w:val="00757C6E"/>
    <w:rsid w:val="00762BDA"/>
    <w:rsid w:val="00763484"/>
    <w:rsid w:val="007805FD"/>
    <w:rsid w:val="00784422"/>
    <w:rsid w:val="00792C50"/>
    <w:rsid w:val="007976B7"/>
    <w:rsid w:val="007A530E"/>
    <w:rsid w:val="007A6D22"/>
    <w:rsid w:val="007B3B54"/>
    <w:rsid w:val="007B3FA0"/>
    <w:rsid w:val="007C0F2C"/>
    <w:rsid w:val="007C2BCC"/>
    <w:rsid w:val="007C414F"/>
    <w:rsid w:val="007C4EF0"/>
    <w:rsid w:val="007C6FD0"/>
    <w:rsid w:val="007C78FD"/>
    <w:rsid w:val="007D099D"/>
    <w:rsid w:val="007D426A"/>
    <w:rsid w:val="007E2664"/>
    <w:rsid w:val="007E3ABF"/>
    <w:rsid w:val="007E5BFA"/>
    <w:rsid w:val="007E6689"/>
    <w:rsid w:val="007E731C"/>
    <w:rsid w:val="007F0A03"/>
    <w:rsid w:val="00810040"/>
    <w:rsid w:val="0082023A"/>
    <w:rsid w:val="008210A5"/>
    <w:rsid w:val="00821A7A"/>
    <w:rsid w:val="008253F8"/>
    <w:rsid w:val="008325E4"/>
    <w:rsid w:val="00832762"/>
    <w:rsid w:val="00832A2B"/>
    <w:rsid w:val="00845811"/>
    <w:rsid w:val="00846994"/>
    <w:rsid w:val="00850451"/>
    <w:rsid w:val="00852042"/>
    <w:rsid w:val="008534C9"/>
    <w:rsid w:val="00853A64"/>
    <w:rsid w:val="00853D47"/>
    <w:rsid w:val="0085599D"/>
    <w:rsid w:val="0086381B"/>
    <w:rsid w:val="00874741"/>
    <w:rsid w:val="00874FD4"/>
    <w:rsid w:val="0087510C"/>
    <w:rsid w:val="00887A61"/>
    <w:rsid w:val="0089738E"/>
    <w:rsid w:val="008A41DF"/>
    <w:rsid w:val="008B5FDB"/>
    <w:rsid w:val="008C50F4"/>
    <w:rsid w:val="008C5649"/>
    <w:rsid w:val="008D25B0"/>
    <w:rsid w:val="008E44A2"/>
    <w:rsid w:val="008E5A64"/>
    <w:rsid w:val="008E697D"/>
    <w:rsid w:val="008E744B"/>
    <w:rsid w:val="00903263"/>
    <w:rsid w:val="009036E5"/>
    <w:rsid w:val="00906A21"/>
    <w:rsid w:val="009079C3"/>
    <w:rsid w:val="00910462"/>
    <w:rsid w:val="00915AB1"/>
    <w:rsid w:val="00917342"/>
    <w:rsid w:val="00917532"/>
    <w:rsid w:val="009235BA"/>
    <w:rsid w:val="00924023"/>
    <w:rsid w:val="00924CE2"/>
    <w:rsid w:val="00924F17"/>
    <w:rsid w:val="00925B9F"/>
    <w:rsid w:val="00931AED"/>
    <w:rsid w:val="00932D95"/>
    <w:rsid w:val="009476A3"/>
    <w:rsid w:val="0095334F"/>
    <w:rsid w:val="00965897"/>
    <w:rsid w:val="0096765C"/>
    <w:rsid w:val="009727E4"/>
    <w:rsid w:val="00981C38"/>
    <w:rsid w:val="009934C5"/>
    <w:rsid w:val="00994C0F"/>
    <w:rsid w:val="00997609"/>
    <w:rsid w:val="009A647A"/>
    <w:rsid w:val="009B22D7"/>
    <w:rsid w:val="009B2AA7"/>
    <w:rsid w:val="009B4171"/>
    <w:rsid w:val="009B42E5"/>
    <w:rsid w:val="009B72ED"/>
    <w:rsid w:val="009C6DEB"/>
    <w:rsid w:val="009D1944"/>
    <w:rsid w:val="009D6504"/>
    <w:rsid w:val="009E12D7"/>
    <w:rsid w:val="009E661A"/>
    <w:rsid w:val="009E775E"/>
    <w:rsid w:val="009F5C8A"/>
    <w:rsid w:val="00A02E68"/>
    <w:rsid w:val="00A05A7A"/>
    <w:rsid w:val="00A06781"/>
    <w:rsid w:val="00A074C3"/>
    <w:rsid w:val="00A100D9"/>
    <w:rsid w:val="00A1509C"/>
    <w:rsid w:val="00A27EDB"/>
    <w:rsid w:val="00A34260"/>
    <w:rsid w:val="00A42E83"/>
    <w:rsid w:val="00A473F1"/>
    <w:rsid w:val="00A50CE2"/>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A6DCD"/>
    <w:rsid w:val="00AB2B1A"/>
    <w:rsid w:val="00AB397F"/>
    <w:rsid w:val="00AB5705"/>
    <w:rsid w:val="00AB5832"/>
    <w:rsid w:val="00AC4FDE"/>
    <w:rsid w:val="00AC51F2"/>
    <w:rsid w:val="00AE5066"/>
    <w:rsid w:val="00AE5E24"/>
    <w:rsid w:val="00AE61B7"/>
    <w:rsid w:val="00AE6CBA"/>
    <w:rsid w:val="00AE79AD"/>
    <w:rsid w:val="00AF35E4"/>
    <w:rsid w:val="00AF3BCA"/>
    <w:rsid w:val="00AF5CDE"/>
    <w:rsid w:val="00B10A34"/>
    <w:rsid w:val="00B11A57"/>
    <w:rsid w:val="00B20FD0"/>
    <w:rsid w:val="00B211C3"/>
    <w:rsid w:val="00B23B35"/>
    <w:rsid w:val="00B25597"/>
    <w:rsid w:val="00B267B9"/>
    <w:rsid w:val="00B33E09"/>
    <w:rsid w:val="00B36380"/>
    <w:rsid w:val="00B4661D"/>
    <w:rsid w:val="00B47BCA"/>
    <w:rsid w:val="00B50708"/>
    <w:rsid w:val="00B50C68"/>
    <w:rsid w:val="00B51293"/>
    <w:rsid w:val="00B52B1E"/>
    <w:rsid w:val="00B55481"/>
    <w:rsid w:val="00B56C32"/>
    <w:rsid w:val="00B57ACF"/>
    <w:rsid w:val="00B62436"/>
    <w:rsid w:val="00B64BB1"/>
    <w:rsid w:val="00B73166"/>
    <w:rsid w:val="00B73BE1"/>
    <w:rsid w:val="00B8426C"/>
    <w:rsid w:val="00B86A5C"/>
    <w:rsid w:val="00B87CC7"/>
    <w:rsid w:val="00B91B8D"/>
    <w:rsid w:val="00B937FC"/>
    <w:rsid w:val="00B94E90"/>
    <w:rsid w:val="00B950AD"/>
    <w:rsid w:val="00B95C35"/>
    <w:rsid w:val="00BB0A82"/>
    <w:rsid w:val="00BB7C94"/>
    <w:rsid w:val="00BC0A9D"/>
    <w:rsid w:val="00BD1D2B"/>
    <w:rsid w:val="00BD4D10"/>
    <w:rsid w:val="00BE32D0"/>
    <w:rsid w:val="00BE4981"/>
    <w:rsid w:val="00BF40ED"/>
    <w:rsid w:val="00BF5BC2"/>
    <w:rsid w:val="00C1133D"/>
    <w:rsid w:val="00C20646"/>
    <w:rsid w:val="00C2270D"/>
    <w:rsid w:val="00C27A08"/>
    <w:rsid w:val="00C31312"/>
    <w:rsid w:val="00C326C6"/>
    <w:rsid w:val="00C35295"/>
    <w:rsid w:val="00C3653D"/>
    <w:rsid w:val="00C36ADD"/>
    <w:rsid w:val="00C36E74"/>
    <w:rsid w:val="00C40595"/>
    <w:rsid w:val="00C409A4"/>
    <w:rsid w:val="00C41621"/>
    <w:rsid w:val="00C449FA"/>
    <w:rsid w:val="00C457A3"/>
    <w:rsid w:val="00C51482"/>
    <w:rsid w:val="00C5384F"/>
    <w:rsid w:val="00C54C12"/>
    <w:rsid w:val="00C56964"/>
    <w:rsid w:val="00C5783C"/>
    <w:rsid w:val="00C6341E"/>
    <w:rsid w:val="00C656D5"/>
    <w:rsid w:val="00C67103"/>
    <w:rsid w:val="00C71170"/>
    <w:rsid w:val="00C71BB9"/>
    <w:rsid w:val="00C8321F"/>
    <w:rsid w:val="00C832A6"/>
    <w:rsid w:val="00C83765"/>
    <w:rsid w:val="00C848C9"/>
    <w:rsid w:val="00C94C28"/>
    <w:rsid w:val="00CA05C8"/>
    <w:rsid w:val="00CB0247"/>
    <w:rsid w:val="00CB3440"/>
    <w:rsid w:val="00CC0350"/>
    <w:rsid w:val="00CC1692"/>
    <w:rsid w:val="00CC6449"/>
    <w:rsid w:val="00CD0CBE"/>
    <w:rsid w:val="00CD138B"/>
    <w:rsid w:val="00CD3E31"/>
    <w:rsid w:val="00CD74A3"/>
    <w:rsid w:val="00CE0527"/>
    <w:rsid w:val="00CE5772"/>
    <w:rsid w:val="00CE5B23"/>
    <w:rsid w:val="00CF70AD"/>
    <w:rsid w:val="00CF7729"/>
    <w:rsid w:val="00D00059"/>
    <w:rsid w:val="00D107FA"/>
    <w:rsid w:val="00D113EA"/>
    <w:rsid w:val="00D12275"/>
    <w:rsid w:val="00D12766"/>
    <w:rsid w:val="00D15C07"/>
    <w:rsid w:val="00D20FF4"/>
    <w:rsid w:val="00D24D2C"/>
    <w:rsid w:val="00D35881"/>
    <w:rsid w:val="00D430D5"/>
    <w:rsid w:val="00D543DB"/>
    <w:rsid w:val="00D55560"/>
    <w:rsid w:val="00D56B8D"/>
    <w:rsid w:val="00D73EB0"/>
    <w:rsid w:val="00D76EF3"/>
    <w:rsid w:val="00D80273"/>
    <w:rsid w:val="00D8574C"/>
    <w:rsid w:val="00DA013A"/>
    <w:rsid w:val="00DA1722"/>
    <w:rsid w:val="00DA7DA5"/>
    <w:rsid w:val="00DB073B"/>
    <w:rsid w:val="00DB0D45"/>
    <w:rsid w:val="00DB383F"/>
    <w:rsid w:val="00DB39FC"/>
    <w:rsid w:val="00DB78F0"/>
    <w:rsid w:val="00DC2E43"/>
    <w:rsid w:val="00DC39C0"/>
    <w:rsid w:val="00DC7EC8"/>
    <w:rsid w:val="00DD095C"/>
    <w:rsid w:val="00DD1020"/>
    <w:rsid w:val="00DD1330"/>
    <w:rsid w:val="00DD4EA0"/>
    <w:rsid w:val="00DE0B83"/>
    <w:rsid w:val="00DE1A81"/>
    <w:rsid w:val="00DE1C13"/>
    <w:rsid w:val="00DE4E10"/>
    <w:rsid w:val="00DE553A"/>
    <w:rsid w:val="00E02ABF"/>
    <w:rsid w:val="00E14995"/>
    <w:rsid w:val="00E14C58"/>
    <w:rsid w:val="00E179CD"/>
    <w:rsid w:val="00E17EC7"/>
    <w:rsid w:val="00E23E8D"/>
    <w:rsid w:val="00E37F98"/>
    <w:rsid w:val="00E46559"/>
    <w:rsid w:val="00E60222"/>
    <w:rsid w:val="00E66595"/>
    <w:rsid w:val="00E6670C"/>
    <w:rsid w:val="00E776E8"/>
    <w:rsid w:val="00E866EA"/>
    <w:rsid w:val="00E92C1F"/>
    <w:rsid w:val="00E95D4B"/>
    <w:rsid w:val="00E97009"/>
    <w:rsid w:val="00E97472"/>
    <w:rsid w:val="00EA7A27"/>
    <w:rsid w:val="00EB199F"/>
    <w:rsid w:val="00EC23F7"/>
    <w:rsid w:val="00EC4A0E"/>
    <w:rsid w:val="00EC4BD8"/>
    <w:rsid w:val="00EC63EB"/>
    <w:rsid w:val="00ED03E5"/>
    <w:rsid w:val="00ED412F"/>
    <w:rsid w:val="00EE78A6"/>
    <w:rsid w:val="00EF36B2"/>
    <w:rsid w:val="00F031FB"/>
    <w:rsid w:val="00F201EC"/>
    <w:rsid w:val="00F208A9"/>
    <w:rsid w:val="00F273B4"/>
    <w:rsid w:val="00F37013"/>
    <w:rsid w:val="00F41D75"/>
    <w:rsid w:val="00F5139D"/>
    <w:rsid w:val="00F52382"/>
    <w:rsid w:val="00F63DAC"/>
    <w:rsid w:val="00F641D8"/>
    <w:rsid w:val="00F710DD"/>
    <w:rsid w:val="00F7454F"/>
    <w:rsid w:val="00F7539E"/>
    <w:rsid w:val="00F77988"/>
    <w:rsid w:val="00F77F48"/>
    <w:rsid w:val="00F82CC7"/>
    <w:rsid w:val="00F83B4D"/>
    <w:rsid w:val="00F921F8"/>
    <w:rsid w:val="00F92ADF"/>
    <w:rsid w:val="00FA4FD9"/>
    <w:rsid w:val="00FB30F1"/>
    <w:rsid w:val="00FB42BB"/>
    <w:rsid w:val="00FB46C2"/>
    <w:rsid w:val="00FB53E7"/>
    <w:rsid w:val="00FC0F2D"/>
    <w:rsid w:val="00FE30E3"/>
    <w:rsid w:val="00FE619C"/>
    <w:rsid w:val="00FE6828"/>
    <w:rsid w:val="00FE72CA"/>
    <w:rsid w:val="00FF0331"/>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AA951-C5B6-4BB1-8A26-6B0630B0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4.xml><?xml version="1.0" encoding="utf-8"?>
<ds:datastoreItem xmlns:ds="http://schemas.openxmlformats.org/officeDocument/2006/customXml" ds:itemID="{0A372008-0E24-4DA2-8FFF-9D5EBE47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4656</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FMAnot_160114_AFI; Likumprojekta "Grozījumi likumā par valsts un pašvaldību kapitālsabiedrībām”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7296</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FMAnot_160114_AFI; Likumprojekta "Grozījumi likumā par valsts un pašvaldību kapitālsabiedrībām” sākotnējās ietekmes novērtējuma ziņojums (anotācija)</dc:title>
  <dc:subject>Anotācija</dc:subject>
  <dc:creator>dina.buse@fm.gov.lv</dc:creator>
  <dc:description>67095535, Dina.Buse@fm.gov.lv</dc:description>
  <cp:lastModifiedBy>Liene Strēlniece</cp:lastModifiedBy>
  <cp:revision>6</cp:revision>
  <cp:lastPrinted>2014-01-17T07:11:00Z</cp:lastPrinted>
  <dcterms:created xsi:type="dcterms:W3CDTF">2014-09-19T08:06:00Z</dcterms:created>
  <dcterms:modified xsi:type="dcterms:W3CDTF">2014-09-29T12:04:00Z</dcterms:modified>
</cp:coreProperties>
</file>