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848" w:rsidRDefault="00C91295" w:rsidP="00AD3269">
      <w:pPr>
        <w:pStyle w:val="naislab"/>
        <w:spacing w:before="0" w:after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D5DC0" w:rsidRPr="00C67D04">
        <w:rPr>
          <w:b/>
          <w:sz w:val="28"/>
          <w:szCs w:val="28"/>
        </w:rPr>
        <w:t>Minist</w:t>
      </w:r>
      <w:r w:rsidR="00F734FC">
        <w:rPr>
          <w:b/>
          <w:sz w:val="28"/>
          <w:szCs w:val="28"/>
        </w:rPr>
        <w:t xml:space="preserve">ru kabineta noteikumu projekta </w:t>
      </w:r>
    </w:p>
    <w:p w:rsidR="00191848" w:rsidRDefault="008D5DC0" w:rsidP="00AD3269">
      <w:pPr>
        <w:pStyle w:val="naislab"/>
        <w:spacing w:before="0" w:after="0"/>
        <w:jc w:val="center"/>
        <w:outlineLvl w:val="0"/>
        <w:rPr>
          <w:b/>
          <w:sz w:val="28"/>
          <w:szCs w:val="28"/>
        </w:rPr>
      </w:pPr>
      <w:r w:rsidRPr="00C67D04">
        <w:rPr>
          <w:b/>
          <w:sz w:val="28"/>
          <w:szCs w:val="28"/>
        </w:rPr>
        <w:t>“</w:t>
      </w:r>
      <w:r w:rsidR="00F734FC">
        <w:rPr>
          <w:b/>
          <w:sz w:val="28"/>
          <w:szCs w:val="28"/>
        </w:rPr>
        <w:t>Grozījum</w:t>
      </w:r>
      <w:r w:rsidR="006276E6">
        <w:rPr>
          <w:b/>
          <w:sz w:val="28"/>
          <w:szCs w:val="28"/>
        </w:rPr>
        <w:t>s</w:t>
      </w:r>
      <w:r w:rsidR="00F734FC">
        <w:rPr>
          <w:b/>
          <w:sz w:val="28"/>
          <w:szCs w:val="28"/>
        </w:rPr>
        <w:t xml:space="preserve"> Ministru kabineta 2013.gad</w:t>
      </w:r>
      <w:r w:rsidR="00054846">
        <w:rPr>
          <w:b/>
          <w:sz w:val="28"/>
          <w:szCs w:val="28"/>
        </w:rPr>
        <w:t>a</w:t>
      </w:r>
      <w:r w:rsidR="00F734FC">
        <w:rPr>
          <w:b/>
          <w:sz w:val="28"/>
          <w:szCs w:val="28"/>
        </w:rPr>
        <w:t xml:space="preserve"> 10.septembra noteikumos Nr.778 </w:t>
      </w:r>
      <w:r w:rsidR="00191848">
        <w:rPr>
          <w:b/>
          <w:sz w:val="28"/>
          <w:szCs w:val="28"/>
        </w:rPr>
        <w:t>“</w:t>
      </w:r>
      <w:r w:rsidRPr="00C67D04">
        <w:rPr>
          <w:b/>
          <w:sz w:val="28"/>
          <w:szCs w:val="28"/>
        </w:rPr>
        <w:t>Valsts ieņēmumu dienesta maksas pakalpojumu cenrādi</w:t>
      </w:r>
      <w:r w:rsidR="00415241">
        <w:rPr>
          <w:b/>
          <w:sz w:val="28"/>
          <w:szCs w:val="28"/>
        </w:rPr>
        <w:t>s</w:t>
      </w:r>
      <w:r w:rsidRPr="00C67D04">
        <w:rPr>
          <w:b/>
          <w:sz w:val="28"/>
          <w:szCs w:val="28"/>
        </w:rPr>
        <w:t>”</w:t>
      </w:r>
      <w:r w:rsidR="00F734FC">
        <w:rPr>
          <w:b/>
          <w:sz w:val="28"/>
          <w:szCs w:val="28"/>
        </w:rPr>
        <w:t>”</w:t>
      </w:r>
    </w:p>
    <w:p w:rsidR="008C5649" w:rsidRDefault="00947C36" w:rsidP="00AD3269">
      <w:pPr>
        <w:pStyle w:val="naislab"/>
        <w:spacing w:before="0" w:after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sākotnējās ietekmes novērtējuma ziņojums (</w:t>
      </w:r>
      <w:r w:rsidR="008D5DC0">
        <w:rPr>
          <w:b/>
          <w:sz w:val="28"/>
          <w:szCs w:val="28"/>
        </w:rPr>
        <w:t>anotācija</w:t>
      </w:r>
      <w:r>
        <w:rPr>
          <w:b/>
          <w:sz w:val="28"/>
          <w:szCs w:val="28"/>
        </w:rPr>
        <w:t>)</w:t>
      </w:r>
    </w:p>
    <w:p w:rsidR="00D44A59" w:rsidRPr="00B407A6" w:rsidRDefault="00D44A59" w:rsidP="00AD3269">
      <w:pPr>
        <w:pStyle w:val="naislab"/>
        <w:spacing w:before="0" w:after="0"/>
        <w:jc w:val="center"/>
        <w:outlineLvl w:val="0"/>
        <w:rPr>
          <w:b/>
          <w:sz w:val="20"/>
          <w:szCs w:val="20"/>
        </w:rPr>
      </w:pPr>
    </w:p>
    <w:p w:rsidR="00AF0F73" w:rsidRPr="00B407A6" w:rsidRDefault="00AF0F73" w:rsidP="00AD3269">
      <w:pPr>
        <w:pStyle w:val="naislab"/>
        <w:spacing w:before="0" w:after="0"/>
        <w:jc w:val="center"/>
        <w:outlineLvl w:val="0"/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49"/>
        <w:tblW w:w="9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"/>
        <w:gridCol w:w="3140"/>
        <w:gridCol w:w="5826"/>
      </w:tblGrid>
      <w:tr w:rsidR="00AF0F73" w:rsidRPr="00766572" w:rsidTr="00464CC8">
        <w:trPr>
          <w:trHeight w:val="321"/>
        </w:trPr>
        <w:tc>
          <w:tcPr>
            <w:tcW w:w="9517" w:type="dxa"/>
            <w:gridSpan w:val="3"/>
            <w:vAlign w:val="center"/>
          </w:tcPr>
          <w:p w:rsidR="00AF0F73" w:rsidRPr="00191848" w:rsidRDefault="00AF0F73" w:rsidP="00761C95">
            <w:pPr>
              <w:jc w:val="center"/>
              <w:rPr>
                <w:b/>
                <w:bCs/>
              </w:rPr>
            </w:pPr>
            <w:r w:rsidRPr="00191848">
              <w:rPr>
                <w:b/>
                <w:bCs/>
              </w:rPr>
              <w:t>I. Tiesību akta projekta izstrādes nepieciešamība</w:t>
            </w:r>
          </w:p>
        </w:tc>
      </w:tr>
      <w:tr w:rsidR="00AF0F73" w:rsidRPr="00766572" w:rsidTr="00B407A6">
        <w:trPr>
          <w:trHeight w:val="742"/>
        </w:trPr>
        <w:tc>
          <w:tcPr>
            <w:tcW w:w="551" w:type="dxa"/>
          </w:tcPr>
          <w:p w:rsidR="00AF0F73" w:rsidRPr="00B407A6" w:rsidRDefault="00AF0F73" w:rsidP="00B407A6">
            <w:pPr>
              <w:jc w:val="center"/>
            </w:pPr>
            <w:r w:rsidRPr="00B407A6">
              <w:t>1.</w:t>
            </w:r>
          </w:p>
        </w:tc>
        <w:tc>
          <w:tcPr>
            <w:tcW w:w="3140" w:type="dxa"/>
          </w:tcPr>
          <w:p w:rsidR="00AF0F73" w:rsidRPr="00B407A6" w:rsidRDefault="00AF0F73" w:rsidP="00464CC8">
            <w:r w:rsidRPr="00B407A6">
              <w:t>Pamatojums</w:t>
            </w:r>
          </w:p>
          <w:p w:rsidR="00AF0F73" w:rsidRPr="00B407A6" w:rsidRDefault="00AF0F73" w:rsidP="00464CC8"/>
        </w:tc>
        <w:tc>
          <w:tcPr>
            <w:tcW w:w="5826" w:type="dxa"/>
          </w:tcPr>
          <w:p w:rsidR="00AF0F73" w:rsidRPr="00B407A6" w:rsidRDefault="00AF0F73" w:rsidP="00191848">
            <w:pPr>
              <w:jc w:val="both"/>
              <w:rPr>
                <w:bCs/>
              </w:rPr>
            </w:pPr>
            <w:r w:rsidRPr="00B407A6">
              <w:rPr>
                <w:bCs/>
              </w:rPr>
              <w:t xml:space="preserve">Noteikumu projekts </w:t>
            </w:r>
            <w:r w:rsidR="00191848" w:rsidRPr="00B407A6">
              <w:rPr>
                <w:bCs/>
              </w:rPr>
              <w:t>“</w:t>
            </w:r>
            <w:r w:rsidRPr="00B407A6">
              <w:rPr>
                <w:bCs/>
              </w:rPr>
              <w:t xml:space="preserve">Grozījums Ministru kabineta 2013.gada 10.septembra noteikumos Nr.778 “Valsts ieņēmumu dienesta maksas pakalpojumu cenrādis”” ir izstrādāts pēc Valsts ieņēmumu dienesta (turpmāk – VID) iniciatīvas, lai nodrošinātu Ministru kabineta 2013.gada 10.septembra noteikumu Nr.778 “Valsts ieņēmumu dienesta maksas pakalpojumu cenrādis” pielikuma 1.1.apakšpunktā noteiktās muitas nodrošinājuma trosīšveida plombu cenas atbilstību </w:t>
            </w:r>
            <w:r w:rsidRPr="00B407A6">
              <w:t xml:space="preserve">iepirkuma </w:t>
            </w:r>
            <w:r w:rsidRPr="00B407A6">
              <w:rPr>
                <w:bCs/>
              </w:rPr>
              <w:t xml:space="preserve">līgumā noteiktajai iegādes cenai un muitas nodrošinājuma trosīšveida plombu uzturēšanas izmaksām. Noteikumu projekts ir izstrādāts saskaņā ar Likuma par budžetu un finanšu vadību 5.panta devīto daļu, kurā noteikts, ka </w:t>
            </w:r>
            <w:r w:rsidRPr="00B407A6">
              <w:t>Ministru kabinets izdod noteikumus par valsts tiešās pārvaldes iestāžu sniegto maksas pakalpojumu cenrāžu apstiprināšanu</w:t>
            </w:r>
          </w:p>
        </w:tc>
      </w:tr>
      <w:tr w:rsidR="00AF0F73" w:rsidRPr="00766572" w:rsidTr="00B407A6">
        <w:trPr>
          <w:trHeight w:val="64"/>
        </w:trPr>
        <w:tc>
          <w:tcPr>
            <w:tcW w:w="551" w:type="dxa"/>
          </w:tcPr>
          <w:p w:rsidR="00AF0F73" w:rsidRPr="00B407A6" w:rsidRDefault="00AF0F73" w:rsidP="00B407A6">
            <w:pPr>
              <w:jc w:val="center"/>
            </w:pPr>
            <w:r w:rsidRPr="00B407A6">
              <w:t>2.</w:t>
            </w:r>
          </w:p>
        </w:tc>
        <w:tc>
          <w:tcPr>
            <w:tcW w:w="3140" w:type="dxa"/>
          </w:tcPr>
          <w:p w:rsidR="00AF0F73" w:rsidRPr="00B407A6" w:rsidRDefault="00AF0F73" w:rsidP="00464CC8">
            <w:r w:rsidRPr="00B407A6">
              <w:t>Pašreizējā situācija un problēmas, kuru risināšanai tiesību akta projekts izstrādāts, tiesiskā regulējuma mērķis un būtība</w:t>
            </w:r>
          </w:p>
          <w:p w:rsidR="00AF0F73" w:rsidRPr="00B407A6" w:rsidRDefault="00AF0F73" w:rsidP="00464CC8"/>
        </w:tc>
        <w:tc>
          <w:tcPr>
            <w:tcW w:w="5826" w:type="dxa"/>
          </w:tcPr>
          <w:p w:rsidR="00AF0F73" w:rsidRPr="00B407A6" w:rsidRDefault="00AF0F73" w:rsidP="00761C95">
            <w:pPr>
              <w:jc w:val="both"/>
            </w:pPr>
            <w:r w:rsidRPr="00B407A6">
              <w:t>Šobrīd spēkā esošo Ministra kabineta 2013.gada 10.septembra noteikumu Nr.778 “Valsts ieņēmumu dienesta maksas pakalpojumu cenrādis”</w:t>
            </w:r>
            <w:r w:rsidRPr="00B407A6">
              <w:rPr>
                <w:bCs/>
              </w:rPr>
              <w:t xml:space="preserve"> pielikuma 1.1.apakšpunktā </w:t>
            </w:r>
            <w:r w:rsidRPr="00B407A6">
              <w:t>noteiktā muitas nodrošinājuma trosīšveida plombu cena ir neatbilstoša 2013.gada 25.jūnij</w:t>
            </w:r>
            <w:r w:rsidR="00757467">
              <w:t>ā</w:t>
            </w:r>
            <w:r w:rsidRPr="00B407A6">
              <w:t xml:space="preserve"> noslēgtā līguma Nr.2013/166 </w:t>
            </w:r>
            <w:r w:rsidR="00054846">
              <w:t xml:space="preserve">ar </w:t>
            </w:r>
            <w:r w:rsidRPr="00B407A6">
              <w:t xml:space="preserve">SIA </w:t>
            </w:r>
            <w:r w:rsidR="00191848">
              <w:t>“</w:t>
            </w:r>
            <w:r w:rsidRPr="00B407A6">
              <w:t xml:space="preserve">Consumo” </w:t>
            </w:r>
            <w:r w:rsidR="00757467">
              <w:t>“</w:t>
            </w:r>
            <w:r w:rsidRPr="00B407A6">
              <w:rPr>
                <w:i/>
              </w:rPr>
              <w:t>Par metāla trosīšveida muitas plombu piegādi</w:t>
            </w:r>
            <w:r w:rsidRPr="00B407A6">
              <w:t>” iepirkum</w:t>
            </w:r>
            <w:r w:rsidR="00AA2B02">
              <w:t>a</w:t>
            </w:r>
            <w:r w:rsidRPr="00B407A6">
              <w:t xml:space="preserve"> cen</w:t>
            </w:r>
            <w:r w:rsidR="00191848">
              <w:t>ai</w:t>
            </w:r>
            <w:r w:rsidRPr="00B407A6">
              <w:t>, kas ir 0,41</w:t>
            </w:r>
            <w:r w:rsidR="00191848">
              <w:t> </w:t>
            </w:r>
            <w:r w:rsidRPr="00B407A6">
              <w:t>EUR (t.sk.</w:t>
            </w:r>
            <w:r w:rsidR="00191848">
              <w:t xml:space="preserve"> pievienotās vērtības nodoklis</w:t>
            </w:r>
            <w:r w:rsidRPr="00B407A6">
              <w:t xml:space="preserve">) par </w:t>
            </w:r>
            <w:r w:rsidR="00191848">
              <w:t>vienu</w:t>
            </w:r>
            <w:r w:rsidRPr="00B407A6">
              <w:t xml:space="preserve"> gabalu, savukārt Ministr</w:t>
            </w:r>
            <w:r w:rsidR="00796D5E">
              <w:t>u</w:t>
            </w:r>
            <w:r w:rsidRPr="00B407A6">
              <w:t xml:space="preserve"> kabineta 2013.gada 10.septembra noteikumu Nr.778 “Valsts ieņēmumu dienesta maksas pakalpojumu cenrādis” pielikuma 1.1.apakšpunktā muitas nodrošinājuma trosīšveida plombu cena ir 0,30</w:t>
            </w:r>
            <w:r w:rsidR="00AA2B02">
              <w:t> </w:t>
            </w:r>
            <w:r w:rsidR="00C91295">
              <w:t>EUR</w:t>
            </w:r>
            <w:r w:rsidRPr="00B407A6">
              <w:t xml:space="preserve"> par </w:t>
            </w:r>
            <w:r w:rsidR="00AA2B02">
              <w:t>vienu</w:t>
            </w:r>
            <w:r w:rsidRPr="00B407A6">
              <w:t xml:space="preserve"> gabalu. Līdz šim brīdim tika realizētas muitas nodrošinājuma trosīšveida plombas, kas tika iegādātas no iepriekšējā iepirkuma līguma iegādes atlikumiem. </w:t>
            </w:r>
            <w:r w:rsidR="00E27394" w:rsidRPr="00B407A6">
              <w:t xml:space="preserve">Saskaņā ar 2013.gada 25.jūnija līguma Nr.2013/166 nosacījumiem piegādātājs ir veicis konkrēta apjoma muitas nodrošinājuma trosīšveida plombu piegādi (piegāde veikta vienu reizi) un piegādātās muitas nodrošinājuma trosīšveida plombas ir realizētas. </w:t>
            </w:r>
            <w:r w:rsidRPr="00B407A6">
              <w:t xml:space="preserve">Tādējādi, ņemot vērā </w:t>
            </w:r>
            <w:r w:rsidR="00457EE6" w:rsidRPr="00B407A6">
              <w:t xml:space="preserve">jaunajā </w:t>
            </w:r>
            <w:r w:rsidRPr="00B407A6">
              <w:t>iepirkuma līgumā noteikto metāla trosīšveida muitas plombu iegādes cenu un muitas nodrošinājuma trosīšveida plombu uzturēšanas izmaksas (1.pielikums), V</w:t>
            </w:r>
            <w:r w:rsidR="00AA2B02">
              <w:t>ID</w:t>
            </w:r>
            <w:r w:rsidRPr="00B407A6">
              <w:t xml:space="preserve"> ir precizējis realizējamo muitas nodrošinājuma trosīšveida plombu cenu par </w:t>
            </w:r>
            <w:r w:rsidR="00AA2B02">
              <w:t>vienu</w:t>
            </w:r>
            <w:r w:rsidRPr="00B407A6">
              <w:t xml:space="preserve"> gabalu no 0,30</w:t>
            </w:r>
            <w:r w:rsidR="00AA2B02">
              <w:t> </w:t>
            </w:r>
            <w:r w:rsidRPr="00B407A6">
              <w:t>EUR uz 0,42</w:t>
            </w:r>
            <w:r w:rsidR="00AA2B02">
              <w:t> </w:t>
            </w:r>
            <w:r w:rsidRPr="00B407A6">
              <w:t>EUR.</w:t>
            </w:r>
          </w:p>
          <w:p w:rsidR="00AF0F73" w:rsidRPr="00B407A6" w:rsidRDefault="00AF0F73" w:rsidP="00761C95">
            <w:pPr>
              <w:jc w:val="both"/>
            </w:pPr>
            <w:r w:rsidRPr="00B407A6">
              <w:t>Projekta mērķis ir segt V</w:t>
            </w:r>
            <w:r w:rsidR="00AA2B02">
              <w:t>ID</w:t>
            </w:r>
            <w:r w:rsidRPr="00B407A6">
              <w:t xml:space="preserve"> muitas nodrošinājuma trosīšveida plombu iegādi un ar to administrēšanu saistītos izdevumus. </w:t>
            </w:r>
          </w:p>
          <w:p w:rsidR="00AF0F73" w:rsidRPr="00B407A6" w:rsidRDefault="00AF0F73" w:rsidP="00054846">
            <w:pPr>
              <w:jc w:val="both"/>
            </w:pPr>
            <w:r w:rsidRPr="00B407A6">
              <w:t xml:space="preserve">Nosakot muitas nodrošinājuma trosīšveida realizējamo </w:t>
            </w:r>
            <w:r w:rsidRPr="00B407A6">
              <w:lastRenderedPageBreak/>
              <w:t xml:space="preserve">cenu, ir ņemtas vērā tādas tiešās izmaksas kā iesaistīto darbinieku darba samaksas izdevumi, valsts sociālās apdrošināšanas obligātās iemaksas un netiešās izmaksas – </w:t>
            </w:r>
            <w:r w:rsidR="00054846">
              <w:t xml:space="preserve">par </w:t>
            </w:r>
            <w:r w:rsidRPr="00B407A6">
              <w:t>palīgtelpu nom</w:t>
            </w:r>
            <w:r w:rsidR="00054846">
              <w:t>u</w:t>
            </w:r>
            <w:r w:rsidRPr="00B407A6">
              <w:t xml:space="preserve"> (1.pielikums)</w:t>
            </w:r>
          </w:p>
        </w:tc>
      </w:tr>
      <w:tr w:rsidR="00AF0F73" w:rsidRPr="00766572" w:rsidTr="00B407A6">
        <w:trPr>
          <w:trHeight w:val="107"/>
        </w:trPr>
        <w:tc>
          <w:tcPr>
            <w:tcW w:w="551" w:type="dxa"/>
          </w:tcPr>
          <w:p w:rsidR="00AF0F73" w:rsidRPr="00B407A6" w:rsidRDefault="00AF0F73" w:rsidP="00B407A6">
            <w:pPr>
              <w:jc w:val="center"/>
            </w:pPr>
            <w:r w:rsidRPr="00B407A6">
              <w:lastRenderedPageBreak/>
              <w:t>3.</w:t>
            </w:r>
          </w:p>
        </w:tc>
        <w:tc>
          <w:tcPr>
            <w:tcW w:w="3140" w:type="dxa"/>
          </w:tcPr>
          <w:p w:rsidR="00AF0F73" w:rsidRPr="00B407A6" w:rsidRDefault="00AF0F73" w:rsidP="00464CC8">
            <w:r w:rsidRPr="00B407A6">
              <w:t>Projekta izstrādē iesaistītās institūcijas</w:t>
            </w:r>
          </w:p>
        </w:tc>
        <w:tc>
          <w:tcPr>
            <w:tcW w:w="5826" w:type="dxa"/>
          </w:tcPr>
          <w:p w:rsidR="00AF0F73" w:rsidRPr="00B407A6" w:rsidRDefault="00AF0F73" w:rsidP="00464CC8">
            <w:r w:rsidRPr="00B407A6">
              <w:t>Nav</w:t>
            </w:r>
          </w:p>
        </w:tc>
      </w:tr>
      <w:tr w:rsidR="00AF0F73" w:rsidRPr="00766572" w:rsidTr="00B407A6">
        <w:trPr>
          <w:trHeight w:val="253"/>
        </w:trPr>
        <w:tc>
          <w:tcPr>
            <w:tcW w:w="551" w:type="dxa"/>
          </w:tcPr>
          <w:p w:rsidR="00AF0F73" w:rsidRPr="00B407A6" w:rsidRDefault="00AF0F73" w:rsidP="00B407A6">
            <w:pPr>
              <w:jc w:val="center"/>
            </w:pPr>
            <w:r w:rsidRPr="00B407A6">
              <w:t>4.</w:t>
            </w:r>
          </w:p>
        </w:tc>
        <w:tc>
          <w:tcPr>
            <w:tcW w:w="3140" w:type="dxa"/>
          </w:tcPr>
          <w:p w:rsidR="00AF0F73" w:rsidRPr="00B407A6" w:rsidRDefault="00AF0F73" w:rsidP="00464CC8">
            <w:r w:rsidRPr="00B407A6">
              <w:t>Cita informācija</w:t>
            </w:r>
          </w:p>
        </w:tc>
        <w:tc>
          <w:tcPr>
            <w:tcW w:w="5826" w:type="dxa"/>
          </w:tcPr>
          <w:p w:rsidR="00AF0F73" w:rsidRPr="00B407A6" w:rsidRDefault="00AF0F73" w:rsidP="00464CC8">
            <w:r w:rsidRPr="00B407A6">
              <w:t>Nav</w:t>
            </w:r>
          </w:p>
        </w:tc>
      </w:tr>
    </w:tbl>
    <w:p w:rsidR="0049068D" w:rsidRPr="00B407A6" w:rsidRDefault="0049068D" w:rsidP="00C824F8">
      <w:pPr>
        <w:pStyle w:val="naisf"/>
        <w:spacing w:before="0" w:after="0"/>
        <w:ind w:firstLine="0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49"/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3975"/>
        <w:gridCol w:w="5211"/>
      </w:tblGrid>
      <w:tr w:rsidR="0062298A" w:rsidRPr="00CA738D" w:rsidTr="00CA738D">
        <w:tc>
          <w:tcPr>
            <w:tcW w:w="9611" w:type="dxa"/>
            <w:gridSpan w:val="3"/>
            <w:vAlign w:val="center"/>
          </w:tcPr>
          <w:p w:rsidR="00054846" w:rsidRDefault="0062298A" w:rsidP="006C4607">
            <w:pPr>
              <w:pStyle w:val="naisnod"/>
              <w:spacing w:before="0" w:after="0"/>
            </w:pPr>
            <w:r w:rsidRPr="009550F1">
              <w:t>II</w:t>
            </w:r>
            <w:r w:rsidR="00947C36" w:rsidRPr="009550F1">
              <w:t>.</w:t>
            </w:r>
            <w:r w:rsidRPr="009550F1">
              <w:t xml:space="preserve"> Tiesību akta projekta ietekme uz sabiedrību</w:t>
            </w:r>
            <w:r w:rsidR="007E07F0" w:rsidRPr="009550F1">
              <w:t>, tautsaimniecības attīstību un</w:t>
            </w:r>
          </w:p>
          <w:p w:rsidR="0062298A" w:rsidRPr="009550F1" w:rsidRDefault="007E07F0" w:rsidP="006C4607">
            <w:pPr>
              <w:pStyle w:val="naisnod"/>
              <w:spacing w:before="0" w:after="0"/>
            </w:pPr>
            <w:r w:rsidRPr="009550F1">
              <w:t>administratīvo slogu</w:t>
            </w:r>
          </w:p>
        </w:tc>
      </w:tr>
      <w:tr w:rsidR="0062298A" w:rsidRPr="00CA738D" w:rsidTr="00B407A6">
        <w:trPr>
          <w:trHeight w:val="1559"/>
        </w:trPr>
        <w:tc>
          <w:tcPr>
            <w:tcW w:w="425" w:type="dxa"/>
          </w:tcPr>
          <w:p w:rsidR="0062298A" w:rsidRPr="00B407A6" w:rsidRDefault="0062298A" w:rsidP="00B407A6">
            <w:pPr>
              <w:pStyle w:val="naiskr"/>
              <w:spacing w:before="0" w:after="0"/>
              <w:jc w:val="center"/>
            </w:pPr>
            <w:r w:rsidRPr="00B407A6">
              <w:t>1.</w:t>
            </w:r>
          </w:p>
        </w:tc>
        <w:tc>
          <w:tcPr>
            <w:tcW w:w="3975" w:type="dxa"/>
          </w:tcPr>
          <w:p w:rsidR="00167C4E" w:rsidRPr="00B407A6" w:rsidRDefault="00C27A08" w:rsidP="009550F1">
            <w:pPr>
              <w:pStyle w:val="naiskr"/>
              <w:spacing w:before="0" w:after="0"/>
            </w:pPr>
            <w:r w:rsidRPr="00B407A6">
              <w:t>Sabiedrības mērķgrupa</w:t>
            </w:r>
            <w:r w:rsidR="001D75D0" w:rsidRPr="00B407A6">
              <w:t>s</w:t>
            </w:r>
            <w:r w:rsidR="00EB4100" w:rsidRPr="00B407A6">
              <w:t>, kuras tiesiskais regulējums ietekmē vai varētu ietekmēt</w:t>
            </w:r>
          </w:p>
          <w:p w:rsidR="00775DE5" w:rsidRPr="00B407A6" w:rsidRDefault="00775DE5" w:rsidP="00775DE5">
            <w:pPr>
              <w:jc w:val="both"/>
            </w:pPr>
          </w:p>
        </w:tc>
        <w:tc>
          <w:tcPr>
            <w:tcW w:w="5211" w:type="dxa"/>
          </w:tcPr>
          <w:p w:rsidR="008D270F" w:rsidRPr="00B407A6" w:rsidRDefault="00835F70" w:rsidP="00054846">
            <w:pPr>
              <w:jc w:val="both"/>
              <w:rPr>
                <w:iCs/>
              </w:rPr>
            </w:pPr>
            <w:r w:rsidRPr="00B407A6">
              <w:rPr>
                <w:iCs/>
              </w:rPr>
              <w:t>Ministru kabineta noteikumu tiesiskais regulējums attiecināms uz</w:t>
            </w:r>
            <w:r w:rsidR="0049068D" w:rsidRPr="00B407A6">
              <w:rPr>
                <w:iCs/>
              </w:rPr>
              <w:t xml:space="preserve"> </w:t>
            </w:r>
            <w:r w:rsidR="008A0493" w:rsidRPr="00B407A6">
              <w:rPr>
                <w:iCs/>
              </w:rPr>
              <w:t>personām</w:t>
            </w:r>
            <w:r w:rsidR="00230B9A" w:rsidRPr="00B407A6">
              <w:rPr>
                <w:iCs/>
              </w:rPr>
              <w:t xml:space="preserve"> (</w:t>
            </w:r>
            <w:r w:rsidR="000C7F0D" w:rsidRPr="00B407A6">
              <w:rPr>
                <w:iCs/>
              </w:rPr>
              <w:t>aptuveni</w:t>
            </w:r>
            <w:r w:rsidR="00230B9A" w:rsidRPr="00B407A6">
              <w:rPr>
                <w:iCs/>
              </w:rPr>
              <w:t xml:space="preserve"> 10 komersanti</w:t>
            </w:r>
            <w:r w:rsidR="00054846">
              <w:rPr>
                <w:iCs/>
              </w:rPr>
              <w:t>em</w:t>
            </w:r>
            <w:r w:rsidR="00230B9A" w:rsidRPr="00B407A6">
              <w:rPr>
                <w:iCs/>
              </w:rPr>
              <w:t>)</w:t>
            </w:r>
            <w:r w:rsidR="008A0493" w:rsidRPr="00B407A6">
              <w:rPr>
                <w:iCs/>
              </w:rPr>
              <w:t xml:space="preserve">, </w:t>
            </w:r>
            <w:r w:rsidR="00C824F8" w:rsidRPr="00B407A6">
              <w:rPr>
                <w:iCs/>
              </w:rPr>
              <w:t xml:space="preserve">kuras </w:t>
            </w:r>
            <w:r w:rsidR="008A0493" w:rsidRPr="00B407A6">
              <w:rPr>
                <w:iCs/>
              </w:rPr>
              <w:t>saņēmušas vietējās muitošanas atļaujas, kas dod tiesības uzlikt muitas nodrošinājumu bez muitas amatpersonas klātbūtnes, pamatojoties uz Ministru kabineta 2005.gada 18.oktobra noteikumiem Nr.77</w:t>
            </w:r>
            <w:r w:rsidR="008F0B50" w:rsidRPr="00B407A6">
              <w:rPr>
                <w:iCs/>
              </w:rPr>
              <w:t xml:space="preserve">5 </w:t>
            </w:r>
            <w:r w:rsidR="001E7981" w:rsidRPr="00B407A6">
              <w:t>“</w:t>
            </w:r>
            <w:r w:rsidR="008F0B50" w:rsidRPr="00B407A6">
              <w:rPr>
                <w:iCs/>
              </w:rPr>
              <w:t xml:space="preserve">Noteikumi par muitas </w:t>
            </w:r>
            <w:r w:rsidR="008A0493" w:rsidRPr="00B407A6">
              <w:rPr>
                <w:iCs/>
              </w:rPr>
              <w:t xml:space="preserve"> nodrošinājumu”</w:t>
            </w:r>
          </w:p>
        </w:tc>
      </w:tr>
      <w:tr w:rsidR="0062298A" w:rsidRPr="00CA738D" w:rsidTr="00B407A6">
        <w:trPr>
          <w:trHeight w:val="350"/>
        </w:trPr>
        <w:tc>
          <w:tcPr>
            <w:tcW w:w="425" w:type="dxa"/>
          </w:tcPr>
          <w:p w:rsidR="0062298A" w:rsidRPr="00B407A6" w:rsidRDefault="00EB4100" w:rsidP="00B407A6">
            <w:pPr>
              <w:pStyle w:val="naiskr"/>
              <w:spacing w:before="0" w:after="0"/>
              <w:jc w:val="center"/>
            </w:pPr>
            <w:r w:rsidRPr="00B407A6">
              <w:t>2</w:t>
            </w:r>
            <w:r w:rsidR="0062298A" w:rsidRPr="00B407A6">
              <w:t>.</w:t>
            </w:r>
          </w:p>
        </w:tc>
        <w:tc>
          <w:tcPr>
            <w:tcW w:w="3975" w:type="dxa"/>
          </w:tcPr>
          <w:p w:rsidR="00775DE5" w:rsidRPr="00B407A6" w:rsidRDefault="000C790C" w:rsidP="006C4607">
            <w:pPr>
              <w:pStyle w:val="naiskr"/>
              <w:spacing w:before="0" w:after="0"/>
            </w:pPr>
            <w:r w:rsidRPr="00B407A6">
              <w:t>Tiesiskā r</w:t>
            </w:r>
            <w:r w:rsidR="003D21FF" w:rsidRPr="00B407A6">
              <w:t>egulējuma</w:t>
            </w:r>
            <w:r w:rsidR="00C27A08" w:rsidRPr="00B407A6">
              <w:t xml:space="preserve"> </w:t>
            </w:r>
            <w:r w:rsidR="00EB4100" w:rsidRPr="00B407A6">
              <w:t>ietekme uz tautsaimniecību un administratīvo slogu</w:t>
            </w:r>
          </w:p>
        </w:tc>
        <w:tc>
          <w:tcPr>
            <w:tcW w:w="5211" w:type="dxa"/>
          </w:tcPr>
          <w:p w:rsidR="0062298A" w:rsidRPr="00B407A6" w:rsidRDefault="000C7F0D" w:rsidP="00AA2B02">
            <w:pPr>
              <w:jc w:val="both"/>
            </w:pPr>
            <w:r w:rsidRPr="00B407A6">
              <w:t>Sabiedrības grupām un institūcijām projekta tiesiskais regulējums nemaina tiesības un pienākumus, kā arī veicamās darbības</w:t>
            </w:r>
          </w:p>
        </w:tc>
      </w:tr>
      <w:tr w:rsidR="0062298A" w:rsidRPr="00CA738D" w:rsidTr="00B407A6">
        <w:trPr>
          <w:trHeight w:val="60"/>
        </w:trPr>
        <w:tc>
          <w:tcPr>
            <w:tcW w:w="425" w:type="dxa"/>
          </w:tcPr>
          <w:p w:rsidR="0062298A" w:rsidRPr="00B407A6" w:rsidRDefault="00EB4100" w:rsidP="00B407A6">
            <w:pPr>
              <w:pStyle w:val="naiskr"/>
              <w:spacing w:before="0" w:after="0"/>
              <w:jc w:val="center"/>
            </w:pPr>
            <w:r w:rsidRPr="00B407A6">
              <w:t>3</w:t>
            </w:r>
            <w:r w:rsidR="0062298A" w:rsidRPr="00B407A6">
              <w:t>.</w:t>
            </w:r>
          </w:p>
        </w:tc>
        <w:tc>
          <w:tcPr>
            <w:tcW w:w="3975" w:type="dxa"/>
          </w:tcPr>
          <w:p w:rsidR="00775DE5" w:rsidRPr="00B407A6" w:rsidRDefault="00C27A08" w:rsidP="00775DE5">
            <w:pPr>
              <w:pStyle w:val="naiskr"/>
              <w:spacing w:before="0" w:after="0"/>
            </w:pPr>
            <w:r w:rsidRPr="00B407A6">
              <w:t xml:space="preserve">Administratīvo izmaksu </w:t>
            </w:r>
            <w:r w:rsidR="00502374" w:rsidRPr="00B407A6">
              <w:t xml:space="preserve">monetārs </w:t>
            </w:r>
            <w:r w:rsidRPr="00B407A6">
              <w:t>novērtējums</w:t>
            </w:r>
          </w:p>
        </w:tc>
        <w:tc>
          <w:tcPr>
            <w:tcW w:w="5211" w:type="dxa"/>
          </w:tcPr>
          <w:p w:rsidR="0062298A" w:rsidRPr="00B407A6" w:rsidRDefault="000C7F0D" w:rsidP="00AA2B02">
            <w:pPr>
              <w:jc w:val="both"/>
            </w:pPr>
            <w:r w:rsidRPr="00B407A6">
              <w:t>Noteikumu projekts šo jomu neskar</w:t>
            </w:r>
          </w:p>
        </w:tc>
      </w:tr>
      <w:tr w:rsidR="0062298A" w:rsidRPr="00CA738D" w:rsidTr="00B407A6">
        <w:tc>
          <w:tcPr>
            <w:tcW w:w="425" w:type="dxa"/>
          </w:tcPr>
          <w:p w:rsidR="0062298A" w:rsidRPr="00B407A6" w:rsidRDefault="00EB4100" w:rsidP="00B407A6">
            <w:pPr>
              <w:pStyle w:val="naiskr"/>
              <w:spacing w:before="0" w:after="0"/>
              <w:jc w:val="center"/>
            </w:pPr>
            <w:r w:rsidRPr="00B407A6">
              <w:t>4</w:t>
            </w:r>
            <w:r w:rsidR="0062298A" w:rsidRPr="00B407A6">
              <w:t>.</w:t>
            </w:r>
          </w:p>
        </w:tc>
        <w:tc>
          <w:tcPr>
            <w:tcW w:w="3975" w:type="dxa"/>
          </w:tcPr>
          <w:p w:rsidR="00775DE5" w:rsidRPr="00B407A6" w:rsidRDefault="009E12D7" w:rsidP="00167C4E">
            <w:pPr>
              <w:pStyle w:val="naiskr"/>
              <w:spacing w:before="0" w:after="0"/>
            </w:pPr>
            <w:r w:rsidRPr="00B407A6">
              <w:t>Cita informācija</w:t>
            </w:r>
          </w:p>
        </w:tc>
        <w:tc>
          <w:tcPr>
            <w:tcW w:w="5211" w:type="dxa"/>
          </w:tcPr>
          <w:p w:rsidR="0062298A" w:rsidRPr="00B407A6" w:rsidRDefault="00C92695" w:rsidP="00BF3B77">
            <w:pPr>
              <w:pStyle w:val="naiskr"/>
              <w:spacing w:before="0" w:after="0"/>
              <w:jc w:val="both"/>
            </w:pPr>
            <w:r w:rsidRPr="00B407A6">
              <w:t>N</w:t>
            </w:r>
            <w:r w:rsidR="001029F7" w:rsidRPr="00B407A6">
              <w:t>av</w:t>
            </w:r>
          </w:p>
        </w:tc>
      </w:tr>
    </w:tbl>
    <w:p w:rsidR="00554EFC" w:rsidRPr="00554EFC" w:rsidRDefault="00554EFC" w:rsidP="00D44A59">
      <w:pPr>
        <w:pStyle w:val="naisf"/>
        <w:spacing w:before="0" w:after="0"/>
        <w:ind w:firstLine="0"/>
        <w:rPr>
          <w:sz w:val="16"/>
          <w:szCs w:val="16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1134"/>
        <w:gridCol w:w="1276"/>
        <w:gridCol w:w="1275"/>
        <w:gridCol w:w="1276"/>
        <w:gridCol w:w="1276"/>
      </w:tblGrid>
      <w:tr w:rsidR="002911D1" w:rsidRPr="00166AF9" w:rsidTr="00810C13">
        <w:trPr>
          <w:cantSplit/>
          <w:trHeight w:val="147"/>
        </w:trPr>
        <w:tc>
          <w:tcPr>
            <w:tcW w:w="9640" w:type="dxa"/>
            <w:gridSpan w:val="6"/>
            <w:tcBorders>
              <w:right w:val="single" w:sz="4" w:space="0" w:color="auto"/>
            </w:tcBorders>
          </w:tcPr>
          <w:p w:rsidR="002911D1" w:rsidRPr="00EB4100" w:rsidRDefault="002911D1" w:rsidP="00AF0F73">
            <w:pPr>
              <w:ind w:right="187"/>
              <w:jc w:val="center"/>
              <w:rPr>
                <w:b/>
                <w:sz w:val="22"/>
                <w:szCs w:val="22"/>
                <w:lang w:eastAsia="en-US"/>
              </w:rPr>
            </w:pPr>
            <w:r w:rsidRPr="009550F1">
              <w:rPr>
                <w:b/>
                <w:lang w:eastAsia="en-US"/>
              </w:rPr>
              <w:t>III. Tiesību akta projekta ietekme uz</w:t>
            </w:r>
            <w:r w:rsidR="00AF0F73">
              <w:rPr>
                <w:b/>
                <w:lang w:eastAsia="en-US"/>
              </w:rPr>
              <w:t xml:space="preserve"> </w:t>
            </w:r>
            <w:r w:rsidRPr="009550F1">
              <w:rPr>
                <w:b/>
                <w:lang w:eastAsia="en-US"/>
              </w:rPr>
              <w:t>valsts budžetu un pašvaldību budžetiem</w:t>
            </w:r>
          </w:p>
        </w:tc>
      </w:tr>
      <w:tr w:rsidR="002911D1" w:rsidRPr="00166AF9" w:rsidTr="00B407A6">
        <w:trPr>
          <w:cantSplit/>
          <w:trHeight w:val="147"/>
        </w:trPr>
        <w:tc>
          <w:tcPr>
            <w:tcW w:w="3403" w:type="dxa"/>
            <w:vMerge w:val="restart"/>
            <w:tcBorders>
              <w:right w:val="single" w:sz="4" w:space="0" w:color="auto"/>
            </w:tcBorders>
          </w:tcPr>
          <w:p w:rsidR="002911D1" w:rsidRPr="00B407A6" w:rsidRDefault="002911D1" w:rsidP="00B407A6">
            <w:pPr>
              <w:rPr>
                <w:lang w:eastAsia="en-US"/>
              </w:rPr>
            </w:pPr>
            <w:r w:rsidRPr="00B407A6">
              <w:rPr>
                <w:lang w:eastAsia="en-US"/>
              </w:rPr>
              <w:t xml:space="preserve"> </w:t>
            </w:r>
          </w:p>
          <w:p w:rsidR="002911D1" w:rsidRPr="00B407A6" w:rsidRDefault="002911D1" w:rsidP="00EB4100">
            <w:pPr>
              <w:jc w:val="center"/>
              <w:rPr>
                <w:lang w:eastAsia="en-US"/>
              </w:rPr>
            </w:pPr>
          </w:p>
          <w:p w:rsidR="002911D1" w:rsidRPr="00B407A6" w:rsidRDefault="002911D1" w:rsidP="00166AF9">
            <w:pPr>
              <w:jc w:val="center"/>
              <w:rPr>
                <w:b/>
                <w:lang w:eastAsia="en-US"/>
              </w:rPr>
            </w:pPr>
            <w:r w:rsidRPr="00B407A6">
              <w:rPr>
                <w:b/>
                <w:lang w:eastAsia="en-US"/>
              </w:rPr>
              <w:t>Rādītāji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2911D1" w:rsidRPr="00B407A6" w:rsidRDefault="00AF0F73" w:rsidP="00AF0F73">
            <w:pPr>
              <w:jc w:val="center"/>
              <w:rPr>
                <w:lang w:eastAsia="en-US"/>
              </w:rPr>
            </w:pPr>
            <w:r w:rsidRPr="00B407A6">
              <w:rPr>
                <w:lang w:eastAsia="en-US"/>
              </w:rPr>
              <w:t>2014.</w:t>
            </w:r>
            <w:r w:rsidR="002911D1" w:rsidRPr="00B407A6">
              <w:rPr>
                <w:lang w:eastAsia="en-US"/>
              </w:rPr>
              <w:t>gads</w:t>
            </w: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</w:tcPr>
          <w:p w:rsidR="002911D1" w:rsidRPr="00B407A6" w:rsidRDefault="002911D1" w:rsidP="00810C13">
            <w:pPr>
              <w:jc w:val="center"/>
              <w:rPr>
                <w:lang w:eastAsia="en-US"/>
              </w:rPr>
            </w:pPr>
            <w:r w:rsidRPr="00B407A6">
              <w:rPr>
                <w:lang w:eastAsia="en-US"/>
              </w:rPr>
              <w:t>Turpmākie trīs gadi (</w:t>
            </w:r>
            <w:r w:rsidRPr="00B407A6">
              <w:rPr>
                <w:i/>
                <w:lang w:eastAsia="en-US"/>
              </w:rPr>
              <w:t>euro</w:t>
            </w:r>
            <w:r w:rsidRPr="00B407A6">
              <w:rPr>
                <w:lang w:eastAsia="en-US"/>
              </w:rPr>
              <w:t>)</w:t>
            </w:r>
          </w:p>
        </w:tc>
      </w:tr>
      <w:tr w:rsidR="002911D1" w:rsidRPr="00166AF9" w:rsidTr="00B407A6">
        <w:trPr>
          <w:cantSplit/>
          <w:trHeight w:val="163"/>
        </w:trPr>
        <w:tc>
          <w:tcPr>
            <w:tcW w:w="3403" w:type="dxa"/>
            <w:vMerge/>
            <w:tcBorders>
              <w:right w:val="single" w:sz="4" w:space="0" w:color="auto"/>
            </w:tcBorders>
            <w:vAlign w:val="center"/>
          </w:tcPr>
          <w:p w:rsidR="002911D1" w:rsidRPr="00B407A6" w:rsidRDefault="002911D1" w:rsidP="00EB4100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2911D1" w:rsidRPr="00B407A6" w:rsidRDefault="002911D1" w:rsidP="00EB4100">
            <w:pPr>
              <w:jc w:val="center"/>
              <w:rPr>
                <w:lang w:eastAsia="en-US"/>
              </w:rPr>
            </w:pPr>
            <w:r w:rsidRPr="00B407A6">
              <w:rPr>
                <w:lang w:eastAsia="en-US"/>
              </w:rPr>
              <w:t>saskaņā ar valsts budžetu kārtējam gadam</w:t>
            </w:r>
          </w:p>
        </w:tc>
        <w:tc>
          <w:tcPr>
            <w:tcW w:w="1276" w:type="dxa"/>
            <w:vMerge w:val="restart"/>
          </w:tcPr>
          <w:p w:rsidR="002911D1" w:rsidRPr="00B407A6" w:rsidRDefault="002911D1" w:rsidP="00EB4100">
            <w:pPr>
              <w:jc w:val="center"/>
              <w:rPr>
                <w:lang w:eastAsia="en-US"/>
              </w:rPr>
            </w:pPr>
            <w:r w:rsidRPr="00B407A6">
              <w:rPr>
                <w:lang w:eastAsia="en-US"/>
              </w:rPr>
              <w:t>izmaiņas kārtējā gadā, salīdzinot ar valsts budžetu kārtējam gadam</w:t>
            </w:r>
          </w:p>
        </w:tc>
        <w:tc>
          <w:tcPr>
            <w:tcW w:w="1275" w:type="dxa"/>
          </w:tcPr>
          <w:p w:rsidR="002911D1" w:rsidRPr="00B407A6" w:rsidRDefault="00AF0F73" w:rsidP="00EB4100">
            <w:pPr>
              <w:keepNext/>
              <w:jc w:val="center"/>
              <w:outlineLvl w:val="5"/>
              <w:rPr>
                <w:lang w:eastAsia="en-US"/>
              </w:rPr>
            </w:pPr>
            <w:r w:rsidRPr="00B407A6">
              <w:rPr>
                <w:lang w:eastAsia="en-US"/>
              </w:rPr>
              <w:t>2015.gads</w:t>
            </w:r>
          </w:p>
        </w:tc>
        <w:tc>
          <w:tcPr>
            <w:tcW w:w="1276" w:type="dxa"/>
          </w:tcPr>
          <w:p w:rsidR="002911D1" w:rsidRPr="00B407A6" w:rsidRDefault="00AF0F73" w:rsidP="00EB4100">
            <w:pPr>
              <w:keepNext/>
              <w:jc w:val="center"/>
              <w:outlineLvl w:val="5"/>
              <w:rPr>
                <w:lang w:eastAsia="en-US"/>
              </w:rPr>
            </w:pPr>
            <w:r w:rsidRPr="00B407A6">
              <w:rPr>
                <w:lang w:eastAsia="en-US"/>
              </w:rPr>
              <w:t>2016.gads</w:t>
            </w:r>
          </w:p>
        </w:tc>
        <w:tc>
          <w:tcPr>
            <w:tcW w:w="1276" w:type="dxa"/>
          </w:tcPr>
          <w:p w:rsidR="002911D1" w:rsidRPr="00B407A6" w:rsidRDefault="00AF0F73" w:rsidP="00EB4100">
            <w:pPr>
              <w:keepNext/>
              <w:jc w:val="center"/>
              <w:outlineLvl w:val="5"/>
              <w:rPr>
                <w:lang w:eastAsia="en-US"/>
              </w:rPr>
            </w:pPr>
            <w:r w:rsidRPr="00B407A6">
              <w:rPr>
                <w:lang w:eastAsia="en-US"/>
              </w:rPr>
              <w:t>2017.gads</w:t>
            </w:r>
          </w:p>
        </w:tc>
      </w:tr>
      <w:tr w:rsidR="002911D1" w:rsidRPr="00166AF9" w:rsidTr="00B407A6">
        <w:trPr>
          <w:cantSplit/>
          <w:trHeight w:val="230"/>
        </w:trPr>
        <w:tc>
          <w:tcPr>
            <w:tcW w:w="3403" w:type="dxa"/>
            <w:vMerge/>
            <w:tcBorders>
              <w:right w:val="single" w:sz="4" w:space="0" w:color="auto"/>
            </w:tcBorders>
          </w:tcPr>
          <w:p w:rsidR="002911D1" w:rsidRPr="00B407A6" w:rsidRDefault="002911D1" w:rsidP="00EB4100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911D1" w:rsidRPr="00B407A6" w:rsidRDefault="002911D1" w:rsidP="00EB410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</w:tcPr>
          <w:p w:rsidR="002911D1" w:rsidRPr="00B407A6" w:rsidRDefault="002911D1" w:rsidP="00EB4100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</w:tcPr>
          <w:p w:rsidR="002911D1" w:rsidRPr="00B407A6" w:rsidRDefault="002911D1" w:rsidP="00EB4100">
            <w:pPr>
              <w:jc w:val="center"/>
              <w:rPr>
                <w:lang w:eastAsia="en-US"/>
              </w:rPr>
            </w:pPr>
            <w:r w:rsidRPr="00B407A6">
              <w:rPr>
                <w:lang w:eastAsia="en-US"/>
              </w:rPr>
              <w:t>izmaiņas, salīdzinot ar kārtējo (n) gadu</w:t>
            </w:r>
          </w:p>
        </w:tc>
        <w:tc>
          <w:tcPr>
            <w:tcW w:w="1276" w:type="dxa"/>
          </w:tcPr>
          <w:p w:rsidR="002911D1" w:rsidRPr="00B407A6" w:rsidRDefault="002911D1" w:rsidP="00EB4100">
            <w:pPr>
              <w:jc w:val="center"/>
              <w:rPr>
                <w:lang w:eastAsia="en-US"/>
              </w:rPr>
            </w:pPr>
            <w:r w:rsidRPr="00B407A6">
              <w:rPr>
                <w:lang w:eastAsia="en-US"/>
              </w:rPr>
              <w:t>izmaiņas, salīdzinot ar kārtējo (n) gadu</w:t>
            </w:r>
          </w:p>
        </w:tc>
        <w:tc>
          <w:tcPr>
            <w:tcW w:w="1276" w:type="dxa"/>
          </w:tcPr>
          <w:p w:rsidR="002911D1" w:rsidRPr="00B407A6" w:rsidRDefault="002911D1" w:rsidP="00EB4100">
            <w:pPr>
              <w:jc w:val="center"/>
              <w:rPr>
                <w:lang w:eastAsia="en-US"/>
              </w:rPr>
            </w:pPr>
            <w:r w:rsidRPr="00B407A6">
              <w:rPr>
                <w:lang w:eastAsia="en-US"/>
              </w:rPr>
              <w:t>izmaiņas, salīdzinot ar kārtējo (n) gadu</w:t>
            </w:r>
          </w:p>
        </w:tc>
      </w:tr>
      <w:tr w:rsidR="002911D1" w:rsidRPr="00166AF9" w:rsidTr="00B407A6">
        <w:trPr>
          <w:trHeight w:val="147"/>
        </w:trPr>
        <w:tc>
          <w:tcPr>
            <w:tcW w:w="3403" w:type="dxa"/>
          </w:tcPr>
          <w:p w:rsidR="002911D1" w:rsidRPr="00B407A6" w:rsidRDefault="002911D1" w:rsidP="00EB4100">
            <w:pPr>
              <w:jc w:val="center"/>
              <w:rPr>
                <w:lang w:eastAsia="en-US"/>
              </w:rPr>
            </w:pPr>
            <w:r w:rsidRPr="00B407A6"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2911D1" w:rsidRPr="00B407A6" w:rsidRDefault="002911D1" w:rsidP="00EB4100">
            <w:pPr>
              <w:jc w:val="center"/>
              <w:rPr>
                <w:lang w:eastAsia="en-US"/>
              </w:rPr>
            </w:pPr>
            <w:r w:rsidRPr="00B407A6">
              <w:rPr>
                <w:lang w:eastAsia="en-US"/>
              </w:rPr>
              <w:t>2</w:t>
            </w:r>
          </w:p>
        </w:tc>
        <w:tc>
          <w:tcPr>
            <w:tcW w:w="1276" w:type="dxa"/>
          </w:tcPr>
          <w:p w:rsidR="002911D1" w:rsidRPr="00B407A6" w:rsidRDefault="002911D1" w:rsidP="00EB4100">
            <w:pPr>
              <w:jc w:val="center"/>
              <w:rPr>
                <w:lang w:eastAsia="en-US"/>
              </w:rPr>
            </w:pPr>
            <w:r w:rsidRPr="00B407A6">
              <w:rPr>
                <w:lang w:eastAsia="en-US"/>
              </w:rPr>
              <w:t>3</w:t>
            </w:r>
          </w:p>
        </w:tc>
        <w:tc>
          <w:tcPr>
            <w:tcW w:w="1275" w:type="dxa"/>
          </w:tcPr>
          <w:p w:rsidR="002911D1" w:rsidRPr="00B407A6" w:rsidRDefault="002911D1" w:rsidP="00EB4100">
            <w:pPr>
              <w:jc w:val="center"/>
              <w:rPr>
                <w:lang w:eastAsia="en-US"/>
              </w:rPr>
            </w:pPr>
            <w:r w:rsidRPr="00B407A6">
              <w:rPr>
                <w:lang w:eastAsia="en-US"/>
              </w:rPr>
              <w:t>4</w:t>
            </w:r>
          </w:p>
        </w:tc>
        <w:tc>
          <w:tcPr>
            <w:tcW w:w="1276" w:type="dxa"/>
          </w:tcPr>
          <w:p w:rsidR="002911D1" w:rsidRPr="00B407A6" w:rsidRDefault="002911D1" w:rsidP="00EB4100">
            <w:pPr>
              <w:jc w:val="center"/>
              <w:rPr>
                <w:lang w:eastAsia="en-US"/>
              </w:rPr>
            </w:pPr>
            <w:r w:rsidRPr="00B407A6">
              <w:rPr>
                <w:lang w:eastAsia="en-US"/>
              </w:rPr>
              <w:t>5</w:t>
            </w:r>
          </w:p>
        </w:tc>
        <w:tc>
          <w:tcPr>
            <w:tcW w:w="1276" w:type="dxa"/>
          </w:tcPr>
          <w:p w:rsidR="002911D1" w:rsidRPr="00B407A6" w:rsidRDefault="002911D1" w:rsidP="00EB4100">
            <w:pPr>
              <w:jc w:val="center"/>
              <w:rPr>
                <w:lang w:eastAsia="en-US"/>
              </w:rPr>
            </w:pPr>
            <w:r w:rsidRPr="00B407A6">
              <w:rPr>
                <w:lang w:eastAsia="en-US"/>
              </w:rPr>
              <w:t>6</w:t>
            </w:r>
          </w:p>
        </w:tc>
      </w:tr>
      <w:tr w:rsidR="002911D1" w:rsidRPr="00166AF9" w:rsidTr="00B407A6">
        <w:trPr>
          <w:cantSplit/>
          <w:trHeight w:val="64"/>
        </w:trPr>
        <w:tc>
          <w:tcPr>
            <w:tcW w:w="3403" w:type="dxa"/>
            <w:tcBorders>
              <w:bottom w:val="single" w:sz="4" w:space="0" w:color="auto"/>
            </w:tcBorders>
          </w:tcPr>
          <w:p w:rsidR="002911D1" w:rsidRPr="00B407A6" w:rsidRDefault="00810C13" w:rsidP="00755035">
            <w:pPr>
              <w:spacing w:before="100" w:beforeAutospacing="1" w:after="100" w:afterAutospacing="1"/>
            </w:pPr>
            <w:r w:rsidRPr="00B407A6">
              <w:t>1. B</w:t>
            </w:r>
            <w:r w:rsidR="002911D1" w:rsidRPr="00B407A6">
              <w:t xml:space="preserve">udžeta </w:t>
            </w:r>
            <w:r w:rsidRPr="00B407A6">
              <w:t>ieņēmumi</w:t>
            </w:r>
            <w:r w:rsidR="002911D1" w:rsidRPr="00B407A6">
              <w:t>:</w:t>
            </w:r>
          </w:p>
        </w:tc>
        <w:tc>
          <w:tcPr>
            <w:tcW w:w="1134" w:type="dxa"/>
          </w:tcPr>
          <w:p w:rsidR="002911D1" w:rsidRPr="00B407A6" w:rsidRDefault="009B3465" w:rsidP="00232B0C">
            <w:pPr>
              <w:tabs>
                <w:tab w:val="left" w:pos="4305"/>
              </w:tabs>
              <w:jc w:val="center"/>
              <w:rPr>
                <w:lang w:eastAsia="en-US"/>
              </w:rPr>
            </w:pPr>
            <w:r w:rsidRPr="00B407A6">
              <w:rPr>
                <w:lang w:eastAsia="en-US"/>
              </w:rPr>
              <w:t>0</w:t>
            </w:r>
          </w:p>
        </w:tc>
        <w:tc>
          <w:tcPr>
            <w:tcW w:w="1276" w:type="dxa"/>
          </w:tcPr>
          <w:p w:rsidR="002911D1" w:rsidRPr="00B407A6" w:rsidRDefault="009B3465" w:rsidP="00232B0C">
            <w:pPr>
              <w:tabs>
                <w:tab w:val="left" w:pos="4305"/>
              </w:tabs>
              <w:jc w:val="center"/>
              <w:rPr>
                <w:lang w:eastAsia="en-US"/>
              </w:rPr>
            </w:pPr>
            <w:r w:rsidRPr="00B407A6">
              <w:rPr>
                <w:lang w:eastAsia="en-US"/>
              </w:rPr>
              <w:t>0</w:t>
            </w:r>
          </w:p>
        </w:tc>
        <w:tc>
          <w:tcPr>
            <w:tcW w:w="1275" w:type="dxa"/>
          </w:tcPr>
          <w:p w:rsidR="002911D1" w:rsidRPr="00B407A6" w:rsidRDefault="009B3465" w:rsidP="00232B0C">
            <w:pPr>
              <w:tabs>
                <w:tab w:val="left" w:pos="4305"/>
              </w:tabs>
              <w:jc w:val="center"/>
              <w:rPr>
                <w:lang w:eastAsia="en-US"/>
              </w:rPr>
            </w:pPr>
            <w:r w:rsidRPr="00B407A6">
              <w:rPr>
                <w:lang w:eastAsia="en-US"/>
              </w:rPr>
              <w:t>0</w:t>
            </w:r>
          </w:p>
        </w:tc>
        <w:tc>
          <w:tcPr>
            <w:tcW w:w="1276" w:type="dxa"/>
          </w:tcPr>
          <w:p w:rsidR="002911D1" w:rsidRPr="00B407A6" w:rsidRDefault="009B3465" w:rsidP="00232B0C">
            <w:pPr>
              <w:tabs>
                <w:tab w:val="left" w:pos="4305"/>
              </w:tabs>
              <w:jc w:val="center"/>
              <w:rPr>
                <w:lang w:eastAsia="en-US"/>
              </w:rPr>
            </w:pPr>
            <w:r w:rsidRPr="00B407A6">
              <w:rPr>
                <w:lang w:eastAsia="en-US"/>
              </w:rPr>
              <w:t>0</w:t>
            </w:r>
          </w:p>
        </w:tc>
        <w:tc>
          <w:tcPr>
            <w:tcW w:w="1276" w:type="dxa"/>
          </w:tcPr>
          <w:p w:rsidR="002911D1" w:rsidRPr="00B407A6" w:rsidRDefault="009B3465" w:rsidP="00232B0C">
            <w:pPr>
              <w:tabs>
                <w:tab w:val="left" w:pos="4305"/>
              </w:tabs>
              <w:jc w:val="center"/>
              <w:rPr>
                <w:lang w:eastAsia="en-US"/>
              </w:rPr>
            </w:pPr>
            <w:r w:rsidRPr="00B407A6">
              <w:rPr>
                <w:lang w:eastAsia="en-US"/>
              </w:rPr>
              <w:t>0</w:t>
            </w:r>
          </w:p>
        </w:tc>
      </w:tr>
      <w:tr w:rsidR="002911D1" w:rsidRPr="00166AF9" w:rsidTr="00B407A6">
        <w:trPr>
          <w:cantSplit/>
          <w:trHeight w:val="455"/>
        </w:trPr>
        <w:tc>
          <w:tcPr>
            <w:tcW w:w="3403" w:type="dxa"/>
            <w:tcBorders>
              <w:bottom w:val="single" w:sz="4" w:space="0" w:color="auto"/>
            </w:tcBorders>
          </w:tcPr>
          <w:p w:rsidR="002911D1" w:rsidRPr="00B407A6" w:rsidRDefault="00810C13" w:rsidP="00755035">
            <w:r w:rsidRPr="00B407A6">
              <w:t>1.1. valsts pamatbudžets, tai skaitā</w:t>
            </w:r>
            <w:r w:rsidR="00755035" w:rsidRPr="00B407A6">
              <w:t xml:space="preserve"> ieņēmumi no maksas pakalpojumiem un citi pašu ieņēmumi</w:t>
            </w:r>
          </w:p>
        </w:tc>
        <w:tc>
          <w:tcPr>
            <w:tcW w:w="1134" w:type="dxa"/>
          </w:tcPr>
          <w:p w:rsidR="002911D1" w:rsidRPr="00B407A6" w:rsidRDefault="002911D1" w:rsidP="00232B0C">
            <w:pPr>
              <w:tabs>
                <w:tab w:val="left" w:pos="4305"/>
              </w:tabs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2911D1" w:rsidRPr="00B407A6" w:rsidRDefault="002911D1" w:rsidP="00232B0C">
            <w:pPr>
              <w:tabs>
                <w:tab w:val="left" w:pos="4305"/>
              </w:tabs>
              <w:jc w:val="center"/>
              <w:rPr>
                <w:lang w:eastAsia="en-US"/>
              </w:rPr>
            </w:pPr>
          </w:p>
        </w:tc>
        <w:tc>
          <w:tcPr>
            <w:tcW w:w="1275" w:type="dxa"/>
          </w:tcPr>
          <w:p w:rsidR="002911D1" w:rsidRPr="00B407A6" w:rsidRDefault="002911D1" w:rsidP="00232B0C">
            <w:pPr>
              <w:tabs>
                <w:tab w:val="left" w:pos="4305"/>
              </w:tabs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2911D1" w:rsidRPr="00B407A6" w:rsidRDefault="002911D1" w:rsidP="00232B0C">
            <w:pPr>
              <w:tabs>
                <w:tab w:val="left" w:pos="4305"/>
              </w:tabs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2911D1" w:rsidRPr="00B407A6" w:rsidRDefault="002911D1" w:rsidP="00232B0C">
            <w:pPr>
              <w:tabs>
                <w:tab w:val="left" w:pos="4305"/>
              </w:tabs>
              <w:jc w:val="center"/>
              <w:rPr>
                <w:lang w:eastAsia="en-US"/>
              </w:rPr>
            </w:pPr>
          </w:p>
        </w:tc>
      </w:tr>
      <w:tr w:rsidR="002911D1" w:rsidRPr="00166AF9" w:rsidTr="00B407A6">
        <w:trPr>
          <w:cantSplit/>
          <w:trHeight w:val="64"/>
        </w:trPr>
        <w:tc>
          <w:tcPr>
            <w:tcW w:w="3403" w:type="dxa"/>
            <w:tcBorders>
              <w:bottom w:val="single" w:sz="4" w:space="0" w:color="auto"/>
            </w:tcBorders>
          </w:tcPr>
          <w:p w:rsidR="002911D1" w:rsidRPr="00B407A6" w:rsidRDefault="00755035" w:rsidP="00755035">
            <w:r w:rsidRPr="00B407A6">
              <w:t>1.2. valsts speciālais budžets</w:t>
            </w:r>
          </w:p>
        </w:tc>
        <w:tc>
          <w:tcPr>
            <w:tcW w:w="1134" w:type="dxa"/>
          </w:tcPr>
          <w:p w:rsidR="002911D1" w:rsidRPr="00B407A6" w:rsidRDefault="002911D1" w:rsidP="00232B0C">
            <w:pPr>
              <w:tabs>
                <w:tab w:val="left" w:pos="4305"/>
              </w:tabs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2911D1" w:rsidRPr="00B407A6" w:rsidRDefault="002911D1" w:rsidP="00232B0C">
            <w:pPr>
              <w:tabs>
                <w:tab w:val="left" w:pos="4305"/>
              </w:tabs>
              <w:jc w:val="center"/>
              <w:rPr>
                <w:lang w:eastAsia="en-US"/>
              </w:rPr>
            </w:pPr>
          </w:p>
        </w:tc>
        <w:tc>
          <w:tcPr>
            <w:tcW w:w="1275" w:type="dxa"/>
          </w:tcPr>
          <w:p w:rsidR="002911D1" w:rsidRPr="00B407A6" w:rsidRDefault="002911D1" w:rsidP="00232B0C">
            <w:pPr>
              <w:tabs>
                <w:tab w:val="left" w:pos="4305"/>
              </w:tabs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2911D1" w:rsidRPr="00B407A6" w:rsidRDefault="002911D1" w:rsidP="00232B0C">
            <w:pPr>
              <w:tabs>
                <w:tab w:val="left" w:pos="4305"/>
              </w:tabs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2911D1" w:rsidRPr="00B407A6" w:rsidRDefault="002911D1" w:rsidP="00232B0C">
            <w:pPr>
              <w:tabs>
                <w:tab w:val="left" w:pos="4305"/>
              </w:tabs>
              <w:jc w:val="center"/>
              <w:rPr>
                <w:lang w:eastAsia="en-US"/>
              </w:rPr>
            </w:pPr>
          </w:p>
        </w:tc>
      </w:tr>
      <w:tr w:rsidR="002911D1" w:rsidRPr="00166AF9" w:rsidTr="00B407A6">
        <w:trPr>
          <w:cantSplit/>
          <w:trHeight w:val="257"/>
        </w:trPr>
        <w:tc>
          <w:tcPr>
            <w:tcW w:w="3403" w:type="dxa"/>
            <w:tcBorders>
              <w:bottom w:val="single" w:sz="4" w:space="0" w:color="auto"/>
            </w:tcBorders>
          </w:tcPr>
          <w:p w:rsidR="002911D1" w:rsidRPr="00B407A6" w:rsidRDefault="00755035" w:rsidP="00EB4100">
            <w:pPr>
              <w:spacing w:before="100" w:beforeAutospacing="1" w:after="100" w:afterAutospacing="1"/>
            </w:pPr>
            <w:r w:rsidRPr="00B407A6">
              <w:t>1.3. pašvaldību budžets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11D1" w:rsidRPr="00B407A6" w:rsidRDefault="002911D1" w:rsidP="00232B0C">
            <w:pPr>
              <w:tabs>
                <w:tab w:val="left" w:pos="4305"/>
              </w:tabs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11D1" w:rsidRPr="00B407A6" w:rsidRDefault="002911D1" w:rsidP="00232B0C">
            <w:pPr>
              <w:tabs>
                <w:tab w:val="left" w:pos="4305"/>
              </w:tabs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911D1" w:rsidRPr="00B407A6" w:rsidRDefault="002911D1" w:rsidP="00232B0C">
            <w:pPr>
              <w:tabs>
                <w:tab w:val="left" w:pos="4305"/>
              </w:tabs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11D1" w:rsidRPr="00B407A6" w:rsidRDefault="002911D1" w:rsidP="00232B0C">
            <w:pPr>
              <w:tabs>
                <w:tab w:val="left" w:pos="4305"/>
              </w:tabs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11D1" w:rsidRPr="00B407A6" w:rsidRDefault="002911D1" w:rsidP="00232B0C">
            <w:pPr>
              <w:tabs>
                <w:tab w:val="left" w:pos="4305"/>
              </w:tabs>
              <w:jc w:val="center"/>
              <w:rPr>
                <w:lang w:eastAsia="en-US"/>
              </w:rPr>
            </w:pPr>
          </w:p>
        </w:tc>
      </w:tr>
      <w:tr w:rsidR="00810C13" w:rsidRPr="00166AF9" w:rsidTr="00B407A6">
        <w:trPr>
          <w:cantSplit/>
          <w:trHeight w:val="243"/>
        </w:trPr>
        <w:tc>
          <w:tcPr>
            <w:tcW w:w="3403" w:type="dxa"/>
          </w:tcPr>
          <w:p w:rsidR="00810C13" w:rsidRPr="00B407A6" w:rsidRDefault="00810C13" w:rsidP="00EB4100">
            <w:r w:rsidRPr="00B407A6">
              <w:t>2. Budžeta izdevumi:</w:t>
            </w:r>
          </w:p>
        </w:tc>
        <w:tc>
          <w:tcPr>
            <w:tcW w:w="1134" w:type="dxa"/>
          </w:tcPr>
          <w:p w:rsidR="00810C13" w:rsidRPr="00B407A6" w:rsidRDefault="009B3465" w:rsidP="00232B0C">
            <w:pPr>
              <w:jc w:val="center"/>
              <w:rPr>
                <w:lang w:eastAsia="en-US"/>
              </w:rPr>
            </w:pPr>
            <w:r w:rsidRPr="00B407A6">
              <w:rPr>
                <w:lang w:eastAsia="en-US"/>
              </w:rPr>
              <w:t>0</w:t>
            </w:r>
          </w:p>
        </w:tc>
        <w:tc>
          <w:tcPr>
            <w:tcW w:w="1276" w:type="dxa"/>
          </w:tcPr>
          <w:p w:rsidR="00810C13" w:rsidRPr="00B407A6" w:rsidRDefault="009B3465" w:rsidP="00232B0C">
            <w:pPr>
              <w:jc w:val="center"/>
              <w:rPr>
                <w:lang w:eastAsia="en-US"/>
              </w:rPr>
            </w:pPr>
            <w:r w:rsidRPr="00B407A6">
              <w:rPr>
                <w:lang w:eastAsia="en-US"/>
              </w:rPr>
              <w:t>0</w:t>
            </w:r>
          </w:p>
        </w:tc>
        <w:tc>
          <w:tcPr>
            <w:tcW w:w="1275" w:type="dxa"/>
          </w:tcPr>
          <w:p w:rsidR="00810C13" w:rsidRPr="00B407A6" w:rsidRDefault="009B3465" w:rsidP="00232B0C">
            <w:pPr>
              <w:jc w:val="center"/>
              <w:rPr>
                <w:lang w:eastAsia="en-US"/>
              </w:rPr>
            </w:pPr>
            <w:r w:rsidRPr="00B407A6">
              <w:rPr>
                <w:lang w:eastAsia="en-US"/>
              </w:rPr>
              <w:t>0</w:t>
            </w:r>
          </w:p>
        </w:tc>
        <w:tc>
          <w:tcPr>
            <w:tcW w:w="1276" w:type="dxa"/>
          </w:tcPr>
          <w:p w:rsidR="00810C13" w:rsidRPr="00B407A6" w:rsidRDefault="009B3465" w:rsidP="00232B0C">
            <w:pPr>
              <w:jc w:val="center"/>
              <w:rPr>
                <w:lang w:eastAsia="en-US"/>
              </w:rPr>
            </w:pPr>
            <w:r w:rsidRPr="00B407A6">
              <w:rPr>
                <w:lang w:eastAsia="en-US"/>
              </w:rPr>
              <w:t>0</w:t>
            </w:r>
          </w:p>
        </w:tc>
        <w:tc>
          <w:tcPr>
            <w:tcW w:w="1276" w:type="dxa"/>
          </w:tcPr>
          <w:p w:rsidR="00810C13" w:rsidRPr="00B407A6" w:rsidRDefault="009B3465" w:rsidP="00232B0C">
            <w:pPr>
              <w:tabs>
                <w:tab w:val="left" w:pos="4305"/>
              </w:tabs>
              <w:jc w:val="center"/>
              <w:rPr>
                <w:lang w:eastAsia="en-US"/>
              </w:rPr>
            </w:pPr>
            <w:r w:rsidRPr="00B407A6">
              <w:rPr>
                <w:lang w:eastAsia="en-US"/>
              </w:rPr>
              <w:t>0</w:t>
            </w:r>
          </w:p>
        </w:tc>
      </w:tr>
      <w:tr w:rsidR="00810C13" w:rsidRPr="00166AF9" w:rsidTr="00B407A6">
        <w:trPr>
          <w:cantSplit/>
          <w:trHeight w:val="275"/>
        </w:trPr>
        <w:tc>
          <w:tcPr>
            <w:tcW w:w="3403" w:type="dxa"/>
          </w:tcPr>
          <w:p w:rsidR="00810C13" w:rsidRPr="00B407A6" w:rsidRDefault="00810C13" w:rsidP="00765F6E">
            <w:r w:rsidRPr="00B407A6">
              <w:t>2.1. valsts pamatbudžets</w:t>
            </w:r>
          </w:p>
        </w:tc>
        <w:tc>
          <w:tcPr>
            <w:tcW w:w="1134" w:type="dxa"/>
          </w:tcPr>
          <w:p w:rsidR="00810C13" w:rsidRPr="00B407A6" w:rsidRDefault="00810C13" w:rsidP="00232B0C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810C13" w:rsidRPr="00B407A6" w:rsidRDefault="00810C13" w:rsidP="00232B0C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</w:tcPr>
          <w:p w:rsidR="00810C13" w:rsidRPr="00B407A6" w:rsidRDefault="00810C13" w:rsidP="00232B0C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810C13" w:rsidRPr="00B407A6" w:rsidRDefault="00810C13" w:rsidP="00232B0C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810C13" w:rsidRPr="00B407A6" w:rsidRDefault="00810C13" w:rsidP="00232B0C">
            <w:pPr>
              <w:tabs>
                <w:tab w:val="left" w:pos="4305"/>
              </w:tabs>
              <w:jc w:val="center"/>
              <w:rPr>
                <w:lang w:eastAsia="en-US"/>
              </w:rPr>
            </w:pPr>
          </w:p>
        </w:tc>
      </w:tr>
      <w:tr w:rsidR="00810C13" w:rsidRPr="00166AF9" w:rsidTr="00B407A6">
        <w:trPr>
          <w:cantSplit/>
          <w:trHeight w:val="265"/>
        </w:trPr>
        <w:tc>
          <w:tcPr>
            <w:tcW w:w="3403" w:type="dxa"/>
          </w:tcPr>
          <w:p w:rsidR="00810C13" w:rsidRPr="00B407A6" w:rsidRDefault="00810C13" w:rsidP="00EB4100">
            <w:r w:rsidRPr="00B407A6">
              <w:t>2.2. valsts speciālais budžets</w:t>
            </w:r>
          </w:p>
        </w:tc>
        <w:tc>
          <w:tcPr>
            <w:tcW w:w="1134" w:type="dxa"/>
          </w:tcPr>
          <w:p w:rsidR="00810C13" w:rsidRPr="00B407A6" w:rsidRDefault="00810C13" w:rsidP="00232B0C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810C13" w:rsidRPr="00B407A6" w:rsidRDefault="00810C13" w:rsidP="00232B0C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</w:tcPr>
          <w:p w:rsidR="00810C13" w:rsidRPr="00B407A6" w:rsidRDefault="00810C13" w:rsidP="00232B0C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810C13" w:rsidRPr="00B407A6" w:rsidRDefault="00810C13" w:rsidP="00232B0C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810C13" w:rsidRPr="00B407A6" w:rsidRDefault="00810C13" w:rsidP="00232B0C">
            <w:pPr>
              <w:tabs>
                <w:tab w:val="left" w:pos="4305"/>
              </w:tabs>
              <w:jc w:val="center"/>
              <w:rPr>
                <w:lang w:eastAsia="en-US"/>
              </w:rPr>
            </w:pPr>
          </w:p>
        </w:tc>
      </w:tr>
      <w:tr w:rsidR="00810C13" w:rsidRPr="00166AF9" w:rsidTr="00B407A6">
        <w:trPr>
          <w:cantSplit/>
          <w:trHeight w:val="64"/>
        </w:trPr>
        <w:tc>
          <w:tcPr>
            <w:tcW w:w="3403" w:type="dxa"/>
          </w:tcPr>
          <w:p w:rsidR="00810C13" w:rsidRPr="00B407A6" w:rsidRDefault="00810C13" w:rsidP="00EB4100">
            <w:r w:rsidRPr="00B407A6">
              <w:t>2.3. pašvaldību budžets </w:t>
            </w:r>
          </w:p>
        </w:tc>
        <w:tc>
          <w:tcPr>
            <w:tcW w:w="1134" w:type="dxa"/>
          </w:tcPr>
          <w:p w:rsidR="00810C13" w:rsidRPr="00B407A6" w:rsidRDefault="00810C13" w:rsidP="00232B0C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810C13" w:rsidRPr="00B407A6" w:rsidRDefault="00810C13" w:rsidP="00232B0C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</w:tcPr>
          <w:p w:rsidR="00810C13" w:rsidRPr="00B407A6" w:rsidRDefault="00810C13" w:rsidP="00232B0C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810C13" w:rsidRPr="00B407A6" w:rsidRDefault="00810C13" w:rsidP="00232B0C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810C13" w:rsidRPr="00B407A6" w:rsidRDefault="00810C13" w:rsidP="00232B0C">
            <w:pPr>
              <w:tabs>
                <w:tab w:val="left" w:pos="4305"/>
              </w:tabs>
              <w:jc w:val="center"/>
              <w:rPr>
                <w:lang w:eastAsia="en-US"/>
              </w:rPr>
            </w:pPr>
          </w:p>
        </w:tc>
      </w:tr>
      <w:tr w:rsidR="000C5072" w:rsidRPr="00166AF9" w:rsidTr="00B407A6">
        <w:trPr>
          <w:cantSplit/>
          <w:trHeight w:val="64"/>
        </w:trPr>
        <w:tc>
          <w:tcPr>
            <w:tcW w:w="3403" w:type="dxa"/>
          </w:tcPr>
          <w:p w:rsidR="000C5072" w:rsidRPr="00B407A6" w:rsidRDefault="000C5072" w:rsidP="00EB4100">
            <w:r w:rsidRPr="00B407A6">
              <w:t>3. Finansiālā ietekme:</w:t>
            </w:r>
          </w:p>
        </w:tc>
        <w:tc>
          <w:tcPr>
            <w:tcW w:w="1134" w:type="dxa"/>
          </w:tcPr>
          <w:p w:rsidR="000C5072" w:rsidRPr="00B407A6" w:rsidRDefault="000C5072" w:rsidP="00232B0C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0C5072" w:rsidRPr="00B407A6" w:rsidRDefault="009B3465" w:rsidP="00232B0C">
            <w:pPr>
              <w:jc w:val="center"/>
              <w:rPr>
                <w:lang w:eastAsia="en-US"/>
              </w:rPr>
            </w:pPr>
            <w:r w:rsidRPr="00B407A6">
              <w:rPr>
                <w:lang w:eastAsia="en-US"/>
              </w:rPr>
              <w:t>0</w:t>
            </w:r>
          </w:p>
        </w:tc>
        <w:tc>
          <w:tcPr>
            <w:tcW w:w="1275" w:type="dxa"/>
          </w:tcPr>
          <w:p w:rsidR="000C5072" w:rsidRPr="00B407A6" w:rsidRDefault="009B3465" w:rsidP="00232B0C">
            <w:pPr>
              <w:jc w:val="center"/>
              <w:rPr>
                <w:lang w:eastAsia="en-US"/>
              </w:rPr>
            </w:pPr>
            <w:r w:rsidRPr="00B407A6">
              <w:rPr>
                <w:lang w:eastAsia="en-US"/>
              </w:rPr>
              <w:t>0</w:t>
            </w:r>
          </w:p>
        </w:tc>
        <w:tc>
          <w:tcPr>
            <w:tcW w:w="1276" w:type="dxa"/>
          </w:tcPr>
          <w:p w:rsidR="000C5072" w:rsidRPr="00B407A6" w:rsidRDefault="009B3465" w:rsidP="00232B0C">
            <w:pPr>
              <w:jc w:val="center"/>
              <w:rPr>
                <w:lang w:eastAsia="en-US"/>
              </w:rPr>
            </w:pPr>
            <w:r w:rsidRPr="00B407A6">
              <w:rPr>
                <w:lang w:eastAsia="en-US"/>
              </w:rPr>
              <w:t>0</w:t>
            </w:r>
          </w:p>
        </w:tc>
        <w:tc>
          <w:tcPr>
            <w:tcW w:w="1276" w:type="dxa"/>
          </w:tcPr>
          <w:p w:rsidR="000C5072" w:rsidRPr="00B407A6" w:rsidRDefault="009B3465" w:rsidP="00232B0C">
            <w:pPr>
              <w:jc w:val="center"/>
              <w:rPr>
                <w:lang w:eastAsia="en-US"/>
              </w:rPr>
            </w:pPr>
            <w:r w:rsidRPr="00B407A6">
              <w:rPr>
                <w:lang w:eastAsia="en-US"/>
              </w:rPr>
              <w:t>0</w:t>
            </w:r>
          </w:p>
        </w:tc>
      </w:tr>
      <w:tr w:rsidR="000C5072" w:rsidRPr="00166AF9" w:rsidTr="00B407A6">
        <w:trPr>
          <w:cantSplit/>
          <w:trHeight w:val="64"/>
        </w:trPr>
        <w:tc>
          <w:tcPr>
            <w:tcW w:w="3403" w:type="dxa"/>
          </w:tcPr>
          <w:p w:rsidR="000C5072" w:rsidRPr="00B407A6" w:rsidRDefault="000C5072" w:rsidP="00EB4100">
            <w:r w:rsidRPr="00B407A6">
              <w:t>3.1. valsts pamatbudžets</w:t>
            </w:r>
          </w:p>
        </w:tc>
        <w:tc>
          <w:tcPr>
            <w:tcW w:w="1134" w:type="dxa"/>
          </w:tcPr>
          <w:p w:rsidR="000C5072" w:rsidRPr="00B407A6" w:rsidRDefault="000C5072" w:rsidP="00232B0C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0C5072" w:rsidRPr="00B407A6" w:rsidRDefault="000C5072" w:rsidP="00232B0C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</w:tcPr>
          <w:p w:rsidR="000C5072" w:rsidRPr="00B407A6" w:rsidRDefault="000C5072" w:rsidP="00232B0C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0C5072" w:rsidRPr="00B407A6" w:rsidRDefault="000C5072" w:rsidP="00232B0C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0C5072" w:rsidRPr="00B407A6" w:rsidRDefault="000C5072" w:rsidP="00232B0C">
            <w:pPr>
              <w:jc w:val="center"/>
              <w:rPr>
                <w:lang w:eastAsia="en-US"/>
              </w:rPr>
            </w:pPr>
          </w:p>
        </w:tc>
      </w:tr>
      <w:tr w:rsidR="000C5072" w:rsidRPr="00166AF9" w:rsidTr="00B407A6">
        <w:trPr>
          <w:cantSplit/>
          <w:trHeight w:val="64"/>
        </w:trPr>
        <w:tc>
          <w:tcPr>
            <w:tcW w:w="3403" w:type="dxa"/>
          </w:tcPr>
          <w:p w:rsidR="000C5072" w:rsidRPr="00B407A6" w:rsidRDefault="000C5072" w:rsidP="00EB4100">
            <w:r w:rsidRPr="00B407A6">
              <w:t>3.2. speciālais budžets</w:t>
            </w:r>
          </w:p>
        </w:tc>
        <w:tc>
          <w:tcPr>
            <w:tcW w:w="1134" w:type="dxa"/>
          </w:tcPr>
          <w:p w:rsidR="000C5072" w:rsidRPr="00B407A6" w:rsidRDefault="000C5072" w:rsidP="00232B0C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0C5072" w:rsidRPr="00B407A6" w:rsidRDefault="000C5072" w:rsidP="00232B0C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</w:tcPr>
          <w:p w:rsidR="000C5072" w:rsidRPr="00B407A6" w:rsidRDefault="000C5072" w:rsidP="00232B0C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0C5072" w:rsidRPr="00B407A6" w:rsidRDefault="000C5072" w:rsidP="00232B0C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0C5072" w:rsidRPr="00B407A6" w:rsidRDefault="000C5072" w:rsidP="00232B0C">
            <w:pPr>
              <w:jc w:val="center"/>
              <w:rPr>
                <w:lang w:eastAsia="en-US"/>
              </w:rPr>
            </w:pPr>
          </w:p>
        </w:tc>
      </w:tr>
      <w:tr w:rsidR="000C5072" w:rsidRPr="00166AF9" w:rsidTr="00B407A6">
        <w:trPr>
          <w:cantSplit/>
          <w:trHeight w:val="64"/>
        </w:trPr>
        <w:tc>
          <w:tcPr>
            <w:tcW w:w="3403" w:type="dxa"/>
          </w:tcPr>
          <w:p w:rsidR="000C5072" w:rsidRPr="00B407A6" w:rsidRDefault="000C5072" w:rsidP="00EB4100">
            <w:r w:rsidRPr="00B407A6">
              <w:t>3.3. pašvaldību budžets </w:t>
            </w:r>
          </w:p>
        </w:tc>
        <w:tc>
          <w:tcPr>
            <w:tcW w:w="1134" w:type="dxa"/>
          </w:tcPr>
          <w:p w:rsidR="000C5072" w:rsidRPr="00B407A6" w:rsidRDefault="000C5072" w:rsidP="00232B0C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0C5072" w:rsidRPr="00B407A6" w:rsidRDefault="000C5072" w:rsidP="00232B0C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</w:tcPr>
          <w:p w:rsidR="000C5072" w:rsidRPr="00B407A6" w:rsidRDefault="000C5072" w:rsidP="00232B0C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0C5072" w:rsidRPr="00B407A6" w:rsidRDefault="000C5072" w:rsidP="00232B0C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0C5072" w:rsidRPr="00B407A6" w:rsidRDefault="000C5072" w:rsidP="00232B0C">
            <w:pPr>
              <w:jc w:val="center"/>
              <w:rPr>
                <w:lang w:eastAsia="en-US"/>
              </w:rPr>
            </w:pPr>
          </w:p>
        </w:tc>
      </w:tr>
      <w:tr w:rsidR="000C5072" w:rsidRPr="00166AF9" w:rsidTr="00B407A6">
        <w:trPr>
          <w:cantSplit/>
          <w:trHeight w:val="286"/>
        </w:trPr>
        <w:tc>
          <w:tcPr>
            <w:tcW w:w="3403" w:type="dxa"/>
            <w:vMerge w:val="restart"/>
          </w:tcPr>
          <w:p w:rsidR="000C5072" w:rsidRPr="00B407A6" w:rsidRDefault="000C5072" w:rsidP="00765F6E">
            <w:pPr>
              <w:rPr>
                <w:lang w:eastAsia="en-US" w:bidi="hi-IN"/>
              </w:rPr>
            </w:pPr>
            <w:r w:rsidRPr="00B407A6">
              <w:rPr>
                <w:lang w:eastAsia="en-US" w:bidi="hi-IN"/>
              </w:rPr>
              <w:t xml:space="preserve">4. Finanšu līdzekļi papildu </w:t>
            </w:r>
            <w:r w:rsidRPr="00B407A6">
              <w:rPr>
                <w:lang w:eastAsia="en-US" w:bidi="hi-IN"/>
              </w:rPr>
              <w:lastRenderedPageBreak/>
              <w:t>izdevumu finansēšanai (kompensējošu izdevumu samazinājumu norāda ar „+” zīmi)</w:t>
            </w:r>
          </w:p>
        </w:tc>
        <w:tc>
          <w:tcPr>
            <w:tcW w:w="1134" w:type="dxa"/>
            <w:vMerge w:val="restart"/>
          </w:tcPr>
          <w:p w:rsidR="000C5072" w:rsidRPr="00B407A6" w:rsidRDefault="000C5072" w:rsidP="00232B0C">
            <w:pPr>
              <w:jc w:val="center"/>
              <w:rPr>
                <w:lang w:eastAsia="en-US" w:bidi="hi-IN"/>
              </w:rPr>
            </w:pPr>
            <w:r w:rsidRPr="00B407A6">
              <w:rPr>
                <w:lang w:eastAsia="en-US" w:bidi="hi-IN"/>
              </w:rPr>
              <w:lastRenderedPageBreak/>
              <w:t>X</w:t>
            </w:r>
          </w:p>
        </w:tc>
        <w:tc>
          <w:tcPr>
            <w:tcW w:w="1276" w:type="dxa"/>
          </w:tcPr>
          <w:p w:rsidR="000C5072" w:rsidRPr="00B407A6" w:rsidRDefault="009B3465" w:rsidP="00232B0C">
            <w:pPr>
              <w:ind w:left="51"/>
              <w:jc w:val="center"/>
              <w:rPr>
                <w:lang w:eastAsia="en-US" w:bidi="hi-IN"/>
              </w:rPr>
            </w:pPr>
            <w:r w:rsidRPr="00B407A6">
              <w:rPr>
                <w:lang w:eastAsia="en-US" w:bidi="hi-IN"/>
              </w:rPr>
              <w:t>0</w:t>
            </w:r>
          </w:p>
        </w:tc>
        <w:tc>
          <w:tcPr>
            <w:tcW w:w="1275" w:type="dxa"/>
          </w:tcPr>
          <w:p w:rsidR="000C5072" w:rsidRPr="00B407A6" w:rsidRDefault="009B3465" w:rsidP="00232B0C">
            <w:pPr>
              <w:ind w:left="51"/>
              <w:jc w:val="center"/>
              <w:rPr>
                <w:lang w:eastAsia="en-US" w:bidi="hi-IN"/>
              </w:rPr>
            </w:pPr>
            <w:r w:rsidRPr="00B407A6">
              <w:rPr>
                <w:lang w:eastAsia="en-US" w:bidi="hi-IN"/>
              </w:rPr>
              <w:t>0</w:t>
            </w:r>
          </w:p>
        </w:tc>
        <w:tc>
          <w:tcPr>
            <w:tcW w:w="1276" w:type="dxa"/>
          </w:tcPr>
          <w:p w:rsidR="000C5072" w:rsidRPr="00B407A6" w:rsidRDefault="009B3465" w:rsidP="00232B0C">
            <w:pPr>
              <w:ind w:left="51"/>
              <w:jc w:val="center"/>
              <w:rPr>
                <w:lang w:eastAsia="en-US" w:bidi="hi-IN"/>
              </w:rPr>
            </w:pPr>
            <w:r w:rsidRPr="00B407A6">
              <w:rPr>
                <w:lang w:eastAsia="en-US" w:bidi="hi-IN"/>
              </w:rPr>
              <w:t>0</w:t>
            </w:r>
          </w:p>
        </w:tc>
        <w:tc>
          <w:tcPr>
            <w:tcW w:w="1276" w:type="dxa"/>
          </w:tcPr>
          <w:p w:rsidR="000C5072" w:rsidRPr="00B407A6" w:rsidRDefault="009B3465" w:rsidP="00232B0C">
            <w:pPr>
              <w:ind w:left="51"/>
              <w:jc w:val="center"/>
              <w:rPr>
                <w:lang w:eastAsia="en-US" w:bidi="hi-IN"/>
              </w:rPr>
            </w:pPr>
            <w:r w:rsidRPr="00B407A6">
              <w:rPr>
                <w:lang w:eastAsia="en-US" w:bidi="hi-IN"/>
              </w:rPr>
              <w:t>0</w:t>
            </w:r>
          </w:p>
        </w:tc>
      </w:tr>
      <w:tr w:rsidR="000C5072" w:rsidRPr="00166AF9" w:rsidTr="00B407A6">
        <w:trPr>
          <w:cantSplit/>
          <w:trHeight w:val="277"/>
        </w:trPr>
        <w:tc>
          <w:tcPr>
            <w:tcW w:w="3403" w:type="dxa"/>
            <w:vMerge/>
          </w:tcPr>
          <w:p w:rsidR="000C5072" w:rsidRPr="00B407A6" w:rsidRDefault="000C5072" w:rsidP="00EB4100">
            <w:pPr>
              <w:ind w:left="51"/>
              <w:rPr>
                <w:lang w:eastAsia="en-US" w:bidi="hi-IN"/>
              </w:rPr>
            </w:pPr>
          </w:p>
        </w:tc>
        <w:tc>
          <w:tcPr>
            <w:tcW w:w="1134" w:type="dxa"/>
            <w:vMerge/>
          </w:tcPr>
          <w:p w:rsidR="000C5072" w:rsidRPr="00B407A6" w:rsidRDefault="000C5072" w:rsidP="00232B0C">
            <w:pPr>
              <w:ind w:left="51"/>
              <w:jc w:val="center"/>
              <w:rPr>
                <w:lang w:eastAsia="en-US" w:bidi="hi-IN"/>
              </w:rPr>
            </w:pPr>
          </w:p>
        </w:tc>
        <w:tc>
          <w:tcPr>
            <w:tcW w:w="1276" w:type="dxa"/>
          </w:tcPr>
          <w:p w:rsidR="000C5072" w:rsidRPr="00B407A6" w:rsidRDefault="000C5072" w:rsidP="00232B0C">
            <w:pPr>
              <w:ind w:left="51"/>
              <w:jc w:val="center"/>
              <w:rPr>
                <w:lang w:eastAsia="en-US" w:bidi="hi-IN"/>
              </w:rPr>
            </w:pPr>
          </w:p>
        </w:tc>
        <w:tc>
          <w:tcPr>
            <w:tcW w:w="1275" w:type="dxa"/>
          </w:tcPr>
          <w:p w:rsidR="000C5072" w:rsidRPr="00B407A6" w:rsidRDefault="000C5072" w:rsidP="00232B0C">
            <w:pPr>
              <w:ind w:left="51"/>
              <w:jc w:val="center"/>
              <w:rPr>
                <w:lang w:eastAsia="en-US" w:bidi="hi-IN"/>
              </w:rPr>
            </w:pPr>
          </w:p>
        </w:tc>
        <w:tc>
          <w:tcPr>
            <w:tcW w:w="1276" w:type="dxa"/>
          </w:tcPr>
          <w:p w:rsidR="000C5072" w:rsidRPr="00B407A6" w:rsidRDefault="000C5072" w:rsidP="00232B0C">
            <w:pPr>
              <w:ind w:left="51"/>
              <w:jc w:val="center"/>
              <w:rPr>
                <w:lang w:eastAsia="en-US" w:bidi="hi-IN"/>
              </w:rPr>
            </w:pPr>
          </w:p>
        </w:tc>
        <w:tc>
          <w:tcPr>
            <w:tcW w:w="1276" w:type="dxa"/>
          </w:tcPr>
          <w:p w:rsidR="000C5072" w:rsidRPr="00B407A6" w:rsidRDefault="000C5072" w:rsidP="00232B0C">
            <w:pPr>
              <w:ind w:left="51"/>
              <w:jc w:val="center"/>
              <w:rPr>
                <w:lang w:eastAsia="en-US" w:bidi="hi-IN"/>
              </w:rPr>
            </w:pPr>
          </w:p>
        </w:tc>
      </w:tr>
      <w:tr w:rsidR="005F6482" w:rsidRPr="00166AF9" w:rsidTr="00B407A6">
        <w:trPr>
          <w:cantSplit/>
          <w:trHeight w:val="115"/>
        </w:trPr>
        <w:tc>
          <w:tcPr>
            <w:tcW w:w="3403" w:type="dxa"/>
            <w:vMerge/>
          </w:tcPr>
          <w:p w:rsidR="005F6482" w:rsidRPr="00B407A6" w:rsidRDefault="005F6482" w:rsidP="00EB4100">
            <w:pPr>
              <w:ind w:left="51"/>
              <w:rPr>
                <w:lang w:eastAsia="en-US" w:bidi="hi-IN"/>
              </w:rPr>
            </w:pPr>
          </w:p>
        </w:tc>
        <w:tc>
          <w:tcPr>
            <w:tcW w:w="1134" w:type="dxa"/>
            <w:vMerge/>
          </w:tcPr>
          <w:p w:rsidR="005F6482" w:rsidRPr="00B407A6" w:rsidRDefault="005F6482" w:rsidP="00232B0C">
            <w:pPr>
              <w:ind w:left="51"/>
              <w:jc w:val="center"/>
              <w:rPr>
                <w:lang w:eastAsia="en-US" w:bidi="hi-IN"/>
              </w:rPr>
            </w:pPr>
          </w:p>
        </w:tc>
        <w:tc>
          <w:tcPr>
            <w:tcW w:w="1276" w:type="dxa"/>
          </w:tcPr>
          <w:p w:rsidR="005F6482" w:rsidRPr="00B407A6" w:rsidRDefault="005F6482" w:rsidP="00232B0C">
            <w:pPr>
              <w:ind w:left="51"/>
              <w:jc w:val="center"/>
              <w:rPr>
                <w:lang w:eastAsia="en-US" w:bidi="hi-IN"/>
              </w:rPr>
            </w:pPr>
          </w:p>
        </w:tc>
        <w:tc>
          <w:tcPr>
            <w:tcW w:w="1275" w:type="dxa"/>
          </w:tcPr>
          <w:p w:rsidR="005F6482" w:rsidRPr="00B407A6" w:rsidRDefault="005F6482" w:rsidP="00232B0C">
            <w:pPr>
              <w:ind w:left="51"/>
              <w:jc w:val="center"/>
              <w:rPr>
                <w:lang w:eastAsia="en-US" w:bidi="hi-IN"/>
              </w:rPr>
            </w:pPr>
          </w:p>
        </w:tc>
        <w:tc>
          <w:tcPr>
            <w:tcW w:w="1276" w:type="dxa"/>
          </w:tcPr>
          <w:p w:rsidR="005F6482" w:rsidRPr="00B407A6" w:rsidRDefault="005F6482" w:rsidP="00232B0C">
            <w:pPr>
              <w:ind w:left="51"/>
              <w:jc w:val="center"/>
              <w:rPr>
                <w:lang w:eastAsia="en-US" w:bidi="hi-IN"/>
              </w:rPr>
            </w:pPr>
          </w:p>
        </w:tc>
        <w:tc>
          <w:tcPr>
            <w:tcW w:w="1276" w:type="dxa"/>
          </w:tcPr>
          <w:p w:rsidR="005F6482" w:rsidRPr="00B407A6" w:rsidRDefault="005F6482" w:rsidP="00232B0C">
            <w:pPr>
              <w:ind w:left="51"/>
              <w:jc w:val="center"/>
              <w:rPr>
                <w:lang w:eastAsia="en-US" w:bidi="hi-IN"/>
              </w:rPr>
            </w:pPr>
          </w:p>
        </w:tc>
      </w:tr>
      <w:tr w:rsidR="005F6482" w:rsidRPr="00166AF9" w:rsidTr="00B407A6">
        <w:trPr>
          <w:cantSplit/>
          <w:trHeight w:val="64"/>
        </w:trPr>
        <w:tc>
          <w:tcPr>
            <w:tcW w:w="3403" w:type="dxa"/>
          </w:tcPr>
          <w:p w:rsidR="005F6482" w:rsidRPr="00B407A6" w:rsidRDefault="005F6482" w:rsidP="00EB4100">
            <w:pPr>
              <w:rPr>
                <w:lang w:eastAsia="en-US"/>
              </w:rPr>
            </w:pPr>
            <w:r w:rsidRPr="00B407A6">
              <w:rPr>
                <w:lang w:eastAsia="en-US"/>
              </w:rPr>
              <w:t>5. Precizēta finansiālā ietekme</w:t>
            </w:r>
          </w:p>
        </w:tc>
        <w:tc>
          <w:tcPr>
            <w:tcW w:w="1134" w:type="dxa"/>
            <w:vMerge w:val="restart"/>
          </w:tcPr>
          <w:p w:rsidR="005F6482" w:rsidRPr="00B407A6" w:rsidDel="00ED4D9B" w:rsidRDefault="005F6482" w:rsidP="00232B0C">
            <w:pPr>
              <w:tabs>
                <w:tab w:val="left" w:pos="4305"/>
              </w:tabs>
              <w:jc w:val="center"/>
              <w:rPr>
                <w:lang w:eastAsia="en-US" w:bidi="hi-IN"/>
              </w:rPr>
            </w:pPr>
            <w:r w:rsidRPr="00B407A6">
              <w:rPr>
                <w:lang w:eastAsia="en-US" w:bidi="hi-IN"/>
              </w:rPr>
              <w:t>X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482" w:rsidRPr="00B407A6" w:rsidRDefault="009B3465" w:rsidP="00232B0C">
            <w:pPr>
              <w:ind w:left="51"/>
              <w:jc w:val="center"/>
              <w:rPr>
                <w:lang w:eastAsia="en-US" w:bidi="hi-IN"/>
              </w:rPr>
            </w:pPr>
            <w:r w:rsidRPr="00B407A6">
              <w:rPr>
                <w:lang w:eastAsia="en-US" w:bidi="hi-IN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F6482" w:rsidRPr="00B407A6" w:rsidRDefault="009B3465" w:rsidP="00232B0C">
            <w:pPr>
              <w:ind w:left="51"/>
              <w:jc w:val="center"/>
              <w:rPr>
                <w:lang w:eastAsia="en-US" w:bidi="hi-IN"/>
              </w:rPr>
            </w:pPr>
            <w:r w:rsidRPr="00B407A6">
              <w:rPr>
                <w:lang w:eastAsia="en-US" w:bidi="hi-IN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482" w:rsidRPr="00B407A6" w:rsidRDefault="009B3465" w:rsidP="00232B0C">
            <w:pPr>
              <w:ind w:left="51"/>
              <w:jc w:val="center"/>
              <w:rPr>
                <w:lang w:eastAsia="en-US" w:bidi="hi-IN"/>
              </w:rPr>
            </w:pPr>
            <w:r w:rsidRPr="00B407A6">
              <w:rPr>
                <w:lang w:eastAsia="en-US" w:bidi="hi-IN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482" w:rsidRPr="00B407A6" w:rsidRDefault="009B3465" w:rsidP="00232B0C">
            <w:pPr>
              <w:ind w:left="51"/>
              <w:jc w:val="center"/>
              <w:rPr>
                <w:lang w:eastAsia="en-US" w:bidi="hi-IN"/>
              </w:rPr>
            </w:pPr>
            <w:r w:rsidRPr="00B407A6">
              <w:rPr>
                <w:lang w:eastAsia="en-US" w:bidi="hi-IN"/>
              </w:rPr>
              <w:t>0</w:t>
            </w:r>
          </w:p>
        </w:tc>
      </w:tr>
      <w:tr w:rsidR="005F6482" w:rsidRPr="00166AF9" w:rsidTr="00B407A6">
        <w:trPr>
          <w:cantSplit/>
          <w:trHeight w:val="64"/>
        </w:trPr>
        <w:tc>
          <w:tcPr>
            <w:tcW w:w="3403" w:type="dxa"/>
          </w:tcPr>
          <w:p w:rsidR="005F6482" w:rsidRPr="00B407A6" w:rsidRDefault="005F6482" w:rsidP="000C5072">
            <w:pPr>
              <w:rPr>
                <w:lang w:eastAsia="en-US"/>
              </w:rPr>
            </w:pPr>
            <w:r w:rsidRPr="00B407A6">
              <w:rPr>
                <w:lang w:eastAsia="en-US"/>
              </w:rPr>
              <w:t>5.1. valsts pamatbudžets</w:t>
            </w:r>
          </w:p>
        </w:tc>
        <w:tc>
          <w:tcPr>
            <w:tcW w:w="1134" w:type="dxa"/>
            <w:vMerge/>
          </w:tcPr>
          <w:p w:rsidR="005F6482" w:rsidRPr="00B407A6" w:rsidRDefault="005F6482" w:rsidP="00232B0C">
            <w:pPr>
              <w:ind w:left="51"/>
              <w:jc w:val="center"/>
              <w:rPr>
                <w:lang w:eastAsia="en-US" w:bidi="hi-I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482" w:rsidRPr="00B407A6" w:rsidRDefault="005F6482" w:rsidP="00232B0C">
            <w:pPr>
              <w:ind w:left="51"/>
              <w:jc w:val="center"/>
              <w:rPr>
                <w:lang w:eastAsia="en-US" w:bidi="hi-I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F6482" w:rsidRPr="00B407A6" w:rsidRDefault="005F6482" w:rsidP="00232B0C">
            <w:pPr>
              <w:ind w:left="51"/>
              <w:jc w:val="center"/>
              <w:rPr>
                <w:lang w:eastAsia="en-US" w:bidi="hi-I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482" w:rsidRPr="00B407A6" w:rsidRDefault="005F6482" w:rsidP="00232B0C">
            <w:pPr>
              <w:ind w:left="51"/>
              <w:jc w:val="center"/>
              <w:rPr>
                <w:lang w:eastAsia="en-US" w:bidi="hi-I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482" w:rsidRPr="00B407A6" w:rsidRDefault="005F6482" w:rsidP="00232B0C">
            <w:pPr>
              <w:ind w:left="51"/>
              <w:jc w:val="center"/>
              <w:rPr>
                <w:lang w:eastAsia="en-US" w:bidi="hi-IN"/>
              </w:rPr>
            </w:pPr>
          </w:p>
        </w:tc>
      </w:tr>
      <w:tr w:rsidR="005F6482" w:rsidRPr="00166AF9" w:rsidTr="00B407A6">
        <w:trPr>
          <w:cantSplit/>
          <w:trHeight w:val="64"/>
        </w:trPr>
        <w:tc>
          <w:tcPr>
            <w:tcW w:w="3403" w:type="dxa"/>
          </w:tcPr>
          <w:p w:rsidR="005F6482" w:rsidRPr="00B407A6" w:rsidRDefault="005F6482" w:rsidP="000C5072">
            <w:pPr>
              <w:rPr>
                <w:lang w:eastAsia="en-US"/>
              </w:rPr>
            </w:pPr>
            <w:r w:rsidRPr="00B407A6">
              <w:rPr>
                <w:lang w:eastAsia="en-US"/>
              </w:rPr>
              <w:t>5.2. speciālais budžets</w:t>
            </w:r>
          </w:p>
        </w:tc>
        <w:tc>
          <w:tcPr>
            <w:tcW w:w="1134" w:type="dxa"/>
            <w:vMerge/>
          </w:tcPr>
          <w:p w:rsidR="005F6482" w:rsidRPr="00B407A6" w:rsidRDefault="005F6482" w:rsidP="00EB4100">
            <w:pPr>
              <w:ind w:left="51"/>
              <w:jc w:val="both"/>
              <w:rPr>
                <w:lang w:eastAsia="en-US" w:bidi="hi-I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482" w:rsidRPr="00B407A6" w:rsidRDefault="005F6482" w:rsidP="00EB4100">
            <w:pPr>
              <w:ind w:left="51"/>
              <w:jc w:val="both"/>
              <w:rPr>
                <w:lang w:eastAsia="en-US" w:bidi="hi-I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F6482" w:rsidRPr="00B407A6" w:rsidRDefault="005F6482" w:rsidP="00EB4100">
            <w:pPr>
              <w:ind w:left="51"/>
              <w:jc w:val="both"/>
              <w:rPr>
                <w:lang w:eastAsia="en-US" w:bidi="hi-I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482" w:rsidRPr="00B407A6" w:rsidRDefault="005F6482" w:rsidP="00EB4100">
            <w:pPr>
              <w:ind w:left="51"/>
              <w:jc w:val="both"/>
              <w:rPr>
                <w:lang w:eastAsia="en-US" w:bidi="hi-I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482" w:rsidRPr="00B407A6" w:rsidRDefault="005F6482" w:rsidP="00EB4100">
            <w:pPr>
              <w:ind w:left="51"/>
              <w:jc w:val="both"/>
              <w:rPr>
                <w:lang w:eastAsia="en-US" w:bidi="hi-IN"/>
              </w:rPr>
            </w:pPr>
          </w:p>
        </w:tc>
      </w:tr>
      <w:tr w:rsidR="005F6482" w:rsidRPr="00166AF9" w:rsidTr="00B407A6">
        <w:trPr>
          <w:cantSplit/>
          <w:trHeight w:val="64"/>
        </w:trPr>
        <w:tc>
          <w:tcPr>
            <w:tcW w:w="3403" w:type="dxa"/>
            <w:tcBorders>
              <w:bottom w:val="single" w:sz="4" w:space="0" w:color="auto"/>
            </w:tcBorders>
          </w:tcPr>
          <w:p w:rsidR="005F6482" w:rsidRPr="00B407A6" w:rsidRDefault="005F6482" w:rsidP="000C5072">
            <w:pPr>
              <w:rPr>
                <w:lang w:eastAsia="en-US"/>
              </w:rPr>
            </w:pPr>
            <w:r w:rsidRPr="00B407A6">
              <w:rPr>
                <w:lang w:eastAsia="en-US"/>
              </w:rPr>
              <w:t>5.3. pašvaldību budžets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F6482" w:rsidRPr="00B407A6" w:rsidRDefault="005F6482" w:rsidP="00EB4100">
            <w:pPr>
              <w:ind w:left="51"/>
              <w:jc w:val="both"/>
              <w:rPr>
                <w:lang w:eastAsia="en-US" w:bidi="hi-I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482" w:rsidRPr="00B407A6" w:rsidRDefault="005F6482" w:rsidP="00EB4100">
            <w:pPr>
              <w:ind w:left="51"/>
              <w:jc w:val="both"/>
              <w:rPr>
                <w:lang w:eastAsia="en-US" w:bidi="hi-I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F6482" w:rsidRPr="00B407A6" w:rsidRDefault="005F6482" w:rsidP="00EB4100">
            <w:pPr>
              <w:ind w:left="51"/>
              <w:jc w:val="both"/>
              <w:rPr>
                <w:lang w:eastAsia="en-US" w:bidi="hi-I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482" w:rsidRPr="00B407A6" w:rsidRDefault="005F6482" w:rsidP="00EB4100">
            <w:pPr>
              <w:ind w:left="51"/>
              <w:jc w:val="both"/>
              <w:rPr>
                <w:lang w:eastAsia="en-US" w:bidi="hi-I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482" w:rsidRPr="00B407A6" w:rsidRDefault="005F6482" w:rsidP="00EB4100">
            <w:pPr>
              <w:ind w:left="51"/>
              <w:jc w:val="both"/>
              <w:rPr>
                <w:lang w:eastAsia="en-US" w:bidi="hi-IN"/>
              </w:rPr>
            </w:pPr>
          </w:p>
        </w:tc>
      </w:tr>
      <w:tr w:rsidR="005F6482" w:rsidRPr="00166AF9" w:rsidTr="00B407A6">
        <w:trPr>
          <w:cantSplit/>
          <w:trHeight w:val="304"/>
        </w:trPr>
        <w:tc>
          <w:tcPr>
            <w:tcW w:w="3403" w:type="dxa"/>
            <w:tcBorders>
              <w:bottom w:val="single" w:sz="4" w:space="0" w:color="auto"/>
            </w:tcBorders>
          </w:tcPr>
          <w:p w:rsidR="005F6482" w:rsidRPr="00B407A6" w:rsidRDefault="005F6482" w:rsidP="000C5072">
            <w:pPr>
              <w:rPr>
                <w:lang w:eastAsia="en-US"/>
              </w:rPr>
            </w:pPr>
            <w:r w:rsidRPr="00B407A6">
              <w:rPr>
                <w:lang w:eastAsia="en-US"/>
              </w:rPr>
              <w:t>6. Detalizēts ieņēmumu un izdevumu aprēķins (ja nepieciešams, detalizētu ieņēmumu un izdevumu aprēķinu var pievienot anotācijas pielikumā):</w:t>
            </w:r>
          </w:p>
        </w:tc>
        <w:tc>
          <w:tcPr>
            <w:tcW w:w="6237" w:type="dxa"/>
            <w:gridSpan w:val="5"/>
            <w:vMerge w:val="restart"/>
          </w:tcPr>
          <w:p w:rsidR="005F6482" w:rsidRPr="00B407A6" w:rsidRDefault="005F6482" w:rsidP="00EB4100">
            <w:pPr>
              <w:ind w:left="51"/>
              <w:jc w:val="both"/>
              <w:rPr>
                <w:lang w:eastAsia="en-US" w:bidi="hi-IN"/>
              </w:rPr>
            </w:pPr>
          </w:p>
        </w:tc>
      </w:tr>
      <w:tr w:rsidR="005F6482" w:rsidRPr="00166AF9" w:rsidTr="00B407A6">
        <w:trPr>
          <w:cantSplit/>
          <w:trHeight w:val="64"/>
        </w:trPr>
        <w:tc>
          <w:tcPr>
            <w:tcW w:w="3403" w:type="dxa"/>
            <w:tcBorders>
              <w:bottom w:val="single" w:sz="4" w:space="0" w:color="auto"/>
            </w:tcBorders>
          </w:tcPr>
          <w:p w:rsidR="005F6482" w:rsidRPr="00B407A6" w:rsidRDefault="005F6482" w:rsidP="000C5072">
            <w:pPr>
              <w:rPr>
                <w:lang w:eastAsia="en-US"/>
              </w:rPr>
            </w:pPr>
            <w:r w:rsidRPr="00B407A6">
              <w:rPr>
                <w:lang w:eastAsia="en-US"/>
              </w:rPr>
              <w:t>6.1. detalizēts ieņēmumu aprēķins</w:t>
            </w:r>
          </w:p>
        </w:tc>
        <w:tc>
          <w:tcPr>
            <w:tcW w:w="6237" w:type="dxa"/>
            <w:gridSpan w:val="5"/>
            <w:vMerge/>
          </w:tcPr>
          <w:p w:rsidR="005F6482" w:rsidRPr="00B407A6" w:rsidRDefault="005F6482" w:rsidP="00EB4100">
            <w:pPr>
              <w:ind w:left="51"/>
              <w:jc w:val="both"/>
              <w:rPr>
                <w:lang w:eastAsia="en-US" w:bidi="hi-IN"/>
              </w:rPr>
            </w:pPr>
          </w:p>
        </w:tc>
      </w:tr>
      <w:tr w:rsidR="005F6482" w:rsidRPr="00166AF9" w:rsidTr="00B407A6">
        <w:trPr>
          <w:cantSplit/>
          <w:trHeight w:val="64"/>
        </w:trPr>
        <w:tc>
          <w:tcPr>
            <w:tcW w:w="3403" w:type="dxa"/>
            <w:tcBorders>
              <w:bottom w:val="single" w:sz="4" w:space="0" w:color="auto"/>
            </w:tcBorders>
          </w:tcPr>
          <w:p w:rsidR="005F6482" w:rsidRPr="00B407A6" w:rsidRDefault="005F6482" w:rsidP="000C5072">
            <w:pPr>
              <w:rPr>
                <w:lang w:eastAsia="en-US"/>
              </w:rPr>
            </w:pPr>
            <w:r w:rsidRPr="00B407A6">
              <w:rPr>
                <w:lang w:eastAsia="en-US"/>
              </w:rPr>
              <w:t>6.2. detalizēts izdevumu aprēķins</w:t>
            </w:r>
          </w:p>
        </w:tc>
        <w:tc>
          <w:tcPr>
            <w:tcW w:w="6237" w:type="dxa"/>
            <w:gridSpan w:val="5"/>
            <w:vMerge/>
            <w:tcBorders>
              <w:bottom w:val="single" w:sz="4" w:space="0" w:color="auto"/>
            </w:tcBorders>
          </w:tcPr>
          <w:p w:rsidR="005F6482" w:rsidRPr="00B407A6" w:rsidRDefault="005F6482" w:rsidP="00EB4100">
            <w:pPr>
              <w:ind w:left="51"/>
              <w:jc w:val="both"/>
              <w:rPr>
                <w:lang w:eastAsia="en-US" w:bidi="hi-IN"/>
              </w:rPr>
            </w:pPr>
          </w:p>
        </w:tc>
      </w:tr>
      <w:tr w:rsidR="00DF6E15" w:rsidRPr="00166AF9" w:rsidTr="00B407A6">
        <w:trPr>
          <w:cantSplit/>
          <w:trHeight w:val="2967"/>
        </w:trPr>
        <w:tc>
          <w:tcPr>
            <w:tcW w:w="3403" w:type="dxa"/>
            <w:tcBorders>
              <w:bottom w:val="single" w:sz="4" w:space="0" w:color="auto"/>
            </w:tcBorders>
          </w:tcPr>
          <w:p w:rsidR="00DF6E15" w:rsidRPr="00B407A6" w:rsidRDefault="00DF6E15" w:rsidP="000C5072">
            <w:pPr>
              <w:rPr>
                <w:lang w:eastAsia="en-US"/>
              </w:rPr>
            </w:pPr>
            <w:r w:rsidRPr="00B407A6">
              <w:rPr>
                <w:lang w:eastAsia="en-US"/>
              </w:rPr>
              <w:t>7. Cita informācija</w:t>
            </w:r>
          </w:p>
        </w:tc>
        <w:tc>
          <w:tcPr>
            <w:tcW w:w="6237" w:type="dxa"/>
            <w:gridSpan w:val="5"/>
            <w:tcBorders>
              <w:bottom w:val="single" w:sz="4" w:space="0" w:color="auto"/>
            </w:tcBorders>
          </w:tcPr>
          <w:p w:rsidR="0049068D" w:rsidRPr="00B407A6" w:rsidRDefault="005468D2" w:rsidP="00765F6E">
            <w:pPr>
              <w:jc w:val="both"/>
            </w:pPr>
            <w:r w:rsidRPr="00B407A6">
              <w:t xml:space="preserve">Precizējot muitas nodrošinājuma trosīšveida plombu realizējamo cenu par </w:t>
            </w:r>
            <w:r w:rsidR="00AA2B02">
              <w:t>vienu</w:t>
            </w:r>
            <w:r w:rsidRPr="00B407A6">
              <w:t xml:space="preserve"> gabalu no 0,30</w:t>
            </w:r>
            <w:r w:rsidR="00AA2B02">
              <w:t> </w:t>
            </w:r>
            <w:r w:rsidRPr="00B407A6">
              <w:t>EUR uz 0,42</w:t>
            </w:r>
            <w:r w:rsidR="00AA2B02">
              <w:t> </w:t>
            </w:r>
            <w:r w:rsidRPr="00B407A6">
              <w:t>EUR</w:t>
            </w:r>
            <w:r w:rsidR="00C07D0B" w:rsidRPr="00B407A6">
              <w:t>,</w:t>
            </w:r>
            <w:r w:rsidRPr="00B407A6">
              <w:t xml:space="preserve"> V</w:t>
            </w:r>
            <w:r w:rsidR="00AA2B02">
              <w:t>ID</w:t>
            </w:r>
            <w:r w:rsidRPr="00B407A6">
              <w:t xml:space="preserve"> 33.00.00 programmā </w:t>
            </w:r>
            <w:r w:rsidR="00AA2B02">
              <w:t>“</w:t>
            </w:r>
            <w:r w:rsidRPr="00B407A6">
              <w:t xml:space="preserve">Valsts ieņēmumu un muitas politikas nodrošināšana” pašu ieņēmumi no sniegtajiem maksas pakalpojumiem turpmāk ik gadu palielināsies par aptuveni 1 260 EUR gadā </w:t>
            </w:r>
            <w:r w:rsidR="00C07D0B" w:rsidRPr="00B407A6">
              <w:t xml:space="preserve">((10 500 gab. x 0,42 EUR) </w:t>
            </w:r>
            <w:r w:rsidRPr="00B407A6">
              <w:t>–</w:t>
            </w:r>
            <w:r w:rsidR="00C07D0B" w:rsidRPr="00B407A6">
              <w:t xml:space="preserve"> (10 500 gab. x 0,30</w:t>
            </w:r>
            <w:r w:rsidR="00AA2B02">
              <w:t> </w:t>
            </w:r>
            <w:r w:rsidR="00C07D0B" w:rsidRPr="00B407A6">
              <w:t>EUR)</w:t>
            </w:r>
            <w:r w:rsidRPr="00B407A6">
              <w:t>), tomēr</w:t>
            </w:r>
            <w:r w:rsidR="00C07D0B" w:rsidRPr="00B407A6">
              <w:t>,</w:t>
            </w:r>
            <w:r w:rsidRPr="00B407A6">
              <w:t xml:space="preserve"> ņemot vērā, ka</w:t>
            </w:r>
            <w:r w:rsidR="00C07D0B" w:rsidRPr="00B407A6">
              <w:t>,</w:t>
            </w:r>
            <w:r w:rsidRPr="00B407A6">
              <w:t xml:space="preserve"> </w:t>
            </w:r>
            <w:r w:rsidR="0024170D" w:rsidRPr="00B407A6">
              <w:t>atsakoties no neraksturīgas funkcijas – telpu iznomāšanas</w:t>
            </w:r>
            <w:r w:rsidR="00AA2B02">
              <w:t xml:space="preserve"> –</w:t>
            </w:r>
            <w:r w:rsidR="008B4323">
              <w:t>,</w:t>
            </w:r>
            <w:r w:rsidR="00D21E3D" w:rsidRPr="00B407A6">
              <w:t xml:space="preserve"> V</w:t>
            </w:r>
            <w:r w:rsidR="008B4323">
              <w:t>ID</w:t>
            </w:r>
            <w:r w:rsidR="00D21E3D" w:rsidRPr="00B407A6">
              <w:t xml:space="preserve"> ir </w:t>
            </w:r>
            <w:r w:rsidR="0024170D" w:rsidRPr="00B407A6">
              <w:t xml:space="preserve">samazinājušies ieņēmumi par telpu nomu, </w:t>
            </w:r>
            <w:r w:rsidR="00C07D0B" w:rsidRPr="00B407A6">
              <w:t>t</w:t>
            </w:r>
            <w:r w:rsidR="0024170D" w:rsidRPr="00B407A6">
              <w:t xml:space="preserve">ā rezultātā </w:t>
            </w:r>
            <w:r w:rsidRPr="00B407A6">
              <w:t>V</w:t>
            </w:r>
            <w:r w:rsidR="008B4323">
              <w:t>ID</w:t>
            </w:r>
            <w:r w:rsidRPr="00B407A6">
              <w:t xml:space="preserve"> veiks pašu ieņēmumu </w:t>
            </w:r>
            <w:r w:rsidR="00C07D0B" w:rsidRPr="00B407A6">
              <w:t xml:space="preserve">un izdevumu </w:t>
            </w:r>
            <w:r w:rsidRPr="00B407A6">
              <w:t>plāna pārstrukturē</w:t>
            </w:r>
            <w:r w:rsidR="006165A8" w:rsidRPr="00B407A6">
              <w:t xml:space="preserve">šanu un daļu no kārtējam gadam </w:t>
            </w:r>
            <w:r w:rsidRPr="00B407A6">
              <w:t>ieplānotā finansējuma telpu nomai novirzīs ieņēmumu starpības nodrošināšanai par muitas nodrošinājuma trosīšveida plombu realizāciju</w:t>
            </w:r>
          </w:p>
        </w:tc>
      </w:tr>
    </w:tbl>
    <w:p w:rsidR="00402FE1" w:rsidRPr="00D01D51" w:rsidRDefault="00402FE1" w:rsidP="00DF6E15">
      <w:pPr>
        <w:pStyle w:val="naiskr"/>
        <w:tabs>
          <w:tab w:val="left" w:pos="2628"/>
        </w:tabs>
        <w:spacing w:before="0" w:after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49"/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4253"/>
        <w:gridCol w:w="4819"/>
      </w:tblGrid>
      <w:tr w:rsidR="009550F1" w:rsidRPr="007C0F2C" w:rsidTr="00D01D51">
        <w:tc>
          <w:tcPr>
            <w:tcW w:w="9644" w:type="dxa"/>
            <w:gridSpan w:val="3"/>
            <w:vAlign w:val="center"/>
          </w:tcPr>
          <w:p w:rsidR="009550F1" w:rsidRPr="008B4323" w:rsidRDefault="009550F1" w:rsidP="009550F1">
            <w:pPr>
              <w:pStyle w:val="naisnod"/>
              <w:spacing w:before="0" w:after="0"/>
            </w:pPr>
            <w:r w:rsidRPr="008B4323">
              <w:t xml:space="preserve">VI. Sabiedrības līdzdalība un komunikācijas aktivitātes </w:t>
            </w:r>
          </w:p>
        </w:tc>
      </w:tr>
      <w:tr w:rsidR="00E22A3E" w:rsidRPr="00676C8A" w:rsidTr="00761C95">
        <w:trPr>
          <w:trHeight w:val="66"/>
        </w:trPr>
        <w:tc>
          <w:tcPr>
            <w:tcW w:w="572" w:type="dxa"/>
          </w:tcPr>
          <w:p w:rsidR="00E22A3E" w:rsidRPr="00676C8A" w:rsidRDefault="00E22A3E" w:rsidP="00761C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253" w:type="dxa"/>
          </w:tcPr>
          <w:p w:rsidR="00E22A3E" w:rsidRPr="00B407A6" w:rsidRDefault="00E22A3E" w:rsidP="00E22A3E">
            <w:pPr>
              <w:rPr>
                <w:bCs/>
              </w:rPr>
            </w:pPr>
            <w:r w:rsidRPr="00B407A6">
              <w:rPr>
                <w:bCs/>
              </w:rPr>
              <w:t>Plānotās sabiedrības līdzdalības un komunikācijas aktivitātes saistībā ar projektu</w:t>
            </w:r>
          </w:p>
        </w:tc>
        <w:tc>
          <w:tcPr>
            <w:tcW w:w="4819" w:type="dxa"/>
          </w:tcPr>
          <w:p w:rsidR="00E22A3E" w:rsidRPr="00B407A6" w:rsidRDefault="00943CF8" w:rsidP="00765F6E">
            <w:pPr>
              <w:jc w:val="both"/>
              <w:rPr>
                <w:bCs/>
              </w:rPr>
            </w:pPr>
            <w:r w:rsidRPr="00B407A6">
              <w:rPr>
                <w:bCs/>
              </w:rPr>
              <w:t xml:space="preserve">Sabiedrība par noteikumu projekta ieviešanu tiks informēta vispārējā kārtībā. Pēc pieņemšanas Ministru kabinetā noteikumi tiks publicēti Latvijas Republikas oficiālajā </w:t>
            </w:r>
            <w:r w:rsidR="008B4323">
              <w:rPr>
                <w:bCs/>
              </w:rPr>
              <w:t>izdevumā</w:t>
            </w:r>
            <w:r w:rsidRPr="00B407A6">
              <w:rPr>
                <w:bCs/>
              </w:rPr>
              <w:t xml:space="preserve"> “Latvijas Vēstnesis” un V</w:t>
            </w:r>
            <w:r w:rsidR="00765F6E">
              <w:rPr>
                <w:bCs/>
              </w:rPr>
              <w:t>ID</w:t>
            </w:r>
            <w:r w:rsidRPr="00B407A6">
              <w:rPr>
                <w:bCs/>
              </w:rPr>
              <w:t xml:space="preserve"> interneta mājaslapā </w:t>
            </w:r>
            <w:hyperlink r:id="rId11" w:history="1">
              <w:r w:rsidRPr="00B407A6">
                <w:rPr>
                  <w:rStyle w:val="Hyperlink"/>
                  <w:bCs/>
                  <w:color w:val="auto"/>
                  <w:u w:val="none"/>
                </w:rPr>
                <w:t>http://www.vid.gov.lv</w:t>
              </w:r>
            </w:hyperlink>
            <w:r w:rsidRPr="00B407A6">
              <w:rPr>
                <w:bCs/>
              </w:rPr>
              <w:t xml:space="preserve"> </w:t>
            </w:r>
          </w:p>
        </w:tc>
      </w:tr>
      <w:tr w:rsidR="00E22A3E" w:rsidRPr="00676C8A" w:rsidTr="00761C95">
        <w:trPr>
          <w:trHeight w:val="64"/>
        </w:trPr>
        <w:tc>
          <w:tcPr>
            <w:tcW w:w="572" w:type="dxa"/>
          </w:tcPr>
          <w:p w:rsidR="00E22A3E" w:rsidRPr="00676C8A" w:rsidRDefault="00E22A3E" w:rsidP="00761C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253" w:type="dxa"/>
          </w:tcPr>
          <w:p w:rsidR="00E22A3E" w:rsidRPr="00B407A6" w:rsidRDefault="00E22A3E" w:rsidP="00E22A3E">
            <w:pPr>
              <w:rPr>
                <w:bCs/>
              </w:rPr>
            </w:pPr>
            <w:r w:rsidRPr="00B407A6">
              <w:rPr>
                <w:bCs/>
              </w:rPr>
              <w:t>Sabiedrības līdzdalība projekta izstrādē</w:t>
            </w:r>
          </w:p>
        </w:tc>
        <w:tc>
          <w:tcPr>
            <w:tcW w:w="4819" w:type="dxa"/>
          </w:tcPr>
          <w:p w:rsidR="00E22A3E" w:rsidRPr="00B407A6" w:rsidRDefault="00A1164A" w:rsidP="00375108">
            <w:pPr>
              <w:rPr>
                <w:bCs/>
              </w:rPr>
            </w:pPr>
            <w:r w:rsidRPr="00B407A6">
              <w:rPr>
                <w:bCs/>
              </w:rPr>
              <w:t>Konsultācijas nav notikušas</w:t>
            </w:r>
          </w:p>
        </w:tc>
      </w:tr>
      <w:tr w:rsidR="00E22A3E" w:rsidRPr="00676C8A" w:rsidTr="00761C95">
        <w:trPr>
          <w:trHeight w:val="64"/>
        </w:trPr>
        <w:tc>
          <w:tcPr>
            <w:tcW w:w="572" w:type="dxa"/>
          </w:tcPr>
          <w:p w:rsidR="00E22A3E" w:rsidRPr="00676C8A" w:rsidRDefault="00E22A3E" w:rsidP="00761C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253" w:type="dxa"/>
          </w:tcPr>
          <w:p w:rsidR="00E22A3E" w:rsidRPr="00B407A6" w:rsidRDefault="00E22A3E" w:rsidP="00E22A3E">
            <w:pPr>
              <w:rPr>
                <w:bCs/>
              </w:rPr>
            </w:pPr>
            <w:r w:rsidRPr="00B407A6">
              <w:rPr>
                <w:bCs/>
              </w:rPr>
              <w:t>Sabiedrības līdzdalības rezultāti</w:t>
            </w:r>
          </w:p>
        </w:tc>
        <w:tc>
          <w:tcPr>
            <w:tcW w:w="4819" w:type="dxa"/>
          </w:tcPr>
          <w:p w:rsidR="00E22A3E" w:rsidRPr="00B407A6" w:rsidRDefault="00E22A3E" w:rsidP="00E22A3E">
            <w:pPr>
              <w:rPr>
                <w:bCs/>
              </w:rPr>
            </w:pPr>
            <w:r w:rsidRPr="00B407A6">
              <w:rPr>
                <w:bCs/>
              </w:rPr>
              <w:t>Nav</w:t>
            </w:r>
          </w:p>
        </w:tc>
      </w:tr>
      <w:tr w:rsidR="00E22A3E" w:rsidRPr="00676C8A" w:rsidTr="00761C95">
        <w:trPr>
          <w:trHeight w:val="64"/>
        </w:trPr>
        <w:tc>
          <w:tcPr>
            <w:tcW w:w="572" w:type="dxa"/>
          </w:tcPr>
          <w:p w:rsidR="00E22A3E" w:rsidRPr="00676C8A" w:rsidRDefault="00E22A3E" w:rsidP="00761C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4253" w:type="dxa"/>
          </w:tcPr>
          <w:p w:rsidR="00E22A3E" w:rsidRPr="00B407A6" w:rsidRDefault="00E22A3E" w:rsidP="00E22A3E">
            <w:pPr>
              <w:rPr>
                <w:bCs/>
              </w:rPr>
            </w:pPr>
            <w:r w:rsidRPr="00B407A6">
              <w:rPr>
                <w:bCs/>
              </w:rPr>
              <w:t>Cita informācija</w:t>
            </w:r>
          </w:p>
        </w:tc>
        <w:tc>
          <w:tcPr>
            <w:tcW w:w="4819" w:type="dxa"/>
          </w:tcPr>
          <w:p w:rsidR="00E22A3E" w:rsidRPr="00B407A6" w:rsidRDefault="00E22A3E" w:rsidP="00E22A3E">
            <w:pPr>
              <w:rPr>
                <w:bCs/>
              </w:rPr>
            </w:pPr>
            <w:r w:rsidRPr="00B407A6">
              <w:rPr>
                <w:bCs/>
              </w:rPr>
              <w:t>Nav</w:t>
            </w:r>
          </w:p>
        </w:tc>
      </w:tr>
    </w:tbl>
    <w:p w:rsidR="009550F1" w:rsidRPr="00554EFC" w:rsidRDefault="009550F1" w:rsidP="00DF6E15">
      <w:pPr>
        <w:pStyle w:val="naiskr"/>
        <w:tabs>
          <w:tab w:val="left" w:pos="2628"/>
        </w:tabs>
        <w:spacing w:before="0" w:after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49"/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315"/>
        <w:gridCol w:w="4779"/>
      </w:tblGrid>
      <w:tr w:rsidR="00DF6E15" w:rsidRPr="007C0F2C" w:rsidTr="00D01D51">
        <w:tc>
          <w:tcPr>
            <w:tcW w:w="9644" w:type="dxa"/>
            <w:gridSpan w:val="3"/>
            <w:vAlign w:val="center"/>
          </w:tcPr>
          <w:p w:rsidR="00DF6E15" w:rsidRPr="008B4323" w:rsidRDefault="00DF6E15" w:rsidP="00DF6E15">
            <w:pPr>
              <w:pStyle w:val="naisnod"/>
              <w:spacing w:before="0" w:after="0"/>
            </w:pPr>
            <w:r w:rsidRPr="008B4323">
              <w:t>VII. Tiesību akta projekta izpildes nodrošināšana un tās ietekme uz institūcijām</w:t>
            </w:r>
          </w:p>
        </w:tc>
      </w:tr>
      <w:tr w:rsidR="00DF6E15" w:rsidRPr="005C4C49" w:rsidTr="00761C95">
        <w:trPr>
          <w:trHeight w:val="133"/>
        </w:trPr>
        <w:tc>
          <w:tcPr>
            <w:tcW w:w="550" w:type="dxa"/>
          </w:tcPr>
          <w:p w:rsidR="00DF6E15" w:rsidRPr="007C0F2C" w:rsidRDefault="00DF6E15" w:rsidP="00761C95">
            <w:pPr>
              <w:pStyle w:val="naiskr"/>
              <w:spacing w:before="0" w:after="0"/>
              <w:jc w:val="center"/>
              <w:rPr>
                <w:sz w:val="22"/>
                <w:szCs w:val="22"/>
              </w:rPr>
            </w:pPr>
            <w:r w:rsidRPr="007C0F2C">
              <w:rPr>
                <w:sz w:val="22"/>
                <w:szCs w:val="22"/>
              </w:rPr>
              <w:t>1.</w:t>
            </w:r>
          </w:p>
        </w:tc>
        <w:tc>
          <w:tcPr>
            <w:tcW w:w="4315" w:type="dxa"/>
          </w:tcPr>
          <w:p w:rsidR="00DF6E15" w:rsidRPr="00B407A6" w:rsidRDefault="00DF6E15" w:rsidP="00943CF8">
            <w:pPr>
              <w:pStyle w:val="naiskr"/>
              <w:spacing w:before="0" w:after="0"/>
              <w:ind w:hanging="10"/>
            </w:pPr>
            <w:r w:rsidRPr="00B407A6">
              <w:t>Projekta izpildē iesaistītās institūcijas</w:t>
            </w:r>
          </w:p>
        </w:tc>
        <w:tc>
          <w:tcPr>
            <w:tcW w:w="4779" w:type="dxa"/>
          </w:tcPr>
          <w:p w:rsidR="00DF6E15" w:rsidRPr="00B407A6" w:rsidRDefault="005911FA" w:rsidP="008B4323">
            <w:pPr>
              <w:jc w:val="both"/>
              <w:rPr>
                <w:bCs/>
              </w:rPr>
            </w:pPr>
            <w:r w:rsidRPr="00B407A6">
              <w:t>Projekta izpildi nodrošinās V</w:t>
            </w:r>
            <w:r w:rsidR="008B4323">
              <w:t>ID</w:t>
            </w:r>
          </w:p>
        </w:tc>
      </w:tr>
      <w:tr w:rsidR="00DF6E15" w:rsidRPr="005C4C49" w:rsidTr="00761C95">
        <w:trPr>
          <w:trHeight w:val="892"/>
        </w:trPr>
        <w:tc>
          <w:tcPr>
            <w:tcW w:w="550" w:type="dxa"/>
          </w:tcPr>
          <w:p w:rsidR="00DF6E15" w:rsidRPr="007C0F2C" w:rsidRDefault="00DF6E15" w:rsidP="00761C95">
            <w:pPr>
              <w:pStyle w:val="naiskr"/>
              <w:spacing w:before="0" w:after="0"/>
              <w:jc w:val="center"/>
              <w:rPr>
                <w:sz w:val="22"/>
                <w:szCs w:val="22"/>
              </w:rPr>
            </w:pPr>
            <w:r w:rsidRPr="007C0F2C">
              <w:rPr>
                <w:sz w:val="22"/>
                <w:szCs w:val="22"/>
              </w:rPr>
              <w:t>2.</w:t>
            </w:r>
          </w:p>
        </w:tc>
        <w:tc>
          <w:tcPr>
            <w:tcW w:w="4315" w:type="dxa"/>
          </w:tcPr>
          <w:p w:rsidR="00DF6E15" w:rsidRPr="00B407A6" w:rsidRDefault="005911FA" w:rsidP="005822B9">
            <w:pPr>
              <w:pStyle w:val="naiskr"/>
              <w:tabs>
                <w:tab w:val="left" w:pos="170"/>
              </w:tabs>
              <w:spacing w:before="0" w:after="0"/>
            </w:pPr>
            <w:r w:rsidRPr="00B407A6">
              <w:t>Projekta izpildes ietekme uz pārvaldes funkcijām un institucionālo struktūru.</w:t>
            </w:r>
          </w:p>
          <w:p w:rsidR="00DF6E15" w:rsidRPr="00B407A6" w:rsidRDefault="005911FA" w:rsidP="005822B9">
            <w:pPr>
              <w:pStyle w:val="naiskr"/>
              <w:tabs>
                <w:tab w:val="left" w:pos="170"/>
              </w:tabs>
              <w:spacing w:before="0" w:after="0"/>
            </w:pPr>
            <w:r w:rsidRPr="00B407A6">
              <w:t>Jaunu institūciju izveide, esošu institūciju likvidācija vai reorganizācija, to ietekme uz institūcijas cilvēkresursiem</w:t>
            </w:r>
          </w:p>
        </w:tc>
        <w:tc>
          <w:tcPr>
            <w:tcW w:w="4779" w:type="dxa"/>
          </w:tcPr>
          <w:p w:rsidR="00DF6E15" w:rsidRPr="00B407A6" w:rsidRDefault="00E413B1" w:rsidP="008B4323">
            <w:pPr>
              <w:jc w:val="both"/>
            </w:pPr>
            <w:r w:rsidRPr="00B407A6">
              <w:t>Normatīvā akta izpilde tiks nodrošināta esošo institūciju līdzšinējo funkciju ietvaros</w:t>
            </w:r>
          </w:p>
        </w:tc>
      </w:tr>
      <w:tr w:rsidR="00DF6E15" w:rsidRPr="00CA738D" w:rsidTr="00761C95">
        <w:trPr>
          <w:trHeight w:val="64"/>
        </w:trPr>
        <w:tc>
          <w:tcPr>
            <w:tcW w:w="550" w:type="dxa"/>
          </w:tcPr>
          <w:p w:rsidR="00DF6E15" w:rsidRPr="002B65E9" w:rsidRDefault="005911FA" w:rsidP="00761C95">
            <w:pPr>
              <w:pStyle w:val="naiskr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DF6E15" w:rsidRPr="002B65E9">
              <w:rPr>
                <w:sz w:val="22"/>
                <w:szCs w:val="22"/>
              </w:rPr>
              <w:t>.</w:t>
            </w:r>
          </w:p>
        </w:tc>
        <w:tc>
          <w:tcPr>
            <w:tcW w:w="4315" w:type="dxa"/>
          </w:tcPr>
          <w:p w:rsidR="00DF6E15" w:rsidRPr="00B407A6" w:rsidRDefault="00DF6E15" w:rsidP="005822B9">
            <w:pPr>
              <w:pStyle w:val="naiskr"/>
              <w:spacing w:before="0" w:after="0"/>
            </w:pPr>
            <w:r w:rsidRPr="00B407A6">
              <w:t>Cita informācija</w:t>
            </w:r>
          </w:p>
        </w:tc>
        <w:tc>
          <w:tcPr>
            <w:tcW w:w="4779" w:type="dxa"/>
          </w:tcPr>
          <w:p w:rsidR="00DF6E15" w:rsidRPr="00B407A6" w:rsidRDefault="00DF6E15" w:rsidP="005822B9">
            <w:pPr>
              <w:pStyle w:val="FootnoteText"/>
              <w:jc w:val="both"/>
              <w:rPr>
                <w:sz w:val="24"/>
                <w:szCs w:val="24"/>
              </w:rPr>
            </w:pPr>
            <w:r w:rsidRPr="00B407A6">
              <w:rPr>
                <w:sz w:val="24"/>
                <w:szCs w:val="24"/>
              </w:rPr>
              <w:t>Nav</w:t>
            </w:r>
          </w:p>
        </w:tc>
      </w:tr>
    </w:tbl>
    <w:p w:rsidR="00DF6E15" w:rsidRDefault="00DF6E15" w:rsidP="002E1A5C">
      <w:pPr>
        <w:pStyle w:val="naiskr"/>
        <w:tabs>
          <w:tab w:val="left" w:pos="2628"/>
        </w:tabs>
        <w:spacing w:before="0" w:after="0"/>
        <w:ind w:firstLine="720"/>
        <w:jc w:val="both"/>
        <w:rPr>
          <w:sz w:val="28"/>
          <w:szCs w:val="28"/>
        </w:rPr>
      </w:pPr>
    </w:p>
    <w:p w:rsidR="0015060C" w:rsidRPr="00CA738D" w:rsidRDefault="002120FF" w:rsidP="002E1A5C">
      <w:pPr>
        <w:pStyle w:val="naiskr"/>
        <w:tabs>
          <w:tab w:val="left" w:pos="2628"/>
        </w:tabs>
        <w:spacing w:before="0" w:after="0"/>
        <w:ind w:firstLine="720"/>
        <w:jc w:val="both"/>
        <w:rPr>
          <w:sz w:val="28"/>
          <w:szCs w:val="28"/>
        </w:rPr>
      </w:pPr>
      <w:r w:rsidRPr="00CA738D">
        <w:rPr>
          <w:sz w:val="28"/>
          <w:szCs w:val="28"/>
        </w:rPr>
        <w:t xml:space="preserve">Anotācijas </w:t>
      </w:r>
      <w:r w:rsidR="00E60539">
        <w:rPr>
          <w:sz w:val="28"/>
          <w:szCs w:val="28"/>
        </w:rPr>
        <w:t xml:space="preserve">IV un </w:t>
      </w:r>
      <w:r w:rsidRPr="00CA738D">
        <w:rPr>
          <w:sz w:val="28"/>
          <w:szCs w:val="28"/>
        </w:rPr>
        <w:t xml:space="preserve">V sadaļa – </w:t>
      </w:r>
      <w:r w:rsidR="004F6191" w:rsidRPr="00CA738D">
        <w:rPr>
          <w:sz w:val="28"/>
          <w:szCs w:val="28"/>
        </w:rPr>
        <w:t xml:space="preserve">projekts </w:t>
      </w:r>
      <w:r w:rsidR="00402FE1" w:rsidRPr="00CA738D">
        <w:rPr>
          <w:sz w:val="28"/>
          <w:szCs w:val="28"/>
        </w:rPr>
        <w:t>š</w:t>
      </w:r>
      <w:r w:rsidR="00402FE1">
        <w:rPr>
          <w:sz w:val="28"/>
          <w:szCs w:val="28"/>
        </w:rPr>
        <w:t>o</w:t>
      </w:r>
      <w:r w:rsidR="00402FE1" w:rsidRPr="00CA738D">
        <w:rPr>
          <w:sz w:val="28"/>
          <w:szCs w:val="28"/>
        </w:rPr>
        <w:t xml:space="preserve"> jom</w:t>
      </w:r>
      <w:r w:rsidR="00402FE1">
        <w:rPr>
          <w:sz w:val="28"/>
          <w:szCs w:val="28"/>
        </w:rPr>
        <w:t>u</w:t>
      </w:r>
      <w:r w:rsidR="00402FE1" w:rsidRPr="00CA738D">
        <w:rPr>
          <w:sz w:val="28"/>
          <w:szCs w:val="28"/>
        </w:rPr>
        <w:t xml:space="preserve"> </w:t>
      </w:r>
      <w:r w:rsidR="004F6191" w:rsidRPr="00CA738D">
        <w:rPr>
          <w:sz w:val="28"/>
          <w:szCs w:val="28"/>
        </w:rPr>
        <w:t>neskar</w:t>
      </w:r>
      <w:r w:rsidR="00A53B80" w:rsidRPr="00CA738D">
        <w:rPr>
          <w:sz w:val="28"/>
          <w:szCs w:val="28"/>
        </w:rPr>
        <w:t>.</w:t>
      </w:r>
    </w:p>
    <w:p w:rsidR="007A3877" w:rsidRPr="00D44A59" w:rsidRDefault="007A3877" w:rsidP="00D44A59">
      <w:pPr>
        <w:pStyle w:val="naiskr"/>
        <w:tabs>
          <w:tab w:val="left" w:pos="2628"/>
        </w:tabs>
        <w:spacing w:before="0" w:after="0"/>
        <w:jc w:val="both"/>
        <w:rPr>
          <w:sz w:val="28"/>
          <w:szCs w:val="28"/>
        </w:rPr>
      </w:pPr>
    </w:p>
    <w:p w:rsidR="00214094" w:rsidRPr="007C0F2C" w:rsidRDefault="00214094" w:rsidP="00D44A59">
      <w:pPr>
        <w:pStyle w:val="naisf"/>
        <w:tabs>
          <w:tab w:val="left" w:pos="5760"/>
        </w:tabs>
        <w:spacing w:before="0" w:after="0"/>
        <w:ind w:firstLine="0"/>
        <w:rPr>
          <w:sz w:val="28"/>
          <w:szCs w:val="28"/>
        </w:rPr>
      </w:pPr>
    </w:p>
    <w:p w:rsidR="008D5DC0" w:rsidRDefault="00EB4100" w:rsidP="008D5DC0">
      <w:pPr>
        <w:pStyle w:val="naisf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Ministru prezidente</w:t>
      </w:r>
      <w:r w:rsidR="008B4323">
        <w:rPr>
          <w:sz w:val="28"/>
          <w:szCs w:val="28"/>
        </w:rPr>
        <w:t xml:space="preserve"> </w:t>
      </w:r>
      <w:r w:rsidR="008B4323">
        <w:rPr>
          <w:sz w:val="28"/>
          <w:szCs w:val="28"/>
        </w:rPr>
        <w:tab/>
      </w:r>
      <w:r w:rsidR="008B4323">
        <w:rPr>
          <w:sz w:val="28"/>
          <w:szCs w:val="28"/>
        </w:rPr>
        <w:tab/>
      </w:r>
      <w:r w:rsidR="008B4323">
        <w:rPr>
          <w:sz w:val="28"/>
          <w:szCs w:val="28"/>
        </w:rPr>
        <w:tab/>
      </w:r>
      <w:r w:rsidR="008B4323">
        <w:rPr>
          <w:sz w:val="28"/>
          <w:szCs w:val="28"/>
        </w:rPr>
        <w:tab/>
      </w:r>
      <w:r w:rsidR="008B4323">
        <w:rPr>
          <w:sz w:val="28"/>
          <w:szCs w:val="28"/>
        </w:rPr>
        <w:tab/>
      </w:r>
      <w:r w:rsidR="008B4323">
        <w:rPr>
          <w:sz w:val="28"/>
          <w:szCs w:val="28"/>
        </w:rPr>
        <w:tab/>
      </w:r>
      <w:r w:rsidR="008B4323">
        <w:rPr>
          <w:sz w:val="28"/>
          <w:szCs w:val="28"/>
        </w:rPr>
        <w:tab/>
      </w:r>
      <w:r>
        <w:rPr>
          <w:sz w:val="28"/>
          <w:szCs w:val="28"/>
        </w:rPr>
        <w:t>L</w:t>
      </w:r>
      <w:r w:rsidR="008D5DC0">
        <w:rPr>
          <w:sz w:val="28"/>
          <w:szCs w:val="28"/>
        </w:rPr>
        <w:t>.</w:t>
      </w:r>
      <w:r>
        <w:rPr>
          <w:sz w:val="28"/>
          <w:szCs w:val="28"/>
        </w:rPr>
        <w:t>Straujuma</w:t>
      </w:r>
    </w:p>
    <w:p w:rsidR="008D5DC0" w:rsidRDefault="008D5DC0" w:rsidP="00D44A59">
      <w:pPr>
        <w:pStyle w:val="naisf"/>
        <w:spacing w:before="0" w:after="0"/>
        <w:ind w:firstLine="0"/>
        <w:rPr>
          <w:sz w:val="28"/>
          <w:szCs w:val="28"/>
        </w:rPr>
      </w:pPr>
    </w:p>
    <w:p w:rsidR="009C1787" w:rsidRDefault="009C1787" w:rsidP="00D44A59">
      <w:pPr>
        <w:pStyle w:val="naisf"/>
        <w:spacing w:before="0" w:after="0"/>
        <w:ind w:firstLine="0"/>
        <w:rPr>
          <w:sz w:val="28"/>
          <w:szCs w:val="28"/>
        </w:rPr>
      </w:pPr>
    </w:p>
    <w:p w:rsidR="008D5DC0" w:rsidRDefault="008D5DC0" w:rsidP="008D5DC0">
      <w:pPr>
        <w:pStyle w:val="naisf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Finanšu ministrs</w:t>
      </w:r>
      <w:r w:rsidR="008B4323">
        <w:rPr>
          <w:sz w:val="28"/>
          <w:szCs w:val="28"/>
        </w:rPr>
        <w:t xml:space="preserve"> </w:t>
      </w:r>
      <w:r w:rsidR="008B4323">
        <w:rPr>
          <w:sz w:val="28"/>
          <w:szCs w:val="28"/>
        </w:rPr>
        <w:tab/>
      </w:r>
      <w:r w:rsidR="008B4323">
        <w:rPr>
          <w:sz w:val="28"/>
          <w:szCs w:val="28"/>
        </w:rPr>
        <w:tab/>
      </w:r>
      <w:r w:rsidR="008B4323">
        <w:rPr>
          <w:sz w:val="28"/>
          <w:szCs w:val="28"/>
        </w:rPr>
        <w:tab/>
      </w:r>
      <w:r w:rsidR="008B4323">
        <w:rPr>
          <w:sz w:val="28"/>
          <w:szCs w:val="28"/>
        </w:rPr>
        <w:tab/>
      </w:r>
      <w:r w:rsidR="008B4323">
        <w:rPr>
          <w:sz w:val="28"/>
          <w:szCs w:val="28"/>
        </w:rPr>
        <w:tab/>
      </w:r>
      <w:r w:rsidR="008B4323">
        <w:rPr>
          <w:sz w:val="28"/>
          <w:szCs w:val="28"/>
        </w:rPr>
        <w:tab/>
      </w:r>
      <w:r w:rsidR="008B4323">
        <w:rPr>
          <w:sz w:val="28"/>
          <w:szCs w:val="28"/>
        </w:rPr>
        <w:tab/>
      </w:r>
      <w:r w:rsidR="008B4323">
        <w:rPr>
          <w:sz w:val="28"/>
          <w:szCs w:val="28"/>
        </w:rPr>
        <w:tab/>
      </w:r>
      <w:r w:rsidR="00BD78E0">
        <w:rPr>
          <w:sz w:val="28"/>
          <w:szCs w:val="28"/>
        </w:rPr>
        <w:t>J</w:t>
      </w:r>
      <w:r w:rsidR="006D6112">
        <w:rPr>
          <w:sz w:val="28"/>
          <w:szCs w:val="28"/>
        </w:rPr>
        <w:t>.</w:t>
      </w:r>
      <w:r w:rsidR="00BD78E0">
        <w:rPr>
          <w:sz w:val="28"/>
          <w:szCs w:val="28"/>
        </w:rPr>
        <w:t>Reir</w:t>
      </w:r>
      <w:r w:rsidR="006D6112">
        <w:rPr>
          <w:sz w:val="28"/>
          <w:szCs w:val="28"/>
        </w:rPr>
        <w:t>s</w:t>
      </w:r>
    </w:p>
    <w:p w:rsidR="008D5DC0" w:rsidRPr="002C61CF" w:rsidRDefault="008D5DC0" w:rsidP="00D44A59">
      <w:pPr>
        <w:pStyle w:val="naisf"/>
        <w:spacing w:before="0" w:after="0"/>
        <w:ind w:firstLine="0"/>
        <w:rPr>
          <w:sz w:val="28"/>
          <w:szCs w:val="28"/>
        </w:rPr>
      </w:pPr>
    </w:p>
    <w:p w:rsidR="008D5DC0" w:rsidRPr="002C61CF" w:rsidRDefault="008D5DC0" w:rsidP="00D44A59">
      <w:pPr>
        <w:pStyle w:val="BodyText"/>
        <w:jc w:val="left"/>
        <w:rPr>
          <w:szCs w:val="28"/>
        </w:rPr>
      </w:pPr>
    </w:p>
    <w:p w:rsidR="00C359B1" w:rsidRDefault="00F37AB7" w:rsidP="002C61CF">
      <w:r>
        <w:t>20.11.2014 13:19</w:t>
      </w:r>
    </w:p>
    <w:p w:rsidR="004F6191" w:rsidRDefault="00BD78E0" w:rsidP="002C61CF">
      <w:r>
        <w:t>878</w:t>
      </w:r>
    </w:p>
    <w:p w:rsidR="008D5DC0" w:rsidRDefault="00EB4100" w:rsidP="002C61CF">
      <w:r>
        <w:t>S</w:t>
      </w:r>
      <w:r w:rsidR="00036801">
        <w:t>.</w:t>
      </w:r>
      <w:r>
        <w:t>Roštoka</w:t>
      </w:r>
    </w:p>
    <w:p w:rsidR="00685ABC" w:rsidRPr="00191848" w:rsidRDefault="00EB4100" w:rsidP="009B0110">
      <w:pPr>
        <w:rPr>
          <w:sz w:val="28"/>
          <w:szCs w:val="28"/>
        </w:rPr>
      </w:pPr>
      <w:r>
        <w:t>67</w:t>
      </w:r>
      <w:r w:rsidR="00EC0F2E">
        <w:t>12024</w:t>
      </w:r>
      <w:bookmarkStart w:id="0" w:name="_GoBack"/>
      <w:r w:rsidR="00EC0F2E">
        <w:t>9</w:t>
      </w:r>
      <w:bookmarkEnd w:id="0"/>
      <w:r w:rsidR="00C3073E" w:rsidRPr="007A3877">
        <w:t>,</w:t>
      </w:r>
      <w:r w:rsidR="008D5DC0" w:rsidRPr="007A3877">
        <w:t xml:space="preserve"> </w:t>
      </w:r>
      <w:hyperlink r:id="rId12" w:history="1">
        <w:r w:rsidRPr="00B407A6">
          <w:rPr>
            <w:rStyle w:val="Hyperlink"/>
            <w:color w:val="auto"/>
            <w:u w:val="none"/>
          </w:rPr>
          <w:t>Signe.Rostoka@vid.gov.lv</w:t>
        </w:r>
      </w:hyperlink>
    </w:p>
    <w:sectPr w:rsidR="00685ABC" w:rsidRPr="00191848" w:rsidSect="00B407A6">
      <w:headerReference w:type="even" r:id="rId13"/>
      <w:headerReference w:type="default" r:id="rId14"/>
      <w:footerReference w:type="default" r:id="rId15"/>
      <w:footerReference w:type="first" r:id="rId16"/>
      <w:pgSz w:w="11906" w:h="16838" w:code="9"/>
      <w:pgMar w:top="1134" w:right="1134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E4A" w:rsidRDefault="00E04E4A">
      <w:r>
        <w:separator/>
      </w:r>
    </w:p>
  </w:endnote>
  <w:endnote w:type="continuationSeparator" w:id="0">
    <w:p w:rsidR="00E04E4A" w:rsidRDefault="00E04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1D6" w:rsidRPr="00D01D51" w:rsidRDefault="00C359B1" w:rsidP="00D01D51">
    <w:pPr>
      <w:pStyle w:val="NormalWeb"/>
      <w:spacing w:before="0" w:beforeAutospacing="0" w:after="0" w:afterAutospacing="0"/>
      <w:jc w:val="both"/>
      <w:rPr>
        <w:b/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  \* MERGEFORMAT </w:instrText>
    </w:r>
    <w:r>
      <w:rPr>
        <w:sz w:val="18"/>
        <w:szCs w:val="18"/>
      </w:rPr>
      <w:fldChar w:fldCharType="separate"/>
    </w:r>
    <w:r w:rsidR="00352C40">
      <w:rPr>
        <w:noProof/>
        <w:sz w:val="18"/>
        <w:szCs w:val="18"/>
      </w:rPr>
      <w:t>FMAnot_201114</w:t>
    </w:r>
    <w:r>
      <w:rPr>
        <w:sz w:val="18"/>
        <w:szCs w:val="18"/>
      </w:rPr>
      <w:fldChar w:fldCharType="end"/>
    </w:r>
    <w:r w:rsidR="00191848">
      <w:rPr>
        <w:sz w:val="18"/>
        <w:szCs w:val="18"/>
      </w:rPr>
      <w:t xml:space="preserve">; </w:t>
    </w:r>
    <w:r w:rsidR="00D01D51" w:rsidRPr="00D01D51">
      <w:rPr>
        <w:sz w:val="18"/>
        <w:szCs w:val="18"/>
      </w:rPr>
      <w:t xml:space="preserve">Ministru kabineta noteikumu projekta </w:t>
    </w:r>
    <w:r w:rsidR="00191848">
      <w:rPr>
        <w:sz w:val="18"/>
        <w:szCs w:val="18"/>
      </w:rPr>
      <w:t>“</w:t>
    </w:r>
    <w:r w:rsidR="00D01D51" w:rsidRPr="00D01D51">
      <w:rPr>
        <w:sz w:val="18"/>
        <w:szCs w:val="18"/>
      </w:rPr>
      <w:t>Grozījum</w:t>
    </w:r>
    <w:r w:rsidR="00AF0F73">
      <w:rPr>
        <w:sz w:val="18"/>
        <w:szCs w:val="18"/>
      </w:rPr>
      <w:t>s</w:t>
    </w:r>
    <w:r w:rsidR="00D01D51" w:rsidRPr="00D01D51">
      <w:rPr>
        <w:sz w:val="18"/>
        <w:szCs w:val="18"/>
      </w:rPr>
      <w:t xml:space="preserve"> Ministru kabineta 2013.gada 10.septembra noteikumos Nr.778 “Valsts ieņēmumu dienesta maksas pakalpojumu cenrādis”” sākotnējās ietekmes novērtējuma ziņojum</w:t>
    </w:r>
    <w:r w:rsidR="007157D7">
      <w:rPr>
        <w:sz w:val="18"/>
        <w:szCs w:val="18"/>
      </w:rPr>
      <w:t>s</w:t>
    </w:r>
    <w:r w:rsidR="00D01D51" w:rsidRPr="00D01D51">
      <w:rPr>
        <w:sz w:val="18"/>
        <w:szCs w:val="18"/>
      </w:rPr>
      <w:t xml:space="preserve">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258" w:rsidRPr="00765F6E" w:rsidRDefault="00C359B1" w:rsidP="00D01D51">
    <w:pPr>
      <w:pStyle w:val="NormalWeb"/>
      <w:spacing w:before="0" w:beforeAutospacing="0" w:after="0" w:afterAutospacing="0"/>
      <w:jc w:val="both"/>
      <w:rPr>
        <w:b/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  \* MERGEFORMAT </w:instrText>
    </w:r>
    <w:r>
      <w:rPr>
        <w:sz w:val="18"/>
        <w:szCs w:val="18"/>
      </w:rPr>
      <w:fldChar w:fldCharType="separate"/>
    </w:r>
    <w:r w:rsidR="00352C40">
      <w:rPr>
        <w:noProof/>
        <w:sz w:val="18"/>
        <w:szCs w:val="18"/>
      </w:rPr>
      <w:t>FMAnot_201114</w:t>
    </w:r>
    <w:r>
      <w:rPr>
        <w:sz w:val="18"/>
        <w:szCs w:val="18"/>
      </w:rPr>
      <w:fldChar w:fldCharType="end"/>
    </w:r>
    <w:r w:rsidR="001908CE" w:rsidRPr="00054846">
      <w:rPr>
        <w:sz w:val="18"/>
        <w:szCs w:val="18"/>
      </w:rPr>
      <w:t>;</w:t>
    </w:r>
    <w:r w:rsidR="005A0D6D" w:rsidRPr="00054846">
      <w:rPr>
        <w:sz w:val="18"/>
        <w:szCs w:val="18"/>
      </w:rPr>
      <w:t xml:space="preserve"> Ministru kabineta noteikumu projekta </w:t>
    </w:r>
    <w:r w:rsidR="00191848" w:rsidRPr="00054846">
      <w:rPr>
        <w:sz w:val="18"/>
        <w:szCs w:val="18"/>
      </w:rPr>
      <w:t>“</w:t>
    </w:r>
    <w:r w:rsidR="005A0D6D" w:rsidRPr="00054846">
      <w:rPr>
        <w:sz w:val="18"/>
        <w:szCs w:val="18"/>
      </w:rPr>
      <w:t>Grozījum</w:t>
    </w:r>
    <w:r w:rsidR="00AF0F73" w:rsidRPr="00054846">
      <w:rPr>
        <w:sz w:val="18"/>
        <w:szCs w:val="18"/>
      </w:rPr>
      <w:t>s</w:t>
    </w:r>
    <w:r w:rsidR="005A0D6D" w:rsidRPr="00054846">
      <w:rPr>
        <w:sz w:val="18"/>
        <w:szCs w:val="18"/>
      </w:rPr>
      <w:t xml:space="preserve"> Ministru kabineta 2013.gada 10.septembra noteikumos Nr.778</w:t>
    </w:r>
    <w:r w:rsidR="005A0D6D" w:rsidRPr="00765F6E">
      <w:rPr>
        <w:sz w:val="18"/>
        <w:szCs w:val="18"/>
      </w:rPr>
      <w:t xml:space="preserve"> “Valsts ieņēmumu dienesta maksas pakalpojumu cenrādis”” sākotnējās ietekmes novērtējuma ziņojum</w:t>
    </w:r>
    <w:r w:rsidR="007157D7" w:rsidRPr="00765F6E">
      <w:rPr>
        <w:sz w:val="18"/>
        <w:szCs w:val="18"/>
      </w:rPr>
      <w:t>s</w:t>
    </w:r>
    <w:r w:rsidR="005A0D6D" w:rsidRPr="00765F6E">
      <w:rPr>
        <w:sz w:val="18"/>
        <w:szCs w:val="18"/>
      </w:rPr>
      <w:t xml:space="preserve">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E4A" w:rsidRDefault="00E04E4A">
      <w:r>
        <w:separator/>
      </w:r>
    </w:p>
  </w:footnote>
  <w:footnote w:type="continuationSeparator" w:id="0">
    <w:p w:rsidR="00E04E4A" w:rsidRDefault="00E04E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1D6" w:rsidRDefault="00C241D6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41D6" w:rsidRDefault="00C241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1D6" w:rsidRDefault="00C241D6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7AB7">
      <w:rPr>
        <w:rStyle w:val="PageNumber"/>
        <w:noProof/>
      </w:rPr>
      <w:t>3</w:t>
    </w:r>
    <w:r>
      <w:rPr>
        <w:rStyle w:val="PageNumber"/>
      </w:rPr>
      <w:fldChar w:fldCharType="end"/>
    </w:r>
  </w:p>
  <w:p w:rsidR="00C241D6" w:rsidRDefault="00C241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C123E"/>
    <w:multiLevelType w:val="hybridMultilevel"/>
    <w:tmpl w:val="F4B2051A"/>
    <w:lvl w:ilvl="0" w:tplc="1AA228F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AE61C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526626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4077E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4FBC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671BE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8FA78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62104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6CDE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91C0C4F"/>
    <w:multiLevelType w:val="hybridMultilevel"/>
    <w:tmpl w:val="A6D837A8"/>
    <w:lvl w:ilvl="0" w:tplc="756C181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70259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2DCB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0F6D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245F6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41756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C1E8E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6BFFA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6F5C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B9B34B7"/>
    <w:multiLevelType w:val="hybridMultilevel"/>
    <w:tmpl w:val="49188F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4F440C"/>
    <w:multiLevelType w:val="hybridMultilevel"/>
    <w:tmpl w:val="91CCED8A"/>
    <w:lvl w:ilvl="0" w:tplc="6226E69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6AA46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2EAA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8E700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64F58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8409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4251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6DB4C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C29D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48744A95"/>
    <w:multiLevelType w:val="hybridMultilevel"/>
    <w:tmpl w:val="FA345D46"/>
    <w:lvl w:ilvl="0" w:tplc="A49EE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D72F2E"/>
    <w:multiLevelType w:val="hybridMultilevel"/>
    <w:tmpl w:val="7B04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24FFD"/>
    <w:multiLevelType w:val="hybridMultilevel"/>
    <w:tmpl w:val="6B5625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137551"/>
    <w:multiLevelType w:val="hybridMultilevel"/>
    <w:tmpl w:val="845087C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6D2BC9"/>
    <w:multiLevelType w:val="hybridMultilevel"/>
    <w:tmpl w:val="D75C78A0"/>
    <w:lvl w:ilvl="0" w:tplc="09C4E5D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E28C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81F1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4F8A2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EA872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4E01C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4ADE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61D1E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C581E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81C7582"/>
    <w:multiLevelType w:val="hybridMultilevel"/>
    <w:tmpl w:val="7ABE272A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C61899"/>
    <w:multiLevelType w:val="hybridMultilevel"/>
    <w:tmpl w:val="C4628448"/>
    <w:lvl w:ilvl="0" w:tplc="0426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2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632A1A20"/>
    <w:multiLevelType w:val="hybridMultilevel"/>
    <w:tmpl w:val="CF5202E0"/>
    <w:lvl w:ilvl="0" w:tplc="8CA2CBC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C3BCA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AB36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063A6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0E0D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8B692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C8CF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46DD6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BA4D6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"/>
  </w:num>
  <w:num w:numId="5">
    <w:abstractNumId w:val="0"/>
  </w:num>
  <w:num w:numId="6">
    <w:abstractNumId w:val="9"/>
  </w:num>
  <w:num w:numId="7">
    <w:abstractNumId w:val="13"/>
  </w:num>
  <w:num w:numId="8">
    <w:abstractNumId w:val="5"/>
  </w:num>
  <w:num w:numId="9">
    <w:abstractNumId w:val="2"/>
  </w:num>
  <w:num w:numId="10">
    <w:abstractNumId w:val="6"/>
  </w:num>
  <w:num w:numId="11">
    <w:abstractNumId w:val="7"/>
  </w:num>
  <w:num w:numId="12">
    <w:abstractNumId w:val="10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649"/>
    <w:rsid w:val="000006FF"/>
    <w:rsid w:val="00006A57"/>
    <w:rsid w:val="0000729E"/>
    <w:rsid w:val="000100F8"/>
    <w:rsid w:val="00011D24"/>
    <w:rsid w:val="00013FF4"/>
    <w:rsid w:val="0001488A"/>
    <w:rsid w:val="00020FE1"/>
    <w:rsid w:val="000217AB"/>
    <w:rsid w:val="00022E13"/>
    <w:rsid w:val="00025559"/>
    <w:rsid w:val="00027041"/>
    <w:rsid w:val="00032388"/>
    <w:rsid w:val="00035CE2"/>
    <w:rsid w:val="00036801"/>
    <w:rsid w:val="00036D95"/>
    <w:rsid w:val="00043AE6"/>
    <w:rsid w:val="00043EBD"/>
    <w:rsid w:val="0005040F"/>
    <w:rsid w:val="0005376D"/>
    <w:rsid w:val="00054846"/>
    <w:rsid w:val="0005553B"/>
    <w:rsid w:val="00060499"/>
    <w:rsid w:val="000604D2"/>
    <w:rsid w:val="00064894"/>
    <w:rsid w:val="0007247A"/>
    <w:rsid w:val="000739DB"/>
    <w:rsid w:val="0007654F"/>
    <w:rsid w:val="000767C5"/>
    <w:rsid w:val="00081BEE"/>
    <w:rsid w:val="0009005E"/>
    <w:rsid w:val="000941C5"/>
    <w:rsid w:val="00094903"/>
    <w:rsid w:val="000A04F0"/>
    <w:rsid w:val="000A26DA"/>
    <w:rsid w:val="000A3B4D"/>
    <w:rsid w:val="000A6451"/>
    <w:rsid w:val="000A712C"/>
    <w:rsid w:val="000B0386"/>
    <w:rsid w:val="000B064E"/>
    <w:rsid w:val="000B69CF"/>
    <w:rsid w:val="000B6BD9"/>
    <w:rsid w:val="000B6E09"/>
    <w:rsid w:val="000C0CC9"/>
    <w:rsid w:val="000C5072"/>
    <w:rsid w:val="000C790C"/>
    <w:rsid w:val="000C7D72"/>
    <w:rsid w:val="000C7F0D"/>
    <w:rsid w:val="000D5314"/>
    <w:rsid w:val="000D774B"/>
    <w:rsid w:val="000F061D"/>
    <w:rsid w:val="000F3C6E"/>
    <w:rsid w:val="000F437B"/>
    <w:rsid w:val="000F4794"/>
    <w:rsid w:val="000F4FFA"/>
    <w:rsid w:val="000F509B"/>
    <w:rsid w:val="00100B22"/>
    <w:rsid w:val="001025B6"/>
    <w:rsid w:val="001029F7"/>
    <w:rsid w:val="00102EAD"/>
    <w:rsid w:val="001057CB"/>
    <w:rsid w:val="00105EFB"/>
    <w:rsid w:val="0011520D"/>
    <w:rsid w:val="00124EA5"/>
    <w:rsid w:val="00124F12"/>
    <w:rsid w:val="0013261B"/>
    <w:rsid w:val="00142C7C"/>
    <w:rsid w:val="00143CFA"/>
    <w:rsid w:val="00144E3A"/>
    <w:rsid w:val="0014700A"/>
    <w:rsid w:val="00147107"/>
    <w:rsid w:val="0015060C"/>
    <w:rsid w:val="00152C1D"/>
    <w:rsid w:val="00153581"/>
    <w:rsid w:val="0016018A"/>
    <w:rsid w:val="00161110"/>
    <w:rsid w:val="00161F0E"/>
    <w:rsid w:val="00162C35"/>
    <w:rsid w:val="00166AF9"/>
    <w:rsid w:val="00167C4E"/>
    <w:rsid w:val="00170E2A"/>
    <w:rsid w:val="00176156"/>
    <w:rsid w:val="00177394"/>
    <w:rsid w:val="00181C4F"/>
    <w:rsid w:val="00182C18"/>
    <w:rsid w:val="00183CC2"/>
    <w:rsid w:val="001862F0"/>
    <w:rsid w:val="0018646C"/>
    <w:rsid w:val="001900E4"/>
    <w:rsid w:val="001908CE"/>
    <w:rsid w:val="00190F88"/>
    <w:rsid w:val="00191726"/>
    <w:rsid w:val="00191848"/>
    <w:rsid w:val="001A4066"/>
    <w:rsid w:val="001A5D17"/>
    <w:rsid w:val="001A60F2"/>
    <w:rsid w:val="001A6AE4"/>
    <w:rsid w:val="001B01FD"/>
    <w:rsid w:val="001B0D62"/>
    <w:rsid w:val="001B2CF5"/>
    <w:rsid w:val="001B4A71"/>
    <w:rsid w:val="001C0A2F"/>
    <w:rsid w:val="001C4C5A"/>
    <w:rsid w:val="001C5DC7"/>
    <w:rsid w:val="001C6A46"/>
    <w:rsid w:val="001D1463"/>
    <w:rsid w:val="001D467D"/>
    <w:rsid w:val="001D5B54"/>
    <w:rsid w:val="001D705C"/>
    <w:rsid w:val="001D75D0"/>
    <w:rsid w:val="001E0D62"/>
    <w:rsid w:val="001E1DBF"/>
    <w:rsid w:val="001E25FC"/>
    <w:rsid w:val="001E4639"/>
    <w:rsid w:val="001E4A7D"/>
    <w:rsid w:val="001E55FA"/>
    <w:rsid w:val="001E7981"/>
    <w:rsid w:val="001E7AD5"/>
    <w:rsid w:val="001F4209"/>
    <w:rsid w:val="001F43A8"/>
    <w:rsid w:val="001F5CD6"/>
    <w:rsid w:val="00211EBE"/>
    <w:rsid w:val="002120FF"/>
    <w:rsid w:val="0021263D"/>
    <w:rsid w:val="00213B2E"/>
    <w:rsid w:val="00213E33"/>
    <w:rsid w:val="00213F0C"/>
    <w:rsid w:val="00214094"/>
    <w:rsid w:val="0021592D"/>
    <w:rsid w:val="0021634B"/>
    <w:rsid w:val="002211A1"/>
    <w:rsid w:val="00222D76"/>
    <w:rsid w:val="00223EB1"/>
    <w:rsid w:val="00230B9A"/>
    <w:rsid w:val="00231344"/>
    <w:rsid w:val="00232B0C"/>
    <w:rsid w:val="0023436E"/>
    <w:rsid w:val="002347C0"/>
    <w:rsid w:val="00236738"/>
    <w:rsid w:val="0024170D"/>
    <w:rsid w:val="00241A6C"/>
    <w:rsid w:val="00242D2B"/>
    <w:rsid w:val="002459DE"/>
    <w:rsid w:val="002513B7"/>
    <w:rsid w:val="002547E3"/>
    <w:rsid w:val="00257A70"/>
    <w:rsid w:val="00262E2B"/>
    <w:rsid w:val="00270429"/>
    <w:rsid w:val="002723E9"/>
    <w:rsid w:val="0027690A"/>
    <w:rsid w:val="00277929"/>
    <w:rsid w:val="00283B82"/>
    <w:rsid w:val="002846E9"/>
    <w:rsid w:val="00284C34"/>
    <w:rsid w:val="0029066C"/>
    <w:rsid w:val="002911D1"/>
    <w:rsid w:val="002A2173"/>
    <w:rsid w:val="002A2A80"/>
    <w:rsid w:val="002A4A6D"/>
    <w:rsid w:val="002A5708"/>
    <w:rsid w:val="002A7528"/>
    <w:rsid w:val="002B50DB"/>
    <w:rsid w:val="002B65E9"/>
    <w:rsid w:val="002B721C"/>
    <w:rsid w:val="002C12AB"/>
    <w:rsid w:val="002C61CF"/>
    <w:rsid w:val="002C7CAC"/>
    <w:rsid w:val="002D3306"/>
    <w:rsid w:val="002D48AA"/>
    <w:rsid w:val="002D7BAA"/>
    <w:rsid w:val="002D7F54"/>
    <w:rsid w:val="002E0CDD"/>
    <w:rsid w:val="002E1A5C"/>
    <w:rsid w:val="002E2766"/>
    <w:rsid w:val="002E3FF4"/>
    <w:rsid w:val="002E4848"/>
    <w:rsid w:val="002E5F62"/>
    <w:rsid w:val="002E6370"/>
    <w:rsid w:val="002F23F2"/>
    <w:rsid w:val="002F2B83"/>
    <w:rsid w:val="002F31FE"/>
    <w:rsid w:val="002F479C"/>
    <w:rsid w:val="002F4D16"/>
    <w:rsid w:val="002F76C2"/>
    <w:rsid w:val="002F78C8"/>
    <w:rsid w:val="00301CF3"/>
    <w:rsid w:val="00305479"/>
    <w:rsid w:val="0030559D"/>
    <w:rsid w:val="003068D3"/>
    <w:rsid w:val="00311858"/>
    <w:rsid w:val="00313404"/>
    <w:rsid w:val="003150A0"/>
    <w:rsid w:val="00321F82"/>
    <w:rsid w:val="003228FD"/>
    <w:rsid w:val="00324351"/>
    <w:rsid w:val="0032715C"/>
    <w:rsid w:val="003279D7"/>
    <w:rsid w:val="00334DD7"/>
    <w:rsid w:val="00336DBF"/>
    <w:rsid w:val="00337CA5"/>
    <w:rsid w:val="0034079E"/>
    <w:rsid w:val="00341A8E"/>
    <w:rsid w:val="003444AC"/>
    <w:rsid w:val="00345BDC"/>
    <w:rsid w:val="00345F1A"/>
    <w:rsid w:val="00347BE8"/>
    <w:rsid w:val="00350A84"/>
    <w:rsid w:val="00350AEA"/>
    <w:rsid w:val="00352C40"/>
    <w:rsid w:val="003533BB"/>
    <w:rsid w:val="0035751F"/>
    <w:rsid w:val="00362478"/>
    <w:rsid w:val="003743D6"/>
    <w:rsid w:val="00375108"/>
    <w:rsid w:val="003756FA"/>
    <w:rsid w:val="00375B25"/>
    <w:rsid w:val="00380425"/>
    <w:rsid w:val="0038132C"/>
    <w:rsid w:val="00383326"/>
    <w:rsid w:val="00383508"/>
    <w:rsid w:val="00390EB5"/>
    <w:rsid w:val="003911AA"/>
    <w:rsid w:val="00391C8C"/>
    <w:rsid w:val="00396542"/>
    <w:rsid w:val="0039685B"/>
    <w:rsid w:val="00396AB4"/>
    <w:rsid w:val="003A04AD"/>
    <w:rsid w:val="003A0FE2"/>
    <w:rsid w:val="003A1904"/>
    <w:rsid w:val="003A31A6"/>
    <w:rsid w:val="003A7F0C"/>
    <w:rsid w:val="003A7F79"/>
    <w:rsid w:val="003B5AC7"/>
    <w:rsid w:val="003B6404"/>
    <w:rsid w:val="003B71EF"/>
    <w:rsid w:val="003C0785"/>
    <w:rsid w:val="003C449B"/>
    <w:rsid w:val="003D00C1"/>
    <w:rsid w:val="003D1D37"/>
    <w:rsid w:val="003D21FF"/>
    <w:rsid w:val="003D3266"/>
    <w:rsid w:val="003E4F17"/>
    <w:rsid w:val="003F0112"/>
    <w:rsid w:val="003F071A"/>
    <w:rsid w:val="003F160B"/>
    <w:rsid w:val="003F5D29"/>
    <w:rsid w:val="003F5F9F"/>
    <w:rsid w:val="003F73F6"/>
    <w:rsid w:val="00400032"/>
    <w:rsid w:val="00400B5B"/>
    <w:rsid w:val="00402FE1"/>
    <w:rsid w:val="00405A00"/>
    <w:rsid w:val="00414CCE"/>
    <w:rsid w:val="00415241"/>
    <w:rsid w:val="00416FB3"/>
    <w:rsid w:val="00420870"/>
    <w:rsid w:val="00425225"/>
    <w:rsid w:val="004311B8"/>
    <w:rsid w:val="00432D0C"/>
    <w:rsid w:val="004349C9"/>
    <w:rsid w:val="00434A71"/>
    <w:rsid w:val="00436AA4"/>
    <w:rsid w:val="0043791B"/>
    <w:rsid w:val="00441444"/>
    <w:rsid w:val="00441483"/>
    <w:rsid w:val="00441A4D"/>
    <w:rsid w:val="00441BCB"/>
    <w:rsid w:val="00442E4B"/>
    <w:rsid w:val="00442E96"/>
    <w:rsid w:val="0045176A"/>
    <w:rsid w:val="00456332"/>
    <w:rsid w:val="00457A8D"/>
    <w:rsid w:val="00457EE6"/>
    <w:rsid w:val="00461826"/>
    <w:rsid w:val="00463FFC"/>
    <w:rsid w:val="00467447"/>
    <w:rsid w:val="00472424"/>
    <w:rsid w:val="00474DE3"/>
    <w:rsid w:val="004755DC"/>
    <w:rsid w:val="0047691D"/>
    <w:rsid w:val="004800F9"/>
    <w:rsid w:val="00487CAB"/>
    <w:rsid w:val="00490220"/>
    <w:rsid w:val="0049068D"/>
    <w:rsid w:val="0049134A"/>
    <w:rsid w:val="00493EB6"/>
    <w:rsid w:val="0049730F"/>
    <w:rsid w:val="004A1DA3"/>
    <w:rsid w:val="004A58CB"/>
    <w:rsid w:val="004A68C0"/>
    <w:rsid w:val="004B1795"/>
    <w:rsid w:val="004B4D59"/>
    <w:rsid w:val="004B56DD"/>
    <w:rsid w:val="004B60C8"/>
    <w:rsid w:val="004C020F"/>
    <w:rsid w:val="004C0A03"/>
    <w:rsid w:val="004C0FEC"/>
    <w:rsid w:val="004C1AFD"/>
    <w:rsid w:val="004C3E25"/>
    <w:rsid w:val="004C4906"/>
    <w:rsid w:val="004C558B"/>
    <w:rsid w:val="004C68EF"/>
    <w:rsid w:val="004D14DD"/>
    <w:rsid w:val="004E20D5"/>
    <w:rsid w:val="004E65CF"/>
    <w:rsid w:val="004E730C"/>
    <w:rsid w:val="004F1F88"/>
    <w:rsid w:val="004F5F1B"/>
    <w:rsid w:val="004F6191"/>
    <w:rsid w:val="00502374"/>
    <w:rsid w:val="00503C7C"/>
    <w:rsid w:val="005060A1"/>
    <w:rsid w:val="00516072"/>
    <w:rsid w:val="00521B59"/>
    <w:rsid w:val="00527CAD"/>
    <w:rsid w:val="005302A3"/>
    <w:rsid w:val="005332EC"/>
    <w:rsid w:val="00534418"/>
    <w:rsid w:val="005353AB"/>
    <w:rsid w:val="005370FE"/>
    <w:rsid w:val="005371C6"/>
    <w:rsid w:val="005452D0"/>
    <w:rsid w:val="00545CD1"/>
    <w:rsid w:val="005460E9"/>
    <w:rsid w:val="005468D2"/>
    <w:rsid w:val="005478D3"/>
    <w:rsid w:val="00551CA2"/>
    <w:rsid w:val="00552255"/>
    <w:rsid w:val="00554EFC"/>
    <w:rsid w:val="005560BC"/>
    <w:rsid w:val="005571CE"/>
    <w:rsid w:val="005573BE"/>
    <w:rsid w:val="005615AD"/>
    <w:rsid w:val="0056344D"/>
    <w:rsid w:val="00570996"/>
    <w:rsid w:val="00572700"/>
    <w:rsid w:val="00573937"/>
    <w:rsid w:val="00580468"/>
    <w:rsid w:val="00581DC5"/>
    <w:rsid w:val="00582231"/>
    <w:rsid w:val="00583A02"/>
    <w:rsid w:val="00583BDE"/>
    <w:rsid w:val="00584A58"/>
    <w:rsid w:val="00585C86"/>
    <w:rsid w:val="0058603B"/>
    <w:rsid w:val="00587E49"/>
    <w:rsid w:val="00590064"/>
    <w:rsid w:val="005911FA"/>
    <w:rsid w:val="0059431B"/>
    <w:rsid w:val="00596730"/>
    <w:rsid w:val="00597C36"/>
    <w:rsid w:val="005A0263"/>
    <w:rsid w:val="005A0723"/>
    <w:rsid w:val="005A0D6D"/>
    <w:rsid w:val="005A39CC"/>
    <w:rsid w:val="005A43B5"/>
    <w:rsid w:val="005A4708"/>
    <w:rsid w:val="005A56B7"/>
    <w:rsid w:val="005B0030"/>
    <w:rsid w:val="005B0D0B"/>
    <w:rsid w:val="005B4730"/>
    <w:rsid w:val="005B771F"/>
    <w:rsid w:val="005C2924"/>
    <w:rsid w:val="005C4C49"/>
    <w:rsid w:val="005D05DC"/>
    <w:rsid w:val="005D082D"/>
    <w:rsid w:val="005D445D"/>
    <w:rsid w:val="005D50A0"/>
    <w:rsid w:val="005E05D7"/>
    <w:rsid w:val="005E0B93"/>
    <w:rsid w:val="005E2461"/>
    <w:rsid w:val="005E41E7"/>
    <w:rsid w:val="005E450F"/>
    <w:rsid w:val="005E55CA"/>
    <w:rsid w:val="005F0ECD"/>
    <w:rsid w:val="005F6482"/>
    <w:rsid w:val="005F7703"/>
    <w:rsid w:val="00600786"/>
    <w:rsid w:val="006042C1"/>
    <w:rsid w:val="00607C0C"/>
    <w:rsid w:val="006165A8"/>
    <w:rsid w:val="0062042E"/>
    <w:rsid w:val="0062298A"/>
    <w:rsid w:val="006236E1"/>
    <w:rsid w:val="006257CF"/>
    <w:rsid w:val="00626454"/>
    <w:rsid w:val="00626514"/>
    <w:rsid w:val="00626589"/>
    <w:rsid w:val="00626809"/>
    <w:rsid w:val="006276E6"/>
    <w:rsid w:val="00631AF0"/>
    <w:rsid w:val="006339A0"/>
    <w:rsid w:val="0063662F"/>
    <w:rsid w:val="00636ABE"/>
    <w:rsid w:val="00636AC8"/>
    <w:rsid w:val="00636B16"/>
    <w:rsid w:val="006413A8"/>
    <w:rsid w:val="00642E56"/>
    <w:rsid w:val="006457F9"/>
    <w:rsid w:val="00646920"/>
    <w:rsid w:val="00646BDF"/>
    <w:rsid w:val="00651E00"/>
    <w:rsid w:val="00663146"/>
    <w:rsid w:val="006658FC"/>
    <w:rsid w:val="00666C6F"/>
    <w:rsid w:val="00667D76"/>
    <w:rsid w:val="00674572"/>
    <w:rsid w:val="00676C8A"/>
    <w:rsid w:val="0068405B"/>
    <w:rsid w:val="00685ABC"/>
    <w:rsid w:val="00685F0B"/>
    <w:rsid w:val="00687763"/>
    <w:rsid w:val="00691863"/>
    <w:rsid w:val="00692B0D"/>
    <w:rsid w:val="00693E0E"/>
    <w:rsid w:val="006967B6"/>
    <w:rsid w:val="006A1AE3"/>
    <w:rsid w:val="006A7BA1"/>
    <w:rsid w:val="006B0B57"/>
    <w:rsid w:val="006B1AC7"/>
    <w:rsid w:val="006B2C5E"/>
    <w:rsid w:val="006C0E9E"/>
    <w:rsid w:val="006C1FB9"/>
    <w:rsid w:val="006C2370"/>
    <w:rsid w:val="006C30E1"/>
    <w:rsid w:val="006C4607"/>
    <w:rsid w:val="006C6CF7"/>
    <w:rsid w:val="006C7CD1"/>
    <w:rsid w:val="006D221C"/>
    <w:rsid w:val="006D48F1"/>
    <w:rsid w:val="006D5D91"/>
    <w:rsid w:val="006D6112"/>
    <w:rsid w:val="006E03F6"/>
    <w:rsid w:val="006E37E4"/>
    <w:rsid w:val="006E7B25"/>
    <w:rsid w:val="006F167D"/>
    <w:rsid w:val="006F3A62"/>
    <w:rsid w:val="006F45BE"/>
    <w:rsid w:val="006F4BC9"/>
    <w:rsid w:val="006F6F52"/>
    <w:rsid w:val="007004FC"/>
    <w:rsid w:val="007041E3"/>
    <w:rsid w:val="007049D4"/>
    <w:rsid w:val="00705A8F"/>
    <w:rsid w:val="00706670"/>
    <w:rsid w:val="00706B67"/>
    <w:rsid w:val="00706C93"/>
    <w:rsid w:val="00707C83"/>
    <w:rsid w:val="007105E6"/>
    <w:rsid w:val="00711A25"/>
    <w:rsid w:val="00711F59"/>
    <w:rsid w:val="00712E4E"/>
    <w:rsid w:val="00712EE8"/>
    <w:rsid w:val="007157D7"/>
    <w:rsid w:val="00716BEB"/>
    <w:rsid w:val="00720199"/>
    <w:rsid w:val="0072417C"/>
    <w:rsid w:val="00724908"/>
    <w:rsid w:val="00725D60"/>
    <w:rsid w:val="00733ECD"/>
    <w:rsid w:val="00734450"/>
    <w:rsid w:val="00742099"/>
    <w:rsid w:val="00745F67"/>
    <w:rsid w:val="0075039E"/>
    <w:rsid w:val="00752D9D"/>
    <w:rsid w:val="007533D7"/>
    <w:rsid w:val="00753521"/>
    <w:rsid w:val="007539E3"/>
    <w:rsid w:val="00754784"/>
    <w:rsid w:val="00755035"/>
    <w:rsid w:val="00756D9E"/>
    <w:rsid w:val="0075738B"/>
    <w:rsid w:val="00757467"/>
    <w:rsid w:val="00757C6E"/>
    <w:rsid w:val="00761C95"/>
    <w:rsid w:val="00762BDA"/>
    <w:rsid w:val="0076424C"/>
    <w:rsid w:val="00765F6E"/>
    <w:rsid w:val="007715EE"/>
    <w:rsid w:val="00775DE5"/>
    <w:rsid w:val="007760DE"/>
    <w:rsid w:val="007772EF"/>
    <w:rsid w:val="007805FD"/>
    <w:rsid w:val="007815E8"/>
    <w:rsid w:val="007819A3"/>
    <w:rsid w:val="007828CD"/>
    <w:rsid w:val="00784422"/>
    <w:rsid w:val="00785301"/>
    <w:rsid w:val="00792340"/>
    <w:rsid w:val="00796D5E"/>
    <w:rsid w:val="00797B05"/>
    <w:rsid w:val="007A28B4"/>
    <w:rsid w:val="007A3877"/>
    <w:rsid w:val="007A67BB"/>
    <w:rsid w:val="007B04FC"/>
    <w:rsid w:val="007B0BA2"/>
    <w:rsid w:val="007B2400"/>
    <w:rsid w:val="007B2FCA"/>
    <w:rsid w:val="007B3B54"/>
    <w:rsid w:val="007B3FA0"/>
    <w:rsid w:val="007B4903"/>
    <w:rsid w:val="007B4949"/>
    <w:rsid w:val="007B60EB"/>
    <w:rsid w:val="007C0F2C"/>
    <w:rsid w:val="007C138A"/>
    <w:rsid w:val="007C2BCC"/>
    <w:rsid w:val="007C4EF0"/>
    <w:rsid w:val="007D099D"/>
    <w:rsid w:val="007D1B1D"/>
    <w:rsid w:val="007E07F0"/>
    <w:rsid w:val="007E2664"/>
    <w:rsid w:val="007E334D"/>
    <w:rsid w:val="007E3ABF"/>
    <w:rsid w:val="007E572F"/>
    <w:rsid w:val="007E5BFA"/>
    <w:rsid w:val="007E6689"/>
    <w:rsid w:val="007E6EB0"/>
    <w:rsid w:val="007E731C"/>
    <w:rsid w:val="007E77FF"/>
    <w:rsid w:val="007F0A03"/>
    <w:rsid w:val="007F2025"/>
    <w:rsid w:val="007F22F2"/>
    <w:rsid w:val="007F7D8A"/>
    <w:rsid w:val="00810040"/>
    <w:rsid w:val="00810C13"/>
    <w:rsid w:val="00813795"/>
    <w:rsid w:val="00814C84"/>
    <w:rsid w:val="00816C22"/>
    <w:rsid w:val="00817574"/>
    <w:rsid w:val="0082023A"/>
    <w:rsid w:val="00821A7A"/>
    <w:rsid w:val="008224F0"/>
    <w:rsid w:val="008228A4"/>
    <w:rsid w:val="008242A9"/>
    <w:rsid w:val="008253F8"/>
    <w:rsid w:val="008325E4"/>
    <w:rsid w:val="00832A2B"/>
    <w:rsid w:val="008358A9"/>
    <w:rsid w:val="00835DC8"/>
    <w:rsid w:val="00835F70"/>
    <w:rsid w:val="00837AA7"/>
    <w:rsid w:val="00842AA1"/>
    <w:rsid w:val="00845811"/>
    <w:rsid w:val="00846994"/>
    <w:rsid w:val="00850451"/>
    <w:rsid w:val="00852042"/>
    <w:rsid w:val="00852A90"/>
    <w:rsid w:val="008534C9"/>
    <w:rsid w:val="00854CBF"/>
    <w:rsid w:val="0085599D"/>
    <w:rsid w:val="00856921"/>
    <w:rsid w:val="0086066A"/>
    <w:rsid w:val="00863640"/>
    <w:rsid w:val="00866AB3"/>
    <w:rsid w:val="0086732D"/>
    <w:rsid w:val="008721E5"/>
    <w:rsid w:val="0087510C"/>
    <w:rsid w:val="00877C9F"/>
    <w:rsid w:val="00884D51"/>
    <w:rsid w:val="00885C49"/>
    <w:rsid w:val="00885F53"/>
    <w:rsid w:val="0088632D"/>
    <w:rsid w:val="008906F7"/>
    <w:rsid w:val="00892ED2"/>
    <w:rsid w:val="008938E9"/>
    <w:rsid w:val="008968D2"/>
    <w:rsid w:val="0089738E"/>
    <w:rsid w:val="008A0493"/>
    <w:rsid w:val="008A0F1C"/>
    <w:rsid w:val="008A40A3"/>
    <w:rsid w:val="008B0591"/>
    <w:rsid w:val="008B4323"/>
    <w:rsid w:val="008B5FDB"/>
    <w:rsid w:val="008C0F4F"/>
    <w:rsid w:val="008C4E2A"/>
    <w:rsid w:val="008C50F4"/>
    <w:rsid w:val="008C5649"/>
    <w:rsid w:val="008D270F"/>
    <w:rsid w:val="008D3AB3"/>
    <w:rsid w:val="008D3EFB"/>
    <w:rsid w:val="008D5DC0"/>
    <w:rsid w:val="008E230B"/>
    <w:rsid w:val="008E44A2"/>
    <w:rsid w:val="008E697D"/>
    <w:rsid w:val="008F0B50"/>
    <w:rsid w:val="008F1606"/>
    <w:rsid w:val="008F5AE1"/>
    <w:rsid w:val="00902F64"/>
    <w:rsid w:val="00903263"/>
    <w:rsid w:val="00906305"/>
    <w:rsid w:val="00906A21"/>
    <w:rsid w:val="009079C3"/>
    <w:rsid w:val="00910171"/>
    <w:rsid w:val="00910462"/>
    <w:rsid w:val="00912784"/>
    <w:rsid w:val="00915AB1"/>
    <w:rsid w:val="00917532"/>
    <w:rsid w:val="00922A2E"/>
    <w:rsid w:val="009235BA"/>
    <w:rsid w:val="00924023"/>
    <w:rsid w:val="00924CE2"/>
    <w:rsid w:val="00925B9F"/>
    <w:rsid w:val="00926AA7"/>
    <w:rsid w:val="00927530"/>
    <w:rsid w:val="00930598"/>
    <w:rsid w:val="00931AED"/>
    <w:rsid w:val="00934F15"/>
    <w:rsid w:val="00936373"/>
    <w:rsid w:val="00937B6B"/>
    <w:rsid w:val="00941FDD"/>
    <w:rsid w:val="00943CF8"/>
    <w:rsid w:val="0094460B"/>
    <w:rsid w:val="00944CDE"/>
    <w:rsid w:val="009476A3"/>
    <w:rsid w:val="00947C36"/>
    <w:rsid w:val="0095334F"/>
    <w:rsid w:val="00953FD4"/>
    <w:rsid w:val="009550F1"/>
    <w:rsid w:val="00956C59"/>
    <w:rsid w:val="009573BC"/>
    <w:rsid w:val="00960C02"/>
    <w:rsid w:val="0096206A"/>
    <w:rsid w:val="00965897"/>
    <w:rsid w:val="00966E23"/>
    <w:rsid w:val="0096765C"/>
    <w:rsid w:val="0096793C"/>
    <w:rsid w:val="0097028B"/>
    <w:rsid w:val="00971918"/>
    <w:rsid w:val="009727E4"/>
    <w:rsid w:val="00975DA9"/>
    <w:rsid w:val="0097607B"/>
    <w:rsid w:val="00980C8F"/>
    <w:rsid w:val="009831C6"/>
    <w:rsid w:val="00987818"/>
    <w:rsid w:val="00990E37"/>
    <w:rsid w:val="00990E7A"/>
    <w:rsid w:val="00992BCF"/>
    <w:rsid w:val="009934C5"/>
    <w:rsid w:val="00994026"/>
    <w:rsid w:val="00994C0F"/>
    <w:rsid w:val="0099624E"/>
    <w:rsid w:val="0099637E"/>
    <w:rsid w:val="009A2519"/>
    <w:rsid w:val="009A3C59"/>
    <w:rsid w:val="009A7480"/>
    <w:rsid w:val="009B0110"/>
    <w:rsid w:val="009B14B0"/>
    <w:rsid w:val="009B22D7"/>
    <w:rsid w:val="009B3465"/>
    <w:rsid w:val="009B4E6B"/>
    <w:rsid w:val="009B6813"/>
    <w:rsid w:val="009B72ED"/>
    <w:rsid w:val="009C05CF"/>
    <w:rsid w:val="009C1787"/>
    <w:rsid w:val="009C21E9"/>
    <w:rsid w:val="009C350F"/>
    <w:rsid w:val="009C41E2"/>
    <w:rsid w:val="009C4A07"/>
    <w:rsid w:val="009C6DEB"/>
    <w:rsid w:val="009D53D8"/>
    <w:rsid w:val="009D5972"/>
    <w:rsid w:val="009D6504"/>
    <w:rsid w:val="009E0B72"/>
    <w:rsid w:val="009E12D7"/>
    <w:rsid w:val="009E18A4"/>
    <w:rsid w:val="009E54F3"/>
    <w:rsid w:val="009E661A"/>
    <w:rsid w:val="009F1A49"/>
    <w:rsid w:val="009F4BCB"/>
    <w:rsid w:val="00A04256"/>
    <w:rsid w:val="00A05D8F"/>
    <w:rsid w:val="00A06781"/>
    <w:rsid w:val="00A06D6A"/>
    <w:rsid w:val="00A06E39"/>
    <w:rsid w:val="00A06E7E"/>
    <w:rsid w:val="00A074C3"/>
    <w:rsid w:val="00A115F7"/>
    <w:rsid w:val="00A1164A"/>
    <w:rsid w:val="00A13C71"/>
    <w:rsid w:val="00A1509C"/>
    <w:rsid w:val="00A17FEF"/>
    <w:rsid w:val="00A20A67"/>
    <w:rsid w:val="00A23AA4"/>
    <w:rsid w:val="00A24312"/>
    <w:rsid w:val="00A249B9"/>
    <w:rsid w:val="00A31B5A"/>
    <w:rsid w:val="00A34260"/>
    <w:rsid w:val="00A35D7C"/>
    <w:rsid w:val="00A37902"/>
    <w:rsid w:val="00A41291"/>
    <w:rsid w:val="00A43F4F"/>
    <w:rsid w:val="00A50567"/>
    <w:rsid w:val="00A5161E"/>
    <w:rsid w:val="00A53B80"/>
    <w:rsid w:val="00A63402"/>
    <w:rsid w:val="00A65104"/>
    <w:rsid w:val="00A70CFD"/>
    <w:rsid w:val="00A72A0B"/>
    <w:rsid w:val="00A739FA"/>
    <w:rsid w:val="00A73DD6"/>
    <w:rsid w:val="00A81E42"/>
    <w:rsid w:val="00A848C6"/>
    <w:rsid w:val="00A864FE"/>
    <w:rsid w:val="00A86F41"/>
    <w:rsid w:val="00A87D04"/>
    <w:rsid w:val="00A92A40"/>
    <w:rsid w:val="00A930B0"/>
    <w:rsid w:val="00A940FF"/>
    <w:rsid w:val="00A945DF"/>
    <w:rsid w:val="00A950C5"/>
    <w:rsid w:val="00A97417"/>
    <w:rsid w:val="00AA1D25"/>
    <w:rsid w:val="00AA2056"/>
    <w:rsid w:val="00AA2B02"/>
    <w:rsid w:val="00AA6086"/>
    <w:rsid w:val="00AA7D4A"/>
    <w:rsid w:val="00AB1302"/>
    <w:rsid w:val="00AB2B1A"/>
    <w:rsid w:val="00AB397F"/>
    <w:rsid w:val="00AB5832"/>
    <w:rsid w:val="00AB7400"/>
    <w:rsid w:val="00AB7667"/>
    <w:rsid w:val="00AC090C"/>
    <w:rsid w:val="00AC4C80"/>
    <w:rsid w:val="00AC51F2"/>
    <w:rsid w:val="00AC541B"/>
    <w:rsid w:val="00AC66B7"/>
    <w:rsid w:val="00AC7092"/>
    <w:rsid w:val="00AC798F"/>
    <w:rsid w:val="00AD3269"/>
    <w:rsid w:val="00AD4EAC"/>
    <w:rsid w:val="00AE13BC"/>
    <w:rsid w:val="00AE414B"/>
    <w:rsid w:val="00AE5066"/>
    <w:rsid w:val="00AE5B54"/>
    <w:rsid w:val="00AE5E24"/>
    <w:rsid w:val="00AE61B7"/>
    <w:rsid w:val="00AE6CBA"/>
    <w:rsid w:val="00AE761D"/>
    <w:rsid w:val="00AE79AD"/>
    <w:rsid w:val="00AE7F36"/>
    <w:rsid w:val="00AF0F73"/>
    <w:rsid w:val="00AF2883"/>
    <w:rsid w:val="00AF2D71"/>
    <w:rsid w:val="00AF31EB"/>
    <w:rsid w:val="00AF35E4"/>
    <w:rsid w:val="00AF59DE"/>
    <w:rsid w:val="00AF5CDE"/>
    <w:rsid w:val="00B00680"/>
    <w:rsid w:val="00B0124A"/>
    <w:rsid w:val="00B06AF5"/>
    <w:rsid w:val="00B06D8D"/>
    <w:rsid w:val="00B10B89"/>
    <w:rsid w:val="00B11A57"/>
    <w:rsid w:val="00B1491F"/>
    <w:rsid w:val="00B20478"/>
    <w:rsid w:val="00B211C3"/>
    <w:rsid w:val="00B25597"/>
    <w:rsid w:val="00B25DB3"/>
    <w:rsid w:val="00B267B9"/>
    <w:rsid w:val="00B33E09"/>
    <w:rsid w:val="00B35EEB"/>
    <w:rsid w:val="00B372AF"/>
    <w:rsid w:val="00B3772D"/>
    <w:rsid w:val="00B407A6"/>
    <w:rsid w:val="00B408F0"/>
    <w:rsid w:val="00B44C6B"/>
    <w:rsid w:val="00B47C5D"/>
    <w:rsid w:val="00B50708"/>
    <w:rsid w:val="00B50C68"/>
    <w:rsid w:val="00B51293"/>
    <w:rsid w:val="00B5170F"/>
    <w:rsid w:val="00B52B1E"/>
    <w:rsid w:val="00B54153"/>
    <w:rsid w:val="00B55481"/>
    <w:rsid w:val="00B56C32"/>
    <w:rsid w:val="00B57ACF"/>
    <w:rsid w:val="00B614AF"/>
    <w:rsid w:val="00B621CE"/>
    <w:rsid w:val="00B64BB1"/>
    <w:rsid w:val="00B7148C"/>
    <w:rsid w:val="00B71765"/>
    <w:rsid w:val="00B72587"/>
    <w:rsid w:val="00B73166"/>
    <w:rsid w:val="00B741AB"/>
    <w:rsid w:val="00B7473F"/>
    <w:rsid w:val="00B74C8C"/>
    <w:rsid w:val="00B75B4C"/>
    <w:rsid w:val="00B8042A"/>
    <w:rsid w:val="00B822FE"/>
    <w:rsid w:val="00B8426C"/>
    <w:rsid w:val="00B903D9"/>
    <w:rsid w:val="00B91B8D"/>
    <w:rsid w:val="00B93971"/>
    <w:rsid w:val="00B94598"/>
    <w:rsid w:val="00B94E90"/>
    <w:rsid w:val="00B9695F"/>
    <w:rsid w:val="00B9762A"/>
    <w:rsid w:val="00BA3CE8"/>
    <w:rsid w:val="00BA3CFC"/>
    <w:rsid w:val="00BA6F16"/>
    <w:rsid w:val="00BB0A82"/>
    <w:rsid w:val="00BB7C94"/>
    <w:rsid w:val="00BC0094"/>
    <w:rsid w:val="00BC0A9D"/>
    <w:rsid w:val="00BC1C17"/>
    <w:rsid w:val="00BC26E0"/>
    <w:rsid w:val="00BD127A"/>
    <w:rsid w:val="00BD2AF5"/>
    <w:rsid w:val="00BD4ADB"/>
    <w:rsid w:val="00BD78E0"/>
    <w:rsid w:val="00BE45B6"/>
    <w:rsid w:val="00BE4BA2"/>
    <w:rsid w:val="00BE7747"/>
    <w:rsid w:val="00BF3B77"/>
    <w:rsid w:val="00BF40ED"/>
    <w:rsid w:val="00BF44D2"/>
    <w:rsid w:val="00BF5BC2"/>
    <w:rsid w:val="00BF7997"/>
    <w:rsid w:val="00C00368"/>
    <w:rsid w:val="00C00AA8"/>
    <w:rsid w:val="00C01DF4"/>
    <w:rsid w:val="00C025F7"/>
    <w:rsid w:val="00C053B7"/>
    <w:rsid w:val="00C07D0B"/>
    <w:rsid w:val="00C1133D"/>
    <w:rsid w:val="00C11F94"/>
    <w:rsid w:val="00C13B6E"/>
    <w:rsid w:val="00C23E27"/>
    <w:rsid w:val="00C241D6"/>
    <w:rsid w:val="00C26F73"/>
    <w:rsid w:val="00C27A08"/>
    <w:rsid w:val="00C27E8F"/>
    <w:rsid w:val="00C3073E"/>
    <w:rsid w:val="00C31312"/>
    <w:rsid w:val="00C31A9F"/>
    <w:rsid w:val="00C31E36"/>
    <w:rsid w:val="00C323A7"/>
    <w:rsid w:val="00C326C6"/>
    <w:rsid w:val="00C333DA"/>
    <w:rsid w:val="00C35295"/>
    <w:rsid w:val="00C35734"/>
    <w:rsid w:val="00C359B1"/>
    <w:rsid w:val="00C36ADD"/>
    <w:rsid w:val="00C36E74"/>
    <w:rsid w:val="00C372C8"/>
    <w:rsid w:val="00C40595"/>
    <w:rsid w:val="00C41621"/>
    <w:rsid w:val="00C41D6B"/>
    <w:rsid w:val="00C449FA"/>
    <w:rsid w:val="00C47AC6"/>
    <w:rsid w:val="00C5384F"/>
    <w:rsid w:val="00C56964"/>
    <w:rsid w:val="00C56DE9"/>
    <w:rsid w:val="00C57646"/>
    <w:rsid w:val="00C61C31"/>
    <w:rsid w:val="00C62D39"/>
    <w:rsid w:val="00C63032"/>
    <w:rsid w:val="00C656D5"/>
    <w:rsid w:val="00C66907"/>
    <w:rsid w:val="00C67103"/>
    <w:rsid w:val="00C71BB9"/>
    <w:rsid w:val="00C72E0A"/>
    <w:rsid w:val="00C7360E"/>
    <w:rsid w:val="00C772C2"/>
    <w:rsid w:val="00C81560"/>
    <w:rsid w:val="00C821F0"/>
    <w:rsid w:val="00C824F8"/>
    <w:rsid w:val="00C91295"/>
    <w:rsid w:val="00C92695"/>
    <w:rsid w:val="00C92B75"/>
    <w:rsid w:val="00C94C28"/>
    <w:rsid w:val="00CA043F"/>
    <w:rsid w:val="00CA0BFA"/>
    <w:rsid w:val="00CA50B8"/>
    <w:rsid w:val="00CA636F"/>
    <w:rsid w:val="00CA738D"/>
    <w:rsid w:val="00CB0247"/>
    <w:rsid w:val="00CB1C33"/>
    <w:rsid w:val="00CB3440"/>
    <w:rsid w:val="00CB3531"/>
    <w:rsid w:val="00CC1692"/>
    <w:rsid w:val="00CD12A3"/>
    <w:rsid w:val="00CD138B"/>
    <w:rsid w:val="00CD2988"/>
    <w:rsid w:val="00CD3E31"/>
    <w:rsid w:val="00CD62F9"/>
    <w:rsid w:val="00CD74A3"/>
    <w:rsid w:val="00CE011B"/>
    <w:rsid w:val="00CE0527"/>
    <w:rsid w:val="00CE2045"/>
    <w:rsid w:val="00CE5B23"/>
    <w:rsid w:val="00CE6F56"/>
    <w:rsid w:val="00CE6FA3"/>
    <w:rsid w:val="00CF5374"/>
    <w:rsid w:val="00CF70AD"/>
    <w:rsid w:val="00CF7729"/>
    <w:rsid w:val="00D00059"/>
    <w:rsid w:val="00D01B40"/>
    <w:rsid w:val="00D01D51"/>
    <w:rsid w:val="00D026B2"/>
    <w:rsid w:val="00D107FA"/>
    <w:rsid w:val="00D12275"/>
    <w:rsid w:val="00D12766"/>
    <w:rsid w:val="00D153B5"/>
    <w:rsid w:val="00D1646B"/>
    <w:rsid w:val="00D17BF3"/>
    <w:rsid w:val="00D20FF4"/>
    <w:rsid w:val="00D21AE1"/>
    <w:rsid w:val="00D21E3D"/>
    <w:rsid w:val="00D23E39"/>
    <w:rsid w:val="00D24D2C"/>
    <w:rsid w:val="00D27FB6"/>
    <w:rsid w:val="00D30DFA"/>
    <w:rsid w:val="00D35881"/>
    <w:rsid w:val="00D361E3"/>
    <w:rsid w:val="00D3670A"/>
    <w:rsid w:val="00D40216"/>
    <w:rsid w:val="00D43815"/>
    <w:rsid w:val="00D43D18"/>
    <w:rsid w:val="00D43FF9"/>
    <w:rsid w:val="00D44A59"/>
    <w:rsid w:val="00D50D31"/>
    <w:rsid w:val="00D5154F"/>
    <w:rsid w:val="00D57707"/>
    <w:rsid w:val="00D63464"/>
    <w:rsid w:val="00D65B14"/>
    <w:rsid w:val="00D7791A"/>
    <w:rsid w:val="00D77F2F"/>
    <w:rsid w:val="00D84B97"/>
    <w:rsid w:val="00D95F95"/>
    <w:rsid w:val="00D97EF9"/>
    <w:rsid w:val="00DA0A95"/>
    <w:rsid w:val="00DA7B60"/>
    <w:rsid w:val="00DA7DA5"/>
    <w:rsid w:val="00DB073B"/>
    <w:rsid w:val="00DB78F0"/>
    <w:rsid w:val="00DC0CEA"/>
    <w:rsid w:val="00DC130B"/>
    <w:rsid w:val="00DC1DC3"/>
    <w:rsid w:val="00DC2E43"/>
    <w:rsid w:val="00DC32F0"/>
    <w:rsid w:val="00DC4503"/>
    <w:rsid w:val="00DD095C"/>
    <w:rsid w:val="00DD1020"/>
    <w:rsid w:val="00DD1330"/>
    <w:rsid w:val="00DD14F6"/>
    <w:rsid w:val="00DE0B83"/>
    <w:rsid w:val="00DE1A81"/>
    <w:rsid w:val="00DE1C13"/>
    <w:rsid w:val="00DE2E7D"/>
    <w:rsid w:val="00DE4E10"/>
    <w:rsid w:val="00DE661E"/>
    <w:rsid w:val="00DE6CA9"/>
    <w:rsid w:val="00DF0D24"/>
    <w:rsid w:val="00DF10BB"/>
    <w:rsid w:val="00DF1BF6"/>
    <w:rsid w:val="00DF6E15"/>
    <w:rsid w:val="00E02ABF"/>
    <w:rsid w:val="00E02EA7"/>
    <w:rsid w:val="00E031B2"/>
    <w:rsid w:val="00E04E4A"/>
    <w:rsid w:val="00E05FC7"/>
    <w:rsid w:val="00E13258"/>
    <w:rsid w:val="00E14995"/>
    <w:rsid w:val="00E15DDD"/>
    <w:rsid w:val="00E171E1"/>
    <w:rsid w:val="00E179CD"/>
    <w:rsid w:val="00E211C8"/>
    <w:rsid w:val="00E22A3E"/>
    <w:rsid w:val="00E23E8D"/>
    <w:rsid w:val="00E27394"/>
    <w:rsid w:val="00E35812"/>
    <w:rsid w:val="00E36893"/>
    <w:rsid w:val="00E37AC9"/>
    <w:rsid w:val="00E37F98"/>
    <w:rsid w:val="00E405A2"/>
    <w:rsid w:val="00E413B1"/>
    <w:rsid w:val="00E46559"/>
    <w:rsid w:val="00E546E0"/>
    <w:rsid w:val="00E55A8B"/>
    <w:rsid w:val="00E60539"/>
    <w:rsid w:val="00E6300A"/>
    <w:rsid w:val="00E6670C"/>
    <w:rsid w:val="00E674C2"/>
    <w:rsid w:val="00E7638A"/>
    <w:rsid w:val="00E776E8"/>
    <w:rsid w:val="00E855F1"/>
    <w:rsid w:val="00E92C1F"/>
    <w:rsid w:val="00E94227"/>
    <w:rsid w:val="00E95D4B"/>
    <w:rsid w:val="00EA0D07"/>
    <w:rsid w:val="00EB0916"/>
    <w:rsid w:val="00EB117D"/>
    <w:rsid w:val="00EB199F"/>
    <w:rsid w:val="00EB3DBB"/>
    <w:rsid w:val="00EB4100"/>
    <w:rsid w:val="00EC0F2E"/>
    <w:rsid w:val="00EC1504"/>
    <w:rsid w:val="00EC151D"/>
    <w:rsid w:val="00EC23F7"/>
    <w:rsid w:val="00EC45D6"/>
    <w:rsid w:val="00EC4BD8"/>
    <w:rsid w:val="00EC5270"/>
    <w:rsid w:val="00EC63EB"/>
    <w:rsid w:val="00EC75E7"/>
    <w:rsid w:val="00ED412F"/>
    <w:rsid w:val="00ED6D0B"/>
    <w:rsid w:val="00EE193B"/>
    <w:rsid w:val="00EE2760"/>
    <w:rsid w:val="00EE2D53"/>
    <w:rsid w:val="00EF36B2"/>
    <w:rsid w:val="00EF4F3B"/>
    <w:rsid w:val="00F1246B"/>
    <w:rsid w:val="00F1760A"/>
    <w:rsid w:val="00F201EC"/>
    <w:rsid w:val="00F208A9"/>
    <w:rsid w:val="00F2393F"/>
    <w:rsid w:val="00F23D08"/>
    <w:rsid w:val="00F24DFA"/>
    <w:rsid w:val="00F31C1F"/>
    <w:rsid w:val="00F32CFF"/>
    <w:rsid w:val="00F37AB7"/>
    <w:rsid w:val="00F40F2C"/>
    <w:rsid w:val="00F41D75"/>
    <w:rsid w:val="00F468DB"/>
    <w:rsid w:val="00F47CDC"/>
    <w:rsid w:val="00F5139D"/>
    <w:rsid w:val="00F54AAA"/>
    <w:rsid w:val="00F6329A"/>
    <w:rsid w:val="00F63DAC"/>
    <w:rsid w:val="00F648DB"/>
    <w:rsid w:val="00F65E34"/>
    <w:rsid w:val="00F72D25"/>
    <w:rsid w:val="00F734FC"/>
    <w:rsid w:val="00F7454F"/>
    <w:rsid w:val="00F7577C"/>
    <w:rsid w:val="00F76F3B"/>
    <w:rsid w:val="00F77988"/>
    <w:rsid w:val="00F77F48"/>
    <w:rsid w:val="00F84655"/>
    <w:rsid w:val="00F85A48"/>
    <w:rsid w:val="00F87EB0"/>
    <w:rsid w:val="00F9205A"/>
    <w:rsid w:val="00F9223D"/>
    <w:rsid w:val="00F93D1A"/>
    <w:rsid w:val="00F954A1"/>
    <w:rsid w:val="00F95D93"/>
    <w:rsid w:val="00FA7D2C"/>
    <w:rsid w:val="00FB043F"/>
    <w:rsid w:val="00FB2158"/>
    <w:rsid w:val="00FB2D02"/>
    <w:rsid w:val="00FB30F1"/>
    <w:rsid w:val="00FB53E7"/>
    <w:rsid w:val="00FB56D1"/>
    <w:rsid w:val="00FC3FAE"/>
    <w:rsid w:val="00FC6FBE"/>
    <w:rsid w:val="00FD16A4"/>
    <w:rsid w:val="00FD2A8A"/>
    <w:rsid w:val="00FD2C08"/>
    <w:rsid w:val="00FD3C92"/>
    <w:rsid w:val="00FE066B"/>
    <w:rsid w:val="00FE4966"/>
    <w:rsid w:val="00FE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1D0C7D0-BFAB-482B-8262-F2BEFAC2A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6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rsid w:val="008C5649"/>
    <w:rPr>
      <w:b/>
      <w:bCs/>
      <w:color w:val="333333"/>
    </w:rPr>
  </w:style>
  <w:style w:type="character" w:styleId="CommentReference">
    <w:name w:val="annotation reference"/>
    <w:semiHidden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649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">
    <w:name w:val="Body Text"/>
    <w:basedOn w:val="Normal"/>
    <w:link w:val="BodyTextChar"/>
    <w:rsid w:val="008D5DC0"/>
    <w:pPr>
      <w:jc w:val="both"/>
    </w:pPr>
    <w:rPr>
      <w:sz w:val="28"/>
      <w:lang w:eastAsia="en-US"/>
    </w:rPr>
  </w:style>
  <w:style w:type="character" w:customStyle="1" w:styleId="BodyTextChar">
    <w:name w:val="Body Text Char"/>
    <w:link w:val="BodyText"/>
    <w:rsid w:val="008D5DC0"/>
    <w:rPr>
      <w:sz w:val="28"/>
      <w:szCs w:val="24"/>
      <w:lang w:eastAsia="en-US"/>
    </w:rPr>
  </w:style>
  <w:style w:type="paragraph" w:styleId="NormalWeb">
    <w:name w:val="Normal (Web)"/>
    <w:basedOn w:val="Normal"/>
    <w:rsid w:val="008D5DC0"/>
    <w:pPr>
      <w:spacing w:before="100" w:beforeAutospacing="1" w:after="100" w:afterAutospacing="1"/>
    </w:pPr>
    <w:rPr>
      <w:lang w:eastAsia="en-US"/>
    </w:rPr>
  </w:style>
  <w:style w:type="paragraph" w:styleId="Revision">
    <w:name w:val="Revision"/>
    <w:hidden/>
    <w:uiPriority w:val="99"/>
    <w:semiHidden/>
    <w:rsid w:val="009C05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70310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506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3895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40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3344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88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5809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28437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566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igne.Rostoka@vid.gov.l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id.gov.l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4BA6E2C46CEF44A9CB5E39F8F968C6D" ma:contentTypeVersion="0" ma:contentTypeDescription="Izveidot jaunu dokumentu." ma:contentTypeScope="" ma:versionID="5fbee6d173a1074fc5462fb929006402">
  <xsd:schema xmlns:xsd="http://www.w3.org/2001/XMLSchema" xmlns:p="http://schemas.microsoft.com/office/2006/metadata/properties" targetNamespace="http://schemas.microsoft.com/office/2006/metadata/properties" ma:root="true" ma:fieldsID="03f02128687e48d6f6cc7d7a99a2c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 ma:readOnly="true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6FB21-A9FB-4158-A82A-C341FC93A5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B6A131-8AEF-46F4-B71B-FB745611DE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8C5F9BE-2AAC-4867-B6A5-AAE8FC4023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9803C4-A7F8-4146-BBD2-6F9F0E3DB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4581</Words>
  <Characters>2612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projekta “Grozījums MK noteikumos Nr.778 „Valsts ieņēmumu dienesta maksas pakalpojumu cenrādis”” sākotnējās ietekmes novērtējuma ziņojums (anotācija)</vt:lpstr>
    </vt:vector>
  </TitlesOfParts>
  <Company>Valsts ieņēmumu dienests</Company>
  <LinksUpToDate>false</LinksUpToDate>
  <CharactersWithSpaces>7179</CharactersWithSpaces>
  <SharedDoc>false</SharedDoc>
  <HLinks>
    <vt:vector size="6" baseType="variant">
      <vt:variant>
        <vt:i4>5898348</vt:i4>
      </vt:variant>
      <vt:variant>
        <vt:i4>6</vt:i4>
      </vt:variant>
      <vt:variant>
        <vt:i4>0</vt:i4>
      </vt:variant>
      <vt:variant>
        <vt:i4>5</vt:i4>
      </vt:variant>
      <vt:variant>
        <vt:lpwstr>mailto:Kristaps.Viksne@vid.gov.lv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projekta “Grozījums MK noteikumos Nr.778 „Valsts ieņēmumu dienesta maksas pakalpojumu cenrādis”” sākotnējās ietekmes novērtējuma ziņojums (anotācija)</dc:title>
  <dc:subject>MK noteikumu projekta anotācija</dc:subject>
  <dc:creator>Signe Roštoka</dc:creator>
  <dc:description>67120249, Signe.Rostoka@vid.gov.lv</dc:description>
  <cp:lastModifiedBy>Liene Strēlniece</cp:lastModifiedBy>
  <cp:revision>21</cp:revision>
  <cp:lastPrinted>2014-11-20T11:19:00Z</cp:lastPrinted>
  <dcterms:created xsi:type="dcterms:W3CDTF">2014-08-19T13:20:00Z</dcterms:created>
  <dcterms:modified xsi:type="dcterms:W3CDTF">2014-12-10T13:58:00Z</dcterms:modified>
  <cp:category>MK noteikumu projekts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0x01010054BA6E2C46CEF44A9CB5E39F8F968C6D</vt:lpwstr>
  </property>
</Properties>
</file>