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3B4" w:rsidRDefault="00E713B4" w:rsidP="003D5F8A">
      <w:pPr>
        <w:spacing w:after="0" w:line="240" w:lineRule="auto"/>
        <w:contextualSpacing/>
        <w:jc w:val="center"/>
        <w:rPr>
          <w:rFonts w:ascii="Times New Roman" w:eastAsia="Times New Roman" w:hAnsi="Times New Roman"/>
          <w:b/>
          <w:bCs/>
          <w:sz w:val="24"/>
          <w:szCs w:val="24"/>
          <w:lang w:eastAsia="lv-LV"/>
        </w:rPr>
      </w:pPr>
      <w:bookmarkStart w:id="0" w:name="_GoBack"/>
    </w:p>
    <w:p w:rsidR="003D5F8A" w:rsidRDefault="003D5F8A" w:rsidP="003D5F8A">
      <w:pPr>
        <w:spacing w:after="0" w:line="240" w:lineRule="auto"/>
        <w:contextualSpacing/>
        <w:jc w:val="center"/>
        <w:rPr>
          <w:rFonts w:ascii="Times New Roman" w:hAnsi="Times New Roman"/>
          <w:b/>
          <w:sz w:val="24"/>
          <w:szCs w:val="24"/>
        </w:rPr>
      </w:pPr>
      <w:r w:rsidRPr="00366BBD">
        <w:rPr>
          <w:rFonts w:ascii="Times New Roman" w:eastAsia="Times New Roman" w:hAnsi="Times New Roman"/>
          <w:b/>
          <w:bCs/>
          <w:sz w:val="24"/>
          <w:szCs w:val="24"/>
          <w:lang w:eastAsia="lv-LV"/>
        </w:rPr>
        <w:t xml:space="preserve">Ministru kabineta noteikumu projekts “Grozījumi Ministru kabineta 2012.gada 31.jūlija noteikumos Nr.523 “Noteikumi par budžetu pieprasījumu izstrādāšanas un iesniegšanas pamatprincipiem””, </w:t>
      </w:r>
      <w:r w:rsidRPr="00366BBD">
        <w:rPr>
          <w:rFonts w:ascii="Times New Roman" w:hAnsi="Times New Roman"/>
          <w:b/>
          <w:sz w:val="24"/>
          <w:szCs w:val="24"/>
        </w:rPr>
        <w:t xml:space="preserve">sākotnējās ietekmes novērtējuma </w:t>
      </w:r>
      <w:smartTag w:uri="schemas-tilde-lv/tildestengine" w:element="veidnes">
        <w:smartTagPr>
          <w:attr w:name="text" w:val="ziņojums"/>
          <w:attr w:name="baseform" w:val="ziņojums"/>
          <w:attr w:name="id" w:val="-1"/>
        </w:smartTagPr>
        <w:r w:rsidRPr="00366BBD">
          <w:rPr>
            <w:rFonts w:ascii="Times New Roman" w:hAnsi="Times New Roman"/>
            <w:b/>
            <w:sz w:val="24"/>
            <w:szCs w:val="24"/>
          </w:rPr>
          <w:t>ziņojums</w:t>
        </w:r>
      </w:smartTag>
      <w:r w:rsidRPr="00366BBD">
        <w:rPr>
          <w:rFonts w:ascii="Times New Roman" w:hAnsi="Times New Roman"/>
          <w:b/>
          <w:sz w:val="24"/>
          <w:szCs w:val="24"/>
        </w:rPr>
        <w:t xml:space="preserve"> (anotācija</w:t>
      </w:r>
      <w:r>
        <w:rPr>
          <w:rFonts w:ascii="Times New Roman" w:hAnsi="Times New Roman"/>
          <w:b/>
          <w:sz w:val="24"/>
          <w:szCs w:val="24"/>
        </w:rPr>
        <w:t>)</w:t>
      </w:r>
    </w:p>
    <w:bookmarkEnd w:id="0"/>
    <w:p w:rsidR="0035026B" w:rsidRPr="00366BBD" w:rsidRDefault="0035026B" w:rsidP="003D5F8A">
      <w:pPr>
        <w:spacing w:after="0" w:line="240" w:lineRule="auto"/>
        <w:contextualSpacing/>
        <w:jc w:val="center"/>
        <w:rPr>
          <w:rFonts w:ascii="Times New Roman" w:eastAsia="Times New Roman" w:hAnsi="Times New Roman"/>
          <w:sz w:val="24"/>
          <w:szCs w:val="24"/>
          <w:lang w:eastAsia="lv-LV"/>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
        <w:gridCol w:w="1701"/>
        <w:gridCol w:w="7548"/>
      </w:tblGrid>
      <w:tr w:rsidR="0021639A" w:rsidRPr="00366BBD" w:rsidTr="00FF53B2">
        <w:trPr>
          <w:jc w:val="center"/>
        </w:trPr>
        <w:tc>
          <w:tcPr>
            <w:tcW w:w="9712" w:type="dxa"/>
            <w:gridSpan w:val="3"/>
            <w:vAlign w:val="center"/>
          </w:tcPr>
          <w:p w:rsidR="0021639A" w:rsidRPr="00366BBD" w:rsidRDefault="0021639A" w:rsidP="00C530D3">
            <w:pPr>
              <w:pStyle w:val="naisnod"/>
              <w:spacing w:before="60" w:after="60"/>
              <w:contextualSpacing/>
            </w:pPr>
            <w:r w:rsidRPr="00366BBD">
              <w:t>I. Tiesību akta projekta izstrādes nepieciešamība</w:t>
            </w:r>
          </w:p>
        </w:tc>
      </w:tr>
      <w:tr w:rsidR="0021639A" w:rsidRPr="00366BBD" w:rsidTr="00FF53B2">
        <w:trPr>
          <w:trHeight w:val="1034"/>
          <w:jc w:val="center"/>
        </w:trPr>
        <w:tc>
          <w:tcPr>
            <w:tcW w:w="463" w:type="dxa"/>
          </w:tcPr>
          <w:p w:rsidR="0021639A" w:rsidRPr="00366BBD" w:rsidRDefault="0021639A" w:rsidP="00C530D3">
            <w:pPr>
              <w:pStyle w:val="naiskr"/>
              <w:spacing w:before="60" w:after="60"/>
              <w:ind w:left="57" w:right="57"/>
              <w:contextualSpacing/>
            </w:pPr>
            <w:r w:rsidRPr="00366BBD">
              <w:t>1.</w:t>
            </w:r>
          </w:p>
        </w:tc>
        <w:tc>
          <w:tcPr>
            <w:tcW w:w="1701" w:type="dxa"/>
          </w:tcPr>
          <w:p w:rsidR="0021639A" w:rsidRPr="00366BBD" w:rsidRDefault="0021639A" w:rsidP="00C530D3">
            <w:pPr>
              <w:pStyle w:val="naiskr"/>
              <w:spacing w:before="60" w:after="60"/>
              <w:ind w:hanging="10"/>
              <w:contextualSpacing/>
            </w:pPr>
            <w:r w:rsidRPr="00366BBD">
              <w:t>Pamatojums</w:t>
            </w:r>
          </w:p>
        </w:tc>
        <w:tc>
          <w:tcPr>
            <w:tcW w:w="7548" w:type="dxa"/>
          </w:tcPr>
          <w:p w:rsidR="0021639A" w:rsidRPr="00366BBD" w:rsidRDefault="0021639A" w:rsidP="00344848">
            <w:pPr>
              <w:pStyle w:val="naiskr"/>
              <w:spacing w:before="60" w:after="60"/>
              <w:ind w:left="142" w:right="81"/>
              <w:contextualSpacing/>
              <w:jc w:val="both"/>
            </w:pPr>
            <w:r w:rsidRPr="00366BBD">
              <w:t xml:space="preserve">Ministru kabineta </w:t>
            </w:r>
            <w:r w:rsidR="00BF6058" w:rsidRPr="00366BBD">
              <w:t xml:space="preserve">(turpmāk – MK) </w:t>
            </w:r>
            <w:r w:rsidR="007F2C8C" w:rsidRPr="00366BBD">
              <w:t>noteikumu projekts “</w:t>
            </w:r>
            <w:r w:rsidR="00545830" w:rsidRPr="00366BBD">
              <w:rPr>
                <w:bCs/>
              </w:rPr>
              <w:t>Grozījumi Ministru kabineta 2012.ga</w:t>
            </w:r>
            <w:r w:rsidR="007F2C8C" w:rsidRPr="00366BBD">
              <w:rPr>
                <w:bCs/>
              </w:rPr>
              <w:t>da 31.jūlija noteikumos Nr.523 “</w:t>
            </w:r>
            <w:r w:rsidR="00545830" w:rsidRPr="00366BBD">
              <w:rPr>
                <w:bCs/>
              </w:rPr>
              <w:t>Noteikumi par budžetu pieprasījumu izstrādāšanas un iesniegšanas pamatprincipiem”</w:t>
            </w:r>
            <w:r w:rsidRPr="00366BBD">
              <w:t>” sagatavots pēc Finanšu ministrijas iniciatīvas</w:t>
            </w:r>
            <w:r w:rsidR="00920D0A" w:rsidRPr="00366BBD">
              <w:t xml:space="preserve">, ņemot vērā ministriju </w:t>
            </w:r>
            <w:r w:rsidR="00344848">
              <w:t>un</w:t>
            </w:r>
            <w:r w:rsidR="00920D0A" w:rsidRPr="00366BBD">
              <w:t xml:space="preserve"> citu centrālo valsts iestāžu izteiktos priekšlikumus par nepieciešamajiem precizējumiem </w:t>
            </w:r>
            <w:r w:rsidR="00920D0A" w:rsidRPr="00366BBD">
              <w:rPr>
                <w:iCs/>
              </w:rPr>
              <w:t xml:space="preserve">MK </w:t>
            </w:r>
            <w:r w:rsidR="00920D0A" w:rsidRPr="00366BBD">
              <w:rPr>
                <w:bCs/>
              </w:rPr>
              <w:t xml:space="preserve">2012.gada 31.jūlija </w:t>
            </w:r>
            <w:r w:rsidR="00435B90" w:rsidRPr="00366BBD">
              <w:rPr>
                <w:iCs/>
              </w:rPr>
              <w:t xml:space="preserve">noteikumos </w:t>
            </w:r>
            <w:r w:rsidR="00920D0A" w:rsidRPr="00366BBD">
              <w:rPr>
                <w:iCs/>
              </w:rPr>
              <w:t>Nr.523 “</w:t>
            </w:r>
            <w:r w:rsidR="00920D0A" w:rsidRPr="00366BBD">
              <w:rPr>
                <w:bCs/>
              </w:rPr>
              <w:t>Noteikumi par budžetu pieprasījumu izstrādāšanas un iesniegšanas pamatprincipiem” (turpmāk – MK noteikumi Nr.523)</w:t>
            </w:r>
            <w:r w:rsidRPr="00366BBD">
              <w:t xml:space="preserve">. </w:t>
            </w:r>
          </w:p>
        </w:tc>
      </w:tr>
      <w:tr w:rsidR="00366BBD" w:rsidRPr="00366BBD" w:rsidTr="00461C49">
        <w:trPr>
          <w:trHeight w:val="274"/>
          <w:jc w:val="center"/>
        </w:trPr>
        <w:tc>
          <w:tcPr>
            <w:tcW w:w="463" w:type="dxa"/>
          </w:tcPr>
          <w:p w:rsidR="0021639A" w:rsidRPr="00366BBD" w:rsidRDefault="0021639A" w:rsidP="00C530D3">
            <w:pPr>
              <w:pStyle w:val="naiskr"/>
              <w:spacing w:before="60" w:after="60"/>
              <w:ind w:left="57" w:right="57"/>
              <w:contextualSpacing/>
            </w:pPr>
            <w:r w:rsidRPr="00366BBD">
              <w:t>2.</w:t>
            </w:r>
          </w:p>
        </w:tc>
        <w:tc>
          <w:tcPr>
            <w:tcW w:w="1701" w:type="dxa"/>
          </w:tcPr>
          <w:p w:rsidR="0021639A" w:rsidRPr="00366BBD" w:rsidRDefault="0021639A" w:rsidP="00C530D3">
            <w:pPr>
              <w:pStyle w:val="naiskr"/>
              <w:tabs>
                <w:tab w:val="left" w:pos="170"/>
              </w:tabs>
              <w:spacing w:before="60" w:after="60"/>
              <w:contextualSpacing/>
            </w:pPr>
            <w:r w:rsidRPr="00366BBD">
              <w:t>Pašreizējā situācija un problēmas, kuru risināšanai tiesību akta projekts izstrādāts, tiesiskā regulējuma mērķis un būtība</w:t>
            </w:r>
          </w:p>
        </w:tc>
        <w:tc>
          <w:tcPr>
            <w:tcW w:w="7548" w:type="dxa"/>
          </w:tcPr>
          <w:p w:rsidR="0021639A" w:rsidRPr="00366BBD" w:rsidRDefault="0021639A" w:rsidP="00C530D3">
            <w:pPr>
              <w:spacing w:before="60" w:after="0" w:line="240" w:lineRule="auto"/>
              <w:ind w:right="79"/>
              <w:contextualSpacing/>
              <w:jc w:val="both"/>
              <w:rPr>
                <w:rFonts w:ascii="Times New Roman" w:eastAsia="Times New Roman" w:hAnsi="Times New Roman"/>
                <w:bCs/>
                <w:sz w:val="24"/>
                <w:szCs w:val="24"/>
                <w:lang w:eastAsia="lv-LV"/>
              </w:rPr>
            </w:pPr>
            <w:r w:rsidRPr="00366BBD">
              <w:rPr>
                <w:rFonts w:ascii="Times New Roman" w:hAnsi="Times New Roman"/>
                <w:iCs/>
                <w:sz w:val="24"/>
                <w:szCs w:val="24"/>
              </w:rPr>
              <w:t>MK noteikumu Nr.</w:t>
            </w:r>
            <w:r w:rsidR="00972E6A" w:rsidRPr="00366BBD">
              <w:rPr>
                <w:rFonts w:ascii="Times New Roman" w:hAnsi="Times New Roman"/>
                <w:iCs/>
                <w:sz w:val="24"/>
                <w:szCs w:val="24"/>
              </w:rPr>
              <w:t>523</w:t>
            </w:r>
            <w:r w:rsidRPr="00366BBD">
              <w:rPr>
                <w:rFonts w:ascii="Times New Roman" w:hAnsi="Times New Roman"/>
                <w:iCs/>
                <w:sz w:val="24"/>
                <w:szCs w:val="24"/>
              </w:rPr>
              <w:t xml:space="preserve"> pašreizējā </w:t>
            </w:r>
            <w:r w:rsidRPr="00366BBD">
              <w:rPr>
                <w:rFonts w:ascii="Times New Roman" w:hAnsi="Times New Roman"/>
                <w:sz w:val="24"/>
                <w:szCs w:val="24"/>
              </w:rPr>
              <w:t xml:space="preserve">regulējumā </w:t>
            </w:r>
            <w:r w:rsidR="007274F1">
              <w:rPr>
                <w:rFonts w:ascii="Times New Roman" w:hAnsi="Times New Roman"/>
                <w:sz w:val="24"/>
                <w:szCs w:val="24"/>
              </w:rPr>
              <w:t xml:space="preserve">ir identificētas vairākas </w:t>
            </w:r>
            <w:r w:rsidRPr="00366BBD">
              <w:rPr>
                <w:rFonts w:ascii="Times New Roman" w:hAnsi="Times New Roman"/>
                <w:sz w:val="24"/>
                <w:szCs w:val="24"/>
              </w:rPr>
              <w:t>problēmas:</w:t>
            </w:r>
          </w:p>
          <w:p w:rsidR="00A529E3" w:rsidRPr="00366BBD" w:rsidRDefault="0031599A" w:rsidP="00FA7BDE">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I</w:t>
            </w:r>
            <w:r w:rsidR="00A529E3" w:rsidRPr="00366BBD">
              <w:rPr>
                <w:rFonts w:ascii="Times New Roman" w:hAnsi="Times New Roman"/>
                <w:sz w:val="24"/>
                <w:szCs w:val="24"/>
              </w:rPr>
              <w:t>nformācij</w:t>
            </w:r>
            <w:r w:rsidRPr="00366BBD">
              <w:rPr>
                <w:rFonts w:ascii="Times New Roman" w:hAnsi="Times New Roman"/>
                <w:sz w:val="24"/>
                <w:szCs w:val="24"/>
              </w:rPr>
              <w:t>as</w:t>
            </w:r>
            <w:r w:rsidR="00A529E3" w:rsidRPr="00366BBD">
              <w:rPr>
                <w:rFonts w:ascii="Times New Roman" w:hAnsi="Times New Roman"/>
                <w:sz w:val="24"/>
                <w:szCs w:val="24"/>
              </w:rPr>
              <w:t xml:space="preserve"> sniegšan</w:t>
            </w:r>
            <w:r w:rsidRPr="00366BBD">
              <w:rPr>
                <w:rFonts w:ascii="Times New Roman" w:hAnsi="Times New Roman"/>
                <w:sz w:val="24"/>
                <w:szCs w:val="24"/>
              </w:rPr>
              <w:t>u</w:t>
            </w:r>
            <w:r w:rsidR="002B2946" w:rsidRPr="00366BBD">
              <w:rPr>
                <w:rFonts w:ascii="Times New Roman" w:hAnsi="Times New Roman"/>
                <w:sz w:val="24"/>
                <w:szCs w:val="24"/>
              </w:rPr>
              <w:t xml:space="preserve"> </w:t>
            </w:r>
            <w:r w:rsidR="00A529E3" w:rsidRPr="00366BBD">
              <w:rPr>
                <w:rFonts w:ascii="Times New Roman" w:hAnsi="Times New Roman"/>
                <w:sz w:val="24"/>
                <w:szCs w:val="24"/>
              </w:rPr>
              <w:t xml:space="preserve">par apstiprināto finansējumu jaunajām politikas iniciatīvām </w:t>
            </w:r>
            <w:r w:rsidR="002B2946" w:rsidRPr="00366BBD">
              <w:rPr>
                <w:rFonts w:ascii="Times New Roman" w:hAnsi="Times New Roman"/>
                <w:sz w:val="24"/>
                <w:szCs w:val="24"/>
              </w:rPr>
              <w:t xml:space="preserve">gan saturiski, gan attiecībā uz noteiktajiem informācijas iesniegšanas termiņiem </w:t>
            </w:r>
            <w:r w:rsidR="00A529E3" w:rsidRPr="00366BBD">
              <w:rPr>
                <w:rFonts w:ascii="Times New Roman" w:hAnsi="Times New Roman"/>
                <w:sz w:val="24"/>
                <w:szCs w:val="24"/>
              </w:rPr>
              <w:t xml:space="preserve">ir </w:t>
            </w:r>
            <w:r w:rsidR="002B2946" w:rsidRPr="00366BBD">
              <w:rPr>
                <w:rFonts w:ascii="Times New Roman" w:hAnsi="Times New Roman"/>
                <w:sz w:val="24"/>
                <w:szCs w:val="24"/>
              </w:rPr>
              <w:t xml:space="preserve">nepieciešams </w:t>
            </w:r>
            <w:r w:rsidR="00A529E3" w:rsidRPr="00366BBD">
              <w:rPr>
                <w:rFonts w:ascii="Times New Roman" w:hAnsi="Times New Roman"/>
                <w:sz w:val="24"/>
                <w:szCs w:val="24"/>
              </w:rPr>
              <w:t xml:space="preserve">precizēt atbilstoši MK 2012.gada 11.decembra </w:t>
            </w:r>
            <w:r w:rsidR="00435B90" w:rsidRPr="00366BBD">
              <w:rPr>
                <w:rFonts w:ascii="Times New Roman" w:hAnsi="Times New Roman"/>
                <w:sz w:val="24"/>
                <w:szCs w:val="24"/>
              </w:rPr>
              <w:t xml:space="preserve">noteikumu </w:t>
            </w:r>
            <w:r w:rsidR="00A529E3" w:rsidRPr="00366BBD">
              <w:rPr>
                <w:rFonts w:ascii="Times New Roman" w:hAnsi="Times New Roman"/>
                <w:sz w:val="24"/>
                <w:szCs w:val="24"/>
              </w:rPr>
              <w:t>Nr.867 “</w:t>
            </w:r>
            <w:r w:rsidR="00A529E3" w:rsidRPr="00366BBD">
              <w:rPr>
                <w:rFonts w:ascii="Times New Roman" w:hAnsi="Times New Roman"/>
                <w:bCs/>
                <w:sz w:val="24"/>
                <w:szCs w:val="24"/>
              </w:rPr>
              <w:t>Kārtība, kādā nosakāms maksimāli pieļaujamais valsts budžeta izdevumu kopapjoms un maksimāli pieļaujamais valsts budžeta izdevumu kopējais apjoms katrai ministrijai un citām centrālajām valsts iestādēm</w:t>
            </w:r>
            <w:r w:rsidR="00A34068" w:rsidRPr="00366BBD">
              <w:rPr>
                <w:rFonts w:ascii="Times New Roman" w:hAnsi="Times New Roman"/>
                <w:bCs/>
                <w:sz w:val="24"/>
                <w:szCs w:val="24"/>
              </w:rPr>
              <w:t xml:space="preserve"> vidējam termiņam” nosacījumiem</w:t>
            </w:r>
            <w:r w:rsidR="00673378">
              <w:rPr>
                <w:rFonts w:ascii="Times New Roman" w:hAnsi="Times New Roman"/>
                <w:bCs/>
                <w:sz w:val="24"/>
                <w:szCs w:val="24"/>
              </w:rPr>
              <w:t>, kā arī, ņemot vērā jauno politikas iniciatīvu izvērtēšanas praksi 2013.gadā</w:t>
            </w:r>
            <w:r w:rsidR="00A34068" w:rsidRPr="00366BBD">
              <w:rPr>
                <w:rFonts w:ascii="Times New Roman" w:hAnsi="Times New Roman"/>
                <w:bCs/>
                <w:sz w:val="24"/>
                <w:szCs w:val="24"/>
              </w:rPr>
              <w:t>.</w:t>
            </w:r>
          </w:p>
          <w:p w:rsidR="002B2946" w:rsidRPr="00366BBD" w:rsidRDefault="007274F1" w:rsidP="00FA7BDE">
            <w:pPr>
              <w:numPr>
                <w:ilvl w:val="0"/>
                <w:numId w:val="14"/>
              </w:numPr>
              <w:spacing w:after="0" w:line="240" w:lineRule="auto"/>
              <w:ind w:right="79"/>
              <w:contextualSpacing/>
              <w:jc w:val="both"/>
              <w:rPr>
                <w:rFonts w:ascii="Times New Roman" w:hAnsi="Times New Roman"/>
                <w:sz w:val="24"/>
                <w:szCs w:val="24"/>
              </w:rPr>
            </w:pPr>
            <w:r w:rsidRPr="00461C49">
              <w:rPr>
                <w:rFonts w:ascii="Times New Roman" w:hAnsi="Times New Roman"/>
                <w:bCs/>
                <w:sz w:val="24"/>
                <w:szCs w:val="24"/>
                <w:lang w:eastAsia="lv-LV"/>
              </w:rPr>
              <w:t xml:space="preserve">Fiskālās uzraudzības nodrošināšanas nolūkā </w:t>
            </w:r>
            <w:r w:rsidRPr="009A4D7C">
              <w:rPr>
                <w:rFonts w:ascii="Times New Roman" w:hAnsi="Times New Roman"/>
                <w:sz w:val="24"/>
                <w:szCs w:val="24"/>
              </w:rPr>
              <w:t>i</w:t>
            </w:r>
            <w:r w:rsidR="002B2946" w:rsidRPr="00366BBD">
              <w:rPr>
                <w:rFonts w:ascii="Times New Roman" w:hAnsi="Times New Roman"/>
                <w:sz w:val="24"/>
                <w:szCs w:val="24"/>
              </w:rPr>
              <w:t>nformāciju par valsts pamatbudžeta un valsts speciālā budžeta ilgtermiņa saistībām Vienotās valsts budžeta plānošanas un izpildes informācijas sistēmā (turpmāk – SAP) nepieciešams</w:t>
            </w:r>
            <w:r w:rsidR="00BC3B08" w:rsidRPr="00366BBD">
              <w:rPr>
                <w:rFonts w:ascii="Times New Roman" w:hAnsi="Times New Roman"/>
                <w:sz w:val="24"/>
                <w:szCs w:val="24"/>
              </w:rPr>
              <w:t xml:space="preserve"> norādīt ilgākam laika periodam.</w:t>
            </w:r>
          </w:p>
          <w:p w:rsidR="00FF53B2" w:rsidRPr="00366BBD" w:rsidRDefault="00BC3B08" w:rsidP="00FF53B2">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FF53B2" w:rsidRPr="00366BBD">
              <w:rPr>
                <w:rFonts w:ascii="Times New Roman" w:hAnsi="Times New Roman"/>
                <w:sz w:val="24"/>
                <w:szCs w:val="24"/>
              </w:rPr>
              <w:t>eidlapā Nr.4(</w:t>
            </w:r>
            <w:proofErr w:type="spellStart"/>
            <w:r w:rsidR="00FF53B2" w:rsidRPr="00366BBD">
              <w:rPr>
                <w:rFonts w:ascii="Times New Roman" w:hAnsi="Times New Roman"/>
                <w:sz w:val="24"/>
                <w:szCs w:val="24"/>
              </w:rPr>
              <w:t>pb</w:t>
            </w:r>
            <w:proofErr w:type="spellEnd"/>
            <w:r w:rsidR="00FF53B2" w:rsidRPr="00366BBD">
              <w:rPr>
                <w:rFonts w:ascii="Times New Roman" w:hAnsi="Times New Roman"/>
                <w:sz w:val="24"/>
                <w:szCs w:val="24"/>
              </w:rPr>
              <w:t>) “</w:t>
            </w:r>
            <w:r w:rsidR="00FF53B2" w:rsidRPr="00366BBD">
              <w:rPr>
                <w:rFonts w:ascii="Times New Roman" w:eastAsia="Times New Roman" w:hAnsi="Times New Roman"/>
                <w:bCs/>
                <w:sz w:val="24"/>
                <w:szCs w:val="24"/>
                <w:lang w:eastAsia="lv-LV"/>
              </w:rPr>
              <w:t>Valsts pamatbudžeta ilgtermiņa saistības” un veidlapā Nr.4(</w:t>
            </w:r>
            <w:proofErr w:type="spellStart"/>
            <w:r w:rsidR="00FF53B2" w:rsidRPr="00366BBD">
              <w:rPr>
                <w:rFonts w:ascii="Times New Roman" w:eastAsia="Times New Roman" w:hAnsi="Times New Roman"/>
                <w:bCs/>
                <w:sz w:val="24"/>
                <w:szCs w:val="24"/>
                <w:lang w:eastAsia="lv-LV"/>
              </w:rPr>
              <w:t>sb</w:t>
            </w:r>
            <w:proofErr w:type="spellEnd"/>
            <w:r w:rsidR="00FF53B2" w:rsidRPr="00366BBD">
              <w:rPr>
                <w:rFonts w:ascii="Times New Roman" w:eastAsia="Times New Roman" w:hAnsi="Times New Roman"/>
                <w:bCs/>
                <w:sz w:val="24"/>
                <w:szCs w:val="24"/>
                <w:lang w:eastAsia="lv-LV"/>
              </w:rPr>
              <w:t>) “</w:t>
            </w:r>
            <w:r w:rsidR="00FF53B2" w:rsidRPr="00366BBD">
              <w:rPr>
                <w:rFonts w:ascii="Times New Roman" w:hAnsi="Times New Roman"/>
                <w:bCs/>
                <w:sz w:val="24"/>
                <w:szCs w:val="24"/>
                <w:lang w:eastAsia="lv-LV"/>
              </w:rPr>
              <w:t>Valsts speciālā budžeta ilgtermiņa saistības” kolo</w:t>
            </w:r>
            <w:r w:rsidR="00ED4174">
              <w:rPr>
                <w:rFonts w:ascii="Times New Roman" w:hAnsi="Times New Roman"/>
                <w:bCs/>
                <w:sz w:val="24"/>
                <w:szCs w:val="24"/>
                <w:lang w:eastAsia="lv-LV"/>
              </w:rPr>
              <w:t>n</w:t>
            </w:r>
            <w:r w:rsidR="00FF53B2" w:rsidRPr="00366BBD">
              <w:rPr>
                <w:rFonts w:ascii="Times New Roman" w:hAnsi="Times New Roman"/>
                <w:bCs/>
                <w:sz w:val="24"/>
                <w:szCs w:val="24"/>
                <w:lang w:eastAsia="lv-LV"/>
              </w:rPr>
              <w:t>na “Resursu kods” nav saturiski saistoša veidlapās sniedzamajai informācijai un netiek aizpildīta</w:t>
            </w:r>
            <w:r w:rsidRPr="00366BBD">
              <w:rPr>
                <w:rFonts w:ascii="Times New Roman" w:hAnsi="Times New Roman"/>
                <w:bCs/>
                <w:sz w:val="24"/>
                <w:szCs w:val="24"/>
                <w:lang w:eastAsia="lv-LV"/>
              </w:rPr>
              <w:t>.</w:t>
            </w:r>
          </w:p>
          <w:p w:rsidR="00FF53B2" w:rsidRPr="00366BBD" w:rsidRDefault="00BC3B08" w:rsidP="00FF53B2">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FF53B2" w:rsidRPr="00366BBD">
              <w:rPr>
                <w:rFonts w:ascii="Times New Roman" w:hAnsi="Times New Roman"/>
                <w:sz w:val="24"/>
                <w:szCs w:val="24"/>
              </w:rPr>
              <w:t>eidlapā Nr.7(</w:t>
            </w:r>
            <w:proofErr w:type="spellStart"/>
            <w:r w:rsidR="00FF53B2" w:rsidRPr="00366BBD">
              <w:rPr>
                <w:rFonts w:ascii="Times New Roman" w:hAnsi="Times New Roman"/>
                <w:sz w:val="24"/>
                <w:szCs w:val="24"/>
              </w:rPr>
              <w:t>pb</w:t>
            </w:r>
            <w:proofErr w:type="spellEnd"/>
            <w:r w:rsidR="00FF53B2" w:rsidRPr="00366BBD">
              <w:rPr>
                <w:rFonts w:ascii="Times New Roman" w:hAnsi="Times New Roman"/>
                <w:sz w:val="24"/>
                <w:szCs w:val="24"/>
              </w:rPr>
              <w:t>) “</w:t>
            </w:r>
            <w:r w:rsidR="00FF53B2" w:rsidRPr="00366BBD">
              <w:rPr>
                <w:rFonts w:ascii="Times New Roman" w:eastAsia="Times New Roman" w:hAnsi="Times New Roman"/>
                <w:bCs/>
                <w:sz w:val="24"/>
                <w:szCs w:val="24"/>
                <w:lang w:eastAsia="lv-LV"/>
              </w:rPr>
              <w:t>Paskaidrojums par ministrijas (citas centrālās valsts iestādes) valsts pamatbudžeta līdzekļu pieprasījumu vidējam termiņam” un veidlapā Nr.7(</w:t>
            </w:r>
            <w:proofErr w:type="spellStart"/>
            <w:r w:rsidR="00FF53B2" w:rsidRPr="00366BBD">
              <w:rPr>
                <w:rFonts w:ascii="Times New Roman" w:eastAsia="Times New Roman" w:hAnsi="Times New Roman"/>
                <w:bCs/>
                <w:sz w:val="24"/>
                <w:szCs w:val="24"/>
                <w:lang w:eastAsia="lv-LV"/>
              </w:rPr>
              <w:t>sb</w:t>
            </w:r>
            <w:proofErr w:type="spellEnd"/>
            <w:r w:rsidR="00FF53B2" w:rsidRPr="00366BBD">
              <w:rPr>
                <w:rFonts w:ascii="Times New Roman" w:eastAsia="Times New Roman" w:hAnsi="Times New Roman"/>
                <w:bCs/>
                <w:sz w:val="24"/>
                <w:szCs w:val="24"/>
                <w:lang w:eastAsia="lv-LV"/>
              </w:rPr>
              <w:t>) “Paskaidrojums par ministrijas (citas centrālās valsts iestādes) valsts speciālā budžeta līdzekļu pieprasījumu vidējam termiņam”</w:t>
            </w:r>
            <w:r w:rsidR="00FF53B2" w:rsidRPr="00366BBD">
              <w:rPr>
                <w:rFonts w:ascii="Times New Roman" w:hAnsi="Times New Roman"/>
                <w:sz w:val="24"/>
                <w:szCs w:val="24"/>
              </w:rPr>
              <w:t xml:space="preserve"> ir norādīta nekorekta atsauce uz Likuma par budžetu un finanšu vadību 9.panta 13.</w:t>
            </w:r>
            <w:r w:rsidR="00FF53B2" w:rsidRPr="00366BBD">
              <w:rPr>
                <w:rFonts w:ascii="Times New Roman" w:hAnsi="Times New Roman"/>
                <w:sz w:val="24"/>
                <w:szCs w:val="24"/>
                <w:vertAlign w:val="superscript"/>
              </w:rPr>
              <w:t>1</w:t>
            </w:r>
            <w:r w:rsidR="00FF53B2" w:rsidRPr="00366BBD">
              <w:rPr>
                <w:rFonts w:ascii="Times New Roman" w:hAnsi="Times New Roman"/>
                <w:sz w:val="24"/>
                <w:szCs w:val="24"/>
              </w:rPr>
              <w:t> daļas punktu</w:t>
            </w:r>
            <w:r w:rsidRPr="00366BBD">
              <w:rPr>
                <w:rFonts w:ascii="Times New Roman" w:hAnsi="Times New Roman"/>
                <w:sz w:val="24"/>
                <w:szCs w:val="24"/>
              </w:rPr>
              <w:t>.</w:t>
            </w:r>
          </w:p>
          <w:p w:rsidR="00FF53B2" w:rsidRPr="00366BBD" w:rsidRDefault="00BC3B08" w:rsidP="00FF53B2">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N</w:t>
            </w:r>
            <w:r w:rsidR="00FF53B2" w:rsidRPr="00366BBD">
              <w:rPr>
                <w:rFonts w:ascii="Times New Roman" w:hAnsi="Times New Roman"/>
                <w:sz w:val="24"/>
                <w:szCs w:val="24"/>
              </w:rPr>
              <w:t>av noteikts, ka gadījumā, ja budžeta pieprasījumā programmai (apakšprogrammai) n+1 gadā un turpmākajos gados resursi un izdevumi netiek plānoti, nav jāsniedz MK noteikumu Nr.523 74.9.</w:t>
            </w:r>
            <w:r w:rsidR="00ED62A8" w:rsidRPr="00366BBD">
              <w:rPr>
                <w:rFonts w:ascii="Times New Roman" w:hAnsi="Times New Roman"/>
                <w:sz w:val="24"/>
                <w:szCs w:val="24"/>
              </w:rPr>
              <w:t>apakš</w:t>
            </w:r>
            <w:r w:rsidR="00FF53B2" w:rsidRPr="00366BBD">
              <w:rPr>
                <w:rFonts w:ascii="Times New Roman" w:hAnsi="Times New Roman"/>
                <w:sz w:val="24"/>
                <w:szCs w:val="24"/>
              </w:rPr>
              <w:t>punktā noteiktais skaidrojums</w:t>
            </w:r>
            <w:r w:rsidRPr="00366BBD">
              <w:rPr>
                <w:rFonts w:ascii="Times New Roman" w:hAnsi="Times New Roman"/>
                <w:sz w:val="24"/>
                <w:szCs w:val="24"/>
              </w:rPr>
              <w:t>.</w:t>
            </w:r>
          </w:p>
          <w:p w:rsidR="00A3774B" w:rsidRPr="00366BBD" w:rsidRDefault="00224D21" w:rsidP="00E2178F">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bCs/>
                <w:sz w:val="24"/>
                <w:szCs w:val="24"/>
                <w:lang w:eastAsia="lv-LV"/>
              </w:rPr>
              <w:t>V</w:t>
            </w:r>
            <w:r w:rsidR="00493EF5" w:rsidRPr="00366BBD">
              <w:rPr>
                <w:rFonts w:ascii="Times New Roman" w:hAnsi="Times New Roman"/>
                <w:bCs/>
                <w:sz w:val="24"/>
                <w:szCs w:val="24"/>
                <w:lang w:eastAsia="lv-LV"/>
              </w:rPr>
              <w:t>eidlap</w:t>
            </w:r>
            <w:r w:rsidR="00451CD4">
              <w:rPr>
                <w:rFonts w:ascii="Times New Roman" w:hAnsi="Times New Roman"/>
                <w:bCs/>
                <w:sz w:val="24"/>
                <w:szCs w:val="24"/>
                <w:lang w:eastAsia="lv-LV"/>
              </w:rPr>
              <w:t>u</w:t>
            </w:r>
            <w:r w:rsidR="00493EF5" w:rsidRPr="00366BBD">
              <w:rPr>
                <w:rFonts w:ascii="Times New Roman" w:hAnsi="Times New Roman"/>
                <w:bCs/>
                <w:sz w:val="24"/>
                <w:szCs w:val="24"/>
                <w:lang w:eastAsia="lv-LV"/>
              </w:rPr>
              <w:t xml:space="preserve"> Nr.20 “Valsts budžeta programmu (apakšprogrammu) atlīdzības pieprasījums n+1 gadam”</w:t>
            </w:r>
            <w:r w:rsidR="00451CD4">
              <w:rPr>
                <w:rFonts w:ascii="Times New Roman" w:hAnsi="Times New Roman"/>
                <w:bCs/>
                <w:sz w:val="24"/>
                <w:szCs w:val="24"/>
                <w:lang w:eastAsia="lv-LV"/>
              </w:rPr>
              <w:t xml:space="preserve"> </w:t>
            </w:r>
            <w:r w:rsidRPr="00366BBD">
              <w:rPr>
                <w:rFonts w:ascii="Times New Roman" w:hAnsi="Times New Roman"/>
                <w:bCs/>
                <w:sz w:val="24"/>
                <w:szCs w:val="24"/>
                <w:lang w:eastAsia="lv-LV"/>
              </w:rPr>
              <w:t xml:space="preserve">nepieciešams papildināt ar jaunu sadaļu, </w:t>
            </w:r>
            <w:r w:rsidR="00FD1ACD" w:rsidRPr="00366BBD">
              <w:rPr>
                <w:rFonts w:ascii="Times New Roman" w:hAnsi="Times New Roman"/>
                <w:bCs/>
                <w:sz w:val="24"/>
                <w:szCs w:val="24"/>
                <w:lang w:eastAsia="lv-LV"/>
              </w:rPr>
              <w:t xml:space="preserve">ņemot vērā </w:t>
            </w:r>
            <w:r w:rsidRPr="00366BBD">
              <w:rPr>
                <w:rFonts w:ascii="Times New Roman" w:hAnsi="Times New Roman"/>
                <w:bCs/>
                <w:sz w:val="24"/>
                <w:szCs w:val="24"/>
                <w:lang w:eastAsia="lv-LV"/>
              </w:rPr>
              <w:t>Aizsardzības ministrijas priekšlikumu (</w:t>
            </w:r>
            <w:r w:rsidR="00FD1ACD" w:rsidRPr="00366BBD">
              <w:rPr>
                <w:rFonts w:ascii="Times New Roman" w:hAnsi="Times New Roman"/>
                <w:bCs/>
                <w:sz w:val="24"/>
                <w:szCs w:val="24"/>
                <w:lang w:eastAsia="lv-LV"/>
              </w:rPr>
              <w:t>Aizsardzības ministrijas 2014.gada 21.februāra vēstul</w:t>
            </w:r>
            <w:r w:rsidRPr="00366BBD">
              <w:rPr>
                <w:rFonts w:ascii="Times New Roman" w:hAnsi="Times New Roman"/>
                <w:bCs/>
                <w:sz w:val="24"/>
                <w:szCs w:val="24"/>
                <w:lang w:eastAsia="lv-LV"/>
              </w:rPr>
              <w:t>e</w:t>
            </w:r>
            <w:r w:rsidR="00FD1ACD" w:rsidRPr="00366BBD">
              <w:rPr>
                <w:rFonts w:ascii="Times New Roman" w:hAnsi="Times New Roman"/>
                <w:bCs/>
                <w:sz w:val="24"/>
                <w:szCs w:val="24"/>
                <w:lang w:eastAsia="lv-LV"/>
              </w:rPr>
              <w:t xml:space="preserve"> Nr.MV–N/386</w:t>
            </w:r>
            <w:r w:rsidRPr="00366BBD">
              <w:rPr>
                <w:rFonts w:ascii="Times New Roman" w:hAnsi="Times New Roman"/>
                <w:bCs/>
                <w:sz w:val="24"/>
                <w:szCs w:val="24"/>
                <w:lang w:eastAsia="lv-LV"/>
              </w:rPr>
              <w:t>)</w:t>
            </w:r>
            <w:r w:rsidR="00FD1ACD" w:rsidRPr="00366BBD">
              <w:rPr>
                <w:rFonts w:ascii="Times New Roman" w:hAnsi="Times New Roman"/>
                <w:bCs/>
                <w:sz w:val="24"/>
                <w:szCs w:val="24"/>
                <w:lang w:eastAsia="lv-LV"/>
              </w:rPr>
              <w:t xml:space="preserve"> par zemessargu – apsargu amat</w:t>
            </w:r>
            <w:r w:rsidRPr="00366BBD">
              <w:rPr>
                <w:rFonts w:ascii="Times New Roman" w:hAnsi="Times New Roman"/>
                <w:bCs/>
                <w:sz w:val="24"/>
                <w:szCs w:val="24"/>
                <w:lang w:eastAsia="lv-LV"/>
              </w:rPr>
              <w:t>u</w:t>
            </w:r>
            <w:r w:rsidR="00FD1ACD" w:rsidRPr="00366BBD">
              <w:rPr>
                <w:rFonts w:ascii="Times New Roman" w:hAnsi="Times New Roman"/>
                <w:bCs/>
                <w:sz w:val="24"/>
                <w:szCs w:val="24"/>
                <w:lang w:eastAsia="lv-LV"/>
              </w:rPr>
              <w:t xml:space="preserve">, ar kuriem darba līgumus slēdz, balstoties uz </w:t>
            </w:r>
            <w:r w:rsidR="00FD1ACD" w:rsidRPr="00366BBD">
              <w:rPr>
                <w:rFonts w:ascii="Times New Roman" w:hAnsi="Times New Roman"/>
                <w:bCs/>
                <w:sz w:val="24"/>
                <w:szCs w:val="24"/>
              </w:rPr>
              <w:t>Latvijas Republikas Zemessardzes likuma</w:t>
            </w:r>
            <w:r w:rsidR="00FD1ACD" w:rsidRPr="00366BBD">
              <w:rPr>
                <w:rFonts w:ascii="Times New Roman" w:hAnsi="Times New Roman"/>
                <w:bCs/>
                <w:sz w:val="24"/>
                <w:szCs w:val="24"/>
                <w:lang w:eastAsia="lv-LV"/>
              </w:rPr>
              <w:t xml:space="preserve"> 31.panta pirmo daļu, lai informācija par zemessargiem – apsargiem neparādītos informācijā pie militārpersonām</w:t>
            </w:r>
            <w:r w:rsidRPr="00366BBD">
              <w:rPr>
                <w:rFonts w:ascii="Times New Roman" w:hAnsi="Times New Roman"/>
                <w:bCs/>
                <w:sz w:val="24"/>
                <w:szCs w:val="24"/>
                <w:lang w:eastAsia="lv-LV"/>
              </w:rPr>
              <w:t>.</w:t>
            </w:r>
          </w:p>
          <w:p w:rsidR="00493EF5" w:rsidRPr="00366BBD" w:rsidRDefault="001631CA" w:rsidP="00204A36">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FF53B2" w:rsidRPr="00366BBD">
              <w:rPr>
                <w:rFonts w:ascii="Times New Roman" w:hAnsi="Times New Roman"/>
                <w:sz w:val="24"/>
                <w:szCs w:val="24"/>
              </w:rPr>
              <w:t xml:space="preserve">eidlapa Nr.24 “Paskaidrojums par ministrijas (citas centrālās valsts iestādes) darbības rezultātu un to rezultatīvo rādītāju izmaiņām” ir </w:t>
            </w:r>
            <w:r w:rsidR="00FF53B2" w:rsidRPr="00366BBD">
              <w:rPr>
                <w:rFonts w:ascii="Times New Roman" w:hAnsi="Times New Roman"/>
                <w:sz w:val="24"/>
                <w:szCs w:val="24"/>
              </w:rPr>
              <w:lastRenderedPageBreak/>
              <w:t xml:space="preserve">norādīta budžeta pieprasījuma sastāvā, lai gan tā nav jāiesniedz kā budžeta pieprasījuma sastāvdaļa, bet tikai atsevišķi </w:t>
            </w:r>
            <w:r w:rsidR="00EE50C5" w:rsidRPr="00366BBD">
              <w:rPr>
                <w:rFonts w:ascii="Times New Roman" w:hAnsi="Times New Roman"/>
                <w:sz w:val="24"/>
                <w:szCs w:val="24"/>
              </w:rPr>
              <w:t>MK noteikumos Nr.523 minētajos</w:t>
            </w:r>
            <w:r w:rsidR="00FF53B2" w:rsidRPr="00366BBD">
              <w:rPr>
                <w:rFonts w:ascii="Times New Roman" w:hAnsi="Times New Roman"/>
                <w:sz w:val="24"/>
                <w:szCs w:val="24"/>
              </w:rPr>
              <w:t xml:space="preserve"> </w:t>
            </w:r>
            <w:r w:rsidR="0031599A" w:rsidRPr="00366BBD">
              <w:rPr>
                <w:rFonts w:ascii="Times New Roman" w:hAnsi="Times New Roman"/>
                <w:sz w:val="24"/>
                <w:szCs w:val="24"/>
              </w:rPr>
              <w:t>gadījumos</w:t>
            </w:r>
            <w:r w:rsidRPr="00366BBD">
              <w:rPr>
                <w:rFonts w:ascii="Times New Roman" w:hAnsi="Times New Roman"/>
                <w:sz w:val="24"/>
                <w:szCs w:val="24"/>
              </w:rPr>
              <w:t>.</w:t>
            </w:r>
          </w:p>
          <w:p w:rsidR="0031599A" w:rsidRDefault="001631CA" w:rsidP="00445339">
            <w:pPr>
              <w:numPr>
                <w:ilvl w:val="0"/>
                <w:numId w:val="14"/>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N</w:t>
            </w:r>
            <w:r w:rsidR="0031599A" w:rsidRPr="00366BBD">
              <w:rPr>
                <w:rFonts w:ascii="Times New Roman" w:hAnsi="Times New Roman"/>
                <w:sz w:val="24"/>
                <w:szCs w:val="24"/>
              </w:rPr>
              <w:t>av noteikts, ka n gad</w:t>
            </w:r>
            <w:r w:rsidR="00285DF0">
              <w:rPr>
                <w:rFonts w:ascii="Times New Roman" w:hAnsi="Times New Roman"/>
                <w:sz w:val="24"/>
                <w:szCs w:val="24"/>
              </w:rPr>
              <w:t>am</w:t>
            </w:r>
            <w:r w:rsidR="0031599A" w:rsidRPr="00366BBD">
              <w:rPr>
                <w:rFonts w:ascii="Times New Roman" w:hAnsi="Times New Roman"/>
                <w:sz w:val="24"/>
                <w:szCs w:val="24"/>
              </w:rPr>
              <w:t xml:space="preserve"> </w:t>
            </w:r>
            <w:r w:rsidR="00285DF0">
              <w:rPr>
                <w:rFonts w:ascii="Times New Roman" w:hAnsi="Times New Roman"/>
                <w:sz w:val="24"/>
                <w:szCs w:val="24"/>
              </w:rPr>
              <w:t xml:space="preserve">plānotos </w:t>
            </w:r>
            <w:r w:rsidR="0031599A" w:rsidRPr="00366BBD">
              <w:rPr>
                <w:rFonts w:ascii="Times New Roman" w:hAnsi="Times New Roman"/>
                <w:sz w:val="24"/>
                <w:szCs w:val="24"/>
              </w:rPr>
              <w:t>darbības rezultātu un rezultatīvo rādītāju nosaukumus nemaina.</w:t>
            </w:r>
          </w:p>
          <w:p w:rsidR="00F57794" w:rsidRPr="00F57794" w:rsidRDefault="00F57794" w:rsidP="00445339">
            <w:pPr>
              <w:numPr>
                <w:ilvl w:val="0"/>
                <w:numId w:val="14"/>
              </w:numPr>
              <w:spacing w:after="0" w:line="240" w:lineRule="auto"/>
              <w:ind w:right="79"/>
              <w:contextualSpacing/>
              <w:jc w:val="both"/>
              <w:rPr>
                <w:rFonts w:ascii="Times New Roman" w:hAnsi="Times New Roman"/>
                <w:sz w:val="24"/>
                <w:szCs w:val="24"/>
              </w:rPr>
            </w:pPr>
            <w:r w:rsidRPr="00F57794">
              <w:rPr>
                <w:rFonts w:ascii="Times New Roman" w:hAnsi="Times New Roman"/>
                <w:sz w:val="24"/>
                <w:szCs w:val="24"/>
              </w:rPr>
              <w:t>Nav noteikts maksimālais termiņš</w:t>
            </w:r>
            <w:r>
              <w:rPr>
                <w:rFonts w:ascii="Times New Roman" w:hAnsi="Times New Roman"/>
                <w:sz w:val="24"/>
                <w:szCs w:val="24"/>
              </w:rPr>
              <w:t xml:space="preserve"> kārtējā gadā</w:t>
            </w:r>
            <w:r w:rsidRPr="00F57794">
              <w:rPr>
                <w:rFonts w:ascii="Times New Roman" w:hAnsi="Times New Roman"/>
                <w:sz w:val="24"/>
                <w:szCs w:val="24"/>
              </w:rPr>
              <w:t>, līdz kuram Labklājības ministrija var precizēt kārtējā gada plāna izdevumu sadalījumu pa pabalstu, pensiju un piemaksu pie pensijām veidiem, apmēru un saņēmēju skaitu vidēji mēnesī atbilstoši statistisko rādītāju un izdevumu izpildes tendencēm, aizpildot veidlapu Nr.10(</w:t>
            </w:r>
            <w:proofErr w:type="spellStart"/>
            <w:r w:rsidRPr="00F57794">
              <w:rPr>
                <w:rFonts w:ascii="Times New Roman" w:hAnsi="Times New Roman"/>
                <w:sz w:val="24"/>
                <w:szCs w:val="24"/>
              </w:rPr>
              <w:t>pb</w:t>
            </w:r>
            <w:proofErr w:type="spellEnd"/>
            <w:r w:rsidRPr="00F57794">
              <w:rPr>
                <w:rFonts w:ascii="Times New Roman" w:hAnsi="Times New Roman"/>
                <w:sz w:val="24"/>
                <w:szCs w:val="24"/>
              </w:rPr>
              <w:t>) “Valsts sociālo pabalstu, izdienas pensiju un piemaksu pie vecuma un invaliditātes pensijām izdevumu aprēķins” vai veidlapu Nr.10(</w:t>
            </w:r>
            <w:proofErr w:type="spellStart"/>
            <w:r w:rsidRPr="00F57794">
              <w:rPr>
                <w:rFonts w:ascii="Times New Roman" w:hAnsi="Times New Roman"/>
                <w:sz w:val="24"/>
                <w:szCs w:val="24"/>
              </w:rPr>
              <w:t>sb</w:t>
            </w:r>
            <w:proofErr w:type="spellEnd"/>
            <w:r w:rsidRPr="00F57794">
              <w:rPr>
                <w:rFonts w:ascii="Times New Roman" w:hAnsi="Times New Roman"/>
                <w:sz w:val="24"/>
                <w:szCs w:val="24"/>
              </w:rPr>
              <w:t>) “Valsts pensiju, sociālās apdrošināšanas pabalstu un valsts budžeta maksājumu izdevumu aprēķins”.</w:t>
            </w:r>
          </w:p>
          <w:p w:rsidR="008D69CD" w:rsidRDefault="00427907" w:rsidP="00786C54">
            <w:pPr>
              <w:numPr>
                <w:ilvl w:val="0"/>
                <w:numId w:val="14"/>
              </w:numPr>
              <w:spacing w:after="0" w:line="240" w:lineRule="auto"/>
              <w:ind w:right="79"/>
              <w:contextualSpacing/>
              <w:jc w:val="both"/>
              <w:rPr>
                <w:rFonts w:ascii="Times New Roman" w:hAnsi="Times New Roman"/>
                <w:sz w:val="24"/>
                <w:szCs w:val="24"/>
              </w:rPr>
            </w:pPr>
            <w:r>
              <w:rPr>
                <w:rFonts w:ascii="Times New Roman" w:hAnsi="Times New Roman"/>
                <w:sz w:val="24"/>
                <w:szCs w:val="24"/>
              </w:rPr>
              <w:t>Atsevišķos MK noteikumu Nr.523 punktos i</w:t>
            </w:r>
            <w:r w:rsidR="008D69CD">
              <w:rPr>
                <w:rFonts w:ascii="Times New Roman" w:hAnsi="Times New Roman"/>
                <w:sz w:val="24"/>
                <w:szCs w:val="24"/>
              </w:rPr>
              <w:t xml:space="preserve">r konstatētas neprecizitātēs budžeta programmas </w:t>
            </w:r>
            <w:r w:rsidR="00D15658">
              <w:rPr>
                <w:rFonts w:ascii="Times New Roman" w:hAnsi="Times New Roman"/>
                <w:sz w:val="24"/>
                <w:szCs w:val="24"/>
              </w:rPr>
              <w:t>80</w:t>
            </w:r>
            <w:r w:rsidR="008D69CD">
              <w:rPr>
                <w:rFonts w:ascii="Times New Roman" w:hAnsi="Times New Roman"/>
                <w:sz w:val="24"/>
                <w:szCs w:val="24"/>
              </w:rPr>
              <w:t>.00.00 “Nesadalītais finansējums Eiropas Savienības politiku instrumentu un pārējās ārvalstu finanšu palīdzības līdzfinansēto projektu un pasākumu īstenošanai” nosaukumā.</w:t>
            </w:r>
          </w:p>
          <w:p w:rsidR="003D0FD1" w:rsidRPr="0043460B" w:rsidRDefault="003D0FD1" w:rsidP="00786C54">
            <w:pPr>
              <w:numPr>
                <w:ilvl w:val="0"/>
                <w:numId w:val="14"/>
              </w:numPr>
              <w:spacing w:after="0" w:line="240" w:lineRule="auto"/>
              <w:ind w:right="79"/>
              <w:contextualSpacing/>
              <w:jc w:val="both"/>
              <w:rPr>
                <w:rFonts w:ascii="Times New Roman" w:hAnsi="Times New Roman"/>
                <w:sz w:val="24"/>
                <w:szCs w:val="24"/>
              </w:rPr>
            </w:pPr>
            <w:r w:rsidRPr="003D0FD1">
              <w:rPr>
                <w:rFonts w:ascii="Times New Roman" w:hAnsi="Times New Roman"/>
                <w:sz w:val="24"/>
                <w:szCs w:val="24"/>
              </w:rPr>
              <w:t xml:space="preserve">Ir noteikts liels </w:t>
            </w:r>
            <w:r w:rsidRPr="00585975">
              <w:rPr>
                <w:rFonts w:ascii="Times New Roman" w:hAnsi="Times New Roman"/>
                <w:sz w:val="24"/>
                <w:szCs w:val="24"/>
              </w:rPr>
              <w:t>izvēles intervāls budžeta apakšprogrammu numuriem, kurus pie</w:t>
            </w:r>
            <w:r w:rsidRPr="007E384C">
              <w:rPr>
                <w:rFonts w:ascii="Times New Roman" w:hAnsi="Times New Roman"/>
                <w:sz w:val="24"/>
                <w:szCs w:val="24"/>
              </w:rPr>
              <w:t>šķirt</w:t>
            </w:r>
            <w:r w:rsidRPr="00A83BAB">
              <w:rPr>
                <w:rFonts w:ascii="Times New Roman" w:hAnsi="Times New Roman"/>
                <w:sz w:val="24"/>
                <w:szCs w:val="24"/>
              </w:rPr>
              <w:t xml:space="preserve"> </w:t>
            </w:r>
            <w:r w:rsidRPr="003D0FD1">
              <w:rPr>
                <w:rFonts w:ascii="Times New Roman" w:hAnsi="Times New Roman"/>
                <w:sz w:val="24"/>
                <w:szCs w:val="24"/>
              </w:rPr>
              <w:t xml:space="preserve">Eiropas Savienības politiku instrumentu un pārējās ārvalstu finanšu palīdzības līdzfinansēto un finansēto projektu un pasākumu </w:t>
            </w:r>
            <w:r w:rsidRPr="0043460B">
              <w:rPr>
                <w:rFonts w:ascii="Times New Roman" w:hAnsi="Times New Roman"/>
                <w:sz w:val="24"/>
                <w:szCs w:val="24"/>
              </w:rPr>
              <w:t>īstenošanai.</w:t>
            </w:r>
          </w:p>
          <w:p w:rsidR="00DE5F05" w:rsidRPr="0043460B" w:rsidRDefault="00DE5F05" w:rsidP="00DE5F05">
            <w:pPr>
              <w:numPr>
                <w:ilvl w:val="0"/>
                <w:numId w:val="14"/>
              </w:numPr>
              <w:spacing w:after="0" w:line="240" w:lineRule="auto"/>
              <w:ind w:right="79"/>
              <w:contextualSpacing/>
              <w:jc w:val="both"/>
              <w:rPr>
                <w:rFonts w:ascii="Times New Roman" w:hAnsi="Times New Roman"/>
                <w:sz w:val="24"/>
                <w:szCs w:val="24"/>
              </w:rPr>
            </w:pPr>
            <w:r w:rsidRPr="0043460B">
              <w:rPr>
                <w:rFonts w:ascii="Times New Roman" w:hAnsi="Times New Roman"/>
                <w:sz w:val="24"/>
                <w:szCs w:val="24"/>
              </w:rPr>
              <w:t>MK noteikumu Nr.523 34.5.punkts paredz, ka Eiropas Savienības politiku instrumentu un pārējās ārvalstu finanšu palīdzības līdzfinansētiem un finansētiem projektiem un pasākumiem, kuriem maksājumu veikšana ir paredzēta, tikai sākot ar n+1 gadu un turpmākajos gados ir nepieciešams Ministru kabineta lēmums par tiesībām uzņemties jaunas valsts budžeta ilgtermiņa saistības. Tomēr process, lai saņemtu šādu MK lēmumu, prasa ievērojamu cilvēkresursu un laika apjomu, tādēļ steidzamības gadījumā, laicīgi nav iespējams to saņemt. Lai taupītu resursus un laiku, kā arī pamatojoties uz to, ka Eiropas Savienības politikas instrumentu līdzfinansētajiem projektiem īstenošanas kārtība un pieejamais kopējais finansējums tiek noteikts MK normatīvajā regulējumā (piemēram, MK noteikumos par specifiskā atbalsta mērķa īstenošanu vai tiesību aktā), atbilstošais MK regulējums var tikt uzskatīts par MK lēmumu, kas ļauj uzņemties saistības, un ja minētajā normatīvajā regulējumā par specifiskā atbalsta mērķa īstenošanu vai tiesību aktā ir paredzēta (noteikta) saistību uzņemšanās par</w:t>
            </w:r>
            <w:r w:rsidR="00135E39" w:rsidRPr="0043460B">
              <w:rPr>
                <w:rFonts w:ascii="Times New Roman" w:hAnsi="Times New Roman"/>
                <w:sz w:val="24"/>
                <w:szCs w:val="24"/>
              </w:rPr>
              <w:t xml:space="preserve"> </w:t>
            </w:r>
            <w:r w:rsidRPr="0043460B">
              <w:rPr>
                <w:rFonts w:ascii="Times New Roman" w:hAnsi="Times New Roman"/>
                <w:sz w:val="24"/>
                <w:szCs w:val="24"/>
              </w:rPr>
              <w:t>šādiem projektiem, kuriem maksājumu veikšana ir paredzēta sākot tikai ar n+1 gadu, iestādei jāļauj slēgt līgumu vai vienošanos par projekta īstenošanu.</w:t>
            </w:r>
          </w:p>
          <w:p w:rsidR="00FF53B2" w:rsidRPr="0043460B" w:rsidRDefault="00FF53B2" w:rsidP="00FF53B2">
            <w:pPr>
              <w:spacing w:after="0" w:line="240" w:lineRule="auto"/>
              <w:ind w:left="720" w:right="79"/>
              <w:contextualSpacing/>
              <w:jc w:val="both"/>
              <w:rPr>
                <w:rFonts w:ascii="Times New Roman" w:hAnsi="Times New Roman"/>
                <w:sz w:val="24"/>
                <w:szCs w:val="24"/>
              </w:rPr>
            </w:pPr>
          </w:p>
          <w:p w:rsidR="00FF53B2" w:rsidRPr="00366BBD" w:rsidRDefault="00FF53B2" w:rsidP="00FF53B2">
            <w:pPr>
              <w:spacing w:after="0" w:line="240" w:lineRule="auto"/>
              <w:ind w:right="79"/>
              <w:contextualSpacing/>
              <w:jc w:val="both"/>
              <w:rPr>
                <w:rFonts w:ascii="Times New Roman" w:hAnsi="Times New Roman"/>
                <w:sz w:val="24"/>
                <w:szCs w:val="24"/>
              </w:rPr>
            </w:pPr>
            <w:r w:rsidRPr="0043460B">
              <w:rPr>
                <w:rFonts w:ascii="Times New Roman" w:hAnsi="Times New Roman"/>
                <w:sz w:val="24"/>
                <w:szCs w:val="24"/>
              </w:rPr>
              <w:t xml:space="preserve">Ņemot vērā </w:t>
            </w:r>
            <w:r w:rsidR="0079095F" w:rsidRPr="0043460B">
              <w:rPr>
                <w:rFonts w:ascii="Times New Roman" w:hAnsi="Times New Roman"/>
                <w:sz w:val="24"/>
                <w:szCs w:val="24"/>
              </w:rPr>
              <w:t xml:space="preserve">iepriekš minētās </w:t>
            </w:r>
            <w:r w:rsidRPr="0043460B">
              <w:rPr>
                <w:rFonts w:ascii="Times New Roman" w:hAnsi="Times New Roman"/>
                <w:sz w:val="24"/>
                <w:szCs w:val="24"/>
              </w:rPr>
              <w:t xml:space="preserve">konstatētās problēmas </w:t>
            </w:r>
            <w:r w:rsidR="0079095F" w:rsidRPr="0043460B">
              <w:rPr>
                <w:rFonts w:ascii="Times New Roman" w:hAnsi="Times New Roman"/>
                <w:sz w:val="24"/>
                <w:szCs w:val="24"/>
              </w:rPr>
              <w:t xml:space="preserve">MK noteikumi Nr.523 ir papildināti ar jauniem noteikumu punktiem, </w:t>
            </w:r>
            <w:r w:rsidRPr="0043460B">
              <w:rPr>
                <w:rFonts w:ascii="Times New Roman" w:hAnsi="Times New Roman"/>
                <w:sz w:val="24"/>
                <w:szCs w:val="24"/>
              </w:rPr>
              <w:t>ir veikti grozījumi vairāk</w:t>
            </w:r>
            <w:r w:rsidR="0079095F" w:rsidRPr="0043460B">
              <w:rPr>
                <w:rFonts w:ascii="Times New Roman" w:hAnsi="Times New Roman"/>
                <w:sz w:val="24"/>
                <w:szCs w:val="24"/>
              </w:rPr>
              <w:t>os</w:t>
            </w:r>
            <w:r w:rsidRPr="00366BBD">
              <w:rPr>
                <w:rFonts w:ascii="Times New Roman" w:hAnsi="Times New Roman"/>
                <w:sz w:val="24"/>
                <w:szCs w:val="24"/>
              </w:rPr>
              <w:t xml:space="preserve"> </w:t>
            </w:r>
            <w:r w:rsidR="0079095F" w:rsidRPr="00366BBD">
              <w:rPr>
                <w:rFonts w:ascii="Times New Roman" w:hAnsi="Times New Roman"/>
                <w:sz w:val="24"/>
                <w:szCs w:val="24"/>
              </w:rPr>
              <w:t xml:space="preserve">spēkā esošajos </w:t>
            </w:r>
            <w:r w:rsidRPr="00366BBD">
              <w:rPr>
                <w:rFonts w:ascii="Times New Roman" w:hAnsi="Times New Roman"/>
                <w:sz w:val="24"/>
                <w:szCs w:val="24"/>
              </w:rPr>
              <w:t>MK noteiku</w:t>
            </w:r>
            <w:r w:rsidR="00C12860" w:rsidRPr="00366BBD">
              <w:rPr>
                <w:rFonts w:ascii="Times New Roman" w:hAnsi="Times New Roman"/>
                <w:sz w:val="24"/>
                <w:szCs w:val="24"/>
              </w:rPr>
              <w:t>mu Nr.523 punkt</w:t>
            </w:r>
            <w:r w:rsidR="0079095F" w:rsidRPr="00366BBD">
              <w:rPr>
                <w:rFonts w:ascii="Times New Roman" w:hAnsi="Times New Roman"/>
                <w:sz w:val="24"/>
                <w:szCs w:val="24"/>
              </w:rPr>
              <w:t xml:space="preserve">os </w:t>
            </w:r>
            <w:r w:rsidR="00C12860" w:rsidRPr="00366BBD">
              <w:rPr>
                <w:rFonts w:ascii="Times New Roman" w:hAnsi="Times New Roman"/>
                <w:sz w:val="24"/>
                <w:szCs w:val="24"/>
              </w:rPr>
              <w:t xml:space="preserve">un pielikumos: </w:t>
            </w:r>
          </w:p>
          <w:p w:rsidR="009F6090" w:rsidRPr="00366BBD" w:rsidRDefault="009F6090" w:rsidP="00C12860">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A</w:t>
            </w:r>
            <w:r w:rsidR="00793C7B" w:rsidRPr="00366BBD">
              <w:rPr>
                <w:rFonts w:ascii="Times New Roman" w:hAnsi="Times New Roman"/>
                <w:sz w:val="24"/>
                <w:szCs w:val="24"/>
              </w:rPr>
              <w:t>ttiecībā uz nosacījumiem informācijas sniegšanai par jaunajām politikas iniciatīvām</w:t>
            </w:r>
            <w:r w:rsidRPr="00366BBD">
              <w:rPr>
                <w:rFonts w:ascii="Times New Roman" w:hAnsi="Times New Roman"/>
                <w:sz w:val="24"/>
                <w:szCs w:val="24"/>
              </w:rPr>
              <w:t>:</w:t>
            </w:r>
          </w:p>
          <w:p w:rsidR="00282978" w:rsidRPr="00366BBD" w:rsidRDefault="00282978" w:rsidP="009F6090">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793C7B" w:rsidRPr="00366BBD">
              <w:rPr>
                <w:rFonts w:ascii="Times New Roman" w:hAnsi="Times New Roman"/>
                <w:sz w:val="24"/>
                <w:szCs w:val="24"/>
              </w:rPr>
              <w:t>isā noteikumu tekstā un pielikumos ir svītrota vārdkopa “prioritārie pasākumi” dažādos locījumos</w:t>
            </w:r>
            <w:r w:rsidRPr="00366BBD">
              <w:rPr>
                <w:rFonts w:ascii="Times New Roman" w:hAnsi="Times New Roman"/>
                <w:sz w:val="24"/>
                <w:szCs w:val="24"/>
              </w:rPr>
              <w:t>.</w:t>
            </w:r>
            <w:r w:rsidR="00793C7B" w:rsidRPr="00366BBD">
              <w:rPr>
                <w:rFonts w:ascii="Times New Roman" w:hAnsi="Times New Roman"/>
                <w:sz w:val="24"/>
                <w:szCs w:val="24"/>
              </w:rPr>
              <w:t xml:space="preserve"> </w:t>
            </w:r>
          </w:p>
          <w:p w:rsidR="00282978" w:rsidRPr="00366BBD" w:rsidRDefault="00282978" w:rsidP="009F6090">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I</w:t>
            </w:r>
            <w:r w:rsidR="00793C7B" w:rsidRPr="00366BBD">
              <w:rPr>
                <w:rFonts w:ascii="Times New Roman" w:hAnsi="Times New Roman"/>
                <w:sz w:val="24"/>
                <w:szCs w:val="24"/>
              </w:rPr>
              <w:t xml:space="preserve">r </w:t>
            </w:r>
            <w:r w:rsidRPr="00366BBD">
              <w:rPr>
                <w:rFonts w:ascii="Times New Roman" w:hAnsi="Times New Roman"/>
                <w:sz w:val="24"/>
                <w:szCs w:val="24"/>
              </w:rPr>
              <w:t xml:space="preserve">būtiski </w:t>
            </w:r>
            <w:r w:rsidR="00C12860" w:rsidRPr="00366BBD">
              <w:rPr>
                <w:rFonts w:ascii="Times New Roman" w:hAnsi="Times New Roman"/>
                <w:sz w:val="24"/>
                <w:szCs w:val="24"/>
              </w:rPr>
              <w:t>precizēta veidlapa Nr.</w:t>
            </w:r>
            <w:r w:rsidR="00793C7B" w:rsidRPr="00366BBD">
              <w:rPr>
                <w:rFonts w:ascii="Times New Roman" w:hAnsi="Times New Roman"/>
                <w:sz w:val="24"/>
                <w:szCs w:val="24"/>
              </w:rPr>
              <w:t>8</w:t>
            </w:r>
            <w:r w:rsidRPr="00366BBD">
              <w:rPr>
                <w:rFonts w:ascii="Times New Roman" w:hAnsi="Times New Roman"/>
                <w:sz w:val="24"/>
                <w:szCs w:val="24"/>
              </w:rPr>
              <w:t>:</w:t>
            </w:r>
          </w:p>
          <w:p w:rsidR="00282978" w:rsidRPr="00366BBD" w:rsidRDefault="00282978" w:rsidP="00282978">
            <w:pPr>
              <w:numPr>
                <w:ilvl w:val="2"/>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Veidlapa sastāv no 13 kolon</w:t>
            </w:r>
            <w:r w:rsidR="00E05BD6">
              <w:rPr>
                <w:rFonts w:ascii="Times New Roman" w:hAnsi="Times New Roman"/>
                <w:sz w:val="24"/>
                <w:szCs w:val="24"/>
              </w:rPr>
              <w:t>n</w:t>
            </w:r>
            <w:r w:rsidRPr="00366BBD">
              <w:rPr>
                <w:rFonts w:ascii="Times New Roman" w:hAnsi="Times New Roman"/>
                <w:sz w:val="24"/>
                <w:szCs w:val="24"/>
              </w:rPr>
              <w:t>ām iepriekšējo 8 kolon</w:t>
            </w:r>
            <w:r w:rsidR="00836BD2">
              <w:rPr>
                <w:rFonts w:ascii="Times New Roman" w:hAnsi="Times New Roman"/>
                <w:sz w:val="24"/>
                <w:szCs w:val="24"/>
              </w:rPr>
              <w:t>n</w:t>
            </w:r>
            <w:r w:rsidRPr="00366BBD">
              <w:rPr>
                <w:rFonts w:ascii="Times New Roman" w:hAnsi="Times New Roman"/>
                <w:sz w:val="24"/>
                <w:szCs w:val="24"/>
              </w:rPr>
              <w:t>u vietā.</w:t>
            </w:r>
          </w:p>
          <w:p w:rsidR="00282978" w:rsidRPr="00366BBD" w:rsidRDefault="00282978" w:rsidP="00282978">
            <w:pPr>
              <w:numPr>
                <w:ilvl w:val="2"/>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lastRenderedPageBreak/>
              <w:t>Veidlapā kā līdz šim ir jānorāda programmas (apakšprogrammas) kods un nosaukums, pamatojums jaunās politikas iniciatīvas apstiprināšanai, jaunās politikas iniciatīvas nosaukums, ka arī jaunajām politikas iniciatīvām atbalstītais finansējums trim gadiem sadalījumā pa ekonomiskās klasifikācijas kodiem, norādot tikai koda numuru.</w:t>
            </w:r>
          </w:p>
          <w:p w:rsidR="00282978" w:rsidRPr="00366BBD" w:rsidRDefault="00282978" w:rsidP="00445339">
            <w:pPr>
              <w:numPr>
                <w:ilvl w:val="2"/>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 xml:space="preserve">Grozījumi paredz, ka papildus attiecībā uz apstiprinātajam jaunajām politikas iniciatīvām ir </w:t>
            </w:r>
            <w:r w:rsidR="00600CC8" w:rsidRPr="00366BBD">
              <w:rPr>
                <w:rFonts w:ascii="Times New Roman" w:hAnsi="Times New Roman"/>
                <w:sz w:val="24"/>
                <w:szCs w:val="24"/>
              </w:rPr>
              <w:t xml:space="preserve">jāsniedz informācija par jaunās politikas iniciatīvas atbilstību Nacionālā attīstības plāna prioritātei, Valsts aizsardzības koncepcijai vai </w:t>
            </w:r>
            <w:r w:rsidR="00E2733A" w:rsidRPr="00366BBD">
              <w:rPr>
                <w:rFonts w:ascii="Times New Roman" w:hAnsi="Times New Roman"/>
                <w:sz w:val="24"/>
                <w:szCs w:val="24"/>
              </w:rPr>
              <w:t xml:space="preserve">atbilstība pārējiem, ja jaunā politikas iniciatīva neatbilst Nacionālam attīstības plānam, Valsts aizsardzības koncepcijai vai arī ir </w:t>
            </w:r>
            <w:r w:rsidR="00600CC8" w:rsidRPr="00366BBD">
              <w:rPr>
                <w:rFonts w:ascii="Times New Roman" w:hAnsi="Times New Roman"/>
                <w:sz w:val="24"/>
                <w:szCs w:val="24"/>
              </w:rPr>
              <w:t>administr</w:t>
            </w:r>
            <w:r w:rsidR="00E2733A" w:rsidRPr="00366BBD">
              <w:rPr>
                <w:rFonts w:ascii="Times New Roman" w:hAnsi="Times New Roman"/>
                <w:sz w:val="24"/>
                <w:szCs w:val="24"/>
              </w:rPr>
              <w:t>atīvās kapacitātes stiprināšanas pasākums</w:t>
            </w:r>
            <w:r w:rsidR="00D96EA7" w:rsidRPr="00366BBD">
              <w:rPr>
                <w:rFonts w:ascii="Times New Roman" w:hAnsi="Times New Roman"/>
                <w:sz w:val="24"/>
                <w:szCs w:val="24"/>
              </w:rPr>
              <w:t>.</w:t>
            </w:r>
          </w:p>
          <w:p w:rsidR="00C12860" w:rsidRPr="00366BBD" w:rsidRDefault="00282978" w:rsidP="00282978">
            <w:pPr>
              <w:numPr>
                <w:ilvl w:val="1"/>
                <w:numId w:val="15"/>
              </w:numPr>
              <w:spacing w:after="0" w:line="240" w:lineRule="auto"/>
              <w:ind w:right="79"/>
              <w:contextualSpacing/>
              <w:jc w:val="both"/>
              <w:rPr>
                <w:rFonts w:ascii="Times New Roman" w:hAnsi="Times New Roman"/>
                <w:sz w:val="24"/>
                <w:szCs w:val="24"/>
              </w:rPr>
            </w:pPr>
            <w:r w:rsidRPr="005B6A6C">
              <w:rPr>
                <w:rFonts w:ascii="Times New Roman" w:hAnsi="Times New Roman"/>
                <w:sz w:val="24"/>
                <w:szCs w:val="24"/>
              </w:rPr>
              <w:t>I</w:t>
            </w:r>
            <w:r w:rsidR="00600CC8" w:rsidRPr="005B6A6C">
              <w:rPr>
                <w:rFonts w:ascii="Times New Roman" w:hAnsi="Times New Roman"/>
                <w:sz w:val="24"/>
                <w:szCs w:val="24"/>
              </w:rPr>
              <w:t xml:space="preserve">r noteikts jauns nosacījums </w:t>
            </w:r>
            <w:r w:rsidRPr="005B6A6C">
              <w:rPr>
                <w:rFonts w:ascii="Times New Roman" w:hAnsi="Times New Roman"/>
                <w:sz w:val="24"/>
                <w:szCs w:val="24"/>
              </w:rPr>
              <w:t xml:space="preserve">ministrijām par informācijas sniegšanu </w:t>
            </w:r>
            <w:r w:rsidR="00600CC8" w:rsidRPr="005B6A6C">
              <w:rPr>
                <w:rFonts w:ascii="Times New Roman" w:hAnsi="Times New Roman"/>
                <w:sz w:val="24"/>
                <w:szCs w:val="24"/>
              </w:rPr>
              <w:t xml:space="preserve">par </w:t>
            </w:r>
            <w:r w:rsidR="005B6A6C" w:rsidRPr="005B6A6C">
              <w:rPr>
                <w:rFonts w:ascii="Times New Roman" w:hAnsi="Times New Roman"/>
                <w:sz w:val="24"/>
                <w:szCs w:val="24"/>
              </w:rPr>
              <w:t>t</w:t>
            </w:r>
            <w:r w:rsidR="005B6A6C" w:rsidRPr="00302171">
              <w:rPr>
                <w:rFonts w:ascii="Times New Roman" w:hAnsi="Times New Roman"/>
                <w:sz w:val="24"/>
                <w:szCs w:val="24"/>
              </w:rPr>
              <w:t xml:space="preserve">ām </w:t>
            </w:r>
            <w:r w:rsidR="00600CC8" w:rsidRPr="0091015F">
              <w:rPr>
                <w:rFonts w:ascii="Times New Roman" w:hAnsi="Times New Roman"/>
                <w:sz w:val="24"/>
                <w:szCs w:val="24"/>
              </w:rPr>
              <w:t>jaunajām politikas iniciatīvām</w:t>
            </w:r>
            <w:r w:rsidR="005B6A6C" w:rsidRPr="0091015F">
              <w:rPr>
                <w:rFonts w:ascii="Times New Roman" w:hAnsi="Times New Roman"/>
                <w:sz w:val="24"/>
                <w:szCs w:val="24"/>
              </w:rPr>
              <w:t xml:space="preserve">, </w:t>
            </w:r>
            <w:r w:rsidR="005B6A6C" w:rsidRPr="00461C49">
              <w:rPr>
                <w:rFonts w:ascii="Times New Roman" w:hAnsi="Times New Roman"/>
                <w:sz w:val="24"/>
                <w:szCs w:val="24"/>
              </w:rPr>
              <w:t xml:space="preserve">kuras apstiprinātas </w:t>
            </w:r>
            <w:r w:rsidR="002848C4" w:rsidRPr="00461C49">
              <w:rPr>
                <w:rFonts w:ascii="Times New Roman" w:hAnsi="Times New Roman"/>
                <w:sz w:val="24"/>
                <w:szCs w:val="24"/>
              </w:rPr>
              <w:t xml:space="preserve">papildus </w:t>
            </w:r>
            <w:r w:rsidR="005B6A6C" w:rsidRPr="00461C49">
              <w:rPr>
                <w:rFonts w:ascii="Times New Roman" w:hAnsi="Times New Roman"/>
                <w:sz w:val="24"/>
                <w:szCs w:val="24"/>
              </w:rPr>
              <w:t>vai kurās veiktas izmaiņas</w:t>
            </w:r>
            <w:r w:rsidR="001823D8" w:rsidRPr="005B6A6C">
              <w:rPr>
                <w:rFonts w:ascii="Times New Roman" w:hAnsi="Times New Roman"/>
                <w:sz w:val="24"/>
                <w:szCs w:val="24"/>
              </w:rPr>
              <w:t xml:space="preserve"> </w:t>
            </w:r>
            <w:r w:rsidR="005B6A6C" w:rsidRPr="005B6A6C">
              <w:rPr>
                <w:rFonts w:ascii="Times New Roman" w:hAnsi="Times New Roman"/>
                <w:sz w:val="24"/>
                <w:szCs w:val="24"/>
              </w:rPr>
              <w:t>otrajā lasījumā</w:t>
            </w:r>
            <w:r w:rsidR="00F54E8A">
              <w:rPr>
                <w:rFonts w:ascii="Times New Roman" w:hAnsi="Times New Roman"/>
                <w:sz w:val="24"/>
                <w:szCs w:val="24"/>
              </w:rPr>
              <w:t xml:space="preserve"> Saeimā</w:t>
            </w:r>
            <w:r w:rsidR="005B6A6C">
              <w:rPr>
                <w:rFonts w:ascii="Times New Roman" w:hAnsi="Times New Roman"/>
                <w:sz w:val="24"/>
                <w:szCs w:val="24"/>
              </w:rPr>
              <w:t>,</w:t>
            </w:r>
            <w:r w:rsidR="005B6A6C" w:rsidRPr="005B6A6C">
              <w:rPr>
                <w:rFonts w:ascii="Times New Roman" w:hAnsi="Times New Roman"/>
                <w:sz w:val="24"/>
                <w:szCs w:val="24"/>
              </w:rPr>
              <w:t xml:space="preserve"> </w:t>
            </w:r>
            <w:r w:rsidR="001823D8" w:rsidRPr="00366BBD">
              <w:rPr>
                <w:rFonts w:ascii="Times New Roman" w:hAnsi="Times New Roman"/>
                <w:sz w:val="24"/>
                <w:szCs w:val="24"/>
              </w:rPr>
              <w:t>pēc tam, kad pieņemts gadskārtējais valsts budžeta likums un vidēja termiņa budžeta ietvara likums, nosakot termiņu ne garāku par septiņām darba dienām</w:t>
            </w:r>
            <w:r w:rsidRPr="00366BBD">
              <w:rPr>
                <w:rFonts w:ascii="Times New Roman" w:hAnsi="Times New Roman"/>
                <w:sz w:val="24"/>
                <w:szCs w:val="24"/>
              </w:rPr>
              <w:t>, norādot, ka par jauno politikas iniciatīvu, kas apstiprināta Saeimā otrajā lasījumā, ir uzskatāms pasākums, kuram ir atbalstīts finansējums vismaz n+1, n+2 un n+3 gadiem, ir atbilstība Nacionālajam attīstības plānam, Valsts aizsardzības koncepcijai, citam plānošanas dokumentam, vai tas ir pasākums administratīvās kapacitātes stiprināšanai</w:t>
            </w:r>
            <w:r w:rsidR="0046130E" w:rsidRPr="00366BBD">
              <w:rPr>
                <w:rFonts w:ascii="Times New Roman" w:hAnsi="Times New Roman"/>
                <w:sz w:val="24"/>
                <w:szCs w:val="24"/>
              </w:rPr>
              <w:t>.</w:t>
            </w:r>
          </w:p>
          <w:p w:rsidR="00787595" w:rsidRPr="00366BBD" w:rsidRDefault="00282978" w:rsidP="00C12860">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A</w:t>
            </w:r>
            <w:r w:rsidR="00ED4050" w:rsidRPr="00366BBD">
              <w:rPr>
                <w:rFonts w:ascii="Times New Roman" w:hAnsi="Times New Roman"/>
                <w:sz w:val="24"/>
                <w:szCs w:val="24"/>
              </w:rPr>
              <w:t xml:space="preserve">ttiecībā uz informācijas sniegšanu par </w:t>
            </w:r>
            <w:r w:rsidR="0079095F" w:rsidRPr="00366BBD">
              <w:rPr>
                <w:rFonts w:ascii="Times New Roman" w:hAnsi="Times New Roman"/>
                <w:sz w:val="24"/>
                <w:szCs w:val="24"/>
              </w:rPr>
              <w:t xml:space="preserve">valsts pamatbudžeta un valsts speciālā budžeta </w:t>
            </w:r>
            <w:r w:rsidR="00ED4050" w:rsidRPr="00366BBD">
              <w:rPr>
                <w:rFonts w:ascii="Times New Roman" w:hAnsi="Times New Roman"/>
                <w:sz w:val="24"/>
                <w:szCs w:val="24"/>
              </w:rPr>
              <w:t>ilgtermiņa saistībām</w:t>
            </w:r>
            <w:r w:rsidR="00787595" w:rsidRPr="00366BBD">
              <w:rPr>
                <w:rFonts w:ascii="Times New Roman" w:hAnsi="Times New Roman"/>
                <w:sz w:val="24"/>
                <w:szCs w:val="24"/>
              </w:rPr>
              <w:t>:</w:t>
            </w:r>
          </w:p>
          <w:p w:rsidR="00787595" w:rsidRPr="00366BBD" w:rsidRDefault="00787595" w:rsidP="00787595">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 xml:space="preserve">MK noteikumi Nr.523 ir papildināti ar punktiem, kas nosaka, ka </w:t>
            </w:r>
            <w:r w:rsidR="00ED4050" w:rsidRPr="00366BBD">
              <w:rPr>
                <w:rFonts w:ascii="Times New Roman" w:hAnsi="Times New Roman"/>
                <w:sz w:val="24"/>
                <w:szCs w:val="24"/>
              </w:rPr>
              <w:t xml:space="preserve">gadījumos, ja ministrijai ir plānotas saistības </w:t>
            </w:r>
            <w:r w:rsidR="00ED4050" w:rsidRPr="00366BBD">
              <w:rPr>
                <w:rFonts w:ascii="Times New Roman" w:hAnsi="Times New Roman"/>
                <w:sz w:val="24"/>
                <w:szCs w:val="24"/>
                <w:lang w:eastAsia="lv-LV"/>
              </w:rPr>
              <w:t xml:space="preserve">tādiem projektiem un pasākumiem, par kuru īstenošanu ir pieņemts </w:t>
            </w:r>
            <w:r w:rsidRPr="00366BBD">
              <w:rPr>
                <w:rFonts w:ascii="Times New Roman" w:hAnsi="Times New Roman"/>
                <w:sz w:val="24"/>
                <w:szCs w:val="24"/>
                <w:lang w:eastAsia="lv-LV"/>
              </w:rPr>
              <w:t xml:space="preserve">MK </w:t>
            </w:r>
            <w:r w:rsidR="00ED4050" w:rsidRPr="00366BBD">
              <w:rPr>
                <w:rFonts w:ascii="Times New Roman" w:hAnsi="Times New Roman"/>
                <w:sz w:val="24"/>
                <w:szCs w:val="24"/>
                <w:lang w:eastAsia="lv-LV"/>
              </w:rPr>
              <w:t xml:space="preserve">lēmums, kuriem ir noteikts terminēts īstenošanas laiks un kuri nav Eiropas Savienības politiku instrumentu un pārējās ārvalstu </w:t>
            </w:r>
            <w:r w:rsidR="006D2DD5" w:rsidRPr="00366BBD">
              <w:rPr>
                <w:rFonts w:ascii="Times New Roman" w:hAnsi="Times New Roman"/>
                <w:sz w:val="24"/>
                <w:szCs w:val="24"/>
                <w:lang w:eastAsia="lv-LV"/>
              </w:rPr>
              <w:t>finanšu palīdzības līdzfinansētie</w:t>
            </w:r>
            <w:r w:rsidR="00ED4050" w:rsidRPr="00366BBD">
              <w:rPr>
                <w:rFonts w:ascii="Times New Roman" w:hAnsi="Times New Roman"/>
                <w:sz w:val="24"/>
                <w:szCs w:val="24"/>
                <w:lang w:eastAsia="lv-LV"/>
              </w:rPr>
              <w:t xml:space="preserve"> projekti un pasākumi, ministrija SAP sniedz informāciju par ilgtermiņa </w:t>
            </w:r>
            <w:r w:rsidR="00ED4050" w:rsidRPr="00366BBD">
              <w:rPr>
                <w:rFonts w:ascii="Times New Roman" w:hAnsi="Times New Roman"/>
                <w:sz w:val="24"/>
                <w:szCs w:val="24"/>
              </w:rPr>
              <w:t xml:space="preserve">saistībām arī n+4 līdz n+14 gadam un tālākā laika posmā līdz projekta īstenošanai, ja saistības turpinās pēc n+14 gada, kā pamatojumu norādot attiecīgo </w:t>
            </w:r>
            <w:r w:rsidRPr="00366BBD">
              <w:rPr>
                <w:rFonts w:ascii="Times New Roman" w:hAnsi="Times New Roman"/>
                <w:sz w:val="24"/>
                <w:szCs w:val="24"/>
              </w:rPr>
              <w:t xml:space="preserve">MK </w:t>
            </w:r>
            <w:r w:rsidR="00ED4050" w:rsidRPr="00366BBD">
              <w:rPr>
                <w:rFonts w:ascii="Times New Roman" w:hAnsi="Times New Roman"/>
                <w:sz w:val="24"/>
                <w:szCs w:val="24"/>
              </w:rPr>
              <w:t>lēmumu</w:t>
            </w:r>
            <w:r w:rsidRPr="00366BBD">
              <w:rPr>
                <w:rFonts w:ascii="Times New Roman" w:hAnsi="Times New Roman"/>
                <w:sz w:val="24"/>
                <w:szCs w:val="24"/>
              </w:rPr>
              <w:t>.</w:t>
            </w:r>
            <w:r w:rsidR="002D4C38">
              <w:rPr>
                <w:rFonts w:ascii="Times New Roman" w:eastAsia="Times New Roman" w:hAnsi="Times New Roman"/>
                <w:sz w:val="20"/>
                <w:szCs w:val="20"/>
                <w:lang w:eastAsia="lv-LV"/>
              </w:rPr>
              <w:t xml:space="preserve"> </w:t>
            </w:r>
            <w:r w:rsidR="002D4C38" w:rsidRPr="002D4C38">
              <w:rPr>
                <w:rFonts w:ascii="Times New Roman" w:eastAsia="Times New Roman" w:hAnsi="Times New Roman"/>
                <w:sz w:val="24"/>
                <w:szCs w:val="24"/>
                <w:lang w:eastAsia="lv-LV"/>
              </w:rPr>
              <w:t>Nepieciešamās izmaiņas SAP sistēmas funkcionalitātē jau ir veiktas.</w:t>
            </w:r>
          </w:p>
          <w:p w:rsidR="00600CC8" w:rsidRPr="00366BBD" w:rsidRDefault="00787595" w:rsidP="00787595">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 xml:space="preserve">MK noteikumos Nr.523 ir </w:t>
            </w:r>
            <w:r w:rsidR="009507F8" w:rsidRPr="00366BBD">
              <w:rPr>
                <w:rFonts w:ascii="Times New Roman" w:hAnsi="Times New Roman"/>
                <w:sz w:val="24"/>
                <w:szCs w:val="24"/>
              </w:rPr>
              <w:t>precizēts, ka informācija par ilgtermiņa saistībā</w:t>
            </w:r>
            <w:r w:rsidRPr="00366BBD">
              <w:rPr>
                <w:rFonts w:ascii="Times New Roman" w:hAnsi="Times New Roman"/>
                <w:sz w:val="24"/>
                <w:szCs w:val="24"/>
              </w:rPr>
              <w:t>m</w:t>
            </w:r>
            <w:r w:rsidR="009507F8" w:rsidRPr="00366BBD">
              <w:rPr>
                <w:rFonts w:ascii="Times New Roman" w:hAnsi="Times New Roman"/>
                <w:sz w:val="24"/>
                <w:szCs w:val="24"/>
              </w:rPr>
              <w:t xml:space="preserve"> n+4 līdz n+14 gadiem un tālākā laika posmā līdz projekta īstenošanai, ja saistības turpinās pēc n+14 gada, </w:t>
            </w:r>
            <w:r w:rsidR="008E2B4C" w:rsidRPr="00366BBD">
              <w:rPr>
                <w:rFonts w:ascii="Times New Roman" w:hAnsi="Times New Roman"/>
                <w:sz w:val="24"/>
                <w:szCs w:val="24"/>
              </w:rPr>
              <w:t xml:space="preserve">ir jānorāda tikai SAP un </w:t>
            </w:r>
            <w:r w:rsidR="009507F8" w:rsidRPr="00366BBD">
              <w:rPr>
                <w:rFonts w:ascii="Times New Roman" w:hAnsi="Times New Roman"/>
                <w:sz w:val="24"/>
                <w:szCs w:val="24"/>
              </w:rPr>
              <w:t xml:space="preserve">nav jāiesniedz </w:t>
            </w:r>
            <w:r w:rsidR="008E2B4C" w:rsidRPr="00366BBD">
              <w:rPr>
                <w:rFonts w:ascii="Times New Roman" w:hAnsi="Times New Roman"/>
                <w:sz w:val="24"/>
                <w:szCs w:val="24"/>
              </w:rPr>
              <w:t xml:space="preserve">Finanšu ministrijā </w:t>
            </w:r>
            <w:r w:rsidR="009507F8" w:rsidRPr="00366BBD">
              <w:rPr>
                <w:rFonts w:ascii="Times New Roman" w:hAnsi="Times New Roman"/>
                <w:sz w:val="24"/>
                <w:szCs w:val="24"/>
              </w:rPr>
              <w:t>papīra formātā</w:t>
            </w:r>
            <w:r w:rsidRPr="00366BBD">
              <w:rPr>
                <w:rFonts w:ascii="Times New Roman" w:hAnsi="Times New Roman"/>
                <w:sz w:val="24"/>
                <w:szCs w:val="24"/>
              </w:rPr>
              <w:t>.</w:t>
            </w:r>
          </w:p>
          <w:p w:rsidR="00DE4DA7" w:rsidRDefault="00DE4DA7" w:rsidP="00C12860">
            <w:pPr>
              <w:numPr>
                <w:ilvl w:val="0"/>
                <w:numId w:val="15"/>
              </w:numPr>
              <w:spacing w:after="0" w:line="240" w:lineRule="auto"/>
              <w:ind w:right="79"/>
              <w:contextualSpacing/>
              <w:jc w:val="both"/>
              <w:rPr>
                <w:rFonts w:ascii="Times New Roman" w:hAnsi="Times New Roman"/>
                <w:sz w:val="24"/>
                <w:szCs w:val="24"/>
              </w:rPr>
            </w:pPr>
            <w:r>
              <w:rPr>
                <w:rFonts w:ascii="Times New Roman" w:hAnsi="Times New Roman"/>
                <w:sz w:val="24"/>
                <w:szCs w:val="24"/>
              </w:rPr>
              <w:t>MK noteikumi Nr.523 ir papildināti ar punktu, kas nosaka, kādos gadījumos var grozīt valsts budžeta ilgtermiņa saistības SAP.</w:t>
            </w:r>
          </w:p>
          <w:p w:rsidR="00074509" w:rsidRPr="00366BBD" w:rsidRDefault="00176567" w:rsidP="00C12860">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1823D8" w:rsidRPr="00366BBD">
              <w:rPr>
                <w:rFonts w:ascii="Times New Roman" w:hAnsi="Times New Roman"/>
                <w:sz w:val="24"/>
                <w:szCs w:val="24"/>
              </w:rPr>
              <w:t>eidlapā Nr.4(</w:t>
            </w:r>
            <w:proofErr w:type="spellStart"/>
            <w:r w:rsidR="001823D8" w:rsidRPr="00366BBD">
              <w:rPr>
                <w:rFonts w:ascii="Times New Roman" w:hAnsi="Times New Roman"/>
                <w:sz w:val="24"/>
                <w:szCs w:val="24"/>
              </w:rPr>
              <w:t>pb</w:t>
            </w:r>
            <w:proofErr w:type="spellEnd"/>
            <w:r w:rsidR="001823D8" w:rsidRPr="00366BBD">
              <w:rPr>
                <w:rFonts w:ascii="Times New Roman" w:hAnsi="Times New Roman"/>
                <w:sz w:val="24"/>
                <w:szCs w:val="24"/>
              </w:rPr>
              <w:t xml:space="preserve">) </w:t>
            </w:r>
            <w:r w:rsidR="008652B2" w:rsidRPr="00366BBD">
              <w:rPr>
                <w:rFonts w:ascii="Times New Roman" w:hAnsi="Times New Roman"/>
                <w:sz w:val="24"/>
                <w:szCs w:val="24"/>
              </w:rPr>
              <w:t>“</w:t>
            </w:r>
            <w:r w:rsidR="008652B2" w:rsidRPr="00366BBD">
              <w:rPr>
                <w:rFonts w:ascii="Times New Roman" w:eastAsia="Times New Roman" w:hAnsi="Times New Roman"/>
                <w:bCs/>
                <w:sz w:val="24"/>
                <w:szCs w:val="24"/>
                <w:lang w:eastAsia="lv-LV"/>
              </w:rPr>
              <w:t>Valsts pamatbudžeta ilgtermiņa saistības”</w:t>
            </w:r>
            <w:r w:rsidR="008652B2" w:rsidRPr="00366BBD">
              <w:rPr>
                <w:rFonts w:ascii="Times New Roman" w:hAnsi="Times New Roman"/>
                <w:sz w:val="24"/>
                <w:szCs w:val="24"/>
              </w:rPr>
              <w:t xml:space="preserve"> </w:t>
            </w:r>
            <w:r w:rsidR="001823D8" w:rsidRPr="00366BBD">
              <w:rPr>
                <w:rFonts w:ascii="Times New Roman" w:hAnsi="Times New Roman"/>
                <w:sz w:val="24"/>
                <w:szCs w:val="24"/>
              </w:rPr>
              <w:t>un veidlapā Nr.4(</w:t>
            </w:r>
            <w:proofErr w:type="spellStart"/>
            <w:r w:rsidR="001823D8" w:rsidRPr="00366BBD">
              <w:rPr>
                <w:rFonts w:ascii="Times New Roman" w:hAnsi="Times New Roman"/>
                <w:sz w:val="24"/>
                <w:szCs w:val="24"/>
              </w:rPr>
              <w:t>sb</w:t>
            </w:r>
            <w:proofErr w:type="spellEnd"/>
            <w:r w:rsidR="001823D8" w:rsidRPr="00366BBD">
              <w:rPr>
                <w:rFonts w:ascii="Times New Roman" w:hAnsi="Times New Roman"/>
                <w:sz w:val="24"/>
                <w:szCs w:val="24"/>
              </w:rPr>
              <w:t xml:space="preserve">) </w:t>
            </w:r>
            <w:r w:rsidR="008652B2" w:rsidRPr="00366BBD">
              <w:rPr>
                <w:rFonts w:ascii="Times New Roman" w:hAnsi="Times New Roman"/>
                <w:sz w:val="24"/>
                <w:szCs w:val="24"/>
              </w:rPr>
              <w:t>“</w:t>
            </w:r>
            <w:r w:rsidR="008652B2" w:rsidRPr="00366BBD">
              <w:rPr>
                <w:rFonts w:ascii="Times New Roman" w:hAnsi="Times New Roman"/>
                <w:bCs/>
                <w:sz w:val="24"/>
                <w:szCs w:val="24"/>
                <w:lang w:eastAsia="lv-LV"/>
              </w:rPr>
              <w:t>Valsts speciālā budžeta ilgtermiņa saistības”</w:t>
            </w:r>
            <w:r w:rsidR="008652B2" w:rsidRPr="00366BBD">
              <w:rPr>
                <w:rFonts w:ascii="Times New Roman" w:hAnsi="Times New Roman"/>
                <w:sz w:val="24"/>
                <w:szCs w:val="24"/>
              </w:rPr>
              <w:t xml:space="preserve"> </w:t>
            </w:r>
            <w:r w:rsidR="001823D8" w:rsidRPr="00366BBD">
              <w:rPr>
                <w:rFonts w:ascii="Times New Roman" w:hAnsi="Times New Roman"/>
                <w:sz w:val="24"/>
                <w:szCs w:val="24"/>
              </w:rPr>
              <w:t>ir svītrota kolon</w:t>
            </w:r>
            <w:r w:rsidR="00E05BD6">
              <w:rPr>
                <w:rFonts w:ascii="Times New Roman" w:hAnsi="Times New Roman"/>
                <w:sz w:val="24"/>
                <w:szCs w:val="24"/>
              </w:rPr>
              <w:t>n</w:t>
            </w:r>
            <w:r w:rsidR="001823D8" w:rsidRPr="00366BBD">
              <w:rPr>
                <w:rFonts w:ascii="Times New Roman" w:hAnsi="Times New Roman"/>
                <w:sz w:val="24"/>
                <w:szCs w:val="24"/>
              </w:rPr>
              <w:t xml:space="preserve">a </w:t>
            </w:r>
            <w:r w:rsidR="000104D1" w:rsidRPr="00366BBD">
              <w:rPr>
                <w:rFonts w:ascii="Times New Roman" w:hAnsi="Times New Roman"/>
                <w:sz w:val="24"/>
                <w:szCs w:val="24"/>
              </w:rPr>
              <w:t>“</w:t>
            </w:r>
            <w:r w:rsidR="001823D8" w:rsidRPr="00366BBD">
              <w:rPr>
                <w:rFonts w:ascii="Times New Roman" w:hAnsi="Times New Roman"/>
                <w:sz w:val="24"/>
                <w:szCs w:val="24"/>
              </w:rPr>
              <w:t>Resursu kods”</w:t>
            </w:r>
            <w:r w:rsidR="000104D1" w:rsidRPr="00366BBD">
              <w:rPr>
                <w:rFonts w:ascii="Times New Roman" w:hAnsi="Times New Roman"/>
                <w:sz w:val="24"/>
                <w:szCs w:val="24"/>
              </w:rPr>
              <w:t>.</w:t>
            </w:r>
          </w:p>
          <w:p w:rsidR="006639BD" w:rsidRPr="00366BBD" w:rsidRDefault="000104D1" w:rsidP="00C12860">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Ve</w:t>
            </w:r>
            <w:r w:rsidR="00E564C2" w:rsidRPr="00366BBD">
              <w:rPr>
                <w:rFonts w:ascii="Times New Roman" w:hAnsi="Times New Roman"/>
                <w:sz w:val="24"/>
                <w:szCs w:val="24"/>
              </w:rPr>
              <w:t>idlapās Nr.7(</w:t>
            </w:r>
            <w:proofErr w:type="spellStart"/>
            <w:r w:rsidR="00E564C2" w:rsidRPr="00366BBD">
              <w:rPr>
                <w:rFonts w:ascii="Times New Roman" w:hAnsi="Times New Roman"/>
                <w:sz w:val="24"/>
                <w:szCs w:val="24"/>
              </w:rPr>
              <w:t>pb</w:t>
            </w:r>
            <w:proofErr w:type="spellEnd"/>
            <w:r w:rsidR="00E564C2" w:rsidRPr="00366BBD">
              <w:rPr>
                <w:rFonts w:ascii="Times New Roman" w:hAnsi="Times New Roman"/>
                <w:sz w:val="24"/>
                <w:szCs w:val="24"/>
              </w:rPr>
              <w:t xml:space="preserve">) </w:t>
            </w:r>
            <w:r w:rsidR="00B74771" w:rsidRPr="00366BBD">
              <w:rPr>
                <w:rFonts w:ascii="Times New Roman" w:hAnsi="Times New Roman"/>
                <w:sz w:val="24"/>
                <w:szCs w:val="24"/>
              </w:rPr>
              <w:t>“</w:t>
            </w:r>
            <w:r w:rsidR="00B74771" w:rsidRPr="00366BBD">
              <w:rPr>
                <w:rFonts w:ascii="Times New Roman" w:eastAsia="Times New Roman" w:hAnsi="Times New Roman"/>
                <w:bCs/>
                <w:sz w:val="24"/>
                <w:szCs w:val="24"/>
                <w:lang w:eastAsia="lv-LV"/>
              </w:rPr>
              <w:t>Paskaidrojums par ministrijas (citas centrālās valsts iestādes) valsts pamatbudžeta līdzekļu pieprasījumu vidējam termiņam”</w:t>
            </w:r>
            <w:r w:rsidR="00B74771" w:rsidRPr="00366BBD">
              <w:rPr>
                <w:rFonts w:ascii="Times New Roman" w:hAnsi="Times New Roman"/>
                <w:sz w:val="24"/>
                <w:szCs w:val="24"/>
              </w:rPr>
              <w:t xml:space="preserve"> </w:t>
            </w:r>
            <w:r w:rsidR="00E564C2" w:rsidRPr="00366BBD">
              <w:rPr>
                <w:rFonts w:ascii="Times New Roman" w:hAnsi="Times New Roman"/>
                <w:sz w:val="24"/>
                <w:szCs w:val="24"/>
              </w:rPr>
              <w:t>un Nr.7(</w:t>
            </w:r>
            <w:proofErr w:type="spellStart"/>
            <w:r w:rsidR="00E564C2" w:rsidRPr="00366BBD">
              <w:rPr>
                <w:rFonts w:ascii="Times New Roman" w:hAnsi="Times New Roman"/>
                <w:sz w:val="24"/>
                <w:szCs w:val="24"/>
              </w:rPr>
              <w:t>sb</w:t>
            </w:r>
            <w:proofErr w:type="spellEnd"/>
            <w:r w:rsidR="00E564C2" w:rsidRPr="00366BBD">
              <w:rPr>
                <w:rFonts w:ascii="Times New Roman" w:hAnsi="Times New Roman"/>
                <w:sz w:val="24"/>
                <w:szCs w:val="24"/>
              </w:rPr>
              <w:t xml:space="preserve">) </w:t>
            </w:r>
            <w:r w:rsidR="00B74771" w:rsidRPr="00366BBD">
              <w:rPr>
                <w:rFonts w:ascii="Times New Roman" w:hAnsi="Times New Roman"/>
                <w:sz w:val="24"/>
                <w:szCs w:val="24"/>
              </w:rPr>
              <w:t>“</w:t>
            </w:r>
            <w:r w:rsidR="00B74771" w:rsidRPr="00366BBD">
              <w:rPr>
                <w:rFonts w:ascii="Times New Roman" w:eastAsia="Times New Roman" w:hAnsi="Times New Roman"/>
                <w:bCs/>
                <w:sz w:val="24"/>
                <w:szCs w:val="24"/>
                <w:lang w:eastAsia="lv-LV"/>
              </w:rPr>
              <w:t>Paskaidrojums par ministrijas (citas centrālās valsts iestādes) valsts speciālā budžeta līdzekļu pieprasījumu vidējam termiņam”</w:t>
            </w:r>
            <w:r w:rsidR="00B74771" w:rsidRPr="00366BBD">
              <w:rPr>
                <w:rFonts w:ascii="Times New Roman" w:hAnsi="Times New Roman"/>
                <w:sz w:val="24"/>
                <w:szCs w:val="24"/>
              </w:rPr>
              <w:t xml:space="preserve"> </w:t>
            </w:r>
            <w:r w:rsidR="00E564C2" w:rsidRPr="00366BBD">
              <w:rPr>
                <w:rFonts w:ascii="Times New Roman" w:hAnsi="Times New Roman"/>
                <w:sz w:val="24"/>
                <w:szCs w:val="24"/>
              </w:rPr>
              <w:t>ir precizēta atsauce uz Likuma par budžetu un finanšu vadību 9.panta 13.</w:t>
            </w:r>
            <w:r w:rsidR="00E564C2" w:rsidRPr="00366BBD">
              <w:rPr>
                <w:rFonts w:ascii="Times New Roman" w:hAnsi="Times New Roman"/>
                <w:sz w:val="24"/>
                <w:szCs w:val="24"/>
                <w:vertAlign w:val="superscript"/>
              </w:rPr>
              <w:t>1</w:t>
            </w:r>
            <w:r w:rsidR="00E564C2" w:rsidRPr="00366BBD">
              <w:rPr>
                <w:rFonts w:ascii="Times New Roman" w:hAnsi="Times New Roman"/>
                <w:sz w:val="24"/>
                <w:szCs w:val="24"/>
              </w:rPr>
              <w:t> daļas punktu, paredzot atsauci uz 9.panta 13.</w:t>
            </w:r>
            <w:r w:rsidR="00E564C2" w:rsidRPr="00366BBD">
              <w:rPr>
                <w:rFonts w:ascii="Times New Roman" w:hAnsi="Times New Roman"/>
                <w:sz w:val="24"/>
                <w:szCs w:val="24"/>
                <w:vertAlign w:val="superscript"/>
              </w:rPr>
              <w:t>1</w:t>
            </w:r>
            <w:r w:rsidR="00E564C2" w:rsidRPr="00366BBD">
              <w:rPr>
                <w:rFonts w:ascii="Times New Roman" w:hAnsi="Times New Roman"/>
                <w:sz w:val="24"/>
                <w:szCs w:val="24"/>
              </w:rPr>
              <w:t xml:space="preserve"> daļas pirmo punktu, </w:t>
            </w:r>
            <w:r w:rsidR="00E564C2" w:rsidRPr="00366BBD">
              <w:rPr>
                <w:rFonts w:ascii="Times New Roman" w:hAnsi="Times New Roman"/>
                <w:sz w:val="24"/>
                <w:szCs w:val="24"/>
              </w:rPr>
              <w:lastRenderedPageBreak/>
              <w:t xml:space="preserve">kas nosaka, </w:t>
            </w:r>
            <w:r w:rsidR="00807C1E" w:rsidRPr="00366BBD">
              <w:rPr>
                <w:rFonts w:ascii="Times New Roman" w:hAnsi="Times New Roman"/>
                <w:sz w:val="24"/>
                <w:szCs w:val="24"/>
              </w:rPr>
              <w:t xml:space="preserve">ka </w:t>
            </w:r>
            <w:r w:rsidR="00E564C2" w:rsidRPr="00366BBD">
              <w:rPr>
                <w:rFonts w:ascii="Times New Roman" w:hAnsi="Times New Roman"/>
                <w:sz w:val="24"/>
                <w:szCs w:val="24"/>
              </w:rPr>
              <w:t xml:space="preserve">finanšu ministram ir tiesības, informējot par to Saeimu, veikt apropriācijas izmaiņas starp ministrijām un citām centrālajām valsts iestādēm </w:t>
            </w:r>
            <w:proofErr w:type="spellStart"/>
            <w:r w:rsidR="00E564C2" w:rsidRPr="00366BBD">
              <w:rPr>
                <w:rFonts w:ascii="Times New Roman" w:hAnsi="Times New Roman"/>
                <w:sz w:val="24"/>
                <w:szCs w:val="24"/>
              </w:rPr>
              <w:t>transfertu</w:t>
            </w:r>
            <w:proofErr w:type="spellEnd"/>
            <w:r w:rsidR="00E564C2" w:rsidRPr="00366BBD">
              <w:rPr>
                <w:rFonts w:ascii="Times New Roman" w:hAnsi="Times New Roman"/>
                <w:sz w:val="24"/>
                <w:szCs w:val="24"/>
              </w:rPr>
              <w:t xml:space="preserve"> veikšanai gadskārtējā valsts budžeta izpildes procesā, kā arī valsts budžeta saņemamajiem </w:t>
            </w:r>
            <w:proofErr w:type="spellStart"/>
            <w:r w:rsidR="00E564C2" w:rsidRPr="00366BBD">
              <w:rPr>
                <w:rFonts w:ascii="Times New Roman" w:hAnsi="Times New Roman"/>
                <w:sz w:val="24"/>
                <w:szCs w:val="24"/>
              </w:rPr>
              <w:t>transfertiem</w:t>
            </w:r>
            <w:proofErr w:type="spellEnd"/>
            <w:r w:rsidR="00E564C2" w:rsidRPr="00366BBD">
              <w:rPr>
                <w:rFonts w:ascii="Times New Roman" w:hAnsi="Times New Roman"/>
                <w:sz w:val="24"/>
                <w:szCs w:val="24"/>
              </w:rPr>
              <w:t xml:space="preserve"> no pašvaldību budžetiem, no valsts budžeta daļēji finansēto atvasināto publisko personu budžetiem un budžet</w:t>
            </w:r>
            <w:r w:rsidR="00807C1E" w:rsidRPr="00366BBD">
              <w:rPr>
                <w:rFonts w:ascii="Times New Roman" w:hAnsi="Times New Roman"/>
                <w:sz w:val="24"/>
                <w:szCs w:val="24"/>
              </w:rPr>
              <w:t>a nefinansēto iestāžu budžetiem.</w:t>
            </w:r>
          </w:p>
          <w:p w:rsidR="00CB6267" w:rsidRPr="00366BBD" w:rsidRDefault="00807C1E" w:rsidP="00C12860">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L</w:t>
            </w:r>
            <w:r w:rsidR="006639BD" w:rsidRPr="00366BBD">
              <w:rPr>
                <w:rFonts w:ascii="Times New Roman" w:hAnsi="Times New Roman"/>
                <w:sz w:val="24"/>
                <w:szCs w:val="24"/>
              </w:rPr>
              <w:t xml:space="preserve">ai nodrošinātu vienotu izpratni </w:t>
            </w:r>
            <w:r w:rsidR="006D2DD5" w:rsidRPr="00366BBD">
              <w:rPr>
                <w:rFonts w:ascii="Times New Roman" w:hAnsi="Times New Roman"/>
                <w:sz w:val="24"/>
                <w:szCs w:val="24"/>
              </w:rPr>
              <w:t xml:space="preserve">par </w:t>
            </w:r>
            <w:r w:rsidR="006639BD" w:rsidRPr="00366BBD">
              <w:rPr>
                <w:rFonts w:ascii="Times New Roman" w:hAnsi="Times New Roman"/>
                <w:sz w:val="24"/>
                <w:szCs w:val="24"/>
              </w:rPr>
              <w:t>veidlapu Nr.7(</w:t>
            </w:r>
            <w:proofErr w:type="spellStart"/>
            <w:r w:rsidR="006639BD" w:rsidRPr="00366BBD">
              <w:rPr>
                <w:rFonts w:ascii="Times New Roman" w:hAnsi="Times New Roman"/>
                <w:sz w:val="24"/>
                <w:szCs w:val="24"/>
              </w:rPr>
              <w:t>pb</w:t>
            </w:r>
            <w:proofErr w:type="spellEnd"/>
            <w:r w:rsidR="006639BD" w:rsidRPr="00366BBD">
              <w:rPr>
                <w:rFonts w:ascii="Times New Roman" w:hAnsi="Times New Roman"/>
                <w:sz w:val="24"/>
                <w:szCs w:val="24"/>
              </w:rPr>
              <w:t xml:space="preserve">) </w:t>
            </w:r>
            <w:r w:rsidR="00C963C6" w:rsidRPr="00366BBD">
              <w:rPr>
                <w:rFonts w:ascii="Times New Roman" w:hAnsi="Times New Roman"/>
                <w:sz w:val="24"/>
                <w:szCs w:val="24"/>
              </w:rPr>
              <w:t>“</w:t>
            </w:r>
            <w:r w:rsidR="00C963C6" w:rsidRPr="00366BBD">
              <w:rPr>
                <w:rFonts w:ascii="Times New Roman" w:eastAsia="Times New Roman" w:hAnsi="Times New Roman"/>
                <w:bCs/>
                <w:sz w:val="24"/>
                <w:szCs w:val="24"/>
                <w:lang w:eastAsia="lv-LV"/>
              </w:rPr>
              <w:t>Paskaidrojums par ministrijas (citas centrālās valsts iestādes) valsts pamatbudžeta līdzekļu pieprasījumu vidējam termiņam”</w:t>
            </w:r>
            <w:r w:rsidR="00C963C6" w:rsidRPr="00366BBD">
              <w:rPr>
                <w:rFonts w:ascii="Times New Roman" w:hAnsi="Times New Roman"/>
                <w:sz w:val="24"/>
                <w:szCs w:val="24"/>
              </w:rPr>
              <w:t xml:space="preserve"> </w:t>
            </w:r>
            <w:r w:rsidR="006639BD" w:rsidRPr="00366BBD">
              <w:rPr>
                <w:rFonts w:ascii="Times New Roman" w:hAnsi="Times New Roman"/>
                <w:sz w:val="24"/>
                <w:szCs w:val="24"/>
              </w:rPr>
              <w:t>un Nr.7(</w:t>
            </w:r>
            <w:proofErr w:type="spellStart"/>
            <w:r w:rsidR="006639BD" w:rsidRPr="00366BBD">
              <w:rPr>
                <w:rFonts w:ascii="Times New Roman" w:hAnsi="Times New Roman"/>
                <w:sz w:val="24"/>
                <w:szCs w:val="24"/>
              </w:rPr>
              <w:t>sb</w:t>
            </w:r>
            <w:proofErr w:type="spellEnd"/>
            <w:r w:rsidR="006639BD" w:rsidRPr="00366BBD">
              <w:rPr>
                <w:rFonts w:ascii="Times New Roman" w:hAnsi="Times New Roman"/>
                <w:sz w:val="24"/>
                <w:szCs w:val="24"/>
              </w:rPr>
              <w:t xml:space="preserve">) </w:t>
            </w:r>
            <w:r w:rsidR="00C963C6" w:rsidRPr="00366BBD">
              <w:rPr>
                <w:rFonts w:ascii="Times New Roman" w:hAnsi="Times New Roman"/>
                <w:sz w:val="24"/>
                <w:szCs w:val="24"/>
              </w:rPr>
              <w:t>“</w:t>
            </w:r>
            <w:r w:rsidR="00C963C6" w:rsidRPr="00366BBD">
              <w:rPr>
                <w:rFonts w:ascii="Times New Roman" w:eastAsia="Times New Roman" w:hAnsi="Times New Roman"/>
                <w:bCs/>
                <w:sz w:val="24"/>
                <w:szCs w:val="24"/>
                <w:lang w:eastAsia="lv-LV"/>
              </w:rPr>
              <w:t>Paskaidrojums par ministrijas (citas centrālās valsts iestādes) valsts speciālā budžeta līdzekļu pieprasījumu vidējam termiņam”</w:t>
            </w:r>
            <w:r w:rsidR="00C963C6" w:rsidRPr="00366BBD">
              <w:rPr>
                <w:rFonts w:ascii="Times New Roman" w:hAnsi="Times New Roman"/>
                <w:sz w:val="24"/>
                <w:szCs w:val="24"/>
              </w:rPr>
              <w:t xml:space="preserve"> </w:t>
            </w:r>
            <w:r w:rsidR="006639BD" w:rsidRPr="00366BBD">
              <w:rPr>
                <w:rFonts w:ascii="Times New Roman" w:hAnsi="Times New Roman"/>
                <w:sz w:val="24"/>
                <w:szCs w:val="24"/>
              </w:rPr>
              <w:t xml:space="preserve">aizpildīšanu, ir noteikts jauns punkts, kas nosaka, ka šajās veidlapās nav jāsniedz noteikumu 74.9.apakšpunktā minētais skaidrojums, ja konkrētā programma (apakšprogramma) netiek plānota nākamajam periodam; </w:t>
            </w:r>
          </w:p>
          <w:p w:rsidR="00E91AE6" w:rsidRPr="00366BBD" w:rsidRDefault="00741755" w:rsidP="00C530D3">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V</w:t>
            </w:r>
            <w:r w:rsidR="00DC6ECD" w:rsidRPr="00366BBD">
              <w:rPr>
                <w:rFonts w:ascii="Times New Roman" w:hAnsi="Times New Roman"/>
                <w:sz w:val="24"/>
                <w:szCs w:val="24"/>
              </w:rPr>
              <w:t>eidlap</w:t>
            </w:r>
            <w:r w:rsidRPr="00366BBD">
              <w:rPr>
                <w:rFonts w:ascii="Times New Roman" w:hAnsi="Times New Roman"/>
                <w:sz w:val="24"/>
                <w:szCs w:val="24"/>
              </w:rPr>
              <w:t>a</w:t>
            </w:r>
            <w:r w:rsidR="00DC6ECD" w:rsidRPr="00366BBD">
              <w:rPr>
                <w:rFonts w:ascii="Times New Roman" w:hAnsi="Times New Roman"/>
                <w:sz w:val="24"/>
                <w:szCs w:val="24"/>
              </w:rPr>
              <w:t xml:space="preserve"> Nr.20</w:t>
            </w:r>
            <w:r w:rsidR="00A93944" w:rsidRPr="00366BBD">
              <w:rPr>
                <w:rFonts w:ascii="Times New Roman" w:hAnsi="Times New Roman"/>
                <w:sz w:val="24"/>
                <w:szCs w:val="24"/>
              </w:rPr>
              <w:t xml:space="preserve"> “</w:t>
            </w:r>
            <w:r w:rsidR="00A93944" w:rsidRPr="00366BBD">
              <w:rPr>
                <w:rFonts w:ascii="Times New Roman" w:hAnsi="Times New Roman"/>
                <w:bCs/>
                <w:sz w:val="24"/>
                <w:szCs w:val="24"/>
                <w:lang w:eastAsia="lv-LV"/>
              </w:rPr>
              <w:t>Valsts budžeta programmu (apakšprogrammu) atlīdzības pieprasījums n+1 gadam”</w:t>
            </w:r>
            <w:r w:rsidR="004076C2">
              <w:rPr>
                <w:rFonts w:ascii="Times New Roman" w:hAnsi="Times New Roman"/>
                <w:bCs/>
                <w:sz w:val="24"/>
                <w:szCs w:val="24"/>
                <w:lang w:eastAsia="lv-LV"/>
              </w:rPr>
              <w:t xml:space="preserve"> </w:t>
            </w:r>
            <w:r w:rsidR="004076C2">
              <w:rPr>
                <w:rFonts w:ascii="Times New Roman" w:eastAsia="Times New Roman" w:hAnsi="Times New Roman"/>
                <w:bCs/>
                <w:iCs/>
                <w:sz w:val="24"/>
                <w:szCs w:val="24"/>
                <w:lang w:eastAsia="lv-LV"/>
              </w:rPr>
              <w:t>t</w:t>
            </w:r>
            <w:r w:rsidR="00E91AE6" w:rsidRPr="00366BBD">
              <w:rPr>
                <w:rFonts w:ascii="Times New Roman" w:eastAsia="Times New Roman" w:hAnsi="Times New Roman"/>
                <w:bCs/>
                <w:iCs/>
                <w:sz w:val="24"/>
                <w:szCs w:val="24"/>
                <w:lang w:eastAsia="lv-LV"/>
              </w:rPr>
              <w:t xml:space="preserve">iek papildināta </w:t>
            </w:r>
            <w:r w:rsidR="00DC6ECD" w:rsidRPr="00366BBD">
              <w:rPr>
                <w:rFonts w:ascii="Times New Roman" w:hAnsi="Times New Roman"/>
                <w:sz w:val="24"/>
                <w:szCs w:val="24"/>
              </w:rPr>
              <w:t>(gan v</w:t>
            </w:r>
            <w:r w:rsidR="00DC6ECD" w:rsidRPr="00366BBD">
              <w:rPr>
                <w:rFonts w:ascii="Times New Roman" w:hAnsi="Times New Roman"/>
                <w:bCs/>
                <w:iCs/>
                <w:sz w:val="24"/>
                <w:szCs w:val="24"/>
                <w:lang w:eastAsia="lv-LV"/>
              </w:rPr>
              <w:t>alsts pamatfunkciju īstenošanai, gan ES politiku instrumentu un pārējās ārvalstu finanšu palīdzības līdzfinansēto un finansēto  projektu un pasākumu īstenošanai)</w:t>
            </w:r>
            <w:r w:rsidR="00E91AE6" w:rsidRPr="00366BBD">
              <w:rPr>
                <w:rFonts w:ascii="Times New Roman" w:hAnsi="Times New Roman"/>
                <w:bCs/>
                <w:iCs/>
                <w:sz w:val="24"/>
                <w:szCs w:val="24"/>
                <w:lang w:eastAsia="lv-LV"/>
              </w:rPr>
              <w:t xml:space="preserve">, </w:t>
            </w:r>
            <w:r w:rsidR="00DC6ECD" w:rsidRPr="00366BBD">
              <w:rPr>
                <w:rFonts w:ascii="Times New Roman" w:hAnsi="Times New Roman"/>
                <w:bCs/>
                <w:sz w:val="24"/>
                <w:szCs w:val="24"/>
                <w:lang w:eastAsia="lv-LV"/>
              </w:rPr>
              <w:t>ar sadaļu “Zemess</w:t>
            </w:r>
            <w:r w:rsidR="00E91AE6" w:rsidRPr="00366BBD">
              <w:rPr>
                <w:rFonts w:ascii="Times New Roman" w:hAnsi="Times New Roman"/>
                <w:bCs/>
                <w:sz w:val="24"/>
                <w:szCs w:val="24"/>
                <w:lang w:eastAsia="lv-LV"/>
              </w:rPr>
              <w:t xml:space="preserve">argi – apsargi” (Aizsardzības ministrijas priekšlikums (2014.gada 21.februāra vēstule Nr.MV–N/386)), </w:t>
            </w:r>
            <w:r w:rsidR="00DC6ECD" w:rsidRPr="00366BBD">
              <w:rPr>
                <w:rFonts w:ascii="Times New Roman" w:hAnsi="Times New Roman"/>
                <w:bCs/>
                <w:sz w:val="24"/>
                <w:szCs w:val="24"/>
                <w:lang w:eastAsia="lv-LV"/>
              </w:rPr>
              <w:t>paredzot sniegt informāciju par</w:t>
            </w:r>
            <w:r w:rsidR="00E91AE6" w:rsidRPr="00366BBD">
              <w:rPr>
                <w:rFonts w:ascii="Times New Roman" w:hAnsi="Times New Roman"/>
                <w:bCs/>
                <w:sz w:val="24"/>
                <w:szCs w:val="24"/>
                <w:lang w:eastAsia="lv-LV"/>
              </w:rPr>
              <w:t>:</w:t>
            </w:r>
          </w:p>
          <w:p w:rsidR="00E91AE6" w:rsidRPr="00366BBD" w:rsidRDefault="00F3326D" w:rsidP="00517A92">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bCs/>
                <w:sz w:val="24"/>
                <w:szCs w:val="24"/>
                <w:lang w:eastAsia="lv-LV"/>
              </w:rPr>
              <w:t>V</w:t>
            </w:r>
            <w:r w:rsidR="00DC6ECD" w:rsidRPr="00366BBD">
              <w:rPr>
                <w:rFonts w:ascii="Times New Roman" w:hAnsi="Times New Roman"/>
                <w:bCs/>
                <w:sz w:val="24"/>
                <w:szCs w:val="24"/>
                <w:lang w:eastAsia="lv-LV"/>
              </w:rPr>
              <w:t>idējo amata vietu sk</w:t>
            </w:r>
            <w:r w:rsidR="00234DF5" w:rsidRPr="00366BBD">
              <w:rPr>
                <w:rFonts w:ascii="Times New Roman" w:hAnsi="Times New Roman"/>
                <w:bCs/>
                <w:sz w:val="24"/>
                <w:szCs w:val="24"/>
                <w:lang w:eastAsia="lv-LV"/>
              </w:rPr>
              <w:t>aitu</w:t>
            </w:r>
            <w:r w:rsidRPr="00366BBD">
              <w:rPr>
                <w:rFonts w:ascii="Times New Roman" w:hAnsi="Times New Roman"/>
                <w:bCs/>
                <w:sz w:val="24"/>
                <w:szCs w:val="24"/>
                <w:lang w:eastAsia="lv-LV"/>
              </w:rPr>
              <w:t xml:space="preserve"> gadā.</w:t>
            </w:r>
            <w:r w:rsidR="00DC6ECD" w:rsidRPr="00366BBD">
              <w:rPr>
                <w:rFonts w:ascii="Times New Roman" w:hAnsi="Times New Roman"/>
                <w:bCs/>
                <w:sz w:val="24"/>
                <w:szCs w:val="24"/>
                <w:lang w:eastAsia="lv-LV"/>
              </w:rPr>
              <w:t xml:space="preserve"> </w:t>
            </w:r>
          </w:p>
          <w:p w:rsidR="00E91AE6" w:rsidRPr="00366BBD" w:rsidRDefault="00F3326D" w:rsidP="00517A92">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bCs/>
                <w:sz w:val="24"/>
                <w:szCs w:val="24"/>
                <w:lang w:eastAsia="lv-LV"/>
              </w:rPr>
              <w:t>A</w:t>
            </w:r>
            <w:r w:rsidR="00DC6ECD" w:rsidRPr="00366BBD">
              <w:rPr>
                <w:rFonts w:ascii="Times New Roman" w:hAnsi="Times New Roman"/>
                <w:bCs/>
                <w:sz w:val="24"/>
                <w:szCs w:val="24"/>
                <w:lang w:eastAsia="lv-LV"/>
              </w:rPr>
              <w:t>tlīdzību gadam (tai skaitā</w:t>
            </w:r>
            <w:r w:rsidR="00D81ABF" w:rsidRPr="00366BBD">
              <w:rPr>
                <w:rFonts w:ascii="Times New Roman" w:hAnsi="Times New Roman"/>
                <w:bCs/>
                <w:sz w:val="24"/>
                <w:szCs w:val="24"/>
                <w:lang w:eastAsia="lv-LV"/>
              </w:rPr>
              <w:t>:</w:t>
            </w:r>
            <w:r w:rsidR="00DC6ECD" w:rsidRPr="00366BBD">
              <w:rPr>
                <w:rFonts w:ascii="Times New Roman" w:hAnsi="Times New Roman"/>
                <w:bCs/>
                <w:sz w:val="24"/>
                <w:szCs w:val="24"/>
                <w:lang w:eastAsia="lv-LV"/>
              </w:rPr>
              <w:t xml:space="preserve"> </w:t>
            </w:r>
            <w:r w:rsidR="00DC6ECD" w:rsidRPr="00366BBD">
              <w:rPr>
                <w:rFonts w:ascii="Times New Roman" w:hAnsi="Times New Roman"/>
                <w:bCs/>
                <w:iCs/>
                <w:sz w:val="24"/>
                <w:szCs w:val="24"/>
                <w:lang w:eastAsia="lv-LV"/>
              </w:rPr>
              <w:t>atalgojumu gadam un darba devēja valsts sociālās apdrošināšanas obligātās iemaks</w:t>
            </w:r>
            <w:r w:rsidR="00D81ABF" w:rsidRPr="00366BBD">
              <w:rPr>
                <w:rFonts w:ascii="Times New Roman" w:hAnsi="Times New Roman"/>
                <w:bCs/>
                <w:iCs/>
                <w:sz w:val="24"/>
                <w:szCs w:val="24"/>
                <w:lang w:eastAsia="lv-LV"/>
              </w:rPr>
              <w:t>ām</w:t>
            </w:r>
            <w:r w:rsidR="00DC6ECD" w:rsidRPr="00366BBD">
              <w:rPr>
                <w:rFonts w:ascii="Times New Roman" w:hAnsi="Times New Roman"/>
                <w:bCs/>
                <w:iCs/>
                <w:sz w:val="24"/>
                <w:szCs w:val="24"/>
                <w:lang w:eastAsia="lv-LV"/>
              </w:rPr>
              <w:t>, sociāla rakstura pabalsti</w:t>
            </w:r>
            <w:r w:rsidR="00D81ABF" w:rsidRPr="00366BBD">
              <w:rPr>
                <w:rFonts w:ascii="Times New Roman" w:hAnsi="Times New Roman"/>
                <w:bCs/>
                <w:iCs/>
                <w:sz w:val="24"/>
                <w:szCs w:val="24"/>
                <w:lang w:eastAsia="lv-LV"/>
              </w:rPr>
              <w:t>em</w:t>
            </w:r>
            <w:r w:rsidR="00DC6ECD" w:rsidRPr="00366BBD">
              <w:rPr>
                <w:rFonts w:ascii="Times New Roman" w:hAnsi="Times New Roman"/>
                <w:bCs/>
                <w:iCs/>
                <w:sz w:val="24"/>
                <w:szCs w:val="24"/>
                <w:lang w:eastAsia="lv-LV"/>
              </w:rPr>
              <w:t xml:space="preserve"> un kompensācij</w:t>
            </w:r>
            <w:r w:rsidR="00D81ABF" w:rsidRPr="00366BBD">
              <w:rPr>
                <w:rFonts w:ascii="Times New Roman" w:hAnsi="Times New Roman"/>
                <w:bCs/>
                <w:iCs/>
                <w:sz w:val="24"/>
                <w:szCs w:val="24"/>
                <w:lang w:eastAsia="lv-LV"/>
              </w:rPr>
              <w:t>ām</w:t>
            </w:r>
            <w:r w:rsidRPr="00366BBD">
              <w:rPr>
                <w:rFonts w:ascii="Times New Roman" w:hAnsi="Times New Roman"/>
                <w:bCs/>
                <w:iCs/>
                <w:sz w:val="24"/>
                <w:szCs w:val="24"/>
                <w:lang w:eastAsia="lv-LV"/>
              </w:rPr>
              <w:t xml:space="preserve"> gadam).</w:t>
            </w:r>
          </w:p>
          <w:p w:rsidR="00E91AE6" w:rsidRPr="00366BBD" w:rsidRDefault="00F3326D" w:rsidP="00517A92">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lang w:eastAsia="lv-LV"/>
              </w:rPr>
              <w:t>V</w:t>
            </w:r>
            <w:r w:rsidR="00DC6ECD" w:rsidRPr="00366BBD">
              <w:rPr>
                <w:rFonts w:ascii="Times New Roman" w:hAnsi="Times New Roman"/>
                <w:sz w:val="24"/>
                <w:szCs w:val="24"/>
                <w:lang w:eastAsia="lv-LV"/>
              </w:rPr>
              <w:t>idēj</w:t>
            </w:r>
            <w:r w:rsidR="00D81ABF" w:rsidRPr="00366BBD">
              <w:rPr>
                <w:rFonts w:ascii="Times New Roman" w:hAnsi="Times New Roman"/>
                <w:sz w:val="24"/>
                <w:szCs w:val="24"/>
                <w:lang w:eastAsia="lv-LV"/>
              </w:rPr>
              <w:t>o</w:t>
            </w:r>
            <w:r w:rsidR="00DC6ECD" w:rsidRPr="00366BBD">
              <w:rPr>
                <w:rFonts w:ascii="Times New Roman" w:hAnsi="Times New Roman"/>
                <w:sz w:val="24"/>
                <w:szCs w:val="24"/>
                <w:lang w:eastAsia="lv-LV"/>
              </w:rPr>
              <w:t xml:space="preserve"> atlīdzīb</w:t>
            </w:r>
            <w:r w:rsidR="00D81ABF" w:rsidRPr="00366BBD">
              <w:rPr>
                <w:rFonts w:ascii="Times New Roman" w:hAnsi="Times New Roman"/>
                <w:sz w:val="24"/>
                <w:szCs w:val="24"/>
                <w:lang w:eastAsia="lv-LV"/>
              </w:rPr>
              <w:t>u</w:t>
            </w:r>
            <w:r w:rsidR="00DC6ECD" w:rsidRPr="00366BBD">
              <w:rPr>
                <w:rFonts w:ascii="Times New Roman" w:hAnsi="Times New Roman"/>
                <w:sz w:val="24"/>
                <w:szCs w:val="24"/>
                <w:lang w:eastAsia="lv-LV"/>
              </w:rPr>
              <w:t xml:space="preserve"> uz vienu amata vietu mēnesī</w:t>
            </w:r>
            <w:r w:rsidRPr="00366BBD">
              <w:rPr>
                <w:rFonts w:ascii="Times New Roman" w:hAnsi="Times New Roman"/>
                <w:sz w:val="24"/>
                <w:szCs w:val="24"/>
                <w:lang w:eastAsia="lv-LV"/>
              </w:rPr>
              <w:t>.</w:t>
            </w:r>
          </w:p>
          <w:p w:rsidR="00E91AE6" w:rsidRPr="00366BBD" w:rsidRDefault="00F3326D" w:rsidP="00517A92">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lang w:eastAsia="lv-LV"/>
              </w:rPr>
              <w:t>V</w:t>
            </w:r>
            <w:r w:rsidR="00DC6ECD" w:rsidRPr="00366BBD">
              <w:rPr>
                <w:rFonts w:ascii="Times New Roman" w:hAnsi="Times New Roman"/>
                <w:sz w:val="24"/>
                <w:szCs w:val="24"/>
                <w:lang w:eastAsia="lv-LV"/>
              </w:rPr>
              <w:t>idēj</w:t>
            </w:r>
            <w:r w:rsidR="00D81ABF" w:rsidRPr="00366BBD">
              <w:rPr>
                <w:rFonts w:ascii="Times New Roman" w:hAnsi="Times New Roman"/>
                <w:sz w:val="24"/>
                <w:szCs w:val="24"/>
                <w:lang w:eastAsia="lv-LV"/>
              </w:rPr>
              <w:t>o</w:t>
            </w:r>
            <w:r w:rsidR="00DC6ECD" w:rsidRPr="00366BBD">
              <w:rPr>
                <w:rFonts w:ascii="Times New Roman" w:hAnsi="Times New Roman"/>
                <w:sz w:val="24"/>
                <w:szCs w:val="24"/>
                <w:lang w:eastAsia="lv-LV"/>
              </w:rPr>
              <w:t xml:space="preserve"> atalgojum</w:t>
            </w:r>
            <w:r w:rsidR="00D81ABF" w:rsidRPr="00366BBD">
              <w:rPr>
                <w:rFonts w:ascii="Times New Roman" w:hAnsi="Times New Roman"/>
                <w:sz w:val="24"/>
                <w:szCs w:val="24"/>
                <w:lang w:eastAsia="lv-LV"/>
              </w:rPr>
              <w:t>u</w:t>
            </w:r>
            <w:r w:rsidR="00DC6ECD" w:rsidRPr="00366BBD">
              <w:rPr>
                <w:rFonts w:ascii="Times New Roman" w:hAnsi="Times New Roman"/>
                <w:sz w:val="24"/>
                <w:szCs w:val="24"/>
                <w:lang w:eastAsia="lv-LV"/>
              </w:rPr>
              <w:t xml:space="preserve"> uz vienu amata vietu mēnesī</w:t>
            </w:r>
            <w:r w:rsidRPr="00366BBD">
              <w:rPr>
                <w:rFonts w:ascii="Times New Roman" w:hAnsi="Times New Roman"/>
                <w:sz w:val="24"/>
                <w:szCs w:val="24"/>
                <w:lang w:eastAsia="lv-LV"/>
              </w:rPr>
              <w:t>.</w:t>
            </w:r>
            <w:r w:rsidR="00DC6ECD" w:rsidRPr="00366BBD">
              <w:rPr>
                <w:rFonts w:ascii="Times New Roman" w:hAnsi="Times New Roman"/>
                <w:sz w:val="24"/>
                <w:szCs w:val="24"/>
                <w:lang w:eastAsia="lv-LV"/>
              </w:rPr>
              <w:t xml:space="preserve"> </w:t>
            </w:r>
          </w:p>
          <w:p w:rsidR="00213371" w:rsidRPr="00366BBD" w:rsidRDefault="0098386B" w:rsidP="00517A92">
            <w:pPr>
              <w:numPr>
                <w:ilvl w:val="1"/>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lang w:eastAsia="lv-LV"/>
              </w:rPr>
              <w:t>V</w:t>
            </w:r>
            <w:r w:rsidR="00DC6ECD" w:rsidRPr="00366BBD">
              <w:rPr>
                <w:rFonts w:ascii="Times New Roman" w:hAnsi="Times New Roman"/>
                <w:sz w:val="24"/>
                <w:szCs w:val="24"/>
                <w:lang w:eastAsia="lv-LV"/>
              </w:rPr>
              <w:t>idēj</w:t>
            </w:r>
            <w:r w:rsidR="00D81ABF" w:rsidRPr="00366BBD">
              <w:rPr>
                <w:rFonts w:ascii="Times New Roman" w:hAnsi="Times New Roman"/>
                <w:sz w:val="24"/>
                <w:szCs w:val="24"/>
                <w:lang w:eastAsia="lv-LV"/>
              </w:rPr>
              <w:t>o</w:t>
            </w:r>
            <w:r w:rsidR="00DC6ECD" w:rsidRPr="00366BBD">
              <w:rPr>
                <w:rFonts w:ascii="Times New Roman" w:hAnsi="Times New Roman"/>
                <w:sz w:val="24"/>
                <w:szCs w:val="24"/>
                <w:lang w:eastAsia="lv-LV"/>
              </w:rPr>
              <w:t xml:space="preserve"> darba devēja valsts sociālās a</w:t>
            </w:r>
            <w:r w:rsidR="00D81ABF" w:rsidRPr="00366BBD">
              <w:rPr>
                <w:rFonts w:ascii="Times New Roman" w:hAnsi="Times New Roman"/>
                <w:sz w:val="24"/>
                <w:szCs w:val="24"/>
                <w:lang w:eastAsia="lv-LV"/>
              </w:rPr>
              <w:t>pdrošināšanas obligātās iemaksu</w:t>
            </w:r>
            <w:r w:rsidR="00DC6ECD" w:rsidRPr="00366BBD">
              <w:rPr>
                <w:rFonts w:ascii="Times New Roman" w:hAnsi="Times New Roman"/>
                <w:sz w:val="24"/>
                <w:szCs w:val="24"/>
                <w:lang w:eastAsia="lv-LV"/>
              </w:rPr>
              <w:t>, sociāla rakstura pabalst</w:t>
            </w:r>
            <w:r w:rsidR="00D81ABF" w:rsidRPr="00366BBD">
              <w:rPr>
                <w:rFonts w:ascii="Times New Roman" w:hAnsi="Times New Roman"/>
                <w:sz w:val="24"/>
                <w:szCs w:val="24"/>
                <w:lang w:eastAsia="lv-LV"/>
              </w:rPr>
              <w:t>u</w:t>
            </w:r>
            <w:r w:rsidR="00DC6ECD" w:rsidRPr="00366BBD">
              <w:rPr>
                <w:rFonts w:ascii="Times New Roman" w:hAnsi="Times New Roman"/>
                <w:sz w:val="24"/>
                <w:szCs w:val="24"/>
                <w:lang w:eastAsia="lv-LV"/>
              </w:rPr>
              <w:t xml:space="preserve"> un kompensācij</w:t>
            </w:r>
            <w:r w:rsidR="00D81ABF" w:rsidRPr="00366BBD">
              <w:rPr>
                <w:rFonts w:ascii="Times New Roman" w:hAnsi="Times New Roman"/>
                <w:sz w:val="24"/>
                <w:szCs w:val="24"/>
                <w:lang w:eastAsia="lv-LV"/>
              </w:rPr>
              <w:t>u</w:t>
            </w:r>
            <w:r w:rsidR="00DC6ECD" w:rsidRPr="00366BBD">
              <w:rPr>
                <w:rFonts w:ascii="Times New Roman" w:hAnsi="Times New Roman"/>
                <w:sz w:val="24"/>
                <w:szCs w:val="24"/>
                <w:lang w:eastAsia="lv-LV"/>
              </w:rPr>
              <w:t xml:space="preserve"> </w:t>
            </w:r>
            <w:r w:rsidR="00234DF5" w:rsidRPr="00366BBD">
              <w:rPr>
                <w:rFonts w:ascii="Times New Roman" w:hAnsi="Times New Roman"/>
                <w:sz w:val="24"/>
                <w:szCs w:val="24"/>
                <w:lang w:eastAsia="lv-LV"/>
              </w:rPr>
              <w:t xml:space="preserve">apmēru </w:t>
            </w:r>
            <w:r w:rsidR="00DC6ECD" w:rsidRPr="00366BBD">
              <w:rPr>
                <w:rFonts w:ascii="Times New Roman" w:hAnsi="Times New Roman"/>
                <w:sz w:val="24"/>
                <w:szCs w:val="24"/>
                <w:lang w:eastAsia="lv-LV"/>
              </w:rPr>
              <w:t>uz vienu amata vietu mēnesī</w:t>
            </w:r>
            <w:r w:rsidR="00E91AE6" w:rsidRPr="00366BBD">
              <w:rPr>
                <w:rFonts w:ascii="Times New Roman" w:hAnsi="Times New Roman"/>
                <w:sz w:val="24"/>
                <w:szCs w:val="24"/>
              </w:rPr>
              <w:t>.</w:t>
            </w:r>
          </w:p>
          <w:p w:rsidR="00BB1C99" w:rsidRPr="00366BBD" w:rsidRDefault="00E91AE6" w:rsidP="00BB1C99">
            <w:pPr>
              <w:numPr>
                <w:ilvl w:val="0"/>
                <w:numId w:val="15"/>
              </w:numPr>
              <w:spacing w:after="0" w:line="240" w:lineRule="auto"/>
              <w:ind w:right="79"/>
              <w:contextualSpacing/>
              <w:jc w:val="both"/>
              <w:rPr>
                <w:rFonts w:ascii="Times New Roman" w:hAnsi="Times New Roman"/>
                <w:sz w:val="24"/>
                <w:szCs w:val="24"/>
              </w:rPr>
            </w:pPr>
            <w:r w:rsidRPr="00366BBD">
              <w:rPr>
                <w:rFonts w:ascii="Times New Roman" w:hAnsi="Times New Roman"/>
                <w:sz w:val="24"/>
                <w:szCs w:val="24"/>
              </w:rPr>
              <w:t>T</w:t>
            </w:r>
            <w:r w:rsidR="007C57D9" w:rsidRPr="00366BBD">
              <w:rPr>
                <w:rFonts w:ascii="Times New Roman" w:hAnsi="Times New Roman"/>
                <w:sz w:val="24"/>
                <w:szCs w:val="24"/>
              </w:rPr>
              <w:t xml:space="preserve">ā kā veidlapa Nr.24 </w:t>
            </w:r>
            <w:r w:rsidR="00213371" w:rsidRPr="00366BBD">
              <w:rPr>
                <w:rFonts w:ascii="Times New Roman" w:hAnsi="Times New Roman"/>
                <w:sz w:val="24"/>
                <w:szCs w:val="24"/>
              </w:rPr>
              <w:t xml:space="preserve">“Paskaidrojums par ministrijas (citas centrālās valsts iestādes) darbības rezultātu un to rezultatīvo rādītāju izmaiņām” </w:t>
            </w:r>
            <w:r w:rsidR="007C57D9" w:rsidRPr="00366BBD">
              <w:rPr>
                <w:rFonts w:ascii="Times New Roman" w:hAnsi="Times New Roman"/>
                <w:sz w:val="24"/>
                <w:szCs w:val="24"/>
              </w:rPr>
              <w:t xml:space="preserve">nav budžeta pieprasījuma sastāvdaļa, tad svītrots MK noteikumu Nr.523 punkts, kas noteica, ka veidlapa Nr.24 ir budžeta pieprasījuma sastāvā, savukārt </w:t>
            </w:r>
            <w:r w:rsidR="006D1C49" w:rsidRPr="00366BBD">
              <w:rPr>
                <w:rFonts w:ascii="Times New Roman" w:hAnsi="Times New Roman"/>
                <w:sz w:val="24"/>
                <w:szCs w:val="24"/>
              </w:rPr>
              <w:t>atsauce</w:t>
            </w:r>
            <w:r w:rsidR="007C57D9" w:rsidRPr="00366BBD">
              <w:rPr>
                <w:rFonts w:ascii="Times New Roman" w:hAnsi="Times New Roman"/>
                <w:sz w:val="24"/>
                <w:szCs w:val="24"/>
              </w:rPr>
              <w:t xml:space="preserve"> uz veidlapu Nr.24 ir iekļauta MK noteikumu Nr.523 punktā, kas nosaka gadījumus, kad jāsniedz veidlapā Nr.24 norādāmā informācija</w:t>
            </w:r>
            <w:r w:rsidR="006D1C49" w:rsidRPr="00366BBD">
              <w:rPr>
                <w:rFonts w:ascii="Times New Roman" w:hAnsi="Times New Roman"/>
                <w:sz w:val="24"/>
                <w:szCs w:val="24"/>
              </w:rPr>
              <w:t>.</w:t>
            </w:r>
          </w:p>
          <w:p w:rsidR="00523832" w:rsidRDefault="00514EB3" w:rsidP="009A4D7C">
            <w:pPr>
              <w:numPr>
                <w:ilvl w:val="0"/>
                <w:numId w:val="15"/>
              </w:numPr>
              <w:spacing w:after="0" w:line="240" w:lineRule="auto"/>
              <w:ind w:left="453" w:right="79" w:hanging="340"/>
              <w:contextualSpacing/>
              <w:jc w:val="both"/>
              <w:rPr>
                <w:rFonts w:ascii="Times New Roman" w:hAnsi="Times New Roman"/>
                <w:sz w:val="24"/>
                <w:szCs w:val="24"/>
              </w:rPr>
            </w:pPr>
            <w:r w:rsidRPr="00366BBD">
              <w:rPr>
                <w:rFonts w:ascii="Times New Roman" w:hAnsi="Times New Roman"/>
                <w:sz w:val="24"/>
                <w:szCs w:val="24"/>
              </w:rPr>
              <w:t>L</w:t>
            </w:r>
            <w:r w:rsidR="00523832" w:rsidRPr="00366BBD">
              <w:rPr>
                <w:rFonts w:ascii="Times New Roman" w:hAnsi="Times New Roman"/>
                <w:sz w:val="24"/>
                <w:szCs w:val="24"/>
              </w:rPr>
              <w:t>ai būtu skaidras norādes par informācijas sniegšanu attiecībā uz darbības rezultātiem un rezultatīviem rādītājiem, MK noteikumu Nr.523 punktos par darbības rezultātiem un rezultatīviem rādītājiem ir noteikts, ka n gad</w:t>
            </w:r>
            <w:r w:rsidR="00285DF0">
              <w:rPr>
                <w:rFonts w:ascii="Times New Roman" w:hAnsi="Times New Roman"/>
                <w:sz w:val="24"/>
                <w:szCs w:val="24"/>
              </w:rPr>
              <w:t>am</w:t>
            </w:r>
            <w:r w:rsidR="00523832" w:rsidRPr="00366BBD">
              <w:rPr>
                <w:rFonts w:ascii="Times New Roman" w:hAnsi="Times New Roman"/>
                <w:sz w:val="24"/>
                <w:szCs w:val="24"/>
              </w:rPr>
              <w:t xml:space="preserve"> </w:t>
            </w:r>
            <w:r w:rsidR="00285DF0">
              <w:rPr>
                <w:rFonts w:ascii="Times New Roman" w:hAnsi="Times New Roman"/>
                <w:sz w:val="24"/>
                <w:szCs w:val="24"/>
              </w:rPr>
              <w:t xml:space="preserve">plānoto </w:t>
            </w:r>
            <w:r w:rsidR="00523832" w:rsidRPr="00366BBD">
              <w:rPr>
                <w:rFonts w:ascii="Times New Roman" w:hAnsi="Times New Roman"/>
                <w:sz w:val="24"/>
                <w:szCs w:val="24"/>
              </w:rPr>
              <w:t>darbības rezultātu un rezultatīvo rādītāju nosaukumus nemaina.</w:t>
            </w:r>
          </w:p>
          <w:p w:rsidR="004A470A" w:rsidRDefault="00BB382E" w:rsidP="00E51E4F">
            <w:pPr>
              <w:numPr>
                <w:ilvl w:val="0"/>
                <w:numId w:val="15"/>
              </w:numPr>
              <w:spacing w:after="0" w:line="240" w:lineRule="auto"/>
              <w:ind w:left="453" w:right="79" w:hanging="340"/>
              <w:contextualSpacing/>
              <w:jc w:val="both"/>
              <w:rPr>
                <w:rFonts w:ascii="Times New Roman" w:hAnsi="Times New Roman"/>
                <w:sz w:val="24"/>
                <w:szCs w:val="24"/>
              </w:rPr>
            </w:pPr>
            <w:r>
              <w:rPr>
                <w:rFonts w:ascii="Times New Roman" w:hAnsi="Times New Roman"/>
                <w:sz w:val="24"/>
                <w:szCs w:val="24"/>
              </w:rPr>
              <w:t xml:space="preserve">Lai noteiktu kartējam gadam maksimālo termiņu, līdz kuram </w:t>
            </w:r>
            <w:r w:rsidRPr="00F57794">
              <w:rPr>
                <w:rFonts w:ascii="Times New Roman" w:hAnsi="Times New Roman"/>
                <w:sz w:val="24"/>
                <w:szCs w:val="24"/>
              </w:rPr>
              <w:t>Labklājības ministrija var precizēt kārtējā gada plāna izdevumu sadalījumu pa pabalstu, pensiju un piemaksu pie pensijām veidiem, apmēru un saņēmēju skaitu vidēji mēnesī atbilstoši statistisko rādītāju un izdevumu izpildes tendencēm, aizpildot veidlapu Nr.10(</w:t>
            </w:r>
            <w:proofErr w:type="spellStart"/>
            <w:r w:rsidRPr="00F57794">
              <w:rPr>
                <w:rFonts w:ascii="Times New Roman" w:hAnsi="Times New Roman"/>
                <w:sz w:val="24"/>
                <w:szCs w:val="24"/>
              </w:rPr>
              <w:t>pb</w:t>
            </w:r>
            <w:proofErr w:type="spellEnd"/>
            <w:r w:rsidRPr="00F57794">
              <w:rPr>
                <w:rFonts w:ascii="Times New Roman" w:hAnsi="Times New Roman"/>
                <w:sz w:val="24"/>
                <w:szCs w:val="24"/>
              </w:rPr>
              <w:t>) “Valsts sociālo pabalstu, izdienas pensiju un piemaksu pie vecuma un invaliditātes pensijām izdevumu aprēķins” vai veidlapu Nr.10(</w:t>
            </w:r>
            <w:proofErr w:type="spellStart"/>
            <w:r w:rsidRPr="00F57794">
              <w:rPr>
                <w:rFonts w:ascii="Times New Roman" w:hAnsi="Times New Roman"/>
                <w:sz w:val="24"/>
                <w:szCs w:val="24"/>
              </w:rPr>
              <w:t>sb</w:t>
            </w:r>
            <w:proofErr w:type="spellEnd"/>
            <w:r w:rsidRPr="00F57794">
              <w:rPr>
                <w:rFonts w:ascii="Times New Roman" w:hAnsi="Times New Roman"/>
                <w:sz w:val="24"/>
                <w:szCs w:val="24"/>
              </w:rPr>
              <w:t>) “Valsts pensiju, sociālās apdrošināšanas pabalstu un valsts budžeta maksājumu izdevumu aprēķins”</w:t>
            </w:r>
            <w:r>
              <w:rPr>
                <w:rFonts w:ascii="Times New Roman" w:hAnsi="Times New Roman"/>
                <w:sz w:val="24"/>
                <w:szCs w:val="24"/>
              </w:rPr>
              <w:t xml:space="preserve">, ir precizēti </w:t>
            </w:r>
            <w:r w:rsidRPr="004A2FA2">
              <w:rPr>
                <w:rFonts w:ascii="Times New Roman" w:hAnsi="Times New Roman"/>
                <w:sz w:val="24"/>
                <w:szCs w:val="24"/>
              </w:rPr>
              <w:t>MK noteikumu Nr.523</w:t>
            </w:r>
            <w:r>
              <w:rPr>
                <w:rFonts w:ascii="Times New Roman" w:hAnsi="Times New Roman"/>
                <w:sz w:val="24"/>
                <w:szCs w:val="24"/>
              </w:rPr>
              <w:t xml:space="preserve"> punkti, kuri paredz </w:t>
            </w:r>
            <w:r>
              <w:rPr>
                <w:rFonts w:ascii="Times New Roman" w:hAnsi="Times New Roman"/>
                <w:sz w:val="24"/>
                <w:szCs w:val="24"/>
              </w:rPr>
              <w:lastRenderedPageBreak/>
              <w:t>iepriekšminēto veidlapu iesniegšanu</w:t>
            </w:r>
            <w:r w:rsidR="00AF64D3">
              <w:rPr>
                <w:rFonts w:ascii="Times New Roman" w:hAnsi="Times New Roman"/>
                <w:sz w:val="24"/>
                <w:szCs w:val="24"/>
              </w:rPr>
              <w:t xml:space="preserve"> </w:t>
            </w:r>
            <w:r>
              <w:rPr>
                <w:rFonts w:ascii="Times New Roman" w:hAnsi="Times New Roman"/>
                <w:sz w:val="24"/>
                <w:szCs w:val="24"/>
              </w:rPr>
              <w:t xml:space="preserve">reizi ceturksnī, </w:t>
            </w:r>
            <w:r w:rsidR="00AF64D3">
              <w:rPr>
                <w:rFonts w:ascii="Times New Roman" w:hAnsi="Times New Roman"/>
                <w:sz w:val="24"/>
                <w:szCs w:val="24"/>
              </w:rPr>
              <w:t>nosakot, ka tās iesniedz</w:t>
            </w:r>
            <w:r>
              <w:rPr>
                <w:rFonts w:ascii="Times New Roman" w:hAnsi="Times New Roman"/>
                <w:sz w:val="24"/>
                <w:szCs w:val="24"/>
              </w:rPr>
              <w:t xml:space="preserve"> ne vēlāk kā </w:t>
            </w:r>
            <w:r w:rsidR="00D02BDB">
              <w:rPr>
                <w:rFonts w:ascii="Times New Roman" w:hAnsi="Times New Roman"/>
                <w:sz w:val="24"/>
                <w:szCs w:val="24"/>
              </w:rPr>
              <w:t xml:space="preserve">līdz </w:t>
            </w:r>
            <w:r>
              <w:rPr>
                <w:rFonts w:ascii="Times New Roman" w:hAnsi="Times New Roman"/>
                <w:sz w:val="24"/>
                <w:szCs w:val="24"/>
              </w:rPr>
              <w:t>kārtējā gada 15.novembrim.</w:t>
            </w:r>
          </w:p>
          <w:p w:rsidR="009A4D7C" w:rsidRDefault="009A4D7C" w:rsidP="00A83BAB">
            <w:pPr>
              <w:numPr>
                <w:ilvl w:val="0"/>
                <w:numId w:val="15"/>
              </w:numPr>
              <w:spacing w:after="0" w:line="240" w:lineRule="auto"/>
              <w:ind w:left="453" w:right="79" w:hanging="340"/>
              <w:contextualSpacing/>
              <w:jc w:val="both"/>
              <w:rPr>
                <w:rFonts w:ascii="Times New Roman" w:hAnsi="Times New Roman"/>
                <w:sz w:val="24"/>
                <w:szCs w:val="24"/>
              </w:rPr>
            </w:pPr>
            <w:r>
              <w:rPr>
                <w:rFonts w:ascii="Times New Roman" w:hAnsi="Times New Roman"/>
                <w:sz w:val="24"/>
                <w:szCs w:val="24"/>
              </w:rPr>
              <w:t xml:space="preserve">Lai iekļautu MK noteikumos Nr.523 Eiropas Zivsaimniecības fonda jauno nosaukumu 2014.-2020.gada plānošanas periodam – Eiropas Jūrlietu un zivsaimniecības fonds, </w:t>
            </w:r>
            <w:r w:rsidR="003342D9">
              <w:rPr>
                <w:rFonts w:ascii="Times New Roman" w:hAnsi="Times New Roman"/>
                <w:sz w:val="24"/>
                <w:szCs w:val="24"/>
              </w:rPr>
              <w:t xml:space="preserve">kā arī norādītu, ka </w:t>
            </w:r>
            <w:r w:rsidR="003342D9" w:rsidRPr="00D8039D">
              <w:rPr>
                <w:rFonts w:ascii="Times New Roman" w:hAnsi="Times New Roman"/>
                <w:sz w:val="24"/>
                <w:szCs w:val="24"/>
              </w:rPr>
              <w:t xml:space="preserve">Eiropas Savienības politikas instruments </w:t>
            </w:r>
            <w:r w:rsidR="0099104A" w:rsidRPr="00386349">
              <w:rPr>
                <w:rFonts w:ascii="Times New Roman" w:hAnsi="Times New Roman"/>
                <w:sz w:val="24"/>
                <w:szCs w:val="24"/>
              </w:rPr>
              <w:t>Eiropas transporta, telekomunikāciju un enerģijas infrastruktūras tīklu</w:t>
            </w:r>
            <w:r w:rsidR="0099104A">
              <w:rPr>
                <w:rFonts w:ascii="Times New Roman" w:hAnsi="Times New Roman"/>
                <w:sz w:val="24"/>
                <w:szCs w:val="24"/>
              </w:rPr>
              <w:t xml:space="preserve"> </w:t>
            </w:r>
            <w:r w:rsidR="003342D9" w:rsidRPr="00D8039D">
              <w:rPr>
                <w:rFonts w:ascii="Times New Roman" w:hAnsi="Times New Roman"/>
                <w:sz w:val="24"/>
                <w:szCs w:val="24"/>
              </w:rPr>
              <w:t xml:space="preserve">projektu un pasākumu īstenošanai </w:t>
            </w:r>
            <w:r w:rsidR="005936AD">
              <w:rPr>
                <w:rFonts w:ascii="Times New Roman" w:hAnsi="Times New Roman"/>
                <w:sz w:val="24"/>
                <w:szCs w:val="24"/>
              </w:rPr>
              <w:t xml:space="preserve">nākošajā plānošanas periodā </w:t>
            </w:r>
            <w:r w:rsidR="003342D9" w:rsidRPr="00D8039D">
              <w:rPr>
                <w:rFonts w:ascii="Times New Roman" w:hAnsi="Times New Roman"/>
                <w:sz w:val="24"/>
                <w:szCs w:val="24"/>
              </w:rPr>
              <w:t>tiks aizstāts ar Eiropas infrastruktūras savienošanas instrumentu</w:t>
            </w:r>
            <w:r w:rsidR="003342D9">
              <w:rPr>
                <w:rFonts w:ascii="Times New Roman" w:hAnsi="Times New Roman"/>
                <w:sz w:val="24"/>
                <w:szCs w:val="24"/>
              </w:rPr>
              <w:t xml:space="preserve">, </w:t>
            </w:r>
            <w:r>
              <w:rPr>
                <w:rFonts w:ascii="Times New Roman" w:hAnsi="Times New Roman"/>
                <w:sz w:val="24"/>
                <w:szCs w:val="24"/>
              </w:rPr>
              <w:t>ir precizēt</w:t>
            </w:r>
            <w:r w:rsidR="003342D9">
              <w:rPr>
                <w:rFonts w:ascii="Times New Roman" w:hAnsi="Times New Roman"/>
                <w:sz w:val="24"/>
                <w:szCs w:val="24"/>
              </w:rPr>
              <w:t>i</w:t>
            </w:r>
            <w:r>
              <w:rPr>
                <w:rFonts w:ascii="Times New Roman" w:hAnsi="Times New Roman"/>
                <w:sz w:val="24"/>
                <w:szCs w:val="24"/>
              </w:rPr>
              <w:t xml:space="preserve"> </w:t>
            </w:r>
            <w:r w:rsidRPr="004A2FA2">
              <w:rPr>
                <w:rFonts w:ascii="Times New Roman" w:hAnsi="Times New Roman"/>
                <w:sz w:val="24"/>
                <w:szCs w:val="24"/>
              </w:rPr>
              <w:t>MK noteikumu Nr.523 apak</w:t>
            </w:r>
            <w:r>
              <w:rPr>
                <w:rFonts w:ascii="Times New Roman" w:hAnsi="Times New Roman"/>
                <w:sz w:val="24"/>
                <w:szCs w:val="24"/>
              </w:rPr>
              <w:t>špunkt</w:t>
            </w:r>
            <w:r w:rsidR="003342D9">
              <w:rPr>
                <w:rFonts w:ascii="Times New Roman" w:hAnsi="Times New Roman"/>
                <w:sz w:val="24"/>
                <w:szCs w:val="24"/>
              </w:rPr>
              <w:t>i</w:t>
            </w:r>
            <w:r w:rsidRPr="004A2FA2">
              <w:rPr>
                <w:rFonts w:ascii="Times New Roman" w:hAnsi="Times New Roman"/>
                <w:sz w:val="24"/>
                <w:szCs w:val="24"/>
              </w:rPr>
              <w:t>, kur</w:t>
            </w:r>
            <w:r w:rsidR="003342D9">
              <w:rPr>
                <w:rFonts w:ascii="Times New Roman" w:hAnsi="Times New Roman"/>
                <w:sz w:val="24"/>
                <w:szCs w:val="24"/>
              </w:rPr>
              <w:t>os</w:t>
            </w:r>
            <w:r w:rsidRPr="004A2FA2">
              <w:rPr>
                <w:rFonts w:ascii="Times New Roman" w:hAnsi="Times New Roman"/>
                <w:sz w:val="24"/>
                <w:szCs w:val="24"/>
              </w:rPr>
              <w:t xml:space="preserve"> tiek noteikt</w:t>
            </w:r>
            <w:r w:rsidR="003342D9">
              <w:rPr>
                <w:rFonts w:ascii="Times New Roman" w:hAnsi="Times New Roman"/>
                <w:sz w:val="24"/>
                <w:szCs w:val="24"/>
              </w:rPr>
              <w:t>s</w:t>
            </w:r>
            <w:r w:rsidRPr="004A2FA2">
              <w:rPr>
                <w:rFonts w:ascii="Times New Roman" w:hAnsi="Times New Roman"/>
                <w:sz w:val="24"/>
                <w:szCs w:val="24"/>
              </w:rPr>
              <w:t xml:space="preserve"> </w:t>
            </w:r>
            <w:r>
              <w:rPr>
                <w:rFonts w:ascii="Times New Roman" w:hAnsi="Times New Roman"/>
                <w:sz w:val="24"/>
                <w:szCs w:val="24"/>
              </w:rPr>
              <w:t>ši</w:t>
            </w:r>
            <w:r w:rsidR="003342D9">
              <w:rPr>
                <w:rFonts w:ascii="Times New Roman" w:hAnsi="Times New Roman"/>
                <w:sz w:val="24"/>
                <w:szCs w:val="24"/>
              </w:rPr>
              <w:t>e</w:t>
            </w:r>
            <w:r>
              <w:rPr>
                <w:rFonts w:ascii="Times New Roman" w:hAnsi="Times New Roman"/>
                <w:sz w:val="24"/>
                <w:szCs w:val="24"/>
              </w:rPr>
              <w:t xml:space="preserve">m </w:t>
            </w:r>
            <w:r w:rsidRPr="009A4D7C">
              <w:rPr>
                <w:rFonts w:ascii="Times New Roman" w:hAnsi="Times New Roman"/>
                <w:sz w:val="24"/>
                <w:szCs w:val="24"/>
              </w:rPr>
              <w:t>Eiropas Savienības politiku instrumentam atbilstošās budžeta programmas nosaukums un numerācija</w:t>
            </w:r>
            <w:r w:rsidR="0099104A">
              <w:rPr>
                <w:rFonts w:ascii="Times New Roman" w:hAnsi="Times New Roman"/>
                <w:sz w:val="24"/>
                <w:szCs w:val="24"/>
              </w:rPr>
              <w:t>, kā arī saistību veidi un veidlapā Nr.4(</w:t>
            </w:r>
            <w:proofErr w:type="spellStart"/>
            <w:r w:rsidR="0099104A">
              <w:rPr>
                <w:rFonts w:ascii="Times New Roman" w:hAnsi="Times New Roman"/>
                <w:sz w:val="24"/>
                <w:szCs w:val="24"/>
              </w:rPr>
              <w:t>pb</w:t>
            </w:r>
            <w:proofErr w:type="spellEnd"/>
            <w:r w:rsidR="0099104A">
              <w:rPr>
                <w:rFonts w:ascii="Times New Roman" w:hAnsi="Times New Roman"/>
                <w:sz w:val="24"/>
                <w:szCs w:val="24"/>
              </w:rPr>
              <w:t>) un veidlapā Nr.4(</w:t>
            </w:r>
            <w:proofErr w:type="spellStart"/>
            <w:r w:rsidR="0099104A">
              <w:rPr>
                <w:rFonts w:ascii="Times New Roman" w:hAnsi="Times New Roman"/>
                <w:sz w:val="24"/>
                <w:szCs w:val="24"/>
              </w:rPr>
              <w:t>sb</w:t>
            </w:r>
            <w:proofErr w:type="spellEnd"/>
            <w:r w:rsidR="0099104A">
              <w:rPr>
                <w:rFonts w:ascii="Times New Roman" w:hAnsi="Times New Roman"/>
                <w:sz w:val="24"/>
                <w:szCs w:val="24"/>
              </w:rPr>
              <w:t>) sniedzamā informācija</w:t>
            </w:r>
            <w:r>
              <w:rPr>
                <w:rFonts w:ascii="Times New Roman" w:hAnsi="Times New Roman"/>
                <w:sz w:val="24"/>
                <w:szCs w:val="24"/>
              </w:rPr>
              <w:t>.</w:t>
            </w:r>
          </w:p>
          <w:p w:rsidR="0028025F" w:rsidRPr="00695EB9" w:rsidRDefault="00585975" w:rsidP="00A83BAB">
            <w:pPr>
              <w:numPr>
                <w:ilvl w:val="0"/>
                <w:numId w:val="15"/>
              </w:numPr>
              <w:spacing w:after="0" w:line="240" w:lineRule="auto"/>
              <w:ind w:left="453" w:right="79" w:hanging="340"/>
              <w:contextualSpacing/>
              <w:jc w:val="both"/>
              <w:rPr>
                <w:rFonts w:ascii="Times New Roman" w:hAnsi="Times New Roman"/>
                <w:sz w:val="24"/>
                <w:szCs w:val="24"/>
              </w:rPr>
            </w:pPr>
            <w:r w:rsidRPr="00A83BAB">
              <w:rPr>
                <w:rFonts w:ascii="Times New Roman" w:hAnsi="Times New Roman"/>
                <w:sz w:val="24"/>
                <w:szCs w:val="24"/>
              </w:rPr>
              <w:t xml:space="preserve">Lai </w:t>
            </w:r>
            <w:r w:rsidRPr="00BB18C8">
              <w:rPr>
                <w:rFonts w:ascii="Times New Roman" w:hAnsi="Times New Roman"/>
                <w:sz w:val="24"/>
                <w:szCs w:val="24"/>
              </w:rPr>
              <w:t>MK noteikumos Nr.523 noteiktu atbilstošu valsts budžeta programmas (apak</w:t>
            </w:r>
            <w:r w:rsidRPr="00AD751C">
              <w:rPr>
                <w:rFonts w:ascii="Times New Roman" w:hAnsi="Times New Roman"/>
                <w:sz w:val="24"/>
                <w:szCs w:val="24"/>
              </w:rPr>
              <w:t>šprogrammas) numerāci</w:t>
            </w:r>
            <w:r w:rsidRPr="00D95B25">
              <w:rPr>
                <w:rFonts w:ascii="Times New Roman" w:hAnsi="Times New Roman"/>
                <w:sz w:val="24"/>
                <w:szCs w:val="24"/>
              </w:rPr>
              <w:t>j</w:t>
            </w:r>
            <w:r w:rsidR="0028025F" w:rsidRPr="00D95B25">
              <w:rPr>
                <w:rFonts w:ascii="Times New Roman" w:hAnsi="Times New Roman"/>
                <w:sz w:val="24"/>
                <w:szCs w:val="24"/>
              </w:rPr>
              <w:t>u</w:t>
            </w:r>
            <w:r w:rsidRPr="00D95B25">
              <w:rPr>
                <w:rFonts w:ascii="Times New Roman" w:hAnsi="Times New Roman"/>
                <w:sz w:val="24"/>
                <w:szCs w:val="24"/>
              </w:rPr>
              <w:t xml:space="preserve"> un nosaukumu </w:t>
            </w:r>
            <w:r w:rsidR="00A5012E" w:rsidRPr="00BB21B3">
              <w:rPr>
                <w:rFonts w:ascii="Times New Roman" w:hAnsi="Times New Roman"/>
                <w:sz w:val="24"/>
                <w:szCs w:val="24"/>
              </w:rPr>
              <w:t>2014.–2020.gada plānošanas perioda</w:t>
            </w:r>
            <w:r w:rsidR="00A5012E" w:rsidRPr="004A0C95">
              <w:rPr>
                <w:rFonts w:ascii="Times New Roman" w:hAnsi="Times New Roman"/>
                <w:sz w:val="24"/>
                <w:szCs w:val="24"/>
              </w:rPr>
              <w:t xml:space="preserve"> </w:t>
            </w:r>
            <w:r w:rsidRPr="00850654">
              <w:rPr>
                <w:rFonts w:ascii="Times New Roman" w:hAnsi="Times New Roman"/>
                <w:sz w:val="24"/>
                <w:szCs w:val="24"/>
              </w:rPr>
              <w:t xml:space="preserve">Eiropas </w:t>
            </w:r>
            <w:r w:rsidR="005C7BE8">
              <w:rPr>
                <w:rFonts w:ascii="Times New Roman" w:hAnsi="Times New Roman"/>
                <w:sz w:val="24"/>
                <w:szCs w:val="24"/>
              </w:rPr>
              <w:t>A</w:t>
            </w:r>
            <w:r w:rsidRPr="00850654">
              <w:rPr>
                <w:rFonts w:ascii="Times New Roman" w:hAnsi="Times New Roman"/>
                <w:sz w:val="24"/>
                <w:szCs w:val="24"/>
              </w:rPr>
              <w:t>tbalsta fonda</w:t>
            </w:r>
            <w:r w:rsidRPr="00BB21B3">
              <w:rPr>
                <w:rFonts w:ascii="Times New Roman" w:hAnsi="Times New Roman"/>
                <w:sz w:val="24"/>
                <w:szCs w:val="24"/>
              </w:rPr>
              <w:t xml:space="preserve"> vistrūcīgākajām personām </w:t>
            </w:r>
            <w:r w:rsidRPr="004A0C95">
              <w:rPr>
                <w:rFonts w:ascii="Times New Roman" w:hAnsi="Times New Roman"/>
                <w:sz w:val="24"/>
                <w:szCs w:val="24"/>
              </w:rPr>
              <w:t xml:space="preserve">pasākumu </w:t>
            </w:r>
            <w:r w:rsidRPr="00661CB7">
              <w:rPr>
                <w:rFonts w:ascii="Times New Roman" w:hAnsi="Times New Roman"/>
                <w:sz w:val="24"/>
                <w:szCs w:val="24"/>
              </w:rPr>
              <w:t>īstenošanai, MK noteikumi Nr.523 ir papildināti ar jauniem apak</w:t>
            </w:r>
            <w:r w:rsidRPr="00494C92">
              <w:rPr>
                <w:rFonts w:ascii="Times New Roman" w:hAnsi="Times New Roman"/>
                <w:sz w:val="24"/>
                <w:szCs w:val="24"/>
              </w:rPr>
              <w:t>špunktiem</w:t>
            </w:r>
            <w:r w:rsidR="0028025F" w:rsidRPr="00494C92">
              <w:rPr>
                <w:rFonts w:ascii="Times New Roman" w:hAnsi="Times New Roman"/>
                <w:sz w:val="24"/>
                <w:szCs w:val="24"/>
              </w:rPr>
              <w:t>.</w:t>
            </w:r>
          </w:p>
          <w:p w:rsidR="0099104A" w:rsidRDefault="0099104A" w:rsidP="00C530D3">
            <w:pPr>
              <w:numPr>
                <w:ilvl w:val="0"/>
                <w:numId w:val="15"/>
              </w:numPr>
              <w:spacing w:after="0" w:line="240" w:lineRule="auto"/>
              <w:ind w:left="453" w:right="79" w:hanging="340"/>
              <w:contextualSpacing/>
              <w:jc w:val="both"/>
              <w:rPr>
                <w:rFonts w:ascii="Times New Roman" w:hAnsi="Times New Roman"/>
                <w:sz w:val="24"/>
                <w:szCs w:val="24"/>
              </w:rPr>
            </w:pPr>
            <w:r>
              <w:rPr>
                <w:rFonts w:ascii="Times New Roman" w:hAnsi="Times New Roman"/>
                <w:sz w:val="24"/>
                <w:szCs w:val="24"/>
              </w:rPr>
              <w:t>Lai novērstu neprecizitātes attiecībā uz MK noteikumu Nr.523 pun</w:t>
            </w:r>
            <w:r w:rsidR="003324E4">
              <w:rPr>
                <w:rFonts w:ascii="Times New Roman" w:hAnsi="Times New Roman"/>
                <w:sz w:val="24"/>
                <w:szCs w:val="24"/>
              </w:rPr>
              <w:t xml:space="preserve">ktos minēto budžeta </w:t>
            </w:r>
            <w:r w:rsidR="003324E4" w:rsidRPr="0043460B">
              <w:rPr>
                <w:rFonts w:ascii="Times New Roman" w:hAnsi="Times New Roman"/>
                <w:sz w:val="24"/>
                <w:szCs w:val="24"/>
              </w:rPr>
              <w:t>programmas 8</w:t>
            </w:r>
            <w:r w:rsidRPr="0043460B">
              <w:rPr>
                <w:rFonts w:ascii="Times New Roman" w:hAnsi="Times New Roman"/>
                <w:sz w:val="24"/>
                <w:szCs w:val="24"/>
              </w:rPr>
              <w:t>0.00.00</w:t>
            </w:r>
            <w:r>
              <w:rPr>
                <w:rFonts w:ascii="Times New Roman" w:hAnsi="Times New Roman"/>
                <w:sz w:val="24"/>
                <w:szCs w:val="24"/>
              </w:rPr>
              <w:t xml:space="preserve"> “Nesadalītais finansējums Eiropas Savienības politiku instrumentu un pārējās ārvalstu finanšu palīdzības līdzfinansēto projektu un pasākumu īstenošanai” nosaukumu, ir grozīti MK noteikumu Nr.523 punkti, kuros minēta šī </w:t>
            </w:r>
            <w:r w:rsidR="00D921C7">
              <w:rPr>
                <w:rFonts w:ascii="Times New Roman" w:hAnsi="Times New Roman"/>
                <w:sz w:val="24"/>
                <w:szCs w:val="24"/>
              </w:rPr>
              <w:t xml:space="preserve">budžeta </w:t>
            </w:r>
            <w:r>
              <w:rPr>
                <w:rFonts w:ascii="Times New Roman" w:hAnsi="Times New Roman"/>
                <w:sz w:val="24"/>
                <w:szCs w:val="24"/>
              </w:rPr>
              <w:t>programma.</w:t>
            </w:r>
          </w:p>
          <w:p w:rsidR="0028025F" w:rsidRPr="0043460B" w:rsidRDefault="0028025F" w:rsidP="00C530D3">
            <w:pPr>
              <w:numPr>
                <w:ilvl w:val="0"/>
                <w:numId w:val="15"/>
              </w:numPr>
              <w:spacing w:after="60" w:line="240" w:lineRule="auto"/>
              <w:ind w:left="453" w:right="79" w:hanging="340"/>
              <w:contextualSpacing/>
              <w:jc w:val="both"/>
              <w:rPr>
                <w:rFonts w:ascii="Times New Roman" w:hAnsi="Times New Roman"/>
                <w:sz w:val="24"/>
                <w:szCs w:val="24"/>
              </w:rPr>
            </w:pPr>
            <w:r w:rsidRPr="002426B4">
              <w:rPr>
                <w:rFonts w:ascii="Times New Roman" w:hAnsi="Times New Roman"/>
                <w:sz w:val="24"/>
                <w:szCs w:val="24"/>
              </w:rPr>
              <w:t xml:space="preserve">Lai </w:t>
            </w:r>
            <w:r w:rsidRPr="0043460B">
              <w:rPr>
                <w:rFonts w:ascii="Times New Roman" w:hAnsi="Times New Roman"/>
                <w:sz w:val="24"/>
                <w:szCs w:val="24"/>
              </w:rPr>
              <w:t>samazinātu izvēles intervāl</w:t>
            </w:r>
            <w:r w:rsidR="00BB18C8" w:rsidRPr="0043460B">
              <w:rPr>
                <w:rFonts w:ascii="Times New Roman" w:hAnsi="Times New Roman"/>
                <w:sz w:val="24"/>
                <w:szCs w:val="24"/>
              </w:rPr>
              <w:t>u</w:t>
            </w:r>
            <w:r w:rsidRPr="0043460B">
              <w:rPr>
                <w:rFonts w:ascii="Times New Roman" w:hAnsi="Times New Roman"/>
                <w:sz w:val="24"/>
                <w:szCs w:val="24"/>
              </w:rPr>
              <w:t xml:space="preserve"> budžeta apakšprogrammu numuriem, kurus piešķirt Eiropas Savienības politiku instrumentu un pārējās ārvalstu finanšu palīdzības līdzfinansēto un finansēto projektu un pasākumu īstenošanai, ir precizēts MK noteikumu Nr.523 apakšpunkts, kas nosaka brīvo apakšprogrammu numuru </w:t>
            </w:r>
            <w:r w:rsidR="00BB18C8" w:rsidRPr="0043460B">
              <w:rPr>
                <w:rFonts w:ascii="Times New Roman" w:hAnsi="Times New Roman"/>
                <w:sz w:val="24"/>
                <w:szCs w:val="24"/>
              </w:rPr>
              <w:t xml:space="preserve">izvēlēs </w:t>
            </w:r>
            <w:r w:rsidRPr="0043460B">
              <w:rPr>
                <w:rFonts w:ascii="Times New Roman" w:hAnsi="Times New Roman"/>
                <w:sz w:val="24"/>
                <w:szCs w:val="24"/>
              </w:rPr>
              <w:t>intervālus.</w:t>
            </w:r>
          </w:p>
          <w:p w:rsidR="00575CB6" w:rsidRPr="0043460B" w:rsidRDefault="00575CB6" w:rsidP="00575CB6">
            <w:pPr>
              <w:numPr>
                <w:ilvl w:val="0"/>
                <w:numId w:val="15"/>
              </w:numPr>
              <w:spacing w:after="60" w:line="240" w:lineRule="auto"/>
              <w:ind w:left="453" w:right="79" w:hanging="340"/>
              <w:contextualSpacing/>
              <w:jc w:val="both"/>
              <w:rPr>
                <w:rFonts w:ascii="Times New Roman" w:hAnsi="Times New Roman"/>
                <w:sz w:val="24"/>
                <w:szCs w:val="24"/>
              </w:rPr>
            </w:pPr>
            <w:r w:rsidRPr="0043460B">
              <w:rPr>
                <w:rFonts w:ascii="Times New Roman" w:hAnsi="Times New Roman"/>
                <w:sz w:val="24"/>
                <w:szCs w:val="24"/>
              </w:rPr>
              <w:t>Lai nodrošinātu budžeta paskaidrojumos informācijas iekļaušanu, ko nosaka Likuma par budžetu un finanšu vadību 21.panta otrās daļas 16.punkts, MK noteikumi Nr.523 tiek papildināti ar jaunu pielikumu, kurā ministrijas sniegs informāciju par to padotībā esošajām valsts budžeta daļēji finansētām atvasinātām publiskām personām un budžeta nefinansētām iestādēm. Attiecīgi tiek papildināti noteikumu punkti, kas nosaka pielikumu sarakstu un to aizpildīšanu.</w:t>
            </w:r>
          </w:p>
          <w:p w:rsidR="00662A61" w:rsidRPr="00662A61" w:rsidRDefault="00DE5F05" w:rsidP="00662A61">
            <w:pPr>
              <w:numPr>
                <w:ilvl w:val="0"/>
                <w:numId w:val="15"/>
              </w:numPr>
              <w:spacing w:after="60" w:line="240" w:lineRule="auto"/>
              <w:ind w:left="453" w:right="79" w:hanging="340"/>
              <w:contextualSpacing/>
              <w:jc w:val="both"/>
              <w:rPr>
                <w:rFonts w:ascii="Times New Roman" w:hAnsi="Times New Roman"/>
                <w:sz w:val="24"/>
                <w:szCs w:val="24"/>
              </w:rPr>
            </w:pPr>
            <w:r w:rsidRPr="0043460B">
              <w:rPr>
                <w:rFonts w:ascii="Times New Roman" w:hAnsi="Times New Roman"/>
                <w:sz w:val="24"/>
                <w:szCs w:val="24"/>
              </w:rPr>
              <w:t>Lai iestādes varētu uzņemties jaunas valsts budžeta ilgtermiņa saistības par Eiropas Savienības politiku instrumentu un pārējās ārvalstu finanšu palīdzības līdzfinansētiem un finansētiem projektiem un pasākumiem, kuriem maksājumu veikšana ir paredzēta, tikai sākot ar n+1 gadu un turpmākajos gados, gadījumos, kad šādas tiesības paredzētas MK normatīvajā regulējumā vai tiesību aktā, tiek papildināts 34.5.punkts.</w:t>
            </w:r>
          </w:p>
        </w:tc>
      </w:tr>
      <w:tr w:rsidR="0021639A" w:rsidRPr="00366BBD" w:rsidTr="00FF53B2">
        <w:trPr>
          <w:trHeight w:val="476"/>
          <w:jc w:val="center"/>
        </w:trPr>
        <w:tc>
          <w:tcPr>
            <w:tcW w:w="463" w:type="dxa"/>
          </w:tcPr>
          <w:p w:rsidR="0021639A" w:rsidRPr="00366BBD" w:rsidRDefault="0021639A" w:rsidP="00C530D3">
            <w:pPr>
              <w:pStyle w:val="naiskr"/>
              <w:spacing w:before="60" w:after="60"/>
              <w:ind w:left="57" w:right="57"/>
              <w:contextualSpacing/>
            </w:pPr>
            <w:r w:rsidRPr="00366BBD">
              <w:lastRenderedPageBreak/>
              <w:t>3.</w:t>
            </w:r>
          </w:p>
        </w:tc>
        <w:tc>
          <w:tcPr>
            <w:tcW w:w="1701" w:type="dxa"/>
          </w:tcPr>
          <w:p w:rsidR="0021639A" w:rsidRPr="00366BBD" w:rsidRDefault="0021639A" w:rsidP="00C530D3">
            <w:pPr>
              <w:pStyle w:val="naiskr"/>
              <w:spacing w:before="60" w:after="60"/>
              <w:contextualSpacing/>
            </w:pPr>
            <w:r w:rsidRPr="00366BBD">
              <w:t>Projekta izstrādē iesaistītās institūcijas</w:t>
            </w:r>
          </w:p>
        </w:tc>
        <w:tc>
          <w:tcPr>
            <w:tcW w:w="7548" w:type="dxa"/>
          </w:tcPr>
          <w:p w:rsidR="0021639A" w:rsidRPr="00366BBD" w:rsidRDefault="006378FE" w:rsidP="00C530D3">
            <w:pPr>
              <w:pStyle w:val="naiskr"/>
              <w:spacing w:before="60" w:after="60"/>
              <w:ind w:left="142" w:right="81"/>
              <w:contextualSpacing/>
            </w:pPr>
            <w:r w:rsidRPr="00366BBD">
              <w:rPr>
                <w:iCs/>
              </w:rPr>
              <w:t>Projekts šo jomu neskar</w:t>
            </w:r>
            <w:r w:rsidR="0021639A" w:rsidRPr="00366BBD">
              <w:rPr>
                <w:iCs/>
              </w:rPr>
              <w:t>.</w:t>
            </w:r>
          </w:p>
        </w:tc>
      </w:tr>
      <w:tr w:rsidR="0021639A" w:rsidRPr="00366BBD" w:rsidTr="00FF53B2">
        <w:trPr>
          <w:jc w:val="center"/>
        </w:trPr>
        <w:tc>
          <w:tcPr>
            <w:tcW w:w="463" w:type="dxa"/>
          </w:tcPr>
          <w:p w:rsidR="0021639A" w:rsidRPr="00366BBD" w:rsidRDefault="0021639A" w:rsidP="00C530D3">
            <w:pPr>
              <w:pStyle w:val="naiskr"/>
              <w:spacing w:before="60" w:after="60"/>
              <w:ind w:left="57" w:right="57"/>
              <w:contextualSpacing/>
            </w:pPr>
            <w:r w:rsidRPr="00366BBD">
              <w:t>4.</w:t>
            </w:r>
          </w:p>
        </w:tc>
        <w:tc>
          <w:tcPr>
            <w:tcW w:w="1701" w:type="dxa"/>
          </w:tcPr>
          <w:p w:rsidR="0021639A" w:rsidRPr="00366BBD" w:rsidRDefault="0021639A" w:rsidP="00C530D3">
            <w:pPr>
              <w:pStyle w:val="naiskr"/>
              <w:spacing w:before="60" w:after="60"/>
              <w:contextualSpacing/>
            </w:pPr>
            <w:r w:rsidRPr="00366BBD">
              <w:t>Cita informācija</w:t>
            </w:r>
          </w:p>
        </w:tc>
        <w:tc>
          <w:tcPr>
            <w:tcW w:w="7548" w:type="dxa"/>
          </w:tcPr>
          <w:p w:rsidR="0021639A" w:rsidRPr="00366BBD" w:rsidRDefault="0021639A" w:rsidP="00C530D3">
            <w:pPr>
              <w:pStyle w:val="naiskr"/>
              <w:spacing w:before="60" w:after="60"/>
              <w:ind w:left="142" w:right="81"/>
              <w:contextualSpacing/>
            </w:pPr>
            <w:r w:rsidRPr="00366BBD">
              <w:t>Nav.</w:t>
            </w:r>
          </w:p>
        </w:tc>
      </w:tr>
    </w:tbl>
    <w:p w:rsidR="0021639A" w:rsidRDefault="0021639A" w:rsidP="0021639A">
      <w:pPr>
        <w:pStyle w:val="naisf"/>
        <w:spacing w:before="0" w:after="0"/>
        <w:ind w:firstLine="0"/>
        <w:contextualSpacing/>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
        <w:gridCol w:w="2509"/>
        <w:gridCol w:w="6740"/>
      </w:tblGrid>
      <w:tr w:rsidR="00B67D9C" w:rsidRPr="00366BBD" w:rsidTr="00265749">
        <w:trPr>
          <w:jc w:val="center"/>
        </w:trPr>
        <w:tc>
          <w:tcPr>
            <w:tcW w:w="9712" w:type="dxa"/>
            <w:gridSpan w:val="3"/>
            <w:vAlign w:val="center"/>
          </w:tcPr>
          <w:p w:rsidR="00B67D9C" w:rsidRPr="001B0C21" w:rsidRDefault="00B67D9C" w:rsidP="00265749">
            <w:pPr>
              <w:pStyle w:val="naisnod"/>
              <w:spacing w:before="60" w:after="60"/>
              <w:contextualSpacing/>
            </w:pPr>
            <w:r w:rsidRPr="001B0C21">
              <w:rPr>
                <w:bCs w:val="0"/>
              </w:rPr>
              <w:t>II. Tiesību akta projekta ietekme uz sabiedrību, tautsaimniecības attīstību un administratīvo slogu</w:t>
            </w:r>
          </w:p>
        </w:tc>
      </w:tr>
      <w:tr w:rsidR="00B67D9C" w:rsidRPr="00366BBD" w:rsidTr="008E20DD">
        <w:trPr>
          <w:trHeight w:val="685"/>
          <w:jc w:val="center"/>
        </w:trPr>
        <w:tc>
          <w:tcPr>
            <w:tcW w:w="463" w:type="dxa"/>
          </w:tcPr>
          <w:p w:rsidR="00B67D9C" w:rsidRPr="00B67D9C" w:rsidRDefault="00B67D9C" w:rsidP="00B67D9C">
            <w:pPr>
              <w:spacing w:after="0" w:line="240" w:lineRule="auto"/>
              <w:rPr>
                <w:rFonts w:ascii="Times New Roman" w:hAnsi="Times New Roman"/>
                <w:sz w:val="24"/>
                <w:szCs w:val="24"/>
                <w:lang w:eastAsia="lv-LV"/>
              </w:rPr>
            </w:pPr>
            <w:r w:rsidRPr="00B67D9C">
              <w:rPr>
                <w:rFonts w:ascii="Times New Roman" w:hAnsi="Times New Roman"/>
                <w:sz w:val="24"/>
                <w:szCs w:val="24"/>
              </w:rPr>
              <w:t>1.</w:t>
            </w:r>
          </w:p>
        </w:tc>
        <w:tc>
          <w:tcPr>
            <w:tcW w:w="2509" w:type="dxa"/>
          </w:tcPr>
          <w:p w:rsidR="00B67D9C" w:rsidRPr="001B0C21" w:rsidRDefault="00B67D9C" w:rsidP="00B67D9C">
            <w:pPr>
              <w:rPr>
                <w:rFonts w:ascii="Times New Roman" w:hAnsi="Times New Roman"/>
                <w:sz w:val="24"/>
                <w:szCs w:val="24"/>
              </w:rPr>
            </w:pPr>
            <w:r w:rsidRPr="001B0C21">
              <w:rPr>
                <w:rFonts w:ascii="Times New Roman" w:hAnsi="Times New Roman"/>
                <w:sz w:val="24"/>
                <w:szCs w:val="24"/>
              </w:rPr>
              <w:t xml:space="preserve">Sabiedrības </w:t>
            </w:r>
            <w:proofErr w:type="spellStart"/>
            <w:r w:rsidRPr="001B0C21">
              <w:rPr>
                <w:rFonts w:ascii="Times New Roman" w:hAnsi="Times New Roman"/>
                <w:sz w:val="24"/>
                <w:szCs w:val="24"/>
              </w:rPr>
              <w:t>mērķgrupas</w:t>
            </w:r>
            <w:proofErr w:type="spellEnd"/>
            <w:r w:rsidRPr="001B0C21">
              <w:rPr>
                <w:rFonts w:ascii="Times New Roman" w:hAnsi="Times New Roman"/>
                <w:sz w:val="24"/>
                <w:szCs w:val="24"/>
              </w:rPr>
              <w:t xml:space="preserve">, kuras tiesiskais </w:t>
            </w:r>
            <w:r w:rsidRPr="001B0C21">
              <w:rPr>
                <w:rFonts w:ascii="Times New Roman" w:hAnsi="Times New Roman"/>
                <w:sz w:val="24"/>
                <w:szCs w:val="24"/>
              </w:rPr>
              <w:lastRenderedPageBreak/>
              <w:t>regulējums ietekmē vai varētu ietekmēt</w:t>
            </w:r>
          </w:p>
        </w:tc>
        <w:tc>
          <w:tcPr>
            <w:tcW w:w="6740" w:type="dxa"/>
          </w:tcPr>
          <w:p w:rsidR="00B67D9C" w:rsidRPr="001B0C21" w:rsidRDefault="001B0C21" w:rsidP="00B67D9C">
            <w:pPr>
              <w:rPr>
                <w:rFonts w:ascii="Times New Roman" w:hAnsi="Times New Roman"/>
                <w:sz w:val="24"/>
                <w:szCs w:val="24"/>
              </w:rPr>
            </w:pPr>
            <w:r w:rsidRPr="001B0C21">
              <w:rPr>
                <w:rFonts w:ascii="Times New Roman" w:hAnsi="Times New Roman"/>
                <w:sz w:val="24"/>
                <w:szCs w:val="24"/>
              </w:rPr>
              <w:lastRenderedPageBreak/>
              <w:t>Ministrijas un citas centrālās valsts iestādes</w:t>
            </w:r>
          </w:p>
        </w:tc>
      </w:tr>
      <w:tr w:rsidR="00B67D9C" w:rsidRPr="00366BBD" w:rsidTr="008E20DD">
        <w:trPr>
          <w:trHeight w:val="274"/>
          <w:jc w:val="center"/>
        </w:trPr>
        <w:tc>
          <w:tcPr>
            <w:tcW w:w="463" w:type="dxa"/>
          </w:tcPr>
          <w:p w:rsidR="00B67D9C" w:rsidRPr="00B67D9C" w:rsidRDefault="00B67D9C" w:rsidP="00B67D9C">
            <w:pPr>
              <w:rPr>
                <w:rFonts w:ascii="Times New Roman" w:hAnsi="Times New Roman"/>
                <w:sz w:val="24"/>
                <w:szCs w:val="24"/>
              </w:rPr>
            </w:pPr>
            <w:r w:rsidRPr="00B67D9C">
              <w:rPr>
                <w:rFonts w:ascii="Times New Roman" w:hAnsi="Times New Roman"/>
                <w:sz w:val="24"/>
                <w:szCs w:val="24"/>
              </w:rPr>
              <w:lastRenderedPageBreak/>
              <w:t>2.</w:t>
            </w:r>
          </w:p>
        </w:tc>
        <w:tc>
          <w:tcPr>
            <w:tcW w:w="2509" w:type="dxa"/>
          </w:tcPr>
          <w:p w:rsidR="00B67D9C" w:rsidRPr="001B0C21" w:rsidRDefault="00B67D9C" w:rsidP="00B67D9C">
            <w:pPr>
              <w:rPr>
                <w:rFonts w:ascii="Times New Roman" w:hAnsi="Times New Roman"/>
                <w:sz w:val="24"/>
                <w:szCs w:val="24"/>
              </w:rPr>
            </w:pPr>
            <w:r w:rsidRPr="001B0C21">
              <w:rPr>
                <w:rFonts w:ascii="Times New Roman" w:hAnsi="Times New Roman"/>
                <w:sz w:val="24"/>
                <w:szCs w:val="24"/>
              </w:rPr>
              <w:t>Tiesiskā regulējuma ietekme uz tautsaimniecību un administratīvo slogu</w:t>
            </w:r>
          </w:p>
        </w:tc>
        <w:tc>
          <w:tcPr>
            <w:tcW w:w="6740" w:type="dxa"/>
          </w:tcPr>
          <w:p w:rsidR="00B67D9C" w:rsidRPr="001B0C21" w:rsidRDefault="001B0C21" w:rsidP="00FD68AE">
            <w:pPr>
              <w:jc w:val="both"/>
              <w:rPr>
                <w:rFonts w:ascii="Times New Roman" w:hAnsi="Times New Roman"/>
                <w:sz w:val="24"/>
                <w:szCs w:val="24"/>
              </w:rPr>
            </w:pPr>
            <w:r w:rsidRPr="001B0C21">
              <w:rPr>
                <w:rFonts w:ascii="Times New Roman" w:hAnsi="Times New Roman"/>
                <w:sz w:val="24"/>
                <w:szCs w:val="24"/>
              </w:rPr>
              <w:t>Administratīvais slogs un cilvēkresursu apjoms, kas nepieciešams minēto projektu izpildei paliks nemainīgs, ņemot vērā to, ka minētajos punktos pieprasītās un vairs nepieprasītās informācijas apjoms ir līdzvērtīgs.</w:t>
            </w:r>
          </w:p>
        </w:tc>
      </w:tr>
      <w:tr w:rsidR="00B67D9C" w:rsidRPr="00366BBD" w:rsidTr="008E20DD">
        <w:trPr>
          <w:trHeight w:val="476"/>
          <w:jc w:val="center"/>
        </w:trPr>
        <w:tc>
          <w:tcPr>
            <w:tcW w:w="463" w:type="dxa"/>
          </w:tcPr>
          <w:p w:rsidR="00B67D9C" w:rsidRPr="00B67D9C" w:rsidRDefault="00B67D9C" w:rsidP="00B67D9C">
            <w:pPr>
              <w:rPr>
                <w:rFonts w:ascii="Times New Roman" w:hAnsi="Times New Roman"/>
                <w:sz w:val="24"/>
                <w:szCs w:val="24"/>
              </w:rPr>
            </w:pPr>
            <w:r w:rsidRPr="00B67D9C">
              <w:rPr>
                <w:rFonts w:ascii="Times New Roman" w:hAnsi="Times New Roman"/>
                <w:sz w:val="24"/>
                <w:szCs w:val="24"/>
              </w:rPr>
              <w:t>3.</w:t>
            </w:r>
          </w:p>
        </w:tc>
        <w:tc>
          <w:tcPr>
            <w:tcW w:w="2509" w:type="dxa"/>
          </w:tcPr>
          <w:p w:rsidR="00B67D9C" w:rsidRPr="001B0C21" w:rsidRDefault="00B67D9C" w:rsidP="00B67D9C">
            <w:pPr>
              <w:rPr>
                <w:rFonts w:ascii="Times New Roman" w:hAnsi="Times New Roman"/>
                <w:sz w:val="24"/>
                <w:szCs w:val="24"/>
              </w:rPr>
            </w:pPr>
            <w:r w:rsidRPr="001B0C21">
              <w:rPr>
                <w:rFonts w:ascii="Times New Roman" w:hAnsi="Times New Roman"/>
                <w:sz w:val="24"/>
                <w:szCs w:val="24"/>
              </w:rPr>
              <w:t>Administratīvo izmaksu monetārs novērtējums</w:t>
            </w:r>
          </w:p>
        </w:tc>
        <w:tc>
          <w:tcPr>
            <w:tcW w:w="6740" w:type="dxa"/>
          </w:tcPr>
          <w:p w:rsidR="00B67D9C" w:rsidRPr="001B0C21" w:rsidRDefault="001B0C21" w:rsidP="00B67D9C">
            <w:pPr>
              <w:rPr>
                <w:rFonts w:ascii="Times New Roman" w:hAnsi="Times New Roman"/>
                <w:sz w:val="24"/>
                <w:szCs w:val="24"/>
              </w:rPr>
            </w:pPr>
            <w:r w:rsidRPr="001B0C21">
              <w:rPr>
                <w:rFonts w:ascii="Times New Roman" w:hAnsi="Times New Roman"/>
                <w:sz w:val="24"/>
                <w:szCs w:val="24"/>
              </w:rPr>
              <w:t>Nav</w:t>
            </w:r>
            <w:r>
              <w:rPr>
                <w:rFonts w:ascii="Times New Roman" w:hAnsi="Times New Roman"/>
                <w:sz w:val="24"/>
                <w:szCs w:val="24"/>
              </w:rPr>
              <w:t>.</w:t>
            </w:r>
          </w:p>
        </w:tc>
      </w:tr>
      <w:tr w:rsidR="00B67D9C" w:rsidRPr="00366BBD" w:rsidTr="008E20DD">
        <w:trPr>
          <w:jc w:val="center"/>
        </w:trPr>
        <w:tc>
          <w:tcPr>
            <w:tcW w:w="463" w:type="dxa"/>
          </w:tcPr>
          <w:p w:rsidR="00B67D9C" w:rsidRPr="00B67D9C" w:rsidRDefault="00B67D9C" w:rsidP="00B67D9C">
            <w:pPr>
              <w:rPr>
                <w:rFonts w:ascii="Times New Roman" w:hAnsi="Times New Roman"/>
                <w:sz w:val="24"/>
                <w:szCs w:val="24"/>
              </w:rPr>
            </w:pPr>
            <w:r w:rsidRPr="00B67D9C">
              <w:rPr>
                <w:rFonts w:ascii="Times New Roman" w:hAnsi="Times New Roman"/>
                <w:sz w:val="24"/>
                <w:szCs w:val="24"/>
              </w:rPr>
              <w:t>4.</w:t>
            </w:r>
          </w:p>
        </w:tc>
        <w:tc>
          <w:tcPr>
            <w:tcW w:w="2509" w:type="dxa"/>
          </w:tcPr>
          <w:p w:rsidR="00B67D9C" w:rsidRPr="001B0C21" w:rsidRDefault="00B67D9C" w:rsidP="00B67D9C">
            <w:pPr>
              <w:rPr>
                <w:rFonts w:ascii="Times New Roman" w:hAnsi="Times New Roman"/>
                <w:sz w:val="24"/>
                <w:szCs w:val="24"/>
              </w:rPr>
            </w:pPr>
            <w:r w:rsidRPr="001B0C21">
              <w:rPr>
                <w:rFonts w:ascii="Times New Roman" w:hAnsi="Times New Roman"/>
                <w:sz w:val="24"/>
                <w:szCs w:val="24"/>
              </w:rPr>
              <w:t>Cita informācija</w:t>
            </w:r>
          </w:p>
        </w:tc>
        <w:tc>
          <w:tcPr>
            <w:tcW w:w="6740" w:type="dxa"/>
          </w:tcPr>
          <w:p w:rsidR="00B67D9C" w:rsidRPr="001B0C21" w:rsidRDefault="00B67D9C" w:rsidP="001B0C21">
            <w:pPr>
              <w:spacing w:before="100" w:beforeAutospacing="1" w:after="100" w:afterAutospacing="1" w:line="360" w:lineRule="auto"/>
              <w:rPr>
                <w:rFonts w:ascii="Times New Roman" w:hAnsi="Times New Roman"/>
                <w:sz w:val="24"/>
                <w:szCs w:val="24"/>
              </w:rPr>
            </w:pPr>
            <w:r w:rsidRPr="001B0C21">
              <w:rPr>
                <w:rFonts w:ascii="Times New Roman" w:hAnsi="Times New Roman"/>
                <w:sz w:val="24"/>
                <w:szCs w:val="24"/>
              </w:rPr>
              <w:t>Nav</w:t>
            </w:r>
            <w:r w:rsidR="001B0C21">
              <w:rPr>
                <w:rFonts w:ascii="Times New Roman" w:hAnsi="Times New Roman"/>
                <w:sz w:val="24"/>
                <w:szCs w:val="24"/>
              </w:rPr>
              <w:t>.</w:t>
            </w:r>
          </w:p>
        </w:tc>
      </w:tr>
    </w:tbl>
    <w:p w:rsidR="00B67D9C" w:rsidRDefault="00B67D9C" w:rsidP="0021639A">
      <w:pPr>
        <w:pStyle w:val="naisf"/>
        <w:spacing w:before="0" w:after="0"/>
        <w:ind w:firstLine="0"/>
        <w:contextualSpacing/>
      </w:pPr>
    </w:p>
    <w:p w:rsidR="00B67D9C" w:rsidRDefault="00B67D9C" w:rsidP="0021639A">
      <w:pPr>
        <w:pStyle w:val="naisf"/>
        <w:spacing w:before="0" w:after="0"/>
        <w:ind w:firstLine="0"/>
        <w:contextualSpacing/>
      </w:pPr>
    </w:p>
    <w:p w:rsidR="00B67D9C" w:rsidRPr="00366BBD" w:rsidRDefault="00B67D9C" w:rsidP="0021639A">
      <w:pPr>
        <w:pStyle w:val="naisf"/>
        <w:spacing w:before="0" w:after="0"/>
        <w:ind w:firstLine="0"/>
        <w:contextualSpacing/>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982"/>
        <w:gridCol w:w="6266"/>
      </w:tblGrid>
      <w:tr w:rsidR="00366BBD" w:rsidRPr="00366BBD" w:rsidTr="008E20DD">
        <w:tc>
          <w:tcPr>
            <w:tcW w:w="9787" w:type="dxa"/>
            <w:gridSpan w:val="3"/>
            <w:shd w:val="clear" w:color="auto" w:fill="auto"/>
          </w:tcPr>
          <w:p w:rsidR="0021639A" w:rsidRPr="00366BBD" w:rsidRDefault="0021639A" w:rsidP="00C530D3">
            <w:pPr>
              <w:pStyle w:val="naisf"/>
              <w:spacing w:before="60" w:after="60"/>
              <w:ind w:firstLine="0"/>
              <w:contextualSpacing/>
              <w:jc w:val="center"/>
            </w:pPr>
            <w:r w:rsidRPr="00366BBD">
              <w:rPr>
                <w:b/>
                <w:bCs/>
              </w:rPr>
              <w:t>IV. Tiesību akta projekta ietekme uz spēkā esošo tiesību normu sistēmu</w:t>
            </w:r>
          </w:p>
        </w:tc>
      </w:tr>
      <w:tr w:rsidR="00366BBD" w:rsidRPr="00366BBD" w:rsidTr="008E20DD">
        <w:tc>
          <w:tcPr>
            <w:tcW w:w="539" w:type="dxa"/>
            <w:shd w:val="clear" w:color="auto" w:fill="auto"/>
          </w:tcPr>
          <w:p w:rsidR="0021639A" w:rsidRPr="00366BBD" w:rsidRDefault="0021639A" w:rsidP="00C530D3">
            <w:pPr>
              <w:pStyle w:val="naisf"/>
              <w:spacing w:before="60" w:after="60"/>
              <w:ind w:firstLine="0"/>
              <w:contextualSpacing/>
            </w:pPr>
            <w:r w:rsidRPr="00366BBD">
              <w:t>1.</w:t>
            </w:r>
          </w:p>
        </w:tc>
        <w:tc>
          <w:tcPr>
            <w:tcW w:w="2982" w:type="dxa"/>
            <w:shd w:val="clear" w:color="auto" w:fill="auto"/>
          </w:tcPr>
          <w:p w:rsidR="0021639A" w:rsidRPr="00366BBD" w:rsidRDefault="0021639A" w:rsidP="00C530D3">
            <w:pPr>
              <w:spacing w:before="60" w:after="60" w:line="240" w:lineRule="auto"/>
              <w:contextualSpacing/>
              <w:rPr>
                <w:rFonts w:ascii="Times New Roman" w:hAnsi="Times New Roman"/>
                <w:sz w:val="24"/>
                <w:szCs w:val="24"/>
              </w:rPr>
            </w:pPr>
            <w:r w:rsidRPr="00366BBD">
              <w:rPr>
                <w:rFonts w:ascii="Times New Roman" w:hAnsi="Times New Roman"/>
                <w:sz w:val="24"/>
                <w:szCs w:val="24"/>
              </w:rPr>
              <w:t>Nepieciešamie saistītie tiesību aktu projekti</w:t>
            </w:r>
          </w:p>
        </w:tc>
        <w:tc>
          <w:tcPr>
            <w:tcW w:w="6266" w:type="dxa"/>
            <w:shd w:val="clear" w:color="auto" w:fill="auto"/>
          </w:tcPr>
          <w:p w:rsidR="0021639A" w:rsidRPr="00366BBD" w:rsidRDefault="0021639A" w:rsidP="00C530D3">
            <w:pPr>
              <w:pStyle w:val="naisf"/>
              <w:spacing w:before="60" w:after="60"/>
              <w:ind w:firstLine="0"/>
              <w:contextualSpacing/>
            </w:pPr>
            <w:r w:rsidRPr="00366BBD">
              <w:rPr>
                <w:iCs/>
              </w:rPr>
              <w:t>Projekts šo jomu neskar.</w:t>
            </w:r>
          </w:p>
        </w:tc>
      </w:tr>
      <w:tr w:rsidR="00366BBD" w:rsidRPr="00366BBD" w:rsidTr="008E20DD">
        <w:tc>
          <w:tcPr>
            <w:tcW w:w="539" w:type="dxa"/>
            <w:shd w:val="clear" w:color="auto" w:fill="auto"/>
          </w:tcPr>
          <w:p w:rsidR="0021639A" w:rsidRPr="00366BBD" w:rsidRDefault="0021639A" w:rsidP="00C530D3">
            <w:pPr>
              <w:pStyle w:val="naisf"/>
              <w:spacing w:before="60" w:after="60"/>
              <w:ind w:firstLine="0"/>
              <w:contextualSpacing/>
            </w:pPr>
            <w:r w:rsidRPr="00366BBD">
              <w:t>2.</w:t>
            </w:r>
          </w:p>
        </w:tc>
        <w:tc>
          <w:tcPr>
            <w:tcW w:w="2982" w:type="dxa"/>
            <w:shd w:val="clear" w:color="auto" w:fill="auto"/>
          </w:tcPr>
          <w:p w:rsidR="0021639A" w:rsidRPr="00366BBD" w:rsidRDefault="0021639A" w:rsidP="00C530D3">
            <w:pPr>
              <w:pStyle w:val="naisf"/>
              <w:spacing w:before="60" w:after="60"/>
              <w:ind w:firstLine="0"/>
              <w:contextualSpacing/>
            </w:pPr>
            <w:r w:rsidRPr="00366BBD">
              <w:t>Atbildīgā institūcija</w:t>
            </w:r>
          </w:p>
        </w:tc>
        <w:tc>
          <w:tcPr>
            <w:tcW w:w="6266" w:type="dxa"/>
            <w:shd w:val="clear" w:color="auto" w:fill="auto"/>
          </w:tcPr>
          <w:p w:rsidR="0021639A" w:rsidRPr="00366BBD" w:rsidRDefault="0021639A" w:rsidP="00C530D3">
            <w:pPr>
              <w:pStyle w:val="naisf"/>
              <w:spacing w:before="60" w:after="60"/>
              <w:ind w:firstLine="0"/>
              <w:contextualSpacing/>
            </w:pPr>
            <w:r w:rsidRPr="00366BBD">
              <w:t>Finanšu ministrija</w:t>
            </w:r>
          </w:p>
        </w:tc>
      </w:tr>
      <w:tr w:rsidR="0021639A" w:rsidRPr="00366BBD" w:rsidTr="008E20DD">
        <w:tc>
          <w:tcPr>
            <w:tcW w:w="539" w:type="dxa"/>
            <w:shd w:val="clear" w:color="auto" w:fill="auto"/>
          </w:tcPr>
          <w:p w:rsidR="0021639A" w:rsidRPr="00366BBD" w:rsidRDefault="0021639A" w:rsidP="00C530D3">
            <w:pPr>
              <w:pStyle w:val="naisf"/>
              <w:spacing w:before="60" w:after="60"/>
              <w:ind w:firstLine="0"/>
              <w:contextualSpacing/>
            </w:pPr>
            <w:r w:rsidRPr="00366BBD">
              <w:t>3.</w:t>
            </w:r>
          </w:p>
        </w:tc>
        <w:tc>
          <w:tcPr>
            <w:tcW w:w="2982" w:type="dxa"/>
            <w:shd w:val="clear" w:color="auto" w:fill="auto"/>
          </w:tcPr>
          <w:p w:rsidR="0021639A" w:rsidRPr="00366BBD" w:rsidRDefault="0021639A" w:rsidP="00C530D3">
            <w:pPr>
              <w:pStyle w:val="naisf"/>
              <w:spacing w:before="60" w:after="60"/>
              <w:ind w:firstLine="0"/>
              <w:contextualSpacing/>
            </w:pPr>
            <w:r w:rsidRPr="00366BBD">
              <w:t>Cita informācija</w:t>
            </w:r>
          </w:p>
        </w:tc>
        <w:tc>
          <w:tcPr>
            <w:tcW w:w="6266" w:type="dxa"/>
            <w:shd w:val="clear" w:color="auto" w:fill="auto"/>
          </w:tcPr>
          <w:p w:rsidR="0021639A" w:rsidRPr="00366BBD" w:rsidRDefault="0021639A" w:rsidP="00C530D3">
            <w:pPr>
              <w:pStyle w:val="naisf"/>
              <w:spacing w:before="60" w:after="60"/>
              <w:ind w:firstLine="0"/>
              <w:contextualSpacing/>
            </w:pPr>
            <w:r w:rsidRPr="00366BBD">
              <w:t>Nav</w:t>
            </w:r>
            <w:r w:rsidR="00D7529E" w:rsidRPr="00366BBD">
              <w:t>.</w:t>
            </w:r>
          </w:p>
        </w:tc>
      </w:tr>
    </w:tbl>
    <w:p w:rsidR="0021639A" w:rsidRPr="00366BBD" w:rsidRDefault="0021639A" w:rsidP="0021639A">
      <w:pPr>
        <w:pStyle w:val="naisf"/>
        <w:spacing w:before="0" w:after="0"/>
        <w:ind w:firstLine="0"/>
        <w:contextualSpacing/>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54"/>
        <w:gridCol w:w="2976"/>
        <w:gridCol w:w="6352"/>
      </w:tblGrid>
      <w:tr w:rsidR="0021639A" w:rsidRPr="00366BBD" w:rsidTr="0098558C">
        <w:tc>
          <w:tcPr>
            <w:tcW w:w="9782" w:type="dxa"/>
            <w:gridSpan w:val="3"/>
            <w:tcBorders>
              <w:top w:val="single" w:sz="4" w:space="0" w:color="auto"/>
            </w:tcBorders>
          </w:tcPr>
          <w:p w:rsidR="0021639A" w:rsidRPr="00366BBD" w:rsidRDefault="0021639A" w:rsidP="00C530D3">
            <w:pPr>
              <w:pStyle w:val="naisnod"/>
              <w:spacing w:before="60" w:after="60"/>
              <w:ind w:left="57" w:right="57"/>
              <w:contextualSpacing/>
            </w:pPr>
            <w:r w:rsidRPr="00366BBD">
              <w:t>VII. Tiesību akta projekta izpildes nodrošināšana un tās ietekme uz institūcijām</w:t>
            </w:r>
          </w:p>
        </w:tc>
      </w:tr>
      <w:tr w:rsidR="0021639A" w:rsidRPr="00366BBD" w:rsidTr="00FA7BDE">
        <w:trPr>
          <w:trHeight w:val="427"/>
        </w:trPr>
        <w:tc>
          <w:tcPr>
            <w:tcW w:w="454" w:type="dxa"/>
          </w:tcPr>
          <w:p w:rsidR="0021639A" w:rsidRPr="00366BBD" w:rsidRDefault="0021639A" w:rsidP="00C530D3">
            <w:pPr>
              <w:pStyle w:val="naisnod"/>
              <w:spacing w:before="60" w:after="60"/>
              <w:ind w:left="57" w:right="57"/>
              <w:contextualSpacing/>
              <w:jc w:val="left"/>
              <w:rPr>
                <w:b w:val="0"/>
              </w:rPr>
            </w:pPr>
            <w:r w:rsidRPr="00366BBD">
              <w:rPr>
                <w:b w:val="0"/>
              </w:rPr>
              <w:t>1.</w:t>
            </w:r>
          </w:p>
        </w:tc>
        <w:tc>
          <w:tcPr>
            <w:tcW w:w="2976" w:type="dxa"/>
          </w:tcPr>
          <w:p w:rsidR="0021639A" w:rsidRPr="00366BBD" w:rsidRDefault="0021639A" w:rsidP="00C530D3">
            <w:pPr>
              <w:pStyle w:val="naisf"/>
              <w:spacing w:before="60" w:after="60"/>
              <w:ind w:left="57" w:right="57" w:firstLine="0"/>
              <w:contextualSpacing/>
              <w:jc w:val="left"/>
            </w:pPr>
            <w:r w:rsidRPr="00366BBD">
              <w:t xml:space="preserve">Projekta izpildē iesaistītās institūcijas </w:t>
            </w:r>
          </w:p>
        </w:tc>
        <w:tc>
          <w:tcPr>
            <w:tcW w:w="6352" w:type="dxa"/>
          </w:tcPr>
          <w:p w:rsidR="0021639A" w:rsidRPr="00366BBD" w:rsidRDefault="0021639A" w:rsidP="00C530D3">
            <w:pPr>
              <w:pStyle w:val="naisnod"/>
              <w:spacing w:before="60" w:after="60"/>
              <w:ind w:left="57" w:right="57"/>
              <w:contextualSpacing/>
              <w:jc w:val="left"/>
              <w:rPr>
                <w:b w:val="0"/>
              </w:rPr>
            </w:pPr>
            <w:r w:rsidRPr="00366BBD">
              <w:rPr>
                <w:b w:val="0"/>
                <w:iCs/>
              </w:rPr>
              <w:t>Ministrijas un citas centrālās valsts iestādes</w:t>
            </w:r>
            <w:r w:rsidR="0098558C" w:rsidRPr="00366BBD">
              <w:rPr>
                <w:b w:val="0"/>
                <w:iCs/>
              </w:rPr>
              <w:t>.</w:t>
            </w:r>
          </w:p>
        </w:tc>
      </w:tr>
      <w:tr w:rsidR="0021639A" w:rsidRPr="00366BBD" w:rsidTr="00FA7BDE">
        <w:trPr>
          <w:trHeight w:val="463"/>
        </w:trPr>
        <w:tc>
          <w:tcPr>
            <w:tcW w:w="454" w:type="dxa"/>
          </w:tcPr>
          <w:p w:rsidR="0021639A" w:rsidRPr="00366BBD" w:rsidRDefault="0021639A" w:rsidP="00C530D3">
            <w:pPr>
              <w:pStyle w:val="naisnod"/>
              <w:spacing w:before="60" w:after="60"/>
              <w:ind w:left="57" w:right="57"/>
              <w:contextualSpacing/>
              <w:jc w:val="left"/>
              <w:rPr>
                <w:b w:val="0"/>
              </w:rPr>
            </w:pPr>
            <w:r w:rsidRPr="00366BBD">
              <w:rPr>
                <w:b w:val="0"/>
              </w:rPr>
              <w:t>2.</w:t>
            </w:r>
          </w:p>
        </w:tc>
        <w:tc>
          <w:tcPr>
            <w:tcW w:w="2976" w:type="dxa"/>
          </w:tcPr>
          <w:p w:rsidR="00DF4EB9" w:rsidRPr="00366BBD" w:rsidRDefault="00DF4EB9" w:rsidP="00C530D3">
            <w:pPr>
              <w:spacing w:before="60" w:after="60" w:line="240" w:lineRule="auto"/>
              <w:rPr>
                <w:rFonts w:ascii="Times New Roman" w:eastAsia="Times New Roman" w:hAnsi="Times New Roman"/>
                <w:sz w:val="24"/>
                <w:szCs w:val="24"/>
                <w:lang w:eastAsia="lv-LV"/>
              </w:rPr>
            </w:pPr>
            <w:r w:rsidRPr="00366BBD">
              <w:rPr>
                <w:rFonts w:ascii="Times New Roman" w:eastAsia="Times New Roman" w:hAnsi="Times New Roman"/>
                <w:sz w:val="24"/>
                <w:szCs w:val="24"/>
                <w:lang w:eastAsia="lv-LV"/>
              </w:rPr>
              <w:t xml:space="preserve">Projekta izpildes ietekme uz pārvaldes funkcijām un institucionālo struktūru. </w:t>
            </w:r>
          </w:p>
          <w:p w:rsidR="0021639A" w:rsidRPr="00366BBD" w:rsidRDefault="00DF4EB9" w:rsidP="00C530D3">
            <w:pPr>
              <w:pStyle w:val="naisf"/>
              <w:spacing w:before="60" w:after="60"/>
              <w:ind w:right="57" w:firstLine="0"/>
              <w:contextualSpacing/>
              <w:jc w:val="left"/>
            </w:pPr>
            <w:r w:rsidRPr="00366BBD">
              <w:t>Jaunu institūciju izveide, esošu institūciju likvidācija vai reorganizācija, to ietekme uz institūcijas cilvēkresursiem</w:t>
            </w:r>
          </w:p>
        </w:tc>
        <w:tc>
          <w:tcPr>
            <w:tcW w:w="6352" w:type="dxa"/>
          </w:tcPr>
          <w:p w:rsidR="0021639A" w:rsidRPr="006653F0" w:rsidRDefault="006653F0" w:rsidP="00FD68AE">
            <w:pPr>
              <w:pStyle w:val="naisnod"/>
              <w:spacing w:before="60" w:after="60"/>
              <w:ind w:left="57" w:right="57"/>
              <w:contextualSpacing/>
              <w:jc w:val="both"/>
              <w:rPr>
                <w:b w:val="0"/>
              </w:rPr>
            </w:pPr>
            <w:r w:rsidRPr="006653F0">
              <w:rPr>
                <w:b w:val="0"/>
              </w:rPr>
              <w:t>Administratīvais slogs un cilvēkresursu apjoms, kas nepieciešams minēto projektu izpildei paliks nemainīgs, ņemot vērā to, ka minētajos punktos pieprasītās un vairs nepieprasītās informācijas apjoms ir līdzvērtīgs.</w:t>
            </w:r>
          </w:p>
        </w:tc>
      </w:tr>
      <w:tr w:rsidR="0021639A" w:rsidRPr="00366BBD" w:rsidTr="00FA7BDE">
        <w:trPr>
          <w:trHeight w:val="476"/>
        </w:trPr>
        <w:tc>
          <w:tcPr>
            <w:tcW w:w="454" w:type="dxa"/>
          </w:tcPr>
          <w:p w:rsidR="0021639A" w:rsidRPr="00366BBD" w:rsidRDefault="00DF4EB9" w:rsidP="00C530D3">
            <w:pPr>
              <w:pStyle w:val="naiskr"/>
              <w:spacing w:before="60" w:after="60"/>
              <w:ind w:left="57" w:right="57"/>
              <w:contextualSpacing/>
            </w:pPr>
            <w:r w:rsidRPr="00366BBD">
              <w:t>3</w:t>
            </w:r>
            <w:r w:rsidR="0021639A" w:rsidRPr="00366BBD">
              <w:t>.</w:t>
            </w:r>
          </w:p>
        </w:tc>
        <w:tc>
          <w:tcPr>
            <w:tcW w:w="2976" w:type="dxa"/>
          </w:tcPr>
          <w:p w:rsidR="0021639A" w:rsidRPr="00366BBD" w:rsidRDefault="0021639A" w:rsidP="00C530D3">
            <w:pPr>
              <w:pStyle w:val="naiskr"/>
              <w:spacing w:before="60" w:after="60"/>
              <w:ind w:left="57" w:right="57"/>
              <w:contextualSpacing/>
            </w:pPr>
            <w:r w:rsidRPr="00366BBD">
              <w:t>Cita informācija</w:t>
            </w:r>
          </w:p>
        </w:tc>
        <w:tc>
          <w:tcPr>
            <w:tcW w:w="6352" w:type="dxa"/>
          </w:tcPr>
          <w:p w:rsidR="0021639A" w:rsidRPr="00366BBD" w:rsidRDefault="0021639A" w:rsidP="00C530D3">
            <w:pPr>
              <w:pStyle w:val="naiskr"/>
              <w:spacing w:before="60" w:after="60"/>
              <w:ind w:left="57" w:right="57"/>
              <w:contextualSpacing/>
            </w:pPr>
            <w:r w:rsidRPr="00366BBD">
              <w:t>Nav.</w:t>
            </w:r>
          </w:p>
        </w:tc>
      </w:tr>
    </w:tbl>
    <w:p w:rsidR="0021639A" w:rsidRPr="00366BBD" w:rsidRDefault="0021639A" w:rsidP="0021639A">
      <w:pPr>
        <w:pStyle w:val="naisf"/>
        <w:tabs>
          <w:tab w:val="left" w:pos="5760"/>
        </w:tabs>
        <w:spacing w:before="0" w:after="0"/>
        <w:ind w:firstLine="0"/>
        <w:contextualSpacing/>
        <w:rPr>
          <w:i/>
        </w:rPr>
      </w:pPr>
    </w:p>
    <w:p w:rsidR="00BB21B3" w:rsidRDefault="0021639A" w:rsidP="0021639A">
      <w:pPr>
        <w:pStyle w:val="naisf"/>
        <w:tabs>
          <w:tab w:val="left" w:pos="5760"/>
        </w:tabs>
        <w:spacing w:before="0" w:after="0"/>
        <w:ind w:firstLine="0"/>
        <w:contextualSpacing/>
        <w:rPr>
          <w:i/>
        </w:rPr>
      </w:pPr>
      <w:r w:rsidRPr="00366BBD">
        <w:rPr>
          <w:i/>
        </w:rPr>
        <w:t>Anotācijas III; V un VI  sadaļa –  projekts šīs jomas neskar.</w:t>
      </w:r>
    </w:p>
    <w:p w:rsidR="008E20DD" w:rsidRDefault="008E20DD" w:rsidP="0021639A">
      <w:pPr>
        <w:pStyle w:val="naisf"/>
        <w:tabs>
          <w:tab w:val="left" w:pos="5760"/>
        </w:tabs>
        <w:spacing w:before="0" w:after="0"/>
        <w:ind w:firstLine="0"/>
        <w:contextualSpacing/>
        <w:rPr>
          <w:i/>
        </w:rPr>
      </w:pPr>
    </w:p>
    <w:p w:rsidR="008E20DD" w:rsidRPr="008E20DD" w:rsidRDefault="008E20DD" w:rsidP="0021639A">
      <w:pPr>
        <w:pStyle w:val="naisf"/>
        <w:tabs>
          <w:tab w:val="left" w:pos="5760"/>
        </w:tabs>
        <w:spacing w:before="0" w:after="0"/>
        <w:ind w:firstLine="0"/>
        <w:contextualSpacing/>
        <w:rPr>
          <w:i/>
        </w:rPr>
      </w:pPr>
    </w:p>
    <w:p w:rsidR="002E0BC3" w:rsidRDefault="002E0BC3" w:rsidP="0021639A">
      <w:pPr>
        <w:pStyle w:val="naisf"/>
        <w:tabs>
          <w:tab w:val="left" w:pos="5760"/>
        </w:tabs>
        <w:spacing w:before="0" w:after="0"/>
        <w:ind w:firstLine="0"/>
        <w:contextualSpacing/>
      </w:pPr>
    </w:p>
    <w:p w:rsidR="00E052C6" w:rsidRPr="00E052C6" w:rsidRDefault="00E052C6" w:rsidP="0021639A">
      <w:pPr>
        <w:pStyle w:val="naisf"/>
        <w:tabs>
          <w:tab w:val="left" w:pos="5760"/>
        </w:tabs>
        <w:spacing w:before="0" w:after="0"/>
        <w:ind w:firstLine="0"/>
        <w:contextualSpacing/>
      </w:pPr>
      <w:r w:rsidRPr="00E052C6">
        <w:t>F</w:t>
      </w:r>
      <w:r>
        <w:t>i</w:t>
      </w:r>
      <w:r w:rsidRPr="00E052C6">
        <w:t>n</w:t>
      </w:r>
      <w:r>
        <w:t>anšu ministrs</w:t>
      </w:r>
      <w:r>
        <w:tab/>
      </w:r>
      <w:r>
        <w:tab/>
      </w:r>
      <w:r>
        <w:tab/>
      </w:r>
      <w:r>
        <w:tab/>
      </w:r>
      <w:proofErr w:type="spellStart"/>
      <w:r>
        <w:t>A.Vilks</w:t>
      </w:r>
      <w:proofErr w:type="spellEnd"/>
    </w:p>
    <w:p w:rsidR="008E20DD" w:rsidRDefault="008E20DD" w:rsidP="0021639A">
      <w:pPr>
        <w:spacing w:after="0" w:line="240" w:lineRule="auto"/>
        <w:contextualSpacing/>
        <w:rPr>
          <w:rFonts w:ascii="Times New Roman" w:hAnsi="Times New Roman"/>
          <w:sz w:val="24"/>
          <w:szCs w:val="24"/>
        </w:rPr>
      </w:pPr>
    </w:p>
    <w:p w:rsidR="008E20DD" w:rsidRDefault="008E20DD" w:rsidP="0021639A">
      <w:pPr>
        <w:spacing w:after="0" w:line="240" w:lineRule="auto"/>
        <w:contextualSpacing/>
        <w:rPr>
          <w:rFonts w:ascii="Times New Roman" w:hAnsi="Times New Roman"/>
          <w:sz w:val="24"/>
          <w:szCs w:val="24"/>
        </w:rPr>
      </w:pPr>
    </w:p>
    <w:p w:rsidR="003342D9" w:rsidRPr="00366BBD" w:rsidRDefault="003342D9" w:rsidP="0021639A">
      <w:pPr>
        <w:spacing w:after="0" w:line="240" w:lineRule="auto"/>
        <w:contextualSpacing/>
        <w:rPr>
          <w:rFonts w:ascii="Times New Roman" w:hAnsi="Times New Roman"/>
          <w:sz w:val="24"/>
          <w:szCs w:val="24"/>
        </w:rPr>
      </w:pPr>
    </w:p>
    <w:p w:rsidR="00421AD3" w:rsidRPr="00366BBD" w:rsidRDefault="008F1CFC" w:rsidP="0021639A">
      <w:pPr>
        <w:spacing w:after="0" w:line="240" w:lineRule="auto"/>
        <w:contextualSpacing/>
        <w:rPr>
          <w:rFonts w:ascii="Times New Roman" w:hAnsi="Times New Roman"/>
          <w:sz w:val="20"/>
          <w:szCs w:val="20"/>
        </w:rPr>
      </w:pPr>
      <w:r>
        <w:rPr>
          <w:rFonts w:ascii="Times New Roman" w:hAnsi="Times New Roman"/>
          <w:sz w:val="20"/>
          <w:szCs w:val="20"/>
        </w:rPr>
        <w:t>03.11.2014 15:34</w:t>
      </w:r>
    </w:p>
    <w:p w:rsidR="00421AD3" w:rsidRPr="00366BBD" w:rsidRDefault="00FC0712" w:rsidP="0021639A">
      <w:pPr>
        <w:tabs>
          <w:tab w:val="center" w:pos="0"/>
        </w:tabs>
        <w:spacing w:after="0" w:line="240" w:lineRule="auto"/>
        <w:contextualSpacing/>
        <w:jc w:val="both"/>
        <w:rPr>
          <w:rFonts w:ascii="Times New Roman" w:hAnsi="Times New Roman"/>
          <w:sz w:val="20"/>
          <w:szCs w:val="20"/>
        </w:rPr>
      </w:pPr>
      <w:r>
        <w:rPr>
          <w:rFonts w:ascii="Times New Roman" w:hAnsi="Times New Roman"/>
          <w:sz w:val="20"/>
          <w:szCs w:val="20"/>
        </w:rPr>
        <w:t>2</w:t>
      </w:r>
      <w:r w:rsidR="008E20DD">
        <w:rPr>
          <w:rFonts w:ascii="Times New Roman" w:hAnsi="Times New Roman"/>
          <w:sz w:val="20"/>
          <w:szCs w:val="20"/>
        </w:rPr>
        <w:t>109</w:t>
      </w:r>
    </w:p>
    <w:p w:rsidR="00421AD3" w:rsidRPr="00366BBD" w:rsidRDefault="00F8378D" w:rsidP="0021639A">
      <w:pPr>
        <w:spacing w:after="0" w:line="240" w:lineRule="auto"/>
        <w:contextualSpacing/>
        <w:rPr>
          <w:rFonts w:ascii="Times New Roman" w:hAnsi="Times New Roman"/>
          <w:sz w:val="20"/>
          <w:szCs w:val="20"/>
        </w:rPr>
      </w:pPr>
      <w:proofErr w:type="spellStart"/>
      <w:r>
        <w:rPr>
          <w:rFonts w:ascii="Times New Roman" w:hAnsi="Times New Roman"/>
          <w:sz w:val="20"/>
          <w:szCs w:val="20"/>
        </w:rPr>
        <w:t>E.Gross</w:t>
      </w:r>
      <w:proofErr w:type="spellEnd"/>
    </w:p>
    <w:p w:rsidR="00C7280E" w:rsidRPr="00366BBD" w:rsidRDefault="00421AD3" w:rsidP="00461C49">
      <w:pPr>
        <w:spacing w:after="0" w:line="240" w:lineRule="auto"/>
        <w:contextualSpacing/>
        <w:rPr>
          <w:rFonts w:ascii="Times New Roman" w:hAnsi="Times New Roman"/>
          <w:sz w:val="24"/>
          <w:szCs w:val="24"/>
        </w:rPr>
      </w:pPr>
      <w:r w:rsidRPr="00366BBD">
        <w:rPr>
          <w:rFonts w:ascii="Times New Roman" w:hAnsi="Times New Roman"/>
          <w:sz w:val="20"/>
          <w:szCs w:val="20"/>
        </w:rPr>
        <w:t>670</w:t>
      </w:r>
      <w:r w:rsidR="00F8378D">
        <w:rPr>
          <w:rFonts w:ascii="Times New Roman" w:hAnsi="Times New Roman"/>
          <w:sz w:val="20"/>
          <w:szCs w:val="20"/>
        </w:rPr>
        <w:t>83966</w:t>
      </w:r>
      <w:r w:rsidRPr="00366BBD">
        <w:rPr>
          <w:rFonts w:ascii="Times New Roman" w:hAnsi="Times New Roman"/>
          <w:sz w:val="20"/>
          <w:szCs w:val="20"/>
        </w:rPr>
        <w:t xml:space="preserve">; </w:t>
      </w:r>
      <w:r w:rsidR="00F8378D">
        <w:rPr>
          <w:rFonts w:ascii="Times New Roman" w:hAnsi="Times New Roman"/>
          <w:sz w:val="20"/>
          <w:szCs w:val="20"/>
        </w:rPr>
        <w:t>Eduards.Gross</w:t>
      </w:r>
      <w:r w:rsidRPr="00366BBD">
        <w:rPr>
          <w:rFonts w:ascii="Times New Roman" w:hAnsi="Times New Roman"/>
          <w:sz w:val="20"/>
          <w:szCs w:val="20"/>
        </w:rPr>
        <w:t xml:space="preserve">@fm.gov.lv </w:t>
      </w:r>
    </w:p>
    <w:sectPr w:rsidR="00C7280E" w:rsidRPr="00366BBD" w:rsidSect="00A8122C">
      <w:headerReference w:type="default" r:id="rId8"/>
      <w:footerReference w:type="even" r:id="rId9"/>
      <w:footerReference w:type="default" r:id="rId10"/>
      <w:footerReference w:type="first" r:id="rId11"/>
      <w:pgSz w:w="11906" w:h="16838"/>
      <w:pgMar w:top="567" w:right="1274" w:bottom="1418" w:left="993"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A8B" w:rsidRDefault="00274A8B" w:rsidP="004A53C8">
      <w:pPr>
        <w:spacing w:after="0" w:line="240" w:lineRule="auto"/>
      </w:pPr>
      <w:r>
        <w:separator/>
      </w:r>
    </w:p>
  </w:endnote>
  <w:endnote w:type="continuationSeparator" w:id="0">
    <w:p w:rsidR="00274A8B" w:rsidRDefault="00274A8B" w:rsidP="004A5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74" w:rsidRDefault="00126774" w:rsidP="00E45F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774" w:rsidRDefault="00126774" w:rsidP="00A8122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74" w:rsidRPr="009E0FED" w:rsidRDefault="00A81E03" w:rsidP="0095357D">
    <w:pPr>
      <w:pStyle w:val="Footer"/>
      <w:spacing w:after="0" w:line="240" w:lineRule="auto"/>
      <w:jc w:val="both"/>
      <w:rPr>
        <w:sz w:val="20"/>
        <w:szCs w:val="20"/>
      </w:rPr>
    </w:pPr>
    <w:r w:rsidRPr="00E52B8B">
      <w:rPr>
        <w:rFonts w:ascii="Times New Roman" w:hAnsi="Times New Roman"/>
        <w:sz w:val="20"/>
        <w:szCs w:val="20"/>
      </w:rPr>
      <w:fldChar w:fldCharType="begin"/>
    </w:r>
    <w:r w:rsidRPr="006E3B40">
      <w:rPr>
        <w:rFonts w:ascii="Times New Roman" w:hAnsi="Times New Roman"/>
        <w:sz w:val="20"/>
        <w:szCs w:val="20"/>
      </w:rPr>
      <w:instrText xml:space="preserve"> FILENAME   \* MERGEFORMAT </w:instrText>
    </w:r>
    <w:r w:rsidRPr="00E52B8B">
      <w:rPr>
        <w:rFonts w:ascii="Times New Roman" w:hAnsi="Times New Roman"/>
        <w:sz w:val="20"/>
        <w:szCs w:val="20"/>
      </w:rPr>
      <w:fldChar w:fldCharType="separate"/>
    </w:r>
    <w:r w:rsidR="002E0BC3">
      <w:rPr>
        <w:rFonts w:ascii="Times New Roman" w:hAnsi="Times New Roman"/>
        <w:noProof/>
        <w:sz w:val="20"/>
        <w:szCs w:val="20"/>
      </w:rPr>
      <w:t>FMAnot_23102014_Nr_523</w:t>
    </w:r>
    <w:r w:rsidRPr="00E52B8B">
      <w:rPr>
        <w:rFonts w:ascii="Times New Roman" w:hAnsi="Times New Roman"/>
        <w:sz w:val="20"/>
        <w:szCs w:val="20"/>
      </w:rPr>
      <w:fldChar w:fldCharType="end"/>
    </w:r>
    <w:r w:rsidRPr="00E52B8B">
      <w:rPr>
        <w:rFonts w:ascii="Times New Roman" w:hAnsi="Times New Roman"/>
        <w:sz w:val="20"/>
        <w:szCs w:val="20"/>
      </w:rPr>
      <w:t xml:space="preserve">; </w:t>
    </w:r>
    <w:r w:rsidRPr="00E52B8B">
      <w:rPr>
        <w:rFonts w:ascii="Times New Roman" w:eastAsia="Times New Roman" w:hAnsi="Times New Roman"/>
        <w:bCs/>
        <w:sz w:val="20"/>
        <w:szCs w:val="20"/>
        <w:lang w:eastAsia="lv-LV"/>
      </w:rPr>
      <w:t xml:space="preserve">Ministru kabineta </w:t>
    </w:r>
    <w:r w:rsidR="006E3B40" w:rsidRPr="00E52B8B">
      <w:rPr>
        <w:rFonts w:ascii="Times New Roman" w:eastAsia="Times New Roman" w:hAnsi="Times New Roman"/>
        <w:bCs/>
        <w:sz w:val="20"/>
        <w:szCs w:val="20"/>
        <w:lang w:eastAsia="lv-LV"/>
      </w:rPr>
      <w:t xml:space="preserve">noteikumu </w:t>
    </w:r>
    <w:r w:rsidRPr="00E52B8B">
      <w:rPr>
        <w:rFonts w:ascii="Times New Roman" w:eastAsia="Times New Roman" w:hAnsi="Times New Roman"/>
        <w:bCs/>
        <w:sz w:val="20"/>
        <w:szCs w:val="20"/>
        <w:lang w:eastAsia="lv-LV"/>
      </w:rPr>
      <w:t>projekta „</w:t>
    </w:r>
    <w:r w:rsidR="006E3B40" w:rsidRPr="009E0FED">
      <w:rPr>
        <w:rFonts w:ascii="Times New Roman" w:hAnsi="Times New Roman"/>
        <w:bCs/>
        <w:sz w:val="20"/>
        <w:szCs w:val="20"/>
        <w:lang w:eastAsia="lv-LV"/>
      </w:rPr>
      <w:t>Grozījumi Ministru kabineta 2012.gada 31.jūlija noteikumos Nr.523 „Noteikumi par budžeta pieprasījumu izstrādāšanas un iesniegšanas pamatprincipiem”</w:t>
    </w:r>
    <w:r w:rsidRPr="006E3B40">
      <w:rPr>
        <w:rFonts w:ascii="Times New Roman" w:eastAsia="Times New Roman" w:hAnsi="Times New Roman"/>
        <w:bCs/>
        <w:sz w:val="20"/>
        <w:szCs w:val="20"/>
        <w:lang w:eastAsia="lv-LV"/>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74" w:rsidRPr="00D068F4" w:rsidRDefault="00F85103" w:rsidP="00F4546D">
    <w:pPr>
      <w:pStyle w:val="Foote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2E0BC3">
      <w:rPr>
        <w:rFonts w:ascii="Times New Roman" w:hAnsi="Times New Roman"/>
        <w:noProof/>
        <w:sz w:val="20"/>
        <w:szCs w:val="20"/>
      </w:rPr>
      <w:t>FMAnot_23102014_Nr_523</w:t>
    </w:r>
    <w:r>
      <w:rPr>
        <w:rFonts w:ascii="Times New Roman" w:hAnsi="Times New Roman"/>
        <w:sz w:val="20"/>
        <w:szCs w:val="20"/>
      </w:rPr>
      <w:fldChar w:fldCharType="end"/>
    </w:r>
    <w:r w:rsidR="00126774" w:rsidRPr="00D068F4">
      <w:rPr>
        <w:rFonts w:ascii="Times New Roman" w:hAnsi="Times New Roman"/>
        <w:sz w:val="20"/>
        <w:szCs w:val="20"/>
      </w:rPr>
      <w:t xml:space="preserve">; </w:t>
    </w:r>
    <w:r w:rsidR="006931FB" w:rsidRPr="00E52B8B">
      <w:rPr>
        <w:rFonts w:ascii="Times New Roman" w:eastAsia="Times New Roman" w:hAnsi="Times New Roman"/>
        <w:bCs/>
        <w:sz w:val="20"/>
        <w:szCs w:val="20"/>
        <w:lang w:eastAsia="lv-LV"/>
      </w:rPr>
      <w:t>Ministru kabineta noteikumu projekta „</w:t>
    </w:r>
    <w:r w:rsidR="006931FB" w:rsidRPr="009E0FED">
      <w:rPr>
        <w:rFonts w:ascii="Times New Roman" w:hAnsi="Times New Roman"/>
        <w:bCs/>
        <w:sz w:val="20"/>
        <w:szCs w:val="20"/>
        <w:lang w:eastAsia="lv-LV"/>
      </w:rPr>
      <w:t>Grozījumi Ministru kabineta 2012.gada 31.jūlija noteikumos Nr.523 „Noteikumi par budžeta pieprasījumu izstrādāšanas un iesniegšanas pamatprincipiem”</w:t>
    </w:r>
    <w:r w:rsidR="006931FB" w:rsidRPr="006E3B40">
      <w:rPr>
        <w:rFonts w:ascii="Times New Roman" w:eastAsia="Times New Roman" w:hAnsi="Times New Roman"/>
        <w:bCs/>
        <w:sz w:val="20"/>
        <w:szCs w:val="20"/>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A8B" w:rsidRDefault="00274A8B" w:rsidP="004A53C8">
      <w:pPr>
        <w:spacing w:after="0" w:line="240" w:lineRule="auto"/>
      </w:pPr>
      <w:r>
        <w:separator/>
      </w:r>
    </w:p>
  </w:footnote>
  <w:footnote w:type="continuationSeparator" w:id="0">
    <w:p w:rsidR="00274A8B" w:rsidRDefault="00274A8B" w:rsidP="004A53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74" w:rsidRDefault="00126774"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8F1CFC">
      <w:rPr>
        <w:rFonts w:ascii="Times New Roman" w:hAnsi="Times New Roman"/>
        <w:noProof/>
        <w:sz w:val="24"/>
        <w:szCs w:val="24"/>
      </w:rPr>
      <w:t>6</w:t>
    </w:r>
    <w:r w:rsidRPr="00F4546D">
      <w:rPr>
        <w:rFonts w:ascii="Times New Roman" w:hAnsi="Times New Roman"/>
        <w:sz w:val="24"/>
        <w:szCs w:val="24"/>
      </w:rPr>
      <w:fldChar w:fldCharType="end"/>
    </w:r>
  </w:p>
  <w:p w:rsidR="00126774" w:rsidRPr="00F4546D" w:rsidRDefault="00126774" w:rsidP="00F4546D">
    <w:pPr>
      <w:pStyle w:val="Header"/>
      <w:spacing w:after="0"/>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10328"/>
    <w:multiLevelType w:val="hybridMultilevel"/>
    <w:tmpl w:val="D3A895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4315C74"/>
    <w:multiLevelType w:val="hybridMultilevel"/>
    <w:tmpl w:val="B55C2AF6"/>
    <w:lvl w:ilvl="0" w:tplc="72326B78">
      <w:start w:val="1"/>
      <w:numFmt w:val="decimal"/>
      <w:lvlText w:val="%1."/>
      <w:lvlJc w:val="left"/>
      <w:pPr>
        <w:tabs>
          <w:tab w:val="num" w:pos="720"/>
        </w:tabs>
        <w:ind w:left="720" w:hanging="360"/>
      </w:pPr>
    </w:lvl>
    <w:lvl w:ilvl="1" w:tplc="5EA8EEA6" w:tentative="1">
      <w:start w:val="1"/>
      <w:numFmt w:val="decimal"/>
      <w:lvlText w:val="%2."/>
      <w:lvlJc w:val="left"/>
      <w:pPr>
        <w:tabs>
          <w:tab w:val="num" w:pos="1440"/>
        </w:tabs>
        <w:ind w:left="1440" w:hanging="360"/>
      </w:pPr>
    </w:lvl>
    <w:lvl w:ilvl="2" w:tplc="D8E0CA48" w:tentative="1">
      <w:start w:val="1"/>
      <w:numFmt w:val="decimal"/>
      <w:lvlText w:val="%3."/>
      <w:lvlJc w:val="left"/>
      <w:pPr>
        <w:tabs>
          <w:tab w:val="num" w:pos="2160"/>
        </w:tabs>
        <w:ind w:left="2160" w:hanging="360"/>
      </w:pPr>
    </w:lvl>
    <w:lvl w:ilvl="3" w:tplc="DAFC82FC" w:tentative="1">
      <w:start w:val="1"/>
      <w:numFmt w:val="decimal"/>
      <w:lvlText w:val="%4."/>
      <w:lvlJc w:val="left"/>
      <w:pPr>
        <w:tabs>
          <w:tab w:val="num" w:pos="2880"/>
        </w:tabs>
        <w:ind w:left="2880" w:hanging="360"/>
      </w:pPr>
    </w:lvl>
    <w:lvl w:ilvl="4" w:tplc="9AA2E390" w:tentative="1">
      <w:start w:val="1"/>
      <w:numFmt w:val="decimal"/>
      <w:lvlText w:val="%5."/>
      <w:lvlJc w:val="left"/>
      <w:pPr>
        <w:tabs>
          <w:tab w:val="num" w:pos="3600"/>
        </w:tabs>
        <w:ind w:left="3600" w:hanging="360"/>
      </w:pPr>
    </w:lvl>
    <w:lvl w:ilvl="5" w:tplc="87F0A728" w:tentative="1">
      <w:start w:val="1"/>
      <w:numFmt w:val="decimal"/>
      <w:lvlText w:val="%6."/>
      <w:lvlJc w:val="left"/>
      <w:pPr>
        <w:tabs>
          <w:tab w:val="num" w:pos="4320"/>
        </w:tabs>
        <w:ind w:left="4320" w:hanging="360"/>
      </w:pPr>
    </w:lvl>
    <w:lvl w:ilvl="6" w:tplc="4414365E" w:tentative="1">
      <w:start w:val="1"/>
      <w:numFmt w:val="decimal"/>
      <w:lvlText w:val="%7."/>
      <w:lvlJc w:val="left"/>
      <w:pPr>
        <w:tabs>
          <w:tab w:val="num" w:pos="5040"/>
        </w:tabs>
        <w:ind w:left="5040" w:hanging="360"/>
      </w:pPr>
    </w:lvl>
    <w:lvl w:ilvl="7" w:tplc="1AE28E90" w:tentative="1">
      <w:start w:val="1"/>
      <w:numFmt w:val="decimal"/>
      <w:lvlText w:val="%8."/>
      <w:lvlJc w:val="left"/>
      <w:pPr>
        <w:tabs>
          <w:tab w:val="num" w:pos="5760"/>
        </w:tabs>
        <w:ind w:left="5760" w:hanging="360"/>
      </w:pPr>
    </w:lvl>
    <w:lvl w:ilvl="8" w:tplc="98546794" w:tentative="1">
      <w:start w:val="1"/>
      <w:numFmt w:val="decimal"/>
      <w:lvlText w:val="%9."/>
      <w:lvlJc w:val="left"/>
      <w:pPr>
        <w:tabs>
          <w:tab w:val="num" w:pos="6480"/>
        </w:tabs>
        <w:ind w:left="6480" w:hanging="360"/>
      </w:pPr>
    </w:lvl>
  </w:abstractNum>
  <w:abstractNum w:abstractNumId="2">
    <w:nsid w:val="1DCF502B"/>
    <w:multiLevelType w:val="multilevel"/>
    <w:tmpl w:val="92D0C2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2726F4"/>
    <w:multiLevelType w:val="hybridMultilevel"/>
    <w:tmpl w:val="42620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1316FCE"/>
    <w:multiLevelType w:val="multilevel"/>
    <w:tmpl w:val="BBB0C4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34E74D03"/>
    <w:multiLevelType w:val="multilevel"/>
    <w:tmpl w:val="621666F2"/>
    <w:lvl w:ilvl="0">
      <w:start w:val="1"/>
      <w:numFmt w:val="decimal"/>
      <w:lvlText w:val="%1."/>
      <w:lvlJc w:val="left"/>
      <w:pPr>
        <w:ind w:left="454" w:hanging="341"/>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474"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6CD0B20"/>
    <w:multiLevelType w:val="hybridMultilevel"/>
    <w:tmpl w:val="736435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145748"/>
    <w:multiLevelType w:val="hybridMultilevel"/>
    <w:tmpl w:val="AC70D2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F4F67F2"/>
    <w:multiLevelType w:val="hybridMultilevel"/>
    <w:tmpl w:val="08C6D4E2"/>
    <w:lvl w:ilvl="0" w:tplc="95FE99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88C5BDF"/>
    <w:multiLevelType w:val="hybridMultilevel"/>
    <w:tmpl w:val="2FEA9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193043"/>
    <w:multiLevelType w:val="multilevel"/>
    <w:tmpl w:val="4E0EE666"/>
    <w:lvl w:ilvl="0">
      <w:start w:val="1"/>
      <w:numFmt w:val="decimal"/>
      <w:lvlText w:val="%1."/>
      <w:lvlJc w:val="left"/>
      <w:pPr>
        <w:ind w:left="360" w:hanging="360"/>
      </w:pPr>
      <w:rPr>
        <w:rFonts w:cs="Times New Roman"/>
        <w:b w:val="0"/>
        <w:sz w:val="20"/>
        <w:szCs w:val="20"/>
      </w:rPr>
    </w:lvl>
    <w:lvl w:ilvl="1">
      <w:start w:val="1"/>
      <w:numFmt w:val="decimal"/>
      <w:lvlText w:val="%2)"/>
      <w:lvlJc w:val="left"/>
      <w:pPr>
        <w:ind w:left="716" w:hanging="432"/>
      </w:pPr>
      <w:rPr>
        <w:rFonts w:ascii="Times New Roman" w:eastAsia="Times New Roman" w:hAnsi="Times New Roman" w:cs="Times New Roman"/>
        <w:b w:val="0"/>
        <w:i w:val="0"/>
        <w:sz w:val="24"/>
        <w:szCs w:val="24"/>
      </w:rPr>
    </w:lvl>
    <w:lvl w:ilvl="2">
      <w:start w:val="1"/>
      <w:numFmt w:val="decimal"/>
      <w:lvlText w:val="%1.%2.%3."/>
      <w:lvlJc w:val="left"/>
      <w:pPr>
        <w:ind w:left="1497" w:hanging="504"/>
      </w:pPr>
      <w:rPr>
        <w:rFonts w:cs="Times New Roman"/>
        <w:b w:val="0"/>
        <w:sz w:val="20"/>
        <w:szCs w:val="20"/>
      </w:rPr>
    </w:lvl>
    <w:lvl w:ilvl="3">
      <w:start w:val="1"/>
      <w:numFmt w:val="decimal"/>
      <w:lvlText w:val="%1.%2.%3.%4."/>
      <w:lvlJc w:val="left"/>
      <w:pPr>
        <w:ind w:left="1728" w:hanging="648"/>
      </w:pPr>
      <w:rPr>
        <w:rFonts w:cs="Times New Roman"/>
        <w:sz w:val="20"/>
        <w:szCs w:val="20"/>
      </w:rPr>
    </w:lvl>
    <w:lvl w:ilvl="4">
      <w:start w:val="1"/>
      <w:numFmt w:val="decimal"/>
      <w:lvlText w:val="%1.%2.%3.%4.%5."/>
      <w:lvlJc w:val="left"/>
      <w:pPr>
        <w:ind w:left="2232" w:hanging="792"/>
      </w:pPr>
      <w:rPr>
        <w:rFonts w:cs="Times New Roman"/>
        <w:sz w:val="20"/>
        <w:szCs w:val="20"/>
      </w:rPr>
    </w:lvl>
    <w:lvl w:ilvl="5">
      <w:start w:val="1"/>
      <w:numFmt w:val="decimal"/>
      <w:lvlText w:val="%1.%2.%3.%4.%5.%6."/>
      <w:lvlJc w:val="left"/>
      <w:pPr>
        <w:ind w:left="2736" w:hanging="936"/>
      </w:pPr>
      <w:rPr>
        <w:rFonts w:cs="Times New Roman"/>
        <w:sz w:val="20"/>
        <w:szCs w:val="2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ED93136"/>
    <w:multiLevelType w:val="hybridMultilevel"/>
    <w:tmpl w:val="08C6D4E2"/>
    <w:lvl w:ilvl="0" w:tplc="95FE992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55BA0D69"/>
    <w:multiLevelType w:val="hybridMultilevel"/>
    <w:tmpl w:val="42620A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8212605"/>
    <w:multiLevelType w:val="multilevel"/>
    <w:tmpl w:val="C5CA8B24"/>
    <w:lvl w:ilvl="0">
      <w:start w:val="1"/>
      <w:numFmt w:val="decimal"/>
      <w:lvlText w:val="%1."/>
      <w:lvlJc w:val="left"/>
      <w:pPr>
        <w:ind w:left="454" w:hanging="341"/>
      </w:pPr>
      <w:rPr>
        <w:rFonts w:hint="default"/>
      </w:rPr>
    </w:lvl>
    <w:lvl w:ilvl="1">
      <w:start w:val="1"/>
      <w:numFmt w:val="decimal"/>
      <w:lvlText w:val="%1.%2."/>
      <w:lvlJc w:val="left"/>
      <w:pPr>
        <w:ind w:left="907" w:hanging="45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6FA6506"/>
    <w:multiLevelType w:val="hybridMultilevel"/>
    <w:tmpl w:val="D84C950A"/>
    <w:lvl w:ilvl="0" w:tplc="0426000D">
      <w:start w:val="1"/>
      <w:numFmt w:val="bullet"/>
      <w:lvlText w:val=""/>
      <w:lvlJc w:val="left"/>
      <w:pPr>
        <w:ind w:left="502" w:hanging="360"/>
      </w:pPr>
      <w:rPr>
        <w:rFonts w:ascii="Wingdings" w:hAnsi="Wingdings"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5">
    <w:nsid w:val="79BE49EA"/>
    <w:multiLevelType w:val="hybridMultilevel"/>
    <w:tmpl w:val="5A82B7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5"/>
  </w:num>
  <w:num w:numId="3">
    <w:abstractNumId w:val="9"/>
  </w:num>
  <w:num w:numId="4">
    <w:abstractNumId w:val="10"/>
  </w:num>
  <w:num w:numId="5">
    <w:abstractNumId w:val="2"/>
  </w:num>
  <w:num w:numId="6">
    <w:abstractNumId w:val="3"/>
  </w:num>
  <w:num w:numId="7">
    <w:abstractNumId w:val="11"/>
  </w:num>
  <w:num w:numId="8">
    <w:abstractNumId w:val="12"/>
  </w:num>
  <w:num w:numId="9">
    <w:abstractNumId w:val="4"/>
  </w:num>
  <w:num w:numId="10">
    <w:abstractNumId w:val="8"/>
  </w:num>
  <w:num w:numId="11">
    <w:abstractNumId w:val="7"/>
  </w:num>
  <w:num w:numId="12">
    <w:abstractNumId w:val="6"/>
  </w:num>
  <w:num w:numId="13">
    <w:abstractNumId w:val="14"/>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0F0D"/>
    <w:rsid w:val="000104D1"/>
    <w:rsid w:val="0001064F"/>
    <w:rsid w:val="00011A19"/>
    <w:rsid w:val="00012F47"/>
    <w:rsid w:val="0001406B"/>
    <w:rsid w:val="000142A0"/>
    <w:rsid w:val="00017353"/>
    <w:rsid w:val="00023316"/>
    <w:rsid w:val="000239FE"/>
    <w:rsid w:val="0002522A"/>
    <w:rsid w:val="00032DD2"/>
    <w:rsid w:val="000345EE"/>
    <w:rsid w:val="00035BB3"/>
    <w:rsid w:val="000447E0"/>
    <w:rsid w:val="000449AB"/>
    <w:rsid w:val="00047C7E"/>
    <w:rsid w:val="00053288"/>
    <w:rsid w:val="00063CDE"/>
    <w:rsid w:val="00063D63"/>
    <w:rsid w:val="00064B38"/>
    <w:rsid w:val="0007388A"/>
    <w:rsid w:val="00074509"/>
    <w:rsid w:val="000765BC"/>
    <w:rsid w:val="00077F81"/>
    <w:rsid w:val="00083933"/>
    <w:rsid w:val="0008512F"/>
    <w:rsid w:val="0008734E"/>
    <w:rsid w:val="00087DBE"/>
    <w:rsid w:val="000929C4"/>
    <w:rsid w:val="0009669B"/>
    <w:rsid w:val="000A1095"/>
    <w:rsid w:val="000A24A2"/>
    <w:rsid w:val="000A3425"/>
    <w:rsid w:val="000B2C51"/>
    <w:rsid w:val="000B32C2"/>
    <w:rsid w:val="000C0CAE"/>
    <w:rsid w:val="000C283A"/>
    <w:rsid w:val="000C2BDC"/>
    <w:rsid w:val="000C4B3B"/>
    <w:rsid w:val="000C5AB1"/>
    <w:rsid w:val="000C7C23"/>
    <w:rsid w:val="000D15E9"/>
    <w:rsid w:val="000D3305"/>
    <w:rsid w:val="000D6CFB"/>
    <w:rsid w:val="000E0B34"/>
    <w:rsid w:val="000E1C38"/>
    <w:rsid w:val="000E4A4F"/>
    <w:rsid w:val="000E5540"/>
    <w:rsid w:val="000E782F"/>
    <w:rsid w:val="000E7AA6"/>
    <w:rsid w:val="000F0C56"/>
    <w:rsid w:val="000F597B"/>
    <w:rsid w:val="00100428"/>
    <w:rsid w:val="00103422"/>
    <w:rsid w:val="00103700"/>
    <w:rsid w:val="00107743"/>
    <w:rsid w:val="00116269"/>
    <w:rsid w:val="001164A0"/>
    <w:rsid w:val="00116761"/>
    <w:rsid w:val="00116E3B"/>
    <w:rsid w:val="00121135"/>
    <w:rsid w:val="00121795"/>
    <w:rsid w:val="001219FF"/>
    <w:rsid w:val="0012305F"/>
    <w:rsid w:val="00123F56"/>
    <w:rsid w:val="001250F0"/>
    <w:rsid w:val="00126774"/>
    <w:rsid w:val="001274B2"/>
    <w:rsid w:val="001327AB"/>
    <w:rsid w:val="001359C1"/>
    <w:rsid w:val="00135E39"/>
    <w:rsid w:val="0014658B"/>
    <w:rsid w:val="00147F35"/>
    <w:rsid w:val="0015255C"/>
    <w:rsid w:val="00155F82"/>
    <w:rsid w:val="00156974"/>
    <w:rsid w:val="001631CA"/>
    <w:rsid w:val="001646CB"/>
    <w:rsid w:val="00165D3E"/>
    <w:rsid w:val="00167BD3"/>
    <w:rsid w:val="0017303C"/>
    <w:rsid w:val="001755B5"/>
    <w:rsid w:val="00176567"/>
    <w:rsid w:val="00180C33"/>
    <w:rsid w:val="00181168"/>
    <w:rsid w:val="00181CD2"/>
    <w:rsid w:val="001823D8"/>
    <w:rsid w:val="0019184B"/>
    <w:rsid w:val="00191894"/>
    <w:rsid w:val="0019588F"/>
    <w:rsid w:val="00197372"/>
    <w:rsid w:val="001A152B"/>
    <w:rsid w:val="001A3B4B"/>
    <w:rsid w:val="001A4941"/>
    <w:rsid w:val="001B0C21"/>
    <w:rsid w:val="001B271E"/>
    <w:rsid w:val="001B2B20"/>
    <w:rsid w:val="001B4FC0"/>
    <w:rsid w:val="001B5772"/>
    <w:rsid w:val="001B6C7B"/>
    <w:rsid w:val="001D4450"/>
    <w:rsid w:val="001D579E"/>
    <w:rsid w:val="001D5D6F"/>
    <w:rsid w:val="001E013B"/>
    <w:rsid w:val="001E0431"/>
    <w:rsid w:val="001E09F9"/>
    <w:rsid w:val="001E0B16"/>
    <w:rsid w:val="001E1961"/>
    <w:rsid w:val="001E2DA8"/>
    <w:rsid w:val="001E47EB"/>
    <w:rsid w:val="001E4FE9"/>
    <w:rsid w:val="001F1D0C"/>
    <w:rsid w:val="001F534A"/>
    <w:rsid w:val="001F7293"/>
    <w:rsid w:val="00202E38"/>
    <w:rsid w:val="00204A36"/>
    <w:rsid w:val="00204E9C"/>
    <w:rsid w:val="002060C4"/>
    <w:rsid w:val="0020646B"/>
    <w:rsid w:val="002079C8"/>
    <w:rsid w:val="00211ED6"/>
    <w:rsid w:val="00213371"/>
    <w:rsid w:val="0021639A"/>
    <w:rsid w:val="002172EA"/>
    <w:rsid w:val="00217534"/>
    <w:rsid w:val="00224D21"/>
    <w:rsid w:val="00230DF1"/>
    <w:rsid w:val="0023148C"/>
    <w:rsid w:val="002316F0"/>
    <w:rsid w:val="00232B3F"/>
    <w:rsid w:val="002338A9"/>
    <w:rsid w:val="002348EE"/>
    <w:rsid w:val="00234DF5"/>
    <w:rsid w:val="0023783F"/>
    <w:rsid w:val="002426B4"/>
    <w:rsid w:val="00244D91"/>
    <w:rsid w:val="0024564B"/>
    <w:rsid w:val="00246D71"/>
    <w:rsid w:val="00247ADA"/>
    <w:rsid w:val="00247F0D"/>
    <w:rsid w:val="00247FC4"/>
    <w:rsid w:val="00250496"/>
    <w:rsid w:val="00252666"/>
    <w:rsid w:val="00253058"/>
    <w:rsid w:val="002533C8"/>
    <w:rsid w:val="00253814"/>
    <w:rsid w:val="00257F67"/>
    <w:rsid w:val="00260CAD"/>
    <w:rsid w:val="00260CEE"/>
    <w:rsid w:val="00261B51"/>
    <w:rsid w:val="00272847"/>
    <w:rsid w:val="002728BD"/>
    <w:rsid w:val="00273B81"/>
    <w:rsid w:val="00274141"/>
    <w:rsid w:val="00274A8B"/>
    <w:rsid w:val="002758A4"/>
    <w:rsid w:val="00275D9B"/>
    <w:rsid w:val="0028025F"/>
    <w:rsid w:val="0028186F"/>
    <w:rsid w:val="00282978"/>
    <w:rsid w:val="002848C4"/>
    <w:rsid w:val="002858D6"/>
    <w:rsid w:val="00285DF0"/>
    <w:rsid w:val="00287140"/>
    <w:rsid w:val="00291B91"/>
    <w:rsid w:val="0029210D"/>
    <w:rsid w:val="00292D79"/>
    <w:rsid w:val="002932A6"/>
    <w:rsid w:val="00293501"/>
    <w:rsid w:val="00293A2F"/>
    <w:rsid w:val="002944CE"/>
    <w:rsid w:val="00294EE1"/>
    <w:rsid w:val="002A1A35"/>
    <w:rsid w:val="002A28F3"/>
    <w:rsid w:val="002A2EB8"/>
    <w:rsid w:val="002A4411"/>
    <w:rsid w:val="002A4EFC"/>
    <w:rsid w:val="002B1476"/>
    <w:rsid w:val="002B17E3"/>
    <w:rsid w:val="002B2946"/>
    <w:rsid w:val="002B2D4C"/>
    <w:rsid w:val="002C2375"/>
    <w:rsid w:val="002C3127"/>
    <w:rsid w:val="002C5CFD"/>
    <w:rsid w:val="002D0EB1"/>
    <w:rsid w:val="002D16B6"/>
    <w:rsid w:val="002D39D8"/>
    <w:rsid w:val="002D3A63"/>
    <w:rsid w:val="002D4C38"/>
    <w:rsid w:val="002D54C5"/>
    <w:rsid w:val="002E0BC3"/>
    <w:rsid w:val="002E1C4D"/>
    <w:rsid w:val="002E2B65"/>
    <w:rsid w:val="002E2E07"/>
    <w:rsid w:val="002F3007"/>
    <w:rsid w:val="002F3F2C"/>
    <w:rsid w:val="002F5E47"/>
    <w:rsid w:val="002F70D7"/>
    <w:rsid w:val="00300012"/>
    <w:rsid w:val="00301FE3"/>
    <w:rsid w:val="003020BD"/>
    <w:rsid w:val="00302171"/>
    <w:rsid w:val="0031599A"/>
    <w:rsid w:val="0031631F"/>
    <w:rsid w:val="0031685F"/>
    <w:rsid w:val="00326807"/>
    <w:rsid w:val="003324E4"/>
    <w:rsid w:val="003329FC"/>
    <w:rsid w:val="003342D9"/>
    <w:rsid w:val="00344848"/>
    <w:rsid w:val="0035026B"/>
    <w:rsid w:val="00350516"/>
    <w:rsid w:val="003527F8"/>
    <w:rsid w:val="00353A10"/>
    <w:rsid w:val="003541B9"/>
    <w:rsid w:val="00354E25"/>
    <w:rsid w:val="003553FA"/>
    <w:rsid w:val="00357EFE"/>
    <w:rsid w:val="00363DDA"/>
    <w:rsid w:val="0036635D"/>
    <w:rsid w:val="00366BBD"/>
    <w:rsid w:val="00367B49"/>
    <w:rsid w:val="00367EF9"/>
    <w:rsid w:val="003747C3"/>
    <w:rsid w:val="00377D47"/>
    <w:rsid w:val="00383670"/>
    <w:rsid w:val="00383DBE"/>
    <w:rsid w:val="00386349"/>
    <w:rsid w:val="00392D00"/>
    <w:rsid w:val="00395E77"/>
    <w:rsid w:val="00396E9F"/>
    <w:rsid w:val="00397918"/>
    <w:rsid w:val="00397982"/>
    <w:rsid w:val="00397C42"/>
    <w:rsid w:val="003A0153"/>
    <w:rsid w:val="003A0787"/>
    <w:rsid w:val="003A13A9"/>
    <w:rsid w:val="003A42B6"/>
    <w:rsid w:val="003A54AB"/>
    <w:rsid w:val="003A7338"/>
    <w:rsid w:val="003B0459"/>
    <w:rsid w:val="003B19C2"/>
    <w:rsid w:val="003B241D"/>
    <w:rsid w:val="003B57D5"/>
    <w:rsid w:val="003B756D"/>
    <w:rsid w:val="003C2B7B"/>
    <w:rsid w:val="003C5E5E"/>
    <w:rsid w:val="003C7D8F"/>
    <w:rsid w:val="003D0FD1"/>
    <w:rsid w:val="003D244B"/>
    <w:rsid w:val="003D417E"/>
    <w:rsid w:val="003D5136"/>
    <w:rsid w:val="003D5881"/>
    <w:rsid w:val="003D5D64"/>
    <w:rsid w:val="003D5F83"/>
    <w:rsid w:val="003D5F8A"/>
    <w:rsid w:val="003D6E29"/>
    <w:rsid w:val="003D721E"/>
    <w:rsid w:val="003E38B8"/>
    <w:rsid w:val="003E4643"/>
    <w:rsid w:val="003E51E3"/>
    <w:rsid w:val="003E5C0B"/>
    <w:rsid w:val="003F031F"/>
    <w:rsid w:val="003F0C7C"/>
    <w:rsid w:val="003F18FF"/>
    <w:rsid w:val="00401AA2"/>
    <w:rsid w:val="00402737"/>
    <w:rsid w:val="004029CD"/>
    <w:rsid w:val="004076C2"/>
    <w:rsid w:val="004077A4"/>
    <w:rsid w:val="0041243C"/>
    <w:rsid w:val="00412755"/>
    <w:rsid w:val="004172BB"/>
    <w:rsid w:val="00421AD3"/>
    <w:rsid w:val="00424197"/>
    <w:rsid w:val="00427907"/>
    <w:rsid w:val="00430675"/>
    <w:rsid w:val="0043112C"/>
    <w:rsid w:val="0043460B"/>
    <w:rsid w:val="00434EAD"/>
    <w:rsid w:val="00435AE9"/>
    <w:rsid w:val="00435B90"/>
    <w:rsid w:val="00437554"/>
    <w:rsid w:val="00437811"/>
    <w:rsid w:val="00441CF1"/>
    <w:rsid w:val="004437ED"/>
    <w:rsid w:val="00443B8F"/>
    <w:rsid w:val="00445339"/>
    <w:rsid w:val="00446EE8"/>
    <w:rsid w:val="00451CD4"/>
    <w:rsid w:val="00454A2A"/>
    <w:rsid w:val="00454CC6"/>
    <w:rsid w:val="00456F0F"/>
    <w:rsid w:val="00457811"/>
    <w:rsid w:val="0046130E"/>
    <w:rsid w:val="00461C49"/>
    <w:rsid w:val="0046607D"/>
    <w:rsid w:val="00466CD2"/>
    <w:rsid w:val="00470E4E"/>
    <w:rsid w:val="0047206A"/>
    <w:rsid w:val="004731A7"/>
    <w:rsid w:val="00473E51"/>
    <w:rsid w:val="00476E82"/>
    <w:rsid w:val="004819E8"/>
    <w:rsid w:val="00481DA5"/>
    <w:rsid w:val="00482C68"/>
    <w:rsid w:val="00492821"/>
    <w:rsid w:val="00493EF5"/>
    <w:rsid w:val="00494C92"/>
    <w:rsid w:val="00496699"/>
    <w:rsid w:val="004968C5"/>
    <w:rsid w:val="00497E49"/>
    <w:rsid w:val="004A09B1"/>
    <w:rsid w:val="004A0C95"/>
    <w:rsid w:val="004A1447"/>
    <w:rsid w:val="004A2A60"/>
    <w:rsid w:val="004A2F6C"/>
    <w:rsid w:val="004A470A"/>
    <w:rsid w:val="004A53C8"/>
    <w:rsid w:val="004A549F"/>
    <w:rsid w:val="004B1064"/>
    <w:rsid w:val="004B3C16"/>
    <w:rsid w:val="004B5FF4"/>
    <w:rsid w:val="004B6579"/>
    <w:rsid w:val="004C27B4"/>
    <w:rsid w:val="004C4E93"/>
    <w:rsid w:val="004C639D"/>
    <w:rsid w:val="004D2C52"/>
    <w:rsid w:val="004D4361"/>
    <w:rsid w:val="004D6490"/>
    <w:rsid w:val="004D6E64"/>
    <w:rsid w:val="004E07D5"/>
    <w:rsid w:val="004E0BC4"/>
    <w:rsid w:val="004E210A"/>
    <w:rsid w:val="004E25C8"/>
    <w:rsid w:val="004E2B89"/>
    <w:rsid w:val="004E32B9"/>
    <w:rsid w:val="004F0B9B"/>
    <w:rsid w:val="004F1616"/>
    <w:rsid w:val="004F43FC"/>
    <w:rsid w:val="004F7772"/>
    <w:rsid w:val="005010BE"/>
    <w:rsid w:val="0050288F"/>
    <w:rsid w:val="00504B56"/>
    <w:rsid w:val="005107B8"/>
    <w:rsid w:val="00514D27"/>
    <w:rsid w:val="00514EB3"/>
    <w:rsid w:val="00515526"/>
    <w:rsid w:val="00517A92"/>
    <w:rsid w:val="00521319"/>
    <w:rsid w:val="00521AAB"/>
    <w:rsid w:val="00523605"/>
    <w:rsid w:val="00523832"/>
    <w:rsid w:val="00525246"/>
    <w:rsid w:val="00532411"/>
    <w:rsid w:val="00533B28"/>
    <w:rsid w:val="005348BE"/>
    <w:rsid w:val="005358B5"/>
    <w:rsid w:val="005371D8"/>
    <w:rsid w:val="00537595"/>
    <w:rsid w:val="00537B65"/>
    <w:rsid w:val="00545830"/>
    <w:rsid w:val="00546490"/>
    <w:rsid w:val="00546C60"/>
    <w:rsid w:val="00556264"/>
    <w:rsid w:val="00556BF7"/>
    <w:rsid w:val="00564B90"/>
    <w:rsid w:val="00564C58"/>
    <w:rsid w:val="0056763C"/>
    <w:rsid w:val="00567F3E"/>
    <w:rsid w:val="00571B16"/>
    <w:rsid w:val="005749B4"/>
    <w:rsid w:val="0057525F"/>
    <w:rsid w:val="00575CB6"/>
    <w:rsid w:val="00576879"/>
    <w:rsid w:val="00577216"/>
    <w:rsid w:val="00583EA6"/>
    <w:rsid w:val="00585975"/>
    <w:rsid w:val="0058734E"/>
    <w:rsid w:val="00590215"/>
    <w:rsid w:val="005936AD"/>
    <w:rsid w:val="005961AE"/>
    <w:rsid w:val="00596C10"/>
    <w:rsid w:val="005971DA"/>
    <w:rsid w:val="005A071A"/>
    <w:rsid w:val="005A2434"/>
    <w:rsid w:val="005A2A03"/>
    <w:rsid w:val="005A2EAE"/>
    <w:rsid w:val="005A3D98"/>
    <w:rsid w:val="005A3F22"/>
    <w:rsid w:val="005A47DB"/>
    <w:rsid w:val="005A50BD"/>
    <w:rsid w:val="005B2C26"/>
    <w:rsid w:val="005B2EB4"/>
    <w:rsid w:val="005B4357"/>
    <w:rsid w:val="005B5405"/>
    <w:rsid w:val="005B62D3"/>
    <w:rsid w:val="005B6A6C"/>
    <w:rsid w:val="005C01EE"/>
    <w:rsid w:val="005C27E0"/>
    <w:rsid w:val="005C3CF8"/>
    <w:rsid w:val="005C3F18"/>
    <w:rsid w:val="005C42B1"/>
    <w:rsid w:val="005C7BE8"/>
    <w:rsid w:val="005C7BEA"/>
    <w:rsid w:val="005E00D5"/>
    <w:rsid w:val="005E5ADC"/>
    <w:rsid w:val="005E6DC3"/>
    <w:rsid w:val="005E6EFA"/>
    <w:rsid w:val="005F1296"/>
    <w:rsid w:val="005F189F"/>
    <w:rsid w:val="005F748A"/>
    <w:rsid w:val="00600CC8"/>
    <w:rsid w:val="00604E9A"/>
    <w:rsid w:val="0061041C"/>
    <w:rsid w:val="006105B0"/>
    <w:rsid w:val="00611917"/>
    <w:rsid w:val="006141D7"/>
    <w:rsid w:val="006162F2"/>
    <w:rsid w:val="00617D30"/>
    <w:rsid w:val="00622107"/>
    <w:rsid w:val="00624003"/>
    <w:rsid w:val="00625D49"/>
    <w:rsid w:val="00626DA4"/>
    <w:rsid w:val="006345FC"/>
    <w:rsid w:val="00634A4E"/>
    <w:rsid w:val="00634BA3"/>
    <w:rsid w:val="00634FE0"/>
    <w:rsid w:val="006378FE"/>
    <w:rsid w:val="00641AE3"/>
    <w:rsid w:val="006430F6"/>
    <w:rsid w:val="006433CD"/>
    <w:rsid w:val="006444D3"/>
    <w:rsid w:val="0065029E"/>
    <w:rsid w:val="006550B9"/>
    <w:rsid w:val="00655755"/>
    <w:rsid w:val="006558D9"/>
    <w:rsid w:val="00657C81"/>
    <w:rsid w:val="00661CB7"/>
    <w:rsid w:val="00662737"/>
    <w:rsid w:val="00662A61"/>
    <w:rsid w:val="006639BD"/>
    <w:rsid w:val="006653F0"/>
    <w:rsid w:val="00670A34"/>
    <w:rsid w:val="00673378"/>
    <w:rsid w:val="006838DC"/>
    <w:rsid w:val="006861AF"/>
    <w:rsid w:val="006861E0"/>
    <w:rsid w:val="00687683"/>
    <w:rsid w:val="006931FB"/>
    <w:rsid w:val="00694633"/>
    <w:rsid w:val="00695551"/>
    <w:rsid w:val="00695EB9"/>
    <w:rsid w:val="006A1BE8"/>
    <w:rsid w:val="006A318E"/>
    <w:rsid w:val="006A4963"/>
    <w:rsid w:val="006B0126"/>
    <w:rsid w:val="006B1D8B"/>
    <w:rsid w:val="006B29F4"/>
    <w:rsid w:val="006B4AB5"/>
    <w:rsid w:val="006C2907"/>
    <w:rsid w:val="006C386F"/>
    <w:rsid w:val="006C3F62"/>
    <w:rsid w:val="006C457A"/>
    <w:rsid w:val="006C490A"/>
    <w:rsid w:val="006C61C6"/>
    <w:rsid w:val="006C6D49"/>
    <w:rsid w:val="006C7230"/>
    <w:rsid w:val="006D1C49"/>
    <w:rsid w:val="006D2DD5"/>
    <w:rsid w:val="006E2C60"/>
    <w:rsid w:val="006E3B40"/>
    <w:rsid w:val="006F2B6C"/>
    <w:rsid w:val="006F3D22"/>
    <w:rsid w:val="006F4269"/>
    <w:rsid w:val="007012C0"/>
    <w:rsid w:val="007058CE"/>
    <w:rsid w:val="00707078"/>
    <w:rsid w:val="00707AF7"/>
    <w:rsid w:val="0071082B"/>
    <w:rsid w:val="00714397"/>
    <w:rsid w:val="00721499"/>
    <w:rsid w:val="007248FB"/>
    <w:rsid w:val="007259C5"/>
    <w:rsid w:val="007274F1"/>
    <w:rsid w:val="00730B87"/>
    <w:rsid w:val="00735E86"/>
    <w:rsid w:val="0074008F"/>
    <w:rsid w:val="00740C9D"/>
    <w:rsid w:val="00741755"/>
    <w:rsid w:val="007431BF"/>
    <w:rsid w:val="00751853"/>
    <w:rsid w:val="00756900"/>
    <w:rsid w:val="00757F66"/>
    <w:rsid w:val="00761F21"/>
    <w:rsid w:val="00763A44"/>
    <w:rsid w:val="00765C61"/>
    <w:rsid w:val="00771726"/>
    <w:rsid w:val="00771E04"/>
    <w:rsid w:val="00777B7A"/>
    <w:rsid w:val="00783755"/>
    <w:rsid w:val="0078520B"/>
    <w:rsid w:val="00785B25"/>
    <w:rsid w:val="00786C54"/>
    <w:rsid w:val="00787595"/>
    <w:rsid w:val="0079095F"/>
    <w:rsid w:val="00791A24"/>
    <w:rsid w:val="0079203C"/>
    <w:rsid w:val="007929A7"/>
    <w:rsid w:val="00793C7B"/>
    <w:rsid w:val="007A1CA7"/>
    <w:rsid w:val="007A7680"/>
    <w:rsid w:val="007B0428"/>
    <w:rsid w:val="007B29F9"/>
    <w:rsid w:val="007B4D1F"/>
    <w:rsid w:val="007C5781"/>
    <w:rsid w:val="007C57D9"/>
    <w:rsid w:val="007D03E7"/>
    <w:rsid w:val="007D0D7C"/>
    <w:rsid w:val="007D39AE"/>
    <w:rsid w:val="007D6EA2"/>
    <w:rsid w:val="007E1340"/>
    <w:rsid w:val="007E384C"/>
    <w:rsid w:val="007E3E9B"/>
    <w:rsid w:val="007E5FEA"/>
    <w:rsid w:val="007F2C8C"/>
    <w:rsid w:val="007F3E79"/>
    <w:rsid w:val="007F5099"/>
    <w:rsid w:val="007F6422"/>
    <w:rsid w:val="00800369"/>
    <w:rsid w:val="00803929"/>
    <w:rsid w:val="0080466A"/>
    <w:rsid w:val="00807C1E"/>
    <w:rsid w:val="00811417"/>
    <w:rsid w:val="008157C2"/>
    <w:rsid w:val="00815989"/>
    <w:rsid w:val="0082039B"/>
    <w:rsid w:val="00821C3B"/>
    <w:rsid w:val="00825ADE"/>
    <w:rsid w:val="00825E98"/>
    <w:rsid w:val="00831BC1"/>
    <w:rsid w:val="008332AF"/>
    <w:rsid w:val="00836BD2"/>
    <w:rsid w:val="008372E1"/>
    <w:rsid w:val="00837C55"/>
    <w:rsid w:val="008410C7"/>
    <w:rsid w:val="008410FB"/>
    <w:rsid w:val="008455EA"/>
    <w:rsid w:val="00845707"/>
    <w:rsid w:val="00846E03"/>
    <w:rsid w:val="00850455"/>
    <w:rsid w:val="00850654"/>
    <w:rsid w:val="00855E5C"/>
    <w:rsid w:val="00861375"/>
    <w:rsid w:val="00862B42"/>
    <w:rsid w:val="00863BC8"/>
    <w:rsid w:val="00864B00"/>
    <w:rsid w:val="00864C14"/>
    <w:rsid w:val="008652B2"/>
    <w:rsid w:val="00866F78"/>
    <w:rsid w:val="0087346D"/>
    <w:rsid w:val="00883E04"/>
    <w:rsid w:val="00885972"/>
    <w:rsid w:val="0088656A"/>
    <w:rsid w:val="00893907"/>
    <w:rsid w:val="00893DB8"/>
    <w:rsid w:val="00895630"/>
    <w:rsid w:val="00896F64"/>
    <w:rsid w:val="008A25A9"/>
    <w:rsid w:val="008A2E3D"/>
    <w:rsid w:val="008A6D7F"/>
    <w:rsid w:val="008A7377"/>
    <w:rsid w:val="008B0B62"/>
    <w:rsid w:val="008B108C"/>
    <w:rsid w:val="008B2808"/>
    <w:rsid w:val="008B2F27"/>
    <w:rsid w:val="008B341D"/>
    <w:rsid w:val="008B4C1C"/>
    <w:rsid w:val="008B4D81"/>
    <w:rsid w:val="008B6421"/>
    <w:rsid w:val="008C1EEE"/>
    <w:rsid w:val="008C4813"/>
    <w:rsid w:val="008C4D28"/>
    <w:rsid w:val="008C4F9C"/>
    <w:rsid w:val="008C5C41"/>
    <w:rsid w:val="008C6938"/>
    <w:rsid w:val="008D0A4C"/>
    <w:rsid w:val="008D37A4"/>
    <w:rsid w:val="008D40D6"/>
    <w:rsid w:val="008D630A"/>
    <w:rsid w:val="008D6923"/>
    <w:rsid w:val="008D69CD"/>
    <w:rsid w:val="008E0849"/>
    <w:rsid w:val="008E0B7B"/>
    <w:rsid w:val="008E1029"/>
    <w:rsid w:val="008E20DD"/>
    <w:rsid w:val="008E233C"/>
    <w:rsid w:val="008E2B4C"/>
    <w:rsid w:val="008E3DCB"/>
    <w:rsid w:val="008E3EFF"/>
    <w:rsid w:val="008E6E5F"/>
    <w:rsid w:val="008F0578"/>
    <w:rsid w:val="008F0947"/>
    <w:rsid w:val="008F1CFC"/>
    <w:rsid w:val="008F2145"/>
    <w:rsid w:val="00904FB7"/>
    <w:rsid w:val="00906A70"/>
    <w:rsid w:val="0091015F"/>
    <w:rsid w:val="009141CA"/>
    <w:rsid w:val="00915129"/>
    <w:rsid w:val="009170FD"/>
    <w:rsid w:val="009206D6"/>
    <w:rsid w:val="00920D0A"/>
    <w:rsid w:val="00923330"/>
    <w:rsid w:val="00927B1A"/>
    <w:rsid w:val="00927BAE"/>
    <w:rsid w:val="00930A74"/>
    <w:rsid w:val="0093173F"/>
    <w:rsid w:val="009356EB"/>
    <w:rsid w:val="0093575D"/>
    <w:rsid w:val="0093650C"/>
    <w:rsid w:val="009413E8"/>
    <w:rsid w:val="00942843"/>
    <w:rsid w:val="00943416"/>
    <w:rsid w:val="00943AAA"/>
    <w:rsid w:val="009440D5"/>
    <w:rsid w:val="00944A06"/>
    <w:rsid w:val="009507F8"/>
    <w:rsid w:val="0095357D"/>
    <w:rsid w:val="00953975"/>
    <w:rsid w:val="009560EC"/>
    <w:rsid w:val="009625C1"/>
    <w:rsid w:val="00962E3C"/>
    <w:rsid w:val="0097002E"/>
    <w:rsid w:val="00970E40"/>
    <w:rsid w:val="00971AAE"/>
    <w:rsid w:val="00972E6A"/>
    <w:rsid w:val="0097562C"/>
    <w:rsid w:val="00977CA5"/>
    <w:rsid w:val="0098386B"/>
    <w:rsid w:val="0098558C"/>
    <w:rsid w:val="009857DC"/>
    <w:rsid w:val="009864E3"/>
    <w:rsid w:val="0099104A"/>
    <w:rsid w:val="00992982"/>
    <w:rsid w:val="00996D0E"/>
    <w:rsid w:val="009A10C4"/>
    <w:rsid w:val="009A2CF9"/>
    <w:rsid w:val="009A4041"/>
    <w:rsid w:val="009A4D7C"/>
    <w:rsid w:val="009A4F80"/>
    <w:rsid w:val="009A5F80"/>
    <w:rsid w:val="009A72F3"/>
    <w:rsid w:val="009B015A"/>
    <w:rsid w:val="009B06D7"/>
    <w:rsid w:val="009B1D5C"/>
    <w:rsid w:val="009B2D8D"/>
    <w:rsid w:val="009B3D7E"/>
    <w:rsid w:val="009B45E3"/>
    <w:rsid w:val="009B7D6A"/>
    <w:rsid w:val="009C0669"/>
    <w:rsid w:val="009C0B25"/>
    <w:rsid w:val="009C32E3"/>
    <w:rsid w:val="009C5F7F"/>
    <w:rsid w:val="009D0510"/>
    <w:rsid w:val="009D3E48"/>
    <w:rsid w:val="009D4463"/>
    <w:rsid w:val="009D6372"/>
    <w:rsid w:val="009E0243"/>
    <w:rsid w:val="009E0B26"/>
    <w:rsid w:val="009E0FED"/>
    <w:rsid w:val="009E3846"/>
    <w:rsid w:val="009E3889"/>
    <w:rsid w:val="009E3C21"/>
    <w:rsid w:val="009E7D49"/>
    <w:rsid w:val="009F2327"/>
    <w:rsid w:val="009F43C4"/>
    <w:rsid w:val="009F4E4E"/>
    <w:rsid w:val="009F534A"/>
    <w:rsid w:val="009F6090"/>
    <w:rsid w:val="00A003DA"/>
    <w:rsid w:val="00A01037"/>
    <w:rsid w:val="00A053A0"/>
    <w:rsid w:val="00A07F00"/>
    <w:rsid w:val="00A177DB"/>
    <w:rsid w:val="00A24012"/>
    <w:rsid w:val="00A25C5D"/>
    <w:rsid w:val="00A272D5"/>
    <w:rsid w:val="00A319E7"/>
    <w:rsid w:val="00A32BD8"/>
    <w:rsid w:val="00A32F3C"/>
    <w:rsid w:val="00A34068"/>
    <w:rsid w:val="00A36F73"/>
    <w:rsid w:val="00A3774B"/>
    <w:rsid w:val="00A4504C"/>
    <w:rsid w:val="00A46E10"/>
    <w:rsid w:val="00A474F2"/>
    <w:rsid w:val="00A5012E"/>
    <w:rsid w:val="00A50BF9"/>
    <w:rsid w:val="00A529E3"/>
    <w:rsid w:val="00A56F17"/>
    <w:rsid w:val="00A6394D"/>
    <w:rsid w:val="00A67A79"/>
    <w:rsid w:val="00A67B02"/>
    <w:rsid w:val="00A704A4"/>
    <w:rsid w:val="00A71A4A"/>
    <w:rsid w:val="00A749FE"/>
    <w:rsid w:val="00A8122C"/>
    <w:rsid w:val="00A81E03"/>
    <w:rsid w:val="00A830EE"/>
    <w:rsid w:val="00A83BAB"/>
    <w:rsid w:val="00A84CFF"/>
    <w:rsid w:val="00A85C0C"/>
    <w:rsid w:val="00A867DE"/>
    <w:rsid w:val="00A90911"/>
    <w:rsid w:val="00A91359"/>
    <w:rsid w:val="00A93944"/>
    <w:rsid w:val="00A94568"/>
    <w:rsid w:val="00AA0FAC"/>
    <w:rsid w:val="00AA15B5"/>
    <w:rsid w:val="00AA50A6"/>
    <w:rsid w:val="00AA6248"/>
    <w:rsid w:val="00AB55E1"/>
    <w:rsid w:val="00AC2C0D"/>
    <w:rsid w:val="00AD3460"/>
    <w:rsid w:val="00AD751C"/>
    <w:rsid w:val="00AE0BE4"/>
    <w:rsid w:val="00AE3021"/>
    <w:rsid w:val="00AE52E1"/>
    <w:rsid w:val="00AF64D3"/>
    <w:rsid w:val="00AF7504"/>
    <w:rsid w:val="00B05739"/>
    <w:rsid w:val="00B05BEE"/>
    <w:rsid w:val="00B06F97"/>
    <w:rsid w:val="00B073F8"/>
    <w:rsid w:val="00B1191D"/>
    <w:rsid w:val="00B12126"/>
    <w:rsid w:val="00B13580"/>
    <w:rsid w:val="00B14053"/>
    <w:rsid w:val="00B15328"/>
    <w:rsid w:val="00B15880"/>
    <w:rsid w:val="00B162A6"/>
    <w:rsid w:val="00B21FDE"/>
    <w:rsid w:val="00B22A89"/>
    <w:rsid w:val="00B2641B"/>
    <w:rsid w:val="00B26A34"/>
    <w:rsid w:val="00B27350"/>
    <w:rsid w:val="00B32BE3"/>
    <w:rsid w:val="00B35339"/>
    <w:rsid w:val="00B36DE1"/>
    <w:rsid w:val="00B40125"/>
    <w:rsid w:val="00B401D3"/>
    <w:rsid w:val="00B407B3"/>
    <w:rsid w:val="00B40C01"/>
    <w:rsid w:val="00B41E2D"/>
    <w:rsid w:val="00B4236F"/>
    <w:rsid w:val="00B4649A"/>
    <w:rsid w:val="00B4659F"/>
    <w:rsid w:val="00B466FE"/>
    <w:rsid w:val="00B476C9"/>
    <w:rsid w:val="00B47A02"/>
    <w:rsid w:val="00B507EE"/>
    <w:rsid w:val="00B51DDB"/>
    <w:rsid w:val="00B52720"/>
    <w:rsid w:val="00B53D45"/>
    <w:rsid w:val="00B5561B"/>
    <w:rsid w:val="00B6328C"/>
    <w:rsid w:val="00B634B6"/>
    <w:rsid w:val="00B67D9C"/>
    <w:rsid w:val="00B74771"/>
    <w:rsid w:val="00B76F96"/>
    <w:rsid w:val="00B82CB4"/>
    <w:rsid w:val="00B831A5"/>
    <w:rsid w:val="00B85861"/>
    <w:rsid w:val="00B858EC"/>
    <w:rsid w:val="00B85B00"/>
    <w:rsid w:val="00B87261"/>
    <w:rsid w:val="00B8758C"/>
    <w:rsid w:val="00B9513E"/>
    <w:rsid w:val="00BA1607"/>
    <w:rsid w:val="00BA6A6C"/>
    <w:rsid w:val="00BA724A"/>
    <w:rsid w:val="00BB114E"/>
    <w:rsid w:val="00BB18C8"/>
    <w:rsid w:val="00BB1C7E"/>
    <w:rsid w:val="00BB1C99"/>
    <w:rsid w:val="00BB21B3"/>
    <w:rsid w:val="00BB382E"/>
    <w:rsid w:val="00BB6F2D"/>
    <w:rsid w:val="00BC0285"/>
    <w:rsid w:val="00BC18B1"/>
    <w:rsid w:val="00BC26EF"/>
    <w:rsid w:val="00BC3B08"/>
    <w:rsid w:val="00BC3DFC"/>
    <w:rsid w:val="00BC6DB9"/>
    <w:rsid w:val="00BC7B39"/>
    <w:rsid w:val="00BD239D"/>
    <w:rsid w:val="00BD69FA"/>
    <w:rsid w:val="00BE2396"/>
    <w:rsid w:val="00BE32AE"/>
    <w:rsid w:val="00BE4819"/>
    <w:rsid w:val="00BE5644"/>
    <w:rsid w:val="00BE6658"/>
    <w:rsid w:val="00BF301D"/>
    <w:rsid w:val="00BF3637"/>
    <w:rsid w:val="00BF6058"/>
    <w:rsid w:val="00BF7F71"/>
    <w:rsid w:val="00C029CF"/>
    <w:rsid w:val="00C05444"/>
    <w:rsid w:val="00C12860"/>
    <w:rsid w:val="00C130C5"/>
    <w:rsid w:val="00C16AA9"/>
    <w:rsid w:val="00C2166B"/>
    <w:rsid w:val="00C23ED4"/>
    <w:rsid w:val="00C24714"/>
    <w:rsid w:val="00C2600F"/>
    <w:rsid w:val="00C272A1"/>
    <w:rsid w:val="00C41CAB"/>
    <w:rsid w:val="00C45B46"/>
    <w:rsid w:val="00C46383"/>
    <w:rsid w:val="00C4791A"/>
    <w:rsid w:val="00C5239D"/>
    <w:rsid w:val="00C530D3"/>
    <w:rsid w:val="00C54B4E"/>
    <w:rsid w:val="00C56E08"/>
    <w:rsid w:val="00C57FEF"/>
    <w:rsid w:val="00C601A0"/>
    <w:rsid w:val="00C60578"/>
    <w:rsid w:val="00C630DC"/>
    <w:rsid w:val="00C6553D"/>
    <w:rsid w:val="00C65784"/>
    <w:rsid w:val="00C65A19"/>
    <w:rsid w:val="00C71B8A"/>
    <w:rsid w:val="00C7280E"/>
    <w:rsid w:val="00C7324C"/>
    <w:rsid w:val="00C73BCD"/>
    <w:rsid w:val="00C74AB0"/>
    <w:rsid w:val="00C75169"/>
    <w:rsid w:val="00C7603D"/>
    <w:rsid w:val="00C76DFA"/>
    <w:rsid w:val="00C80098"/>
    <w:rsid w:val="00C8014D"/>
    <w:rsid w:val="00C80BCF"/>
    <w:rsid w:val="00C8216A"/>
    <w:rsid w:val="00C826C9"/>
    <w:rsid w:val="00C82FF5"/>
    <w:rsid w:val="00C864F8"/>
    <w:rsid w:val="00C92AC4"/>
    <w:rsid w:val="00C92F21"/>
    <w:rsid w:val="00C963C6"/>
    <w:rsid w:val="00CA3F0E"/>
    <w:rsid w:val="00CA4098"/>
    <w:rsid w:val="00CA786C"/>
    <w:rsid w:val="00CA7E66"/>
    <w:rsid w:val="00CB18BF"/>
    <w:rsid w:val="00CB6267"/>
    <w:rsid w:val="00CB6373"/>
    <w:rsid w:val="00CC47C3"/>
    <w:rsid w:val="00CC4AA6"/>
    <w:rsid w:val="00CD1428"/>
    <w:rsid w:val="00CD37DF"/>
    <w:rsid w:val="00CD3F45"/>
    <w:rsid w:val="00CD6A69"/>
    <w:rsid w:val="00CE23C3"/>
    <w:rsid w:val="00CE5A9D"/>
    <w:rsid w:val="00CE70D4"/>
    <w:rsid w:val="00CF3CC6"/>
    <w:rsid w:val="00CF6E60"/>
    <w:rsid w:val="00D02BDB"/>
    <w:rsid w:val="00D0432C"/>
    <w:rsid w:val="00D05343"/>
    <w:rsid w:val="00D06080"/>
    <w:rsid w:val="00D06227"/>
    <w:rsid w:val="00D068F4"/>
    <w:rsid w:val="00D06C1C"/>
    <w:rsid w:val="00D105D1"/>
    <w:rsid w:val="00D12AFD"/>
    <w:rsid w:val="00D15658"/>
    <w:rsid w:val="00D1601F"/>
    <w:rsid w:val="00D20857"/>
    <w:rsid w:val="00D262CE"/>
    <w:rsid w:val="00D27B80"/>
    <w:rsid w:val="00D3040F"/>
    <w:rsid w:val="00D30BCC"/>
    <w:rsid w:val="00D316C4"/>
    <w:rsid w:val="00D32D62"/>
    <w:rsid w:val="00D32E3B"/>
    <w:rsid w:val="00D3312E"/>
    <w:rsid w:val="00D33B0D"/>
    <w:rsid w:val="00D358CA"/>
    <w:rsid w:val="00D4101D"/>
    <w:rsid w:val="00D42AE0"/>
    <w:rsid w:val="00D526FD"/>
    <w:rsid w:val="00D53CD0"/>
    <w:rsid w:val="00D54142"/>
    <w:rsid w:val="00D5711E"/>
    <w:rsid w:val="00D5743F"/>
    <w:rsid w:val="00D62E6C"/>
    <w:rsid w:val="00D65A00"/>
    <w:rsid w:val="00D72121"/>
    <w:rsid w:val="00D73E91"/>
    <w:rsid w:val="00D7529E"/>
    <w:rsid w:val="00D8039D"/>
    <w:rsid w:val="00D80857"/>
    <w:rsid w:val="00D81ABF"/>
    <w:rsid w:val="00D872E2"/>
    <w:rsid w:val="00D921C7"/>
    <w:rsid w:val="00D93C21"/>
    <w:rsid w:val="00D94D50"/>
    <w:rsid w:val="00D950F5"/>
    <w:rsid w:val="00D955B9"/>
    <w:rsid w:val="00D95B25"/>
    <w:rsid w:val="00D96EA7"/>
    <w:rsid w:val="00DA067B"/>
    <w:rsid w:val="00DA1974"/>
    <w:rsid w:val="00DB30BA"/>
    <w:rsid w:val="00DB475F"/>
    <w:rsid w:val="00DB4916"/>
    <w:rsid w:val="00DB4EDB"/>
    <w:rsid w:val="00DB5276"/>
    <w:rsid w:val="00DB5BFB"/>
    <w:rsid w:val="00DB64DB"/>
    <w:rsid w:val="00DC3FA3"/>
    <w:rsid w:val="00DC5938"/>
    <w:rsid w:val="00DC6ECD"/>
    <w:rsid w:val="00DD1723"/>
    <w:rsid w:val="00DD71CA"/>
    <w:rsid w:val="00DD766E"/>
    <w:rsid w:val="00DE3C89"/>
    <w:rsid w:val="00DE4DA7"/>
    <w:rsid w:val="00DE4FBE"/>
    <w:rsid w:val="00DE501A"/>
    <w:rsid w:val="00DE5F05"/>
    <w:rsid w:val="00DE7DBF"/>
    <w:rsid w:val="00DF21D9"/>
    <w:rsid w:val="00DF3AA0"/>
    <w:rsid w:val="00DF3E8A"/>
    <w:rsid w:val="00DF4EB9"/>
    <w:rsid w:val="00DF7594"/>
    <w:rsid w:val="00E01393"/>
    <w:rsid w:val="00E024A2"/>
    <w:rsid w:val="00E03646"/>
    <w:rsid w:val="00E052C6"/>
    <w:rsid w:val="00E05BD6"/>
    <w:rsid w:val="00E06772"/>
    <w:rsid w:val="00E067F6"/>
    <w:rsid w:val="00E10699"/>
    <w:rsid w:val="00E1163B"/>
    <w:rsid w:val="00E13BBB"/>
    <w:rsid w:val="00E152FD"/>
    <w:rsid w:val="00E160E7"/>
    <w:rsid w:val="00E20840"/>
    <w:rsid w:val="00E2178F"/>
    <w:rsid w:val="00E21B01"/>
    <w:rsid w:val="00E221E3"/>
    <w:rsid w:val="00E22438"/>
    <w:rsid w:val="00E22FAC"/>
    <w:rsid w:val="00E2733A"/>
    <w:rsid w:val="00E334C5"/>
    <w:rsid w:val="00E40717"/>
    <w:rsid w:val="00E40E6A"/>
    <w:rsid w:val="00E42240"/>
    <w:rsid w:val="00E427EE"/>
    <w:rsid w:val="00E45FB4"/>
    <w:rsid w:val="00E50479"/>
    <w:rsid w:val="00E51E4F"/>
    <w:rsid w:val="00E52B8B"/>
    <w:rsid w:val="00E564C2"/>
    <w:rsid w:val="00E5710A"/>
    <w:rsid w:val="00E57572"/>
    <w:rsid w:val="00E60388"/>
    <w:rsid w:val="00E6052D"/>
    <w:rsid w:val="00E71388"/>
    <w:rsid w:val="00E713B4"/>
    <w:rsid w:val="00E719F5"/>
    <w:rsid w:val="00E762B9"/>
    <w:rsid w:val="00E77016"/>
    <w:rsid w:val="00E77819"/>
    <w:rsid w:val="00E77979"/>
    <w:rsid w:val="00E830E0"/>
    <w:rsid w:val="00E854CB"/>
    <w:rsid w:val="00E872E0"/>
    <w:rsid w:val="00E90688"/>
    <w:rsid w:val="00E91AE6"/>
    <w:rsid w:val="00E928F7"/>
    <w:rsid w:val="00E937DC"/>
    <w:rsid w:val="00E96A38"/>
    <w:rsid w:val="00EA2144"/>
    <w:rsid w:val="00EB4EB5"/>
    <w:rsid w:val="00EB71E6"/>
    <w:rsid w:val="00EB78B2"/>
    <w:rsid w:val="00EC08CE"/>
    <w:rsid w:val="00EC1DD1"/>
    <w:rsid w:val="00EC1F0E"/>
    <w:rsid w:val="00EC3AAD"/>
    <w:rsid w:val="00EC418C"/>
    <w:rsid w:val="00EC69E5"/>
    <w:rsid w:val="00EC748C"/>
    <w:rsid w:val="00ED0650"/>
    <w:rsid w:val="00ED4050"/>
    <w:rsid w:val="00ED4075"/>
    <w:rsid w:val="00ED4174"/>
    <w:rsid w:val="00ED5A40"/>
    <w:rsid w:val="00ED62A8"/>
    <w:rsid w:val="00EE08C5"/>
    <w:rsid w:val="00EE1E21"/>
    <w:rsid w:val="00EE27F9"/>
    <w:rsid w:val="00EE2F12"/>
    <w:rsid w:val="00EE50C5"/>
    <w:rsid w:val="00EE614F"/>
    <w:rsid w:val="00EF0EB0"/>
    <w:rsid w:val="00EF36B7"/>
    <w:rsid w:val="00EF36C4"/>
    <w:rsid w:val="00EF3B55"/>
    <w:rsid w:val="00EF45A9"/>
    <w:rsid w:val="00F00DC5"/>
    <w:rsid w:val="00F01F20"/>
    <w:rsid w:val="00F02522"/>
    <w:rsid w:val="00F05EBA"/>
    <w:rsid w:val="00F15283"/>
    <w:rsid w:val="00F157AE"/>
    <w:rsid w:val="00F17F6F"/>
    <w:rsid w:val="00F242F5"/>
    <w:rsid w:val="00F26729"/>
    <w:rsid w:val="00F27D37"/>
    <w:rsid w:val="00F31957"/>
    <w:rsid w:val="00F3326D"/>
    <w:rsid w:val="00F33604"/>
    <w:rsid w:val="00F3373C"/>
    <w:rsid w:val="00F33A49"/>
    <w:rsid w:val="00F37CE0"/>
    <w:rsid w:val="00F37D8F"/>
    <w:rsid w:val="00F4546D"/>
    <w:rsid w:val="00F47442"/>
    <w:rsid w:val="00F47C59"/>
    <w:rsid w:val="00F5386D"/>
    <w:rsid w:val="00F54E8A"/>
    <w:rsid w:val="00F57794"/>
    <w:rsid w:val="00F66376"/>
    <w:rsid w:val="00F67563"/>
    <w:rsid w:val="00F70097"/>
    <w:rsid w:val="00F736FB"/>
    <w:rsid w:val="00F74156"/>
    <w:rsid w:val="00F8378D"/>
    <w:rsid w:val="00F85103"/>
    <w:rsid w:val="00F85AF8"/>
    <w:rsid w:val="00F86D75"/>
    <w:rsid w:val="00F93B0E"/>
    <w:rsid w:val="00F9465B"/>
    <w:rsid w:val="00F969D1"/>
    <w:rsid w:val="00F96DE9"/>
    <w:rsid w:val="00F971F4"/>
    <w:rsid w:val="00FA13C7"/>
    <w:rsid w:val="00FA7BDE"/>
    <w:rsid w:val="00FB0398"/>
    <w:rsid w:val="00FB0F6A"/>
    <w:rsid w:val="00FB2E14"/>
    <w:rsid w:val="00FB475F"/>
    <w:rsid w:val="00FC0712"/>
    <w:rsid w:val="00FC1E2B"/>
    <w:rsid w:val="00FC48C0"/>
    <w:rsid w:val="00FC4E45"/>
    <w:rsid w:val="00FC58AE"/>
    <w:rsid w:val="00FD17A1"/>
    <w:rsid w:val="00FD1ACD"/>
    <w:rsid w:val="00FD1DDF"/>
    <w:rsid w:val="00FD58C4"/>
    <w:rsid w:val="00FD68AE"/>
    <w:rsid w:val="00FE08D2"/>
    <w:rsid w:val="00FE2D0A"/>
    <w:rsid w:val="00FE35B2"/>
    <w:rsid w:val="00FE49CF"/>
    <w:rsid w:val="00FE6348"/>
    <w:rsid w:val="00FE695D"/>
    <w:rsid w:val="00FE6EF4"/>
    <w:rsid w:val="00FF0E88"/>
    <w:rsid w:val="00FF1B44"/>
    <w:rsid w:val="00FF53B2"/>
    <w:rsid w:val="00FF6D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669E61DE-AD1D-4B2D-BF2B-E764E24F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eastAsia="en-US"/>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paragraph" w:styleId="Heading5">
    <w:name w:val="heading 5"/>
    <w:basedOn w:val="Normal"/>
    <w:next w:val="Normal"/>
    <w:link w:val="Heading5Char"/>
    <w:uiPriority w:val="9"/>
    <w:qFormat/>
    <w:rsid w:val="00C7280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link w:val="Header"/>
    <w:uiPriority w:val="99"/>
    <w:rsid w:val="004A53C8"/>
    <w:rPr>
      <w:sz w:val="22"/>
      <w:szCs w:val="22"/>
      <w:lang w:eastAsia="en-US"/>
    </w:rPr>
  </w:style>
  <w:style w:type="paragraph" w:styleId="Footer">
    <w:name w:val="footer"/>
    <w:basedOn w:val="Normal"/>
    <w:link w:val="FooterChar"/>
    <w:unhideWhenUsed/>
    <w:rsid w:val="004A53C8"/>
    <w:pPr>
      <w:tabs>
        <w:tab w:val="center" w:pos="4153"/>
        <w:tab w:val="right" w:pos="8306"/>
      </w:tabs>
    </w:pPr>
  </w:style>
  <w:style w:type="character" w:customStyle="1" w:styleId="FooterChar">
    <w:name w:val="Footer Char"/>
    <w:link w:val="Footer"/>
    <w:rsid w:val="004A53C8"/>
    <w:rPr>
      <w:sz w:val="22"/>
      <w:szCs w:val="22"/>
      <w:lang w:eastAsia="en-US"/>
    </w:rPr>
  </w:style>
  <w:style w:type="character" w:styleId="Hyperlink">
    <w:name w:val="Hyperlink"/>
    <w:uiPriority w:val="99"/>
    <w:unhideWhenUsed/>
    <w:rsid w:val="002A2EB8"/>
    <w:rPr>
      <w:color w:val="0000FF"/>
      <w:u w:val="single"/>
    </w:rPr>
  </w:style>
  <w:style w:type="paragraph" w:styleId="FootnoteText">
    <w:name w:val="footnote text"/>
    <w:aliases w:val="Footnote,Fußnote,Char, Char,Char Rakstz. Rakstz. Rakstz.,Footnote Text Char2,Footnote Text Char1 Char,Footnote Text Char1 Char Char Char,Footnote Text Char1 Char Char Char Rakstz. Rakstz.,Fußnote Char Char Char Char Char Char,Cha,Ch,Char1"/>
    <w:basedOn w:val="Normal"/>
    <w:link w:val="FootnoteTextChar"/>
    <w:unhideWhenUsed/>
    <w:rsid w:val="00D12AFD"/>
    <w:pPr>
      <w:spacing w:after="0" w:line="240" w:lineRule="auto"/>
    </w:pPr>
    <w:rPr>
      <w:sz w:val="20"/>
      <w:szCs w:val="20"/>
    </w:rPr>
  </w:style>
  <w:style w:type="character" w:customStyle="1" w:styleId="FootnoteTextChar">
    <w:name w:val="Footnote Text Char"/>
    <w:aliases w:val="Footnote Char,Fußnote Char,Char Char, Char Char,Char Rakstz. Rakstz. Rakstz. Char,Footnote Text Char2 Char,Footnote Text Char1 Char Char,Footnote Text Char1 Char Char Char Char,Footnote Text Char1 Char Char Char Rakstz. Rakstz. Char"/>
    <w:link w:val="FootnoteText"/>
    <w:rsid w:val="00D12AFD"/>
    <w:rPr>
      <w:rFonts w:ascii="Calibri" w:eastAsia="Calibri" w:hAnsi="Calibri" w:cs="Times New Roman"/>
      <w:lang w:eastAsia="en-US"/>
    </w:rPr>
  </w:style>
  <w:style w:type="character" w:styleId="FootnoteReference">
    <w:name w:val="footnote reference"/>
    <w:aliases w:val="Footnote Reference Number,Footnote symbol,SUPERS"/>
    <w:unhideWhenUsed/>
    <w:rsid w:val="00D12AFD"/>
    <w:rPr>
      <w:vertAlign w:val="superscript"/>
    </w:rPr>
  </w:style>
  <w:style w:type="character" w:styleId="Emphasis">
    <w:name w:val="Emphasis"/>
    <w:uiPriority w:val="20"/>
    <w:qFormat/>
    <w:rsid w:val="00D12AFD"/>
    <w:rPr>
      <w:i/>
      <w:iCs/>
    </w:rPr>
  </w:style>
  <w:style w:type="paragraph" w:customStyle="1" w:styleId="CM4">
    <w:name w:val="CM4"/>
    <w:basedOn w:val="Normal"/>
    <w:next w:val="Normal"/>
    <w:uiPriority w:val="99"/>
    <w:rsid w:val="00E024A2"/>
    <w:pPr>
      <w:autoSpaceDE w:val="0"/>
      <w:autoSpaceDN w:val="0"/>
      <w:adjustRightInd w:val="0"/>
      <w:spacing w:before="60" w:after="60" w:line="240" w:lineRule="auto"/>
    </w:pPr>
    <w:rPr>
      <w:rFonts w:ascii="EUAlbertina" w:hAnsi="EUAlbertina"/>
      <w:sz w:val="24"/>
      <w:szCs w:val="24"/>
      <w:lang w:eastAsia="lv-LV"/>
    </w:rPr>
  </w:style>
  <w:style w:type="paragraph" w:styleId="ListParagraph">
    <w:name w:val="List Paragraph"/>
    <w:basedOn w:val="Normal"/>
    <w:uiPriority w:val="34"/>
    <w:qFormat/>
    <w:rsid w:val="00A003DA"/>
    <w:pPr>
      <w:ind w:left="720"/>
      <w:contextualSpacing/>
    </w:pPr>
  </w:style>
  <w:style w:type="paragraph" w:customStyle="1" w:styleId="naisc">
    <w:name w:val="naisc"/>
    <w:basedOn w:val="Normal"/>
    <w:rsid w:val="009E3846"/>
    <w:pPr>
      <w:spacing w:before="75" w:after="75" w:line="240" w:lineRule="auto"/>
      <w:jc w:val="center"/>
    </w:pPr>
    <w:rPr>
      <w:rFonts w:ascii="Times New Roman" w:eastAsia="Times New Roman" w:hAnsi="Times New Roman"/>
      <w:sz w:val="24"/>
      <w:szCs w:val="24"/>
      <w:lang w:eastAsia="lv-LV"/>
    </w:rPr>
  </w:style>
  <w:style w:type="paragraph" w:customStyle="1" w:styleId="thr">
    <w:name w:val="thr"/>
    <w:basedOn w:val="Normal"/>
    <w:uiPriority w:val="99"/>
    <w:rsid w:val="0080466A"/>
    <w:pPr>
      <w:spacing w:before="100" w:beforeAutospacing="1" w:after="100" w:afterAutospacing="1" w:line="240" w:lineRule="auto"/>
      <w:jc w:val="right"/>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6B1D8B"/>
  </w:style>
  <w:style w:type="character" w:customStyle="1" w:styleId="Heading5Char">
    <w:name w:val="Heading 5 Char"/>
    <w:link w:val="Heading5"/>
    <w:uiPriority w:val="9"/>
    <w:semiHidden/>
    <w:rsid w:val="00C7280E"/>
    <w:rPr>
      <w:rFonts w:ascii="Calibri" w:eastAsia="Times New Roman" w:hAnsi="Calibri" w:cs="Times New Roman"/>
      <w:b/>
      <w:bCs/>
      <w:i/>
      <w:iCs/>
      <w:sz w:val="26"/>
      <w:szCs w:val="26"/>
      <w:lang w:eastAsia="en-US"/>
    </w:rPr>
  </w:style>
  <w:style w:type="paragraph" w:customStyle="1" w:styleId="naisf">
    <w:name w:val="naisf"/>
    <w:basedOn w:val="Normal"/>
    <w:rsid w:val="00C7280E"/>
    <w:pPr>
      <w:spacing w:before="75" w:after="75" w:line="240" w:lineRule="auto"/>
      <w:ind w:firstLine="375"/>
      <w:jc w:val="both"/>
    </w:pPr>
    <w:rPr>
      <w:rFonts w:ascii="Times New Roman" w:eastAsia="Times New Roman" w:hAnsi="Times New Roman"/>
      <w:sz w:val="24"/>
      <w:szCs w:val="24"/>
      <w:lang w:eastAsia="lv-LV"/>
    </w:rPr>
  </w:style>
  <w:style w:type="paragraph" w:customStyle="1" w:styleId="tv213">
    <w:name w:val="tv213"/>
    <w:basedOn w:val="Normal"/>
    <w:rsid w:val="009A2CF9"/>
    <w:pPr>
      <w:spacing w:before="100" w:beforeAutospacing="1" w:after="100" w:afterAutospacing="1" w:line="240" w:lineRule="auto"/>
    </w:pPr>
    <w:rPr>
      <w:rFonts w:ascii="Times New Roman" w:eastAsia="Times New Roman" w:hAnsi="Times New Roman"/>
      <w:sz w:val="24"/>
      <w:szCs w:val="24"/>
      <w:lang w:eastAsia="lv-LV"/>
    </w:rPr>
  </w:style>
  <w:style w:type="paragraph" w:styleId="EndnoteText">
    <w:name w:val="endnote text"/>
    <w:basedOn w:val="Normal"/>
    <w:link w:val="EndnoteTextChar"/>
    <w:uiPriority w:val="99"/>
    <w:semiHidden/>
    <w:unhideWhenUsed/>
    <w:rsid w:val="001B5772"/>
    <w:rPr>
      <w:sz w:val="20"/>
      <w:szCs w:val="20"/>
    </w:rPr>
  </w:style>
  <w:style w:type="character" w:customStyle="1" w:styleId="EndnoteTextChar">
    <w:name w:val="Endnote Text Char"/>
    <w:link w:val="EndnoteText"/>
    <w:uiPriority w:val="99"/>
    <w:semiHidden/>
    <w:rsid w:val="001B5772"/>
    <w:rPr>
      <w:lang w:eastAsia="en-US"/>
    </w:rPr>
  </w:style>
  <w:style w:type="character" w:styleId="EndnoteReference">
    <w:name w:val="endnote reference"/>
    <w:uiPriority w:val="99"/>
    <w:semiHidden/>
    <w:unhideWhenUsed/>
    <w:rsid w:val="001B5772"/>
    <w:rPr>
      <w:vertAlign w:val="superscript"/>
    </w:rPr>
  </w:style>
  <w:style w:type="character" w:styleId="CommentReference">
    <w:name w:val="annotation reference"/>
    <w:semiHidden/>
    <w:rsid w:val="001A3B4B"/>
    <w:rPr>
      <w:sz w:val="16"/>
      <w:szCs w:val="16"/>
    </w:rPr>
  </w:style>
  <w:style w:type="paragraph" w:styleId="CommentText">
    <w:name w:val="annotation text"/>
    <w:basedOn w:val="Normal"/>
    <w:semiHidden/>
    <w:rsid w:val="001A3B4B"/>
    <w:rPr>
      <w:sz w:val="20"/>
      <w:szCs w:val="20"/>
    </w:rPr>
  </w:style>
  <w:style w:type="paragraph" w:styleId="CommentSubject">
    <w:name w:val="annotation subject"/>
    <w:basedOn w:val="CommentText"/>
    <w:next w:val="CommentText"/>
    <w:semiHidden/>
    <w:rsid w:val="001A3B4B"/>
    <w:rPr>
      <w:b/>
      <w:bCs/>
    </w:rPr>
  </w:style>
  <w:style w:type="paragraph" w:styleId="BalloonText">
    <w:name w:val="Balloon Text"/>
    <w:basedOn w:val="Normal"/>
    <w:semiHidden/>
    <w:rsid w:val="001A3B4B"/>
    <w:rPr>
      <w:rFonts w:ascii="Tahoma" w:hAnsi="Tahoma" w:cs="Tahoma"/>
      <w:sz w:val="16"/>
      <w:szCs w:val="16"/>
    </w:rPr>
  </w:style>
  <w:style w:type="paragraph" w:customStyle="1" w:styleId="naisnod">
    <w:name w:val="naisnod"/>
    <w:basedOn w:val="Normal"/>
    <w:rsid w:val="006141D7"/>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rsid w:val="006141D7"/>
    <w:pPr>
      <w:spacing w:before="75" w:after="75" w:line="240" w:lineRule="auto"/>
    </w:pPr>
    <w:rPr>
      <w:rFonts w:ascii="Times New Roman" w:eastAsia="Times New Roman" w:hAnsi="Times New Roman"/>
      <w:sz w:val="24"/>
      <w:szCs w:val="24"/>
      <w:lang w:eastAsia="lv-LV"/>
    </w:rPr>
  </w:style>
  <w:style w:type="character" w:styleId="PageNumber">
    <w:name w:val="page number"/>
    <w:basedOn w:val="DefaultParagraphFont"/>
    <w:rsid w:val="00A8122C"/>
  </w:style>
  <w:style w:type="paragraph" w:styleId="BodyText">
    <w:name w:val="Body Text"/>
    <w:basedOn w:val="Normal"/>
    <w:link w:val="BodyTextChar"/>
    <w:uiPriority w:val="99"/>
    <w:semiHidden/>
    <w:unhideWhenUsed/>
    <w:rsid w:val="00E20840"/>
    <w:pPr>
      <w:spacing w:after="120"/>
    </w:pPr>
  </w:style>
  <w:style w:type="character" w:customStyle="1" w:styleId="BodyTextChar">
    <w:name w:val="Body Text Char"/>
    <w:link w:val="BodyText"/>
    <w:uiPriority w:val="99"/>
    <w:semiHidden/>
    <w:rsid w:val="00E20840"/>
    <w:rPr>
      <w:sz w:val="22"/>
      <w:szCs w:val="22"/>
      <w:lang w:eastAsia="en-US"/>
    </w:rPr>
  </w:style>
  <w:style w:type="table" w:styleId="TableGrid">
    <w:name w:val="Table Grid"/>
    <w:basedOn w:val="TableNormal"/>
    <w:uiPriority w:val="59"/>
    <w:rsid w:val="0021639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9322">
      <w:bodyDiv w:val="1"/>
      <w:marLeft w:val="0"/>
      <w:marRight w:val="0"/>
      <w:marTop w:val="0"/>
      <w:marBottom w:val="0"/>
      <w:divBdr>
        <w:top w:val="none" w:sz="0" w:space="0" w:color="auto"/>
        <w:left w:val="none" w:sz="0" w:space="0" w:color="auto"/>
        <w:bottom w:val="none" w:sz="0" w:space="0" w:color="auto"/>
        <w:right w:val="none" w:sz="0" w:space="0" w:color="auto"/>
      </w:divBdr>
      <w:divsChild>
        <w:div w:id="111171427">
          <w:marLeft w:val="720"/>
          <w:marRight w:val="0"/>
          <w:marTop w:val="106"/>
          <w:marBottom w:val="0"/>
          <w:divBdr>
            <w:top w:val="none" w:sz="0" w:space="0" w:color="auto"/>
            <w:left w:val="none" w:sz="0" w:space="0" w:color="auto"/>
            <w:bottom w:val="none" w:sz="0" w:space="0" w:color="auto"/>
            <w:right w:val="none" w:sz="0" w:space="0" w:color="auto"/>
          </w:divBdr>
        </w:div>
      </w:divsChild>
    </w:div>
    <w:div w:id="523330307">
      <w:bodyDiv w:val="1"/>
      <w:marLeft w:val="0"/>
      <w:marRight w:val="0"/>
      <w:marTop w:val="0"/>
      <w:marBottom w:val="0"/>
      <w:divBdr>
        <w:top w:val="none" w:sz="0" w:space="0" w:color="auto"/>
        <w:left w:val="none" w:sz="0" w:space="0" w:color="auto"/>
        <w:bottom w:val="none" w:sz="0" w:space="0" w:color="auto"/>
        <w:right w:val="none" w:sz="0" w:space="0" w:color="auto"/>
      </w:divBdr>
    </w:div>
    <w:div w:id="658116677">
      <w:bodyDiv w:val="1"/>
      <w:marLeft w:val="0"/>
      <w:marRight w:val="0"/>
      <w:marTop w:val="0"/>
      <w:marBottom w:val="0"/>
      <w:divBdr>
        <w:top w:val="none" w:sz="0" w:space="0" w:color="auto"/>
        <w:left w:val="none" w:sz="0" w:space="0" w:color="auto"/>
        <w:bottom w:val="none" w:sz="0" w:space="0" w:color="auto"/>
        <w:right w:val="none" w:sz="0" w:space="0" w:color="auto"/>
      </w:divBdr>
      <w:divsChild>
        <w:div w:id="394935648">
          <w:marLeft w:val="0"/>
          <w:marRight w:val="0"/>
          <w:marTop w:val="0"/>
          <w:marBottom w:val="567"/>
          <w:divBdr>
            <w:top w:val="none" w:sz="0" w:space="0" w:color="auto"/>
            <w:left w:val="none" w:sz="0" w:space="0" w:color="auto"/>
            <w:bottom w:val="none" w:sz="0" w:space="0" w:color="auto"/>
            <w:right w:val="none" w:sz="0" w:space="0" w:color="auto"/>
          </w:divBdr>
        </w:div>
        <w:div w:id="1060596390">
          <w:marLeft w:val="0"/>
          <w:marRight w:val="0"/>
          <w:marTop w:val="480"/>
          <w:marBottom w:val="240"/>
          <w:divBdr>
            <w:top w:val="none" w:sz="0" w:space="0" w:color="auto"/>
            <w:left w:val="none" w:sz="0" w:space="0" w:color="auto"/>
            <w:bottom w:val="none" w:sz="0" w:space="0" w:color="auto"/>
            <w:right w:val="none" w:sz="0" w:space="0" w:color="auto"/>
          </w:divBdr>
        </w:div>
      </w:divsChild>
    </w:div>
    <w:div w:id="905336049">
      <w:bodyDiv w:val="1"/>
      <w:marLeft w:val="0"/>
      <w:marRight w:val="0"/>
      <w:marTop w:val="0"/>
      <w:marBottom w:val="0"/>
      <w:divBdr>
        <w:top w:val="none" w:sz="0" w:space="0" w:color="auto"/>
        <w:left w:val="none" w:sz="0" w:space="0" w:color="auto"/>
        <w:bottom w:val="none" w:sz="0" w:space="0" w:color="auto"/>
        <w:right w:val="none" w:sz="0" w:space="0" w:color="auto"/>
      </w:divBdr>
      <w:divsChild>
        <w:div w:id="251208802">
          <w:marLeft w:val="0"/>
          <w:marRight w:val="0"/>
          <w:marTop w:val="480"/>
          <w:marBottom w:val="240"/>
          <w:divBdr>
            <w:top w:val="none" w:sz="0" w:space="0" w:color="auto"/>
            <w:left w:val="none" w:sz="0" w:space="0" w:color="auto"/>
            <w:bottom w:val="none" w:sz="0" w:space="0" w:color="auto"/>
            <w:right w:val="none" w:sz="0" w:space="0" w:color="auto"/>
          </w:divBdr>
        </w:div>
        <w:div w:id="1321154422">
          <w:marLeft w:val="0"/>
          <w:marRight w:val="0"/>
          <w:marTop w:val="0"/>
          <w:marBottom w:val="567"/>
          <w:divBdr>
            <w:top w:val="none" w:sz="0" w:space="0" w:color="auto"/>
            <w:left w:val="none" w:sz="0" w:space="0" w:color="auto"/>
            <w:bottom w:val="none" w:sz="0" w:space="0" w:color="auto"/>
            <w:right w:val="none" w:sz="0" w:space="0" w:color="auto"/>
          </w:divBdr>
        </w:div>
      </w:divsChild>
    </w:div>
    <w:div w:id="961838431">
      <w:bodyDiv w:val="1"/>
      <w:marLeft w:val="0"/>
      <w:marRight w:val="0"/>
      <w:marTop w:val="0"/>
      <w:marBottom w:val="0"/>
      <w:divBdr>
        <w:top w:val="none" w:sz="0" w:space="0" w:color="auto"/>
        <w:left w:val="none" w:sz="0" w:space="0" w:color="auto"/>
        <w:bottom w:val="none" w:sz="0" w:space="0" w:color="auto"/>
        <w:right w:val="none" w:sz="0" w:space="0" w:color="auto"/>
      </w:divBdr>
    </w:div>
    <w:div w:id="1487435086">
      <w:bodyDiv w:val="1"/>
      <w:marLeft w:val="0"/>
      <w:marRight w:val="0"/>
      <w:marTop w:val="0"/>
      <w:marBottom w:val="0"/>
      <w:divBdr>
        <w:top w:val="none" w:sz="0" w:space="0" w:color="auto"/>
        <w:left w:val="none" w:sz="0" w:space="0" w:color="auto"/>
        <w:bottom w:val="none" w:sz="0" w:space="0" w:color="auto"/>
        <w:right w:val="none" w:sz="0" w:space="0" w:color="auto"/>
      </w:divBdr>
      <w:divsChild>
        <w:div w:id="486212413">
          <w:marLeft w:val="0"/>
          <w:marRight w:val="0"/>
          <w:marTop w:val="480"/>
          <w:marBottom w:val="240"/>
          <w:divBdr>
            <w:top w:val="none" w:sz="0" w:space="0" w:color="auto"/>
            <w:left w:val="none" w:sz="0" w:space="0" w:color="auto"/>
            <w:bottom w:val="none" w:sz="0" w:space="0" w:color="auto"/>
            <w:right w:val="none" w:sz="0" w:space="0" w:color="auto"/>
          </w:divBdr>
        </w:div>
        <w:div w:id="864975563">
          <w:marLeft w:val="0"/>
          <w:marRight w:val="0"/>
          <w:marTop w:val="0"/>
          <w:marBottom w:val="567"/>
          <w:divBdr>
            <w:top w:val="none" w:sz="0" w:space="0" w:color="auto"/>
            <w:left w:val="none" w:sz="0" w:space="0" w:color="auto"/>
            <w:bottom w:val="none" w:sz="0" w:space="0" w:color="auto"/>
            <w:right w:val="none" w:sz="0" w:space="0" w:color="auto"/>
          </w:divBdr>
        </w:div>
      </w:divsChild>
    </w:div>
    <w:div w:id="2058435169">
      <w:bodyDiv w:val="1"/>
      <w:marLeft w:val="0"/>
      <w:marRight w:val="0"/>
      <w:marTop w:val="0"/>
      <w:marBottom w:val="0"/>
      <w:divBdr>
        <w:top w:val="none" w:sz="0" w:space="0" w:color="auto"/>
        <w:left w:val="none" w:sz="0" w:space="0" w:color="auto"/>
        <w:bottom w:val="none" w:sz="0" w:space="0" w:color="auto"/>
        <w:right w:val="none" w:sz="0" w:space="0" w:color="auto"/>
      </w:divBdr>
    </w:div>
    <w:div w:id="206998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3DFDA-1A9E-4BEA-9B5D-7660294D9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10785</Words>
  <Characters>6148</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2012.gada 31.jūlija noteikumos Nr.523 „Noteikumi par budžetu pieprasījumu izstrādāšanas un iesniegšanas pamatprincipiem””</vt:lpstr>
    </vt:vector>
  </TitlesOfParts>
  <Company>FM</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Ministru kabineta noteikumu projekts “Grozījumi Ministru kabineta 2012.gada 31.jūlija noteikumos Nr.523 “Noteikumi par budžetu pieprasījumu izstrādāšanas un iesniegšanas pamatprincipiem””, sākotnējās ietekmes novērtējuma ziņojums (anotācija)</dc:title>
  <dc:subject>Anotācija</dc:subject>
  <dc:creator>Eduards Gross</dc:creator>
  <cp:keywords/>
  <dc:description>E.Gross
67083966; Eduards.Gross@fm.gov.lv </dc:description>
  <cp:lastModifiedBy>Liene Strēlniece</cp:lastModifiedBy>
  <cp:revision>13</cp:revision>
  <cp:lastPrinted>2014-05-23T07:22:00Z</cp:lastPrinted>
  <dcterms:created xsi:type="dcterms:W3CDTF">2014-10-15T06:29:00Z</dcterms:created>
  <dcterms:modified xsi:type="dcterms:W3CDTF">2014-11-04T15:25:00Z</dcterms:modified>
</cp:coreProperties>
</file>