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2612" w14:textId="39F19596" w:rsidR="001F5390" w:rsidRPr="009A5537" w:rsidRDefault="00186E20" w:rsidP="000534EB">
      <w:pPr>
        <w:spacing w:after="0" w:line="240" w:lineRule="auto"/>
        <w:jc w:val="center"/>
        <w:rPr>
          <w:rFonts w:ascii="Times New Roman" w:hAnsi="Times New Roman"/>
          <w:b/>
          <w:sz w:val="25"/>
          <w:szCs w:val="25"/>
          <w:lang w:val="lv-LV"/>
        </w:rPr>
      </w:pPr>
      <w:bookmarkStart w:id="0" w:name="_GoBack"/>
      <w:r w:rsidRPr="009A5537">
        <w:rPr>
          <w:rFonts w:ascii="Times New Roman" w:hAnsi="Times New Roman"/>
          <w:b/>
          <w:sz w:val="25"/>
          <w:szCs w:val="25"/>
          <w:lang w:val="lv-LV"/>
        </w:rPr>
        <w:t xml:space="preserve">Ministru kabineta </w:t>
      </w:r>
      <w:r w:rsidR="000534EB" w:rsidRPr="009A5537">
        <w:rPr>
          <w:rFonts w:ascii="Times New Roman" w:hAnsi="Times New Roman"/>
          <w:b/>
          <w:sz w:val="25"/>
          <w:szCs w:val="25"/>
          <w:lang w:val="lv-LV"/>
        </w:rPr>
        <w:t xml:space="preserve">noteikumu projekta </w:t>
      </w:r>
      <w:r w:rsidR="00D61F3A" w:rsidRPr="009A5537">
        <w:rPr>
          <w:rFonts w:ascii="Times New Roman" w:hAnsi="Times New Roman"/>
          <w:b/>
          <w:sz w:val="25"/>
          <w:szCs w:val="25"/>
          <w:lang w:val="lv-LV"/>
        </w:rPr>
        <w:t>„</w:t>
      </w:r>
      <w:r w:rsidR="000534EB" w:rsidRPr="009A5537">
        <w:rPr>
          <w:rFonts w:ascii="Times New Roman" w:hAnsi="Times New Roman"/>
          <w:b/>
          <w:sz w:val="25"/>
          <w:szCs w:val="25"/>
          <w:lang w:val="lv-LV"/>
        </w:rPr>
        <w:t xml:space="preserve">Noteikumi par darbības programmas „Uzņēmējdarbība un inovācijas” papildinājuma 2.3.2.2.aktivitātes </w:t>
      </w:r>
      <w:r w:rsidR="00D61F3A" w:rsidRPr="009A5537">
        <w:rPr>
          <w:rFonts w:ascii="Times New Roman" w:hAnsi="Times New Roman"/>
          <w:b/>
          <w:sz w:val="25"/>
          <w:szCs w:val="25"/>
          <w:lang w:val="lv-LV"/>
        </w:rPr>
        <w:t>„</w:t>
      </w:r>
      <w:r w:rsidR="000534EB" w:rsidRPr="009A5537">
        <w:rPr>
          <w:rFonts w:ascii="Times New Roman" w:hAnsi="Times New Roman"/>
          <w:b/>
          <w:sz w:val="25"/>
          <w:szCs w:val="25"/>
          <w:lang w:val="lv-LV"/>
        </w:rPr>
        <w:t>Atbalsts ieguldījumiem mikro, maziem un vidējiem komersantiem” 2.3.2.2.3.apakšaktivitāti „Atbalsts ieguldījumiem infrastruktūrā uzņēmējdarbības attīstībai””</w:t>
      </w:r>
      <w:r w:rsidR="00E222C4" w:rsidRPr="009A5537">
        <w:rPr>
          <w:rFonts w:ascii="Times New Roman" w:hAnsi="Times New Roman"/>
          <w:b/>
          <w:sz w:val="25"/>
          <w:szCs w:val="25"/>
          <w:lang w:val="lv-LV"/>
        </w:rPr>
        <w:t xml:space="preserve"> sākotnējās ietekmes novērtējuma ziņojums (anotācija)</w:t>
      </w:r>
    </w:p>
    <w:bookmarkEnd w:id="0"/>
    <w:p w14:paraId="4494688A" w14:textId="77777777" w:rsidR="00E222C4" w:rsidRPr="009A5537" w:rsidRDefault="00E222C4" w:rsidP="00E222C4">
      <w:pPr>
        <w:spacing w:after="0" w:line="240" w:lineRule="auto"/>
        <w:jc w:val="center"/>
        <w:rPr>
          <w:rFonts w:ascii="Times New Roman" w:hAnsi="Times New Roman"/>
          <w:b/>
          <w:sz w:val="25"/>
          <w:szCs w:val="25"/>
          <w:lang w:val="lv-LV"/>
        </w:rPr>
      </w:pPr>
    </w:p>
    <w:tbl>
      <w:tblPr>
        <w:tblStyle w:val="TableGrid"/>
        <w:tblW w:w="0" w:type="auto"/>
        <w:tblLayout w:type="fixed"/>
        <w:tblLook w:val="04A0" w:firstRow="1" w:lastRow="0" w:firstColumn="1" w:lastColumn="0" w:noHBand="0" w:noVBand="1"/>
      </w:tblPr>
      <w:tblGrid>
        <w:gridCol w:w="2567"/>
        <w:gridCol w:w="6613"/>
      </w:tblGrid>
      <w:tr w:rsidR="00D40CFC" w:rsidRPr="009A5537" w14:paraId="72644D5E" w14:textId="77777777" w:rsidTr="00F66F09">
        <w:tc>
          <w:tcPr>
            <w:tcW w:w="9180" w:type="dxa"/>
            <w:gridSpan w:val="2"/>
            <w:hideMark/>
          </w:tcPr>
          <w:p w14:paraId="0C7B5479" w14:textId="77777777" w:rsidR="00D40CFC" w:rsidRPr="009A5537" w:rsidRDefault="00137360" w:rsidP="00137360">
            <w:pPr>
              <w:jc w:val="center"/>
              <w:rPr>
                <w:rFonts w:ascii="Times New Roman" w:hAnsi="Times New Roman"/>
                <w:b/>
                <w:sz w:val="25"/>
                <w:szCs w:val="25"/>
                <w:lang w:val="lv-LV"/>
              </w:rPr>
            </w:pPr>
            <w:r w:rsidRPr="009A5537">
              <w:rPr>
                <w:rFonts w:ascii="Times New Roman" w:hAnsi="Times New Roman"/>
                <w:b/>
                <w:sz w:val="25"/>
                <w:szCs w:val="25"/>
                <w:lang w:val="lv-LV"/>
              </w:rPr>
              <w:t xml:space="preserve">I. </w:t>
            </w:r>
            <w:r w:rsidR="00D40CFC" w:rsidRPr="009A5537">
              <w:rPr>
                <w:rFonts w:ascii="Times New Roman" w:hAnsi="Times New Roman"/>
                <w:b/>
                <w:sz w:val="25"/>
                <w:szCs w:val="25"/>
                <w:lang w:val="lv-LV"/>
              </w:rPr>
              <w:t>Tiesību akta projekta izstrādes nepieciešamība</w:t>
            </w:r>
          </w:p>
        </w:tc>
      </w:tr>
      <w:tr w:rsidR="00D40CFC" w:rsidRPr="004C4FD3" w14:paraId="4F8321FE" w14:textId="77777777" w:rsidTr="00F66F09">
        <w:tc>
          <w:tcPr>
            <w:tcW w:w="2567" w:type="dxa"/>
            <w:hideMark/>
          </w:tcPr>
          <w:p w14:paraId="0CF8FDD2" w14:textId="77777777" w:rsidR="00D40CFC" w:rsidRPr="009A5537" w:rsidRDefault="00D40CFC" w:rsidP="00D40CFC">
            <w:pPr>
              <w:rPr>
                <w:rFonts w:ascii="Times New Roman" w:hAnsi="Times New Roman"/>
                <w:sz w:val="25"/>
                <w:szCs w:val="25"/>
                <w:lang w:val="lv-LV"/>
              </w:rPr>
            </w:pPr>
            <w:r w:rsidRPr="009A5537">
              <w:rPr>
                <w:rFonts w:ascii="Times New Roman" w:hAnsi="Times New Roman"/>
                <w:sz w:val="25"/>
                <w:szCs w:val="25"/>
                <w:lang w:val="lv-LV"/>
              </w:rPr>
              <w:t>1. Pamatojums</w:t>
            </w:r>
          </w:p>
        </w:tc>
        <w:tc>
          <w:tcPr>
            <w:tcW w:w="6613" w:type="dxa"/>
            <w:hideMark/>
          </w:tcPr>
          <w:p w14:paraId="28EA03DD" w14:textId="09E01FB6" w:rsidR="00DC2BD7" w:rsidRPr="009A5537" w:rsidRDefault="00186E20" w:rsidP="00EC5B90">
            <w:pPr>
              <w:spacing w:after="120"/>
              <w:jc w:val="both"/>
              <w:rPr>
                <w:rFonts w:ascii="Times New Roman" w:hAnsi="Times New Roman"/>
                <w:color w:val="000000"/>
                <w:sz w:val="25"/>
                <w:szCs w:val="25"/>
                <w:lang w:val="lv-LV"/>
              </w:rPr>
            </w:pPr>
            <w:r w:rsidRPr="009A5537">
              <w:rPr>
                <w:rFonts w:ascii="Times New Roman" w:hAnsi="Times New Roman"/>
                <w:color w:val="000000"/>
                <w:sz w:val="25"/>
                <w:szCs w:val="25"/>
                <w:lang w:val="lv-LV"/>
              </w:rPr>
              <w:t xml:space="preserve">Ministru kabineta noteikumu </w:t>
            </w:r>
            <w:r w:rsidR="00A21034" w:rsidRPr="009A5537">
              <w:rPr>
                <w:rFonts w:ascii="Times New Roman" w:hAnsi="Times New Roman"/>
                <w:color w:val="000000"/>
                <w:sz w:val="25"/>
                <w:szCs w:val="25"/>
                <w:lang w:val="lv-LV"/>
              </w:rPr>
              <w:t>projekts</w:t>
            </w:r>
            <w:r w:rsidR="00A9221C" w:rsidRPr="009A5537">
              <w:rPr>
                <w:rFonts w:ascii="Times New Roman" w:hAnsi="Times New Roman"/>
                <w:color w:val="000000"/>
                <w:sz w:val="25"/>
                <w:szCs w:val="25"/>
                <w:lang w:val="lv-LV"/>
              </w:rPr>
              <w:t xml:space="preserve"> </w:t>
            </w:r>
            <w:r w:rsidR="00A9221C" w:rsidRPr="009A5537">
              <w:rPr>
                <w:rFonts w:ascii="Times New Roman" w:hAnsi="Times New Roman"/>
                <w:sz w:val="25"/>
                <w:szCs w:val="25"/>
                <w:lang w:val="lv-LV"/>
              </w:rPr>
              <w:t>“Noteikumi par darbības programmas „Uzņēmējdarbība un inovācijas” papildinājuma 2.3.2.2.aktivitātes “Atbalsts ieguldījumiem mikro, maziem un vidējiem komersantiem” 2.3.2.2.3.apakšaktivitāti „Atbalsts ieguldījumiem infrastruktūrā uzņēmējdarbības attīstībai””</w:t>
            </w:r>
            <w:r w:rsidR="00A21034" w:rsidRPr="009A5537">
              <w:rPr>
                <w:rFonts w:ascii="Times New Roman" w:hAnsi="Times New Roman"/>
                <w:color w:val="000000"/>
                <w:sz w:val="25"/>
                <w:szCs w:val="25"/>
                <w:lang w:val="lv-LV"/>
              </w:rPr>
              <w:t xml:space="preserve"> </w:t>
            </w:r>
            <w:r w:rsidRPr="009A5537">
              <w:rPr>
                <w:rFonts w:ascii="Times New Roman" w:hAnsi="Times New Roman"/>
                <w:color w:val="000000"/>
                <w:sz w:val="25"/>
                <w:szCs w:val="25"/>
                <w:lang w:val="lv-LV"/>
              </w:rPr>
              <w:t xml:space="preserve">(turpmāk – </w:t>
            </w:r>
            <w:r w:rsidRPr="009A5537">
              <w:rPr>
                <w:rFonts w:ascii="Times New Roman" w:hAnsi="Times New Roman" w:cs="Times New Roman"/>
                <w:sz w:val="25"/>
                <w:szCs w:val="25"/>
                <w:lang w:val="lv-LV" w:eastAsia="lv-LV"/>
              </w:rPr>
              <w:t>MK</w:t>
            </w:r>
            <w:r w:rsidRPr="009A5537">
              <w:rPr>
                <w:rFonts w:ascii="Times New Roman" w:hAnsi="Times New Roman"/>
                <w:sz w:val="25"/>
                <w:szCs w:val="25"/>
                <w:lang w:val="lv-LV"/>
              </w:rPr>
              <w:t xml:space="preserve"> noteikumu projekts) </w:t>
            </w:r>
            <w:r w:rsidR="00A21034" w:rsidRPr="009A5537">
              <w:rPr>
                <w:rFonts w:ascii="Times New Roman" w:hAnsi="Times New Roman"/>
                <w:color w:val="000000"/>
                <w:sz w:val="25"/>
                <w:szCs w:val="25"/>
                <w:lang w:val="lv-LV"/>
              </w:rPr>
              <w:t>sagatavots, pamatojoties uz Eiropas Savienības struktūrfondu un Kohēzijas fonda vadības likuma 18.panta 10.punktu.</w:t>
            </w:r>
          </w:p>
          <w:p w14:paraId="0741127E" w14:textId="42E8D5EC" w:rsidR="00320334" w:rsidRPr="009A5537" w:rsidRDefault="00320334" w:rsidP="00EC5B90">
            <w:pPr>
              <w:spacing w:after="120"/>
              <w:jc w:val="both"/>
              <w:rPr>
                <w:rFonts w:ascii="Times New Roman" w:hAnsi="Times New Roman" w:cs="Times New Roman"/>
                <w:sz w:val="25"/>
                <w:szCs w:val="25"/>
                <w:lang w:val="lv-LV"/>
              </w:rPr>
            </w:pPr>
            <w:r w:rsidRPr="009A5537">
              <w:rPr>
                <w:rFonts w:ascii="Times New Roman" w:hAnsi="Times New Roman"/>
                <w:sz w:val="25"/>
                <w:szCs w:val="25"/>
                <w:lang w:val="lv-LV"/>
              </w:rPr>
              <w:t xml:space="preserve">Ņemot vērā iepriekš apzinātos riskus darbības programmas „Uzņēmējdarbība un inovācijas” ietvaros Eiropas Reģionālā attīstības fonda (turpmāk – ERAF) līdzekļu pilnīgai apguvei 2014. un 2015.gadā, kas ir pārrunāti ar Ekonomikas ministriju (turpmāk - EM) un Izglītības un zinātnes ministriju (turpmāk - IZM) operatīvajās sanāksmēs un dažādos citos forumos, Koalīcijas partneru darba grupas par Eiropas Savienības struktūrfondu un Kohēzijas fonda jautājumiem š.g.27.augusta sēdē saskaņoto rīcības plānu darbības programmas „Uzņēmējdarbība un inovācijas” ERAF pilnīgai izmantošanai īstenošanas gaitu, EM un IZM  sniegto informāciju par veiktajiem pasākumiem attiecībā uz deklarējamiem izdevumiem, kas sniegti š.g. oktobra beigās, kā arī tikšanās laikā ar </w:t>
            </w:r>
            <w:r w:rsidR="00A9221C" w:rsidRPr="009A5537">
              <w:rPr>
                <w:rFonts w:ascii="Times New Roman" w:hAnsi="Times New Roman" w:cs="Times New Roman"/>
                <w:sz w:val="25"/>
                <w:szCs w:val="25"/>
                <w:lang w:val="lv-LV"/>
              </w:rPr>
              <w:t>Eiropas Komisiju (turpmāk - EK)</w:t>
            </w:r>
            <w:r w:rsidRPr="009A5537">
              <w:rPr>
                <w:rFonts w:ascii="Times New Roman" w:hAnsi="Times New Roman"/>
                <w:sz w:val="25"/>
                <w:szCs w:val="25"/>
                <w:lang w:val="lv-LV"/>
              </w:rPr>
              <w:t xml:space="preserve"> pārstāvjiem pārrunāto, </w:t>
            </w:r>
            <w:r w:rsidR="00A9221C" w:rsidRPr="009A5537">
              <w:rPr>
                <w:rFonts w:ascii="Times New Roman" w:hAnsi="Times New Roman"/>
                <w:sz w:val="25"/>
                <w:szCs w:val="25"/>
                <w:lang w:val="lv-LV"/>
              </w:rPr>
              <w:t xml:space="preserve">Finanšu ministrija (turpmāk – FM) </w:t>
            </w:r>
            <w:r w:rsidRPr="009A5537">
              <w:rPr>
                <w:rFonts w:ascii="Times New Roman" w:hAnsi="Times New Roman"/>
                <w:sz w:val="25"/>
                <w:szCs w:val="25"/>
                <w:lang w:val="lv-LV"/>
              </w:rPr>
              <w:t xml:space="preserve">ir izstrādājusi jaunu aktivitāti augstākminētā riska </w:t>
            </w:r>
            <w:r w:rsidRPr="009A5537">
              <w:rPr>
                <w:rFonts w:ascii="Times New Roman" w:hAnsi="Times New Roman" w:cs="Times New Roman"/>
                <w:sz w:val="25"/>
                <w:szCs w:val="25"/>
                <w:lang w:val="lv-LV"/>
              </w:rPr>
              <w:t>mazināšanai</w:t>
            </w:r>
            <w:r w:rsidR="006D7B18" w:rsidRPr="009A5537">
              <w:rPr>
                <w:rFonts w:ascii="Times New Roman" w:hAnsi="Times New Roman" w:cs="Times New Roman"/>
                <w:sz w:val="25"/>
                <w:szCs w:val="25"/>
                <w:lang w:val="lv-LV"/>
              </w:rPr>
              <w:t xml:space="preserve"> un tika pārrunāts projektu pārcelšanas modelis no darbības programmas “Infrastruktūra un pakalpojumi” papildinājuma 3.6.1.1.aktivitātes „Nacionālas un reģionālas nozīmes attīstības centru izaugsmes veicināšana līdzsvarotai valsts attīstībai” un 3.6.2.1.aktivitātes „Atbalsts novadu pašvaldību kompleksai attīstībai” uz darbības programmas „Uzņēmējdarbība un inovācijas” papildinājuma 2.3.2.2.aktivitātes “Atbalsts ieguldījumiem mikro, maziem un vidējiem komersantiem” </w:t>
            </w:r>
            <w:proofErr w:type="spellStart"/>
            <w:r w:rsidR="006D7B18" w:rsidRPr="009A5537">
              <w:rPr>
                <w:rFonts w:ascii="Times New Roman" w:hAnsi="Times New Roman" w:cs="Times New Roman"/>
                <w:sz w:val="25"/>
                <w:szCs w:val="25"/>
                <w:lang w:val="lv-LV"/>
              </w:rPr>
              <w:t>jaunizveidoto</w:t>
            </w:r>
            <w:proofErr w:type="spellEnd"/>
            <w:r w:rsidR="006D7B18" w:rsidRPr="009A5537">
              <w:rPr>
                <w:rFonts w:ascii="Times New Roman" w:hAnsi="Times New Roman" w:cs="Times New Roman"/>
                <w:sz w:val="25"/>
                <w:szCs w:val="25"/>
                <w:lang w:val="lv-LV"/>
              </w:rPr>
              <w:t xml:space="preserve"> 2.3.2.2.3.apakšaktivitāti</w:t>
            </w:r>
            <w:r w:rsidRPr="009A5537">
              <w:rPr>
                <w:rFonts w:ascii="Times New Roman" w:hAnsi="Times New Roman" w:cs="Times New Roman"/>
                <w:sz w:val="25"/>
                <w:szCs w:val="25"/>
                <w:lang w:val="lv-LV"/>
              </w:rPr>
              <w:t>.</w:t>
            </w:r>
          </w:p>
          <w:p w14:paraId="472E1FB4" w14:textId="63AC6311" w:rsidR="00DC2BD7" w:rsidRPr="009A5537" w:rsidRDefault="00DC2BD7" w:rsidP="00EC5B90">
            <w:pPr>
              <w:spacing w:after="120"/>
              <w:jc w:val="both"/>
              <w:rPr>
                <w:rFonts w:ascii="Times New Roman" w:hAnsi="Times New Roman"/>
                <w:sz w:val="25"/>
                <w:szCs w:val="25"/>
                <w:lang w:val="lv-LV"/>
              </w:rPr>
            </w:pPr>
            <w:r w:rsidRPr="009A5537">
              <w:rPr>
                <w:rFonts w:ascii="Times New Roman" w:hAnsi="Times New Roman"/>
                <w:sz w:val="25"/>
                <w:szCs w:val="25"/>
                <w:lang w:val="lv-LV"/>
              </w:rPr>
              <w:t xml:space="preserve">Ņemot vērā to, ka MK noteikumu projekts, kas ietver sarežģītu projektu pārbaudes un pārcelšanas procedūru no darbības programmas “Infrastruktūra un pakalpojumi” uz darbības programmu „Uzņēmējdarbība un inovācijas”, kas iepriekš nav tikusi īstenota, tiek iesniegts kopā ar grozījumiem darbības programmas „Uzņēmējdarbība un inovācijas” papildinājumā </w:t>
            </w:r>
            <w:r w:rsidRPr="009A5537">
              <w:rPr>
                <w:rFonts w:ascii="Times New Roman" w:hAnsi="Times New Roman"/>
                <w:sz w:val="25"/>
                <w:szCs w:val="25"/>
                <w:lang w:val="lv-LV"/>
              </w:rPr>
              <w:lastRenderedPageBreak/>
              <w:t xml:space="preserve">(turpmāk - DPP), abus grozījumus izstrādā un iesniedz </w:t>
            </w:r>
            <w:r w:rsidR="00A9221C" w:rsidRPr="009A5537">
              <w:rPr>
                <w:rFonts w:ascii="Times New Roman" w:hAnsi="Times New Roman"/>
                <w:sz w:val="25"/>
                <w:szCs w:val="25"/>
                <w:lang w:val="lv-LV"/>
              </w:rPr>
              <w:t>Ministru kabinetā</w:t>
            </w:r>
            <w:r w:rsidR="003518F6" w:rsidRPr="009A5537">
              <w:rPr>
                <w:rFonts w:ascii="Times New Roman" w:hAnsi="Times New Roman"/>
                <w:sz w:val="25"/>
                <w:szCs w:val="25"/>
                <w:lang w:val="lv-LV"/>
              </w:rPr>
              <w:t xml:space="preserve"> (turpmāk - MK)</w:t>
            </w:r>
            <w:r w:rsidR="00A9221C" w:rsidRPr="009A5537">
              <w:rPr>
                <w:rFonts w:ascii="Times New Roman" w:hAnsi="Times New Roman"/>
                <w:sz w:val="25"/>
                <w:szCs w:val="25"/>
                <w:lang w:val="lv-LV"/>
              </w:rPr>
              <w:t xml:space="preserve"> </w:t>
            </w:r>
            <w:r w:rsidR="003518F6" w:rsidRPr="009A5537">
              <w:rPr>
                <w:rFonts w:ascii="Times New Roman" w:hAnsi="Times New Roman"/>
                <w:sz w:val="25"/>
                <w:szCs w:val="25"/>
                <w:lang w:val="lv-LV"/>
              </w:rPr>
              <w:t>FM</w:t>
            </w:r>
            <w:r w:rsidRPr="009A5537">
              <w:rPr>
                <w:rFonts w:ascii="Times New Roman" w:hAnsi="Times New Roman"/>
                <w:sz w:val="25"/>
                <w:szCs w:val="25"/>
                <w:lang w:val="lv-LV"/>
              </w:rPr>
              <w:t>.</w:t>
            </w:r>
          </w:p>
        </w:tc>
      </w:tr>
      <w:tr w:rsidR="00D40CFC" w:rsidRPr="009A5537" w14:paraId="4F55B252" w14:textId="77777777" w:rsidTr="0068037C">
        <w:trPr>
          <w:trHeight w:val="699"/>
        </w:trPr>
        <w:tc>
          <w:tcPr>
            <w:tcW w:w="2567" w:type="dxa"/>
            <w:hideMark/>
          </w:tcPr>
          <w:p w14:paraId="74BBF2CC" w14:textId="77777777" w:rsidR="00D40CFC" w:rsidRPr="009A5537" w:rsidRDefault="00D40CFC" w:rsidP="00D40CFC">
            <w:pPr>
              <w:rPr>
                <w:rFonts w:ascii="Times New Roman" w:hAnsi="Times New Roman"/>
                <w:sz w:val="25"/>
                <w:szCs w:val="25"/>
                <w:lang w:val="lv-LV"/>
              </w:rPr>
            </w:pPr>
            <w:r w:rsidRPr="009A5537">
              <w:rPr>
                <w:rFonts w:ascii="Times New Roman" w:hAnsi="Times New Roman"/>
                <w:sz w:val="25"/>
                <w:szCs w:val="25"/>
                <w:lang w:val="lv-LV"/>
              </w:rPr>
              <w:lastRenderedPageBreak/>
              <w:t>2. Pašreizējā situācija un problēmas</w:t>
            </w:r>
            <w:r w:rsidR="002D3F81" w:rsidRPr="009A5537">
              <w:rPr>
                <w:rFonts w:ascii="Times New Roman" w:hAnsi="Times New Roman"/>
                <w:sz w:val="25"/>
                <w:szCs w:val="25"/>
                <w:lang w:val="lv-LV"/>
              </w:rPr>
              <w:t>, kuru risināšanai tiesību akta projekts izstrādāts, tiesiskā regulējuma mērķis un būtība</w:t>
            </w:r>
          </w:p>
        </w:tc>
        <w:tc>
          <w:tcPr>
            <w:tcW w:w="6613" w:type="dxa"/>
            <w:hideMark/>
          </w:tcPr>
          <w:p w14:paraId="18B0E146" w14:textId="1EA743B4" w:rsidR="00BC5620" w:rsidRPr="009A5537" w:rsidRDefault="00BC5620" w:rsidP="00007AFA">
            <w:pPr>
              <w:spacing w:after="120"/>
              <w:jc w:val="both"/>
              <w:rPr>
                <w:rFonts w:ascii="Times New Roman" w:hAnsi="Times New Roman" w:cs="Times New Roman"/>
                <w:sz w:val="25"/>
                <w:szCs w:val="25"/>
                <w:lang w:val="lv-LV"/>
              </w:rPr>
            </w:pPr>
            <w:r w:rsidRPr="009A5537">
              <w:rPr>
                <w:rFonts w:ascii="Times New Roman" w:hAnsi="Times New Roman" w:cs="Times New Roman"/>
                <w:sz w:val="25"/>
                <w:szCs w:val="25"/>
                <w:lang w:val="lv-LV"/>
              </w:rPr>
              <w:t xml:space="preserve">Ārējās politiskās un ekonomiskās vides ietekmes (Krievijas – Ukrainas krīzes eskalācija) rezultātā, kā arī, ņemot vērā tā saucamo netiešo embargo efektu, ir vērojams, ka uzņēmumi, kuru projekti tiek apstiprināti, nenoslēdz līgumus par projektu īstenošanu, ir nobīdes projektu ieviešanas termiņos u.c. </w:t>
            </w:r>
            <w:proofErr w:type="spellStart"/>
            <w:r w:rsidRPr="009A5537">
              <w:rPr>
                <w:rFonts w:ascii="Times New Roman" w:hAnsi="Times New Roman" w:cs="Times New Roman"/>
                <w:sz w:val="25"/>
                <w:szCs w:val="25"/>
                <w:lang w:val="lv-LV"/>
              </w:rPr>
              <w:t>problēmjautājumi</w:t>
            </w:r>
            <w:proofErr w:type="spellEnd"/>
            <w:r w:rsidRPr="009A5537">
              <w:rPr>
                <w:rFonts w:ascii="Times New Roman" w:hAnsi="Times New Roman" w:cs="Times New Roman"/>
                <w:sz w:val="25"/>
                <w:szCs w:val="25"/>
                <w:lang w:val="lv-LV"/>
              </w:rPr>
              <w:t xml:space="preserve">, tādējādi tiek negatīvi ietekmēti plānotās naudas plūsmas pieprasījumi EK. </w:t>
            </w:r>
          </w:p>
          <w:p w14:paraId="54BEEDAE" w14:textId="77777777" w:rsidR="00BC5620" w:rsidRPr="009A5537" w:rsidRDefault="00BC5620" w:rsidP="00007AFA">
            <w:pPr>
              <w:spacing w:after="120"/>
              <w:jc w:val="both"/>
              <w:rPr>
                <w:rFonts w:ascii="Times New Roman" w:hAnsi="Times New Roman" w:cs="Times New Roman"/>
                <w:sz w:val="25"/>
                <w:szCs w:val="25"/>
                <w:lang w:val="lv-LV"/>
              </w:rPr>
            </w:pPr>
          </w:p>
          <w:p w14:paraId="12A6625C" w14:textId="200E0A01" w:rsidR="00BC5620" w:rsidRPr="009A5537" w:rsidRDefault="00BC5620" w:rsidP="00007AFA">
            <w:pPr>
              <w:spacing w:after="120"/>
              <w:jc w:val="both"/>
              <w:rPr>
                <w:rFonts w:ascii="Times New Roman" w:hAnsi="Times New Roman" w:cs="Times New Roman"/>
                <w:sz w:val="25"/>
                <w:szCs w:val="25"/>
                <w:lang w:val="lv-LV"/>
              </w:rPr>
            </w:pPr>
            <w:r w:rsidRPr="009A5537">
              <w:rPr>
                <w:rFonts w:ascii="Times New Roman" w:hAnsi="Times New Roman" w:cs="Times New Roman"/>
                <w:sz w:val="25"/>
                <w:szCs w:val="25"/>
                <w:lang w:val="lv-LV"/>
              </w:rPr>
              <w:t xml:space="preserve">Piesardzība ir skaidrojama arī ar sagaidāmo apgrūtināto piekļuvi eksporta tirgiem un to ka tuvākajā nākotnē eksports nebūs galvenais virzītājspēks tautsaimniecības attīstības veicināšanā. Ir jāatceras, ka kopš 2012.gada Latvijas valdība izvēlējās riska mīkstināšanas stratēģiju, piešķirot papildu valsts budžeta </w:t>
            </w:r>
            <w:proofErr w:type="spellStart"/>
            <w:r w:rsidRPr="009A5537">
              <w:rPr>
                <w:rFonts w:ascii="Times New Roman" w:hAnsi="Times New Roman" w:cs="Times New Roman"/>
                <w:sz w:val="25"/>
                <w:szCs w:val="25"/>
                <w:lang w:val="lv-LV"/>
              </w:rPr>
              <w:t>visrssaistības</w:t>
            </w:r>
            <w:proofErr w:type="spellEnd"/>
            <w:r w:rsidRPr="009A5537">
              <w:rPr>
                <w:rFonts w:ascii="Times New Roman" w:hAnsi="Times New Roman" w:cs="Times New Roman"/>
                <w:sz w:val="25"/>
                <w:szCs w:val="25"/>
                <w:lang w:val="lv-LV"/>
              </w:rPr>
              <w:t xml:space="preserve"> stratēģiski vissvarīgākajiem pasākumiem/jomām un kuri būtiski ietekmē ekonomikas uzplaukumu, īpaši uzņēmējdarbības attīstības un ar to saistītās infrastruktūras atbalstam, lai iegūtu iespējas jaunu darbavietu radīšanai. Neskatoties uz līdz šim veiktajām darbībām, piemēram, 2.1.2.4.aktivitātes “Augstas pievienotās vērtības investīcijas” 4.kārtas ietvaros (par ko arī tika ziņots ES fondu Uzraudzības komitejā), situācija ir daudz sliktāka nekā gaidīts. Turklāt, prognozējot tālākos darbības scenārijus, ir jāatceras, ka ekonomiskās krīzes laikā (2008.-2010.gadā) bija vērojamas būtiskas problēmas projektu ieviešanā, tika pārtraukti līgumi. Šoreiz mēs varētu piedzīvot tādu pašu scenāriju, ja 60% projektu tiks pārtraukti galvenajos uz uzņēmējdarbību vērstajos pasākumos.</w:t>
            </w:r>
          </w:p>
          <w:p w14:paraId="7F0A5AFE" w14:textId="55A27E29" w:rsidR="00BC5620" w:rsidRPr="009A5537" w:rsidRDefault="00BC5620" w:rsidP="00007AFA">
            <w:pPr>
              <w:spacing w:after="120"/>
              <w:jc w:val="both"/>
              <w:rPr>
                <w:rFonts w:ascii="Times New Roman" w:hAnsi="Times New Roman" w:cs="Times New Roman"/>
                <w:sz w:val="25"/>
                <w:szCs w:val="25"/>
                <w:lang w:val="lv-LV"/>
              </w:rPr>
            </w:pPr>
            <w:r w:rsidRPr="009A5537">
              <w:rPr>
                <w:rFonts w:ascii="Times New Roman" w:hAnsi="Times New Roman" w:cs="Times New Roman"/>
                <w:sz w:val="25"/>
                <w:szCs w:val="25"/>
                <w:lang w:val="lv-LV"/>
              </w:rPr>
              <w:t xml:space="preserve">Finanšu ministrijas kā ES struktūrfondu un Kohēzijas fonda (turpmāk – ES fondi) vadošās iestādes (turpmāk – vadošā iestāde) aprēķini liecina, ka augstākminēto risku rezultātā ir apdraudēta n+2 principa īstenošana darbības programmas “Uzņēmējdarbība un inovācijas” ietvaros. Proti, pastāv risks, ka 2014.gadā plānotie deklarējamie maksājumi netiks veikti nepieciešamajā apjomā (lai izpildītu n+2 saistības 2014.gadā EK deklarējamam apjomam darbības programmā “Uzņēmējdarbība un inovācijas” jāsasniedz vēl vismaz 90 milj. </w:t>
            </w:r>
            <w:r w:rsidRPr="009A5537">
              <w:rPr>
                <w:rFonts w:ascii="Times New Roman" w:hAnsi="Times New Roman" w:cs="Times New Roman"/>
                <w:i/>
                <w:sz w:val="25"/>
                <w:szCs w:val="25"/>
                <w:lang w:val="lv-LV"/>
              </w:rPr>
              <w:t>euro</w:t>
            </w:r>
            <w:r w:rsidRPr="009A5537">
              <w:rPr>
                <w:rFonts w:ascii="Times New Roman" w:hAnsi="Times New Roman" w:cs="Times New Roman"/>
                <w:sz w:val="25"/>
                <w:szCs w:val="25"/>
                <w:lang w:val="lv-LV"/>
              </w:rPr>
              <w:t>)  un savlaicīgi, lai tos paspētu iekļaut izdevumu deklarāci</w:t>
            </w:r>
            <w:r w:rsidR="00B02416" w:rsidRPr="009A5537">
              <w:rPr>
                <w:rFonts w:ascii="Times New Roman" w:hAnsi="Times New Roman" w:cs="Times New Roman"/>
                <w:sz w:val="25"/>
                <w:szCs w:val="25"/>
                <w:lang w:val="lv-LV"/>
              </w:rPr>
              <w:t>jā EK līdz š.g. novembra beigām</w:t>
            </w:r>
            <w:r w:rsidRPr="009A5537">
              <w:rPr>
                <w:rFonts w:ascii="Times New Roman" w:hAnsi="Times New Roman" w:cs="Times New Roman"/>
                <w:sz w:val="25"/>
                <w:szCs w:val="25"/>
                <w:lang w:val="lv-LV"/>
              </w:rPr>
              <w:t xml:space="preserve">. </w:t>
            </w:r>
          </w:p>
          <w:p w14:paraId="1C0E8384" w14:textId="55CED4C4" w:rsidR="00BC5620" w:rsidRPr="009A5537" w:rsidRDefault="00BC5620" w:rsidP="00007AFA">
            <w:pPr>
              <w:spacing w:after="120"/>
              <w:jc w:val="both"/>
              <w:rPr>
                <w:rFonts w:ascii="Times New Roman" w:hAnsi="Times New Roman" w:cs="Times New Roman"/>
                <w:b/>
                <w:sz w:val="25"/>
                <w:szCs w:val="25"/>
                <w:lang w:val="lv-LV"/>
              </w:rPr>
            </w:pPr>
            <w:r w:rsidRPr="009A5537">
              <w:rPr>
                <w:rFonts w:ascii="Times New Roman" w:hAnsi="Times New Roman" w:cs="Times New Roman"/>
                <w:b/>
                <w:sz w:val="25"/>
                <w:szCs w:val="25"/>
                <w:lang w:val="lv-LV"/>
              </w:rPr>
              <w:t xml:space="preserve">Steidzami nerisinot problēmu, n+2 princips 2014.gadā varētu netikt sasniegts par aptuveni  </w:t>
            </w:r>
            <w:r w:rsidRPr="009A5537">
              <w:rPr>
                <w:rFonts w:ascii="Times New Roman" w:hAnsi="Times New Roman" w:cs="Times New Roman"/>
                <w:b/>
                <w:sz w:val="25"/>
                <w:szCs w:val="25"/>
                <w:u w:val="single"/>
                <w:lang w:val="lv-LV"/>
              </w:rPr>
              <w:t xml:space="preserve">30 milj. </w:t>
            </w:r>
            <w:r w:rsidRPr="009A5537">
              <w:rPr>
                <w:rFonts w:ascii="Times New Roman" w:hAnsi="Times New Roman" w:cs="Times New Roman"/>
                <w:b/>
                <w:i/>
                <w:sz w:val="25"/>
                <w:szCs w:val="25"/>
                <w:u w:val="single"/>
                <w:lang w:val="lv-LV"/>
              </w:rPr>
              <w:t>euro</w:t>
            </w:r>
            <w:r w:rsidRPr="009A5537">
              <w:rPr>
                <w:rFonts w:ascii="Times New Roman" w:hAnsi="Times New Roman" w:cs="Times New Roman"/>
                <w:b/>
                <w:sz w:val="25"/>
                <w:szCs w:val="25"/>
                <w:u w:val="single"/>
                <w:lang w:val="lv-LV"/>
              </w:rPr>
              <w:t>, kas faktiski nozīmē ES fondu finansējuma zaudējumu.</w:t>
            </w:r>
          </w:p>
          <w:p w14:paraId="45B1DBD4" w14:textId="7AC5564A" w:rsidR="00BC5620" w:rsidRPr="009A5537" w:rsidRDefault="00BC5620" w:rsidP="00007AFA">
            <w:pPr>
              <w:spacing w:after="120"/>
              <w:jc w:val="both"/>
              <w:rPr>
                <w:rFonts w:ascii="Times New Roman" w:hAnsi="Times New Roman" w:cs="Times New Roman"/>
                <w:b/>
                <w:sz w:val="25"/>
                <w:szCs w:val="25"/>
                <w:lang w:val="lv-LV"/>
              </w:rPr>
            </w:pPr>
            <w:r w:rsidRPr="009A5537">
              <w:rPr>
                <w:rFonts w:ascii="Times New Roman" w:hAnsi="Times New Roman" w:cs="Times New Roman"/>
                <w:b/>
                <w:sz w:val="25"/>
                <w:szCs w:val="25"/>
                <w:lang w:val="lv-LV"/>
              </w:rPr>
              <w:t xml:space="preserve">Vēršam uzmanību, ka arī </w:t>
            </w:r>
            <w:r w:rsidRPr="009A5537">
              <w:rPr>
                <w:rFonts w:ascii="Times New Roman" w:hAnsi="Times New Roman" w:cs="Times New Roman"/>
                <w:b/>
                <w:sz w:val="25"/>
                <w:szCs w:val="25"/>
                <w:u w:val="single"/>
                <w:lang w:val="lv-LV"/>
              </w:rPr>
              <w:t>EK</w:t>
            </w:r>
            <w:r w:rsidRPr="009A5537">
              <w:rPr>
                <w:rFonts w:ascii="Times New Roman" w:hAnsi="Times New Roman" w:cs="Times New Roman"/>
                <w:b/>
                <w:sz w:val="25"/>
                <w:szCs w:val="25"/>
                <w:lang w:val="lv-LV"/>
              </w:rPr>
              <w:t xml:space="preserve"> Latvijai š.g. 31.oktobrī ir nosūtījusi vēstuli (Nr.(2014)3618351 “</w:t>
            </w:r>
            <w:proofErr w:type="spellStart"/>
            <w:r w:rsidRPr="009A5537">
              <w:rPr>
                <w:rFonts w:ascii="Times New Roman" w:hAnsi="Times New Roman" w:cs="Times New Roman"/>
                <w:b/>
                <w:sz w:val="25"/>
                <w:szCs w:val="25"/>
                <w:lang w:val="lv-LV"/>
              </w:rPr>
              <w:t>Automatic</w:t>
            </w:r>
            <w:proofErr w:type="spellEnd"/>
            <w:r w:rsidRPr="009A5537">
              <w:rPr>
                <w:rFonts w:ascii="Times New Roman" w:hAnsi="Times New Roman" w:cs="Times New Roman"/>
                <w:b/>
                <w:sz w:val="25"/>
                <w:szCs w:val="25"/>
                <w:lang w:val="lv-LV"/>
              </w:rPr>
              <w:t xml:space="preserve"> </w:t>
            </w:r>
            <w:proofErr w:type="spellStart"/>
            <w:r w:rsidRPr="009A5537">
              <w:rPr>
                <w:rFonts w:ascii="Times New Roman" w:hAnsi="Times New Roman" w:cs="Times New Roman"/>
                <w:b/>
                <w:sz w:val="25"/>
                <w:szCs w:val="25"/>
                <w:lang w:val="lv-LV"/>
              </w:rPr>
              <w:lastRenderedPageBreak/>
              <w:t>Decommitment</w:t>
            </w:r>
            <w:proofErr w:type="spellEnd"/>
            <w:r w:rsidRPr="009A5537">
              <w:rPr>
                <w:rFonts w:ascii="Times New Roman" w:hAnsi="Times New Roman" w:cs="Times New Roman"/>
                <w:b/>
                <w:sz w:val="25"/>
                <w:szCs w:val="25"/>
                <w:lang w:val="lv-LV"/>
              </w:rPr>
              <w:t xml:space="preserve"> N+2/3 - </w:t>
            </w:r>
            <w:proofErr w:type="spellStart"/>
            <w:r w:rsidRPr="009A5537">
              <w:rPr>
                <w:rFonts w:ascii="Times New Roman" w:hAnsi="Times New Roman" w:cs="Times New Roman"/>
                <w:b/>
                <w:sz w:val="25"/>
                <w:szCs w:val="25"/>
                <w:lang w:val="lv-LV"/>
              </w:rPr>
              <w:t>warning</w:t>
            </w:r>
            <w:proofErr w:type="spellEnd"/>
            <w:r w:rsidRPr="009A5537">
              <w:rPr>
                <w:rFonts w:ascii="Times New Roman" w:hAnsi="Times New Roman" w:cs="Times New Roman"/>
                <w:b/>
                <w:sz w:val="25"/>
                <w:szCs w:val="25"/>
                <w:lang w:val="lv-LV"/>
              </w:rPr>
              <w:t xml:space="preserve"> </w:t>
            </w:r>
            <w:proofErr w:type="spellStart"/>
            <w:r w:rsidRPr="009A5537">
              <w:rPr>
                <w:rFonts w:ascii="Times New Roman" w:hAnsi="Times New Roman" w:cs="Times New Roman"/>
                <w:b/>
                <w:sz w:val="25"/>
                <w:szCs w:val="25"/>
                <w:lang w:val="lv-LV"/>
              </w:rPr>
              <w:t>letter</w:t>
            </w:r>
            <w:proofErr w:type="spellEnd"/>
            <w:r w:rsidRPr="009A5537">
              <w:rPr>
                <w:rFonts w:ascii="Times New Roman" w:hAnsi="Times New Roman" w:cs="Times New Roman"/>
                <w:b/>
                <w:sz w:val="25"/>
                <w:szCs w:val="25"/>
                <w:lang w:val="lv-LV"/>
              </w:rPr>
              <w:t xml:space="preserve"> (Art. 97 </w:t>
            </w:r>
            <w:proofErr w:type="spellStart"/>
            <w:r w:rsidRPr="009A5537">
              <w:rPr>
                <w:rFonts w:ascii="Times New Roman" w:hAnsi="Times New Roman" w:cs="Times New Roman"/>
                <w:b/>
                <w:sz w:val="25"/>
                <w:szCs w:val="25"/>
                <w:lang w:val="lv-LV"/>
              </w:rPr>
              <w:t>of</w:t>
            </w:r>
            <w:proofErr w:type="spellEnd"/>
            <w:r w:rsidRPr="009A5537">
              <w:rPr>
                <w:rFonts w:ascii="Times New Roman" w:hAnsi="Times New Roman" w:cs="Times New Roman"/>
                <w:b/>
                <w:sz w:val="25"/>
                <w:szCs w:val="25"/>
                <w:lang w:val="lv-LV"/>
              </w:rPr>
              <w:t xml:space="preserve"> CR1083/2006)), ar ko tā </w:t>
            </w:r>
            <w:r w:rsidRPr="009A5537">
              <w:rPr>
                <w:rFonts w:ascii="Times New Roman" w:hAnsi="Times New Roman" w:cs="Times New Roman"/>
                <w:b/>
                <w:sz w:val="25"/>
                <w:szCs w:val="25"/>
                <w:u w:val="single"/>
                <w:lang w:val="lv-LV"/>
              </w:rPr>
              <w:t>brīdina</w:t>
            </w:r>
            <w:r w:rsidRPr="009A5537">
              <w:rPr>
                <w:rFonts w:ascii="Times New Roman" w:hAnsi="Times New Roman" w:cs="Times New Roman"/>
                <w:b/>
                <w:sz w:val="25"/>
                <w:szCs w:val="25"/>
                <w:lang w:val="lv-LV"/>
              </w:rPr>
              <w:t>, ka Eiropas Reģionālās attīstības fonda (turpmāk - ERAF) finansējuma zaudēšanas risks darbības programmā “Uzņēmējdarbība un inovācijas” ir ļoti augsts.</w:t>
            </w:r>
          </w:p>
          <w:p w14:paraId="1CD8F2C9" w14:textId="68E6F66D" w:rsidR="00AF643B" w:rsidRPr="009A5537" w:rsidRDefault="00AF643B" w:rsidP="00007AFA">
            <w:pPr>
              <w:spacing w:after="120"/>
              <w:jc w:val="both"/>
              <w:rPr>
                <w:rFonts w:ascii="Times New Roman" w:hAnsi="Times New Roman" w:cs="Times New Roman"/>
                <w:color w:val="000000" w:themeColor="text1"/>
                <w:sz w:val="25"/>
                <w:szCs w:val="25"/>
                <w:lang w:val="lv-LV"/>
              </w:rPr>
            </w:pPr>
            <w:r w:rsidRPr="009A5537">
              <w:rPr>
                <w:rFonts w:ascii="Times New Roman" w:hAnsi="Times New Roman" w:cs="Times New Roman"/>
                <w:sz w:val="25"/>
                <w:szCs w:val="25"/>
                <w:lang w:val="lv-LV"/>
              </w:rPr>
              <w:t xml:space="preserve">Komisijas lēmuma </w:t>
            </w:r>
            <w:proofErr w:type="spellStart"/>
            <w:r w:rsidRPr="009A5537">
              <w:rPr>
                <w:rFonts w:ascii="Times New Roman" w:hAnsi="Times New Roman" w:cs="Times New Roman"/>
                <w:sz w:val="25"/>
                <w:szCs w:val="25"/>
                <w:lang w:val="lv-LV"/>
              </w:rPr>
              <w:t>Nr.C</w:t>
            </w:r>
            <w:proofErr w:type="spellEnd"/>
            <w:r w:rsidRPr="009A5537">
              <w:rPr>
                <w:rFonts w:ascii="Times New Roman" w:hAnsi="Times New Roman" w:cs="Times New Roman"/>
                <w:sz w:val="25"/>
                <w:szCs w:val="25"/>
                <w:lang w:val="lv-LV"/>
              </w:rPr>
              <w:t xml:space="preserve">(2013)1573, ar ko apstiprina pamatnostādnes par darbības programmu slēgšanu, kuras pieņemtas atbalsta saņemšanai no Eiropas Reģionālā attīstības fonda, Eiropas Sociālā fonda un Kohēzijas fonda (2007.-2013.gada periodam), pielikuma 2.2.punktu paredz, ka dalībvalstīm priekšlikumi pārdalēm starp darbības programmām jāiesniedz </w:t>
            </w:r>
            <w:r w:rsidR="004A16ED" w:rsidRPr="009A5537">
              <w:rPr>
                <w:rFonts w:ascii="Times New Roman" w:hAnsi="Times New Roman" w:cs="Times New Roman"/>
                <w:sz w:val="25"/>
                <w:szCs w:val="25"/>
                <w:lang w:val="lv-LV"/>
              </w:rPr>
              <w:t>EK</w:t>
            </w:r>
            <w:r w:rsidRPr="009A5537">
              <w:rPr>
                <w:rFonts w:ascii="Times New Roman" w:hAnsi="Times New Roman" w:cs="Times New Roman"/>
                <w:sz w:val="25"/>
                <w:szCs w:val="25"/>
                <w:lang w:val="lv-LV"/>
              </w:rPr>
              <w:t xml:space="preserve"> līdz 2013.gada 30.septembrim</w:t>
            </w:r>
            <w:r w:rsidRPr="009A5537">
              <w:rPr>
                <w:rFonts w:ascii="Times New Roman" w:hAnsi="Times New Roman"/>
                <w:color w:val="000000" w:themeColor="text1"/>
                <w:sz w:val="25"/>
                <w:szCs w:val="25"/>
                <w:lang w:val="lv-LV"/>
              </w:rPr>
              <w:t>, līdz ar to Eiropas Reģionālās attīstības fonda (turpmāk – ERAF</w:t>
            </w:r>
            <w:r w:rsidRPr="009A5537">
              <w:rPr>
                <w:rFonts w:ascii="Times New Roman" w:hAnsi="Times New Roman" w:cs="Times New Roman"/>
                <w:color w:val="000000" w:themeColor="text1"/>
                <w:sz w:val="25"/>
                <w:szCs w:val="25"/>
                <w:lang w:val="lv-LV"/>
              </w:rPr>
              <w:t xml:space="preserve">) finansējumu starp darbības programmu “Infrastruktūra un pakalpojumi” un darbības programmu “Uzņēmējdarbība un inovācijas”, kas palīdzētu novērst risku, ņemot vērā finansējuma apjomu, ko plānots šogad deklarēt darbības programmas “Infrastruktūra un pakalpojumi” ietvaros, vairs </w:t>
            </w:r>
            <w:r w:rsidRPr="009A5537">
              <w:rPr>
                <w:rFonts w:ascii="Times New Roman" w:hAnsi="Times New Roman"/>
                <w:color w:val="000000" w:themeColor="text1"/>
                <w:sz w:val="25"/>
                <w:szCs w:val="25"/>
                <w:lang w:val="lv-LV"/>
              </w:rPr>
              <w:t>nav iespējams pārdalīt</w:t>
            </w:r>
            <w:r w:rsidRPr="009A5537">
              <w:rPr>
                <w:rFonts w:ascii="Times New Roman" w:hAnsi="Times New Roman" w:cs="Times New Roman"/>
                <w:color w:val="000000" w:themeColor="text1"/>
                <w:sz w:val="25"/>
                <w:szCs w:val="25"/>
                <w:lang w:val="lv-LV"/>
              </w:rPr>
              <w:t>.</w:t>
            </w:r>
          </w:p>
          <w:p w14:paraId="368EE6A4" w14:textId="3A4132D4" w:rsidR="00AF643B" w:rsidRPr="009A5537" w:rsidRDefault="00AF643B" w:rsidP="00007AFA">
            <w:pPr>
              <w:spacing w:after="120"/>
              <w:jc w:val="both"/>
              <w:rPr>
                <w:rFonts w:ascii="Times New Roman" w:hAnsi="Times New Roman" w:cs="Times New Roman"/>
                <w:sz w:val="25"/>
                <w:szCs w:val="25"/>
                <w:lang w:val="lv-LV"/>
              </w:rPr>
            </w:pPr>
            <w:r w:rsidRPr="009A5537">
              <w:rPr>
                <w:rFonts w:ascii="Times New Roman" w:hAnsi="Times New Roman" w:cs="Times New Roman"/>
                <w:sz w:val="25"/>
                <w:szCs w:val="25"/>
                <w:lang w:val="lv-LV"/>
              </w:rPr>
              <w:t xml:space="preserve">Līdz ar to </w:t>
            </w:r>
            <w:r w:rsidR="0057647D" w:rsidRPr="009A5537">
              <w:rPr>
                <w:rFonts w:ascii="Times New Roman" w:hAnsi="Times New Roman" w:cs="Times New Roman"/>
                <w:sz w:val="25"/>
                <w:szCs w:val="25"/>
                <w:lang w:val="lv-LV"/>
              </w:rPr>
              <w:t>FM</w:t>
            </w:r>
            <w:r w:rsidRPr="009A5537">
              <w:rPr>
                <w:rFonts w:ascii="Times New Roman" w:hAnsi="Times New Roman" w:cs="Times New Roman"/>
                <w:sz w:val="25"/>
                <w:szCs w:val="25"/>
                <w:lang w:val="lv-LV"/>
              </w:rPr>
              <w:t xml:space="preserve"> ir izstrādājusi šādu darbību scenāriju:</w:t>
            </w:r>
          </w:p>
          <w:p w14:paraId="2332FF3E" w14:textId="325115A6" w:rsidR="00AF643B" w:rsidRPr="009A5537" w:rsidRDefault="00AF643B" w:rsidP="00007AFA">
            <w:pPr>
              <w:pStyle w:val="ListParagraph"/>
              <w:numPr>
                <w:ilvl w:val="0"/>
                <w:numId w:val="27"/>
              </w:numPr>
              <w:spacing w:after="120" w:line="252" w:lineRule="auto"/>
              <w:jc w:val="both"/>
              <w:rPr>
                <w:rFonts w:ascii="Times New Roman" w:hAnsi="Times New Roman"/>
                <w:sz w:val="25"/>
                <w:szCs w:val="25"/>
                <w:lang w:val="lv-LV"/>
              </w:rPr>
            </w:pPr>
            <w:r w:rsidRPr="009A5537">
              <w:rPr>
                <w:rFonts w:ascii="Times New Roman" w:hAnsi="Times New Roman"/>
                <w:sz w:val="25"/>
                <w:szCs w:val="25"/>
                <w:lang w:val="lv-LV"/>
              </w:rPr>
              <w:t>Tiks izstrādāta jauna - 2.3.2.2.3.apakšaktivitāte “Atbalsts ieguldījumiem infrastruktūrā uzņēmējdarbības attīstībai”</w:t>
            </w:r>
            <w:r w:rsidR="007C75FE" w:rsidRPr="009A5537">
              <w:rPr>
                <w:rFonts w:ascii="Times New Roman" w:hAnsi="Times New Roman"/>
                <w:sz w:val="25"/>
                <w:szCs w:val="25"/>
                <w:lang w:val="lv-LV"/>
              </w:rPr>
              <w:t xml:space="preserve"> (turpmāk – 2.3.2.2.3.apakšaktivitāte)</w:t>
            </w:r>
            <w:r w:rsidRPr="009A5537">
              <w:rPr>
                <w:rFonts w:ascii="Times New Roman" w:hAnsi="Times New Roman"/>
                <w:sz w:val="25"/>
                <w:szCs w:val="25"/>
                <w:lang w:val="lv-LV"/>
              </w:rPr>
              <w:t xml:space="preserve">. Jaunās </w:t>
            </w:r>
            <w:proofErr w:type="spellStart"/>
            <w:r w:rsidRPr="009A5537">
              <w:rPr>
                <w:rFonts w:ascii="Times New Roman" w:hAnsi="Times New Roman"/>
                <w:sz w:val="25"/>
                <w:szCs w:val="25"/>
                <w:lang w:val="lv-LV"/>
              </w:rPr>
              <w:t>apakšaktivitātes</w:t>
            </w:r>
            <w:proofErr w:type="spellEnd"/>
            <w:r w:rsidRPr="009A5537">
              <w:rPr>
                <w:rFonts w:ascii="Times New Roman" w:hAnsi="Times New Roman"/>
                <w:sz w:val="25"/>
                <w:szCs w:val="25"/>
                <w:lang w:val="lv-LV"/>
              </w:rPr>
              <w:t xml:space="preserve"> mērķis ir veicināt valsts līdzsvarotu attīstību, veicot ieguldījumus uzņēmējdarbības attīstību un konkurētspēju sekmējošā </w:t>
            </w:r>
            <w:r w:rsidR="00827E9E" w:rsidRPr="009A5537">
              <w:rPr>
                <w:rFonts w:ascii="Times New Roman" w:hAnsi="Times New Roman"/>
                <w:sz w:val="25"/>
                <w:szCs w:val="25"/>
                <w:lang w:val="lv-LV"/>
              </w:rPr>
              <w:t xml:space="preserve">publiskā </w:t>
            </w:r>
            <w:r w:rsidRPr="009A5537">
              <w:rPr>
                <w:rFonts w:ascii="Times New Roman" w:hAnsi="Times New Roman"/>
                <w:sz w:val="25"/>
                <w:szCs w:val="25"/>
                <w:lang w:val="lv-LV"/>
              </w:rPr>
              <w:t xml:space="preserve">infrastruktūrā saskaņā ar integrētām pašvaldību attīstības programmām; </w:t>
            </w:r>
          </w:p>
          <w:p w14:paraId="7676A2F2" w14:textId="7247B153" w:rsidR="00AF643B" w:rsidRPr="009A5537" w:rsidRDefault="00AF643B" w:rsidP="00007AFA">
            <w:pPr>
              <w:pStyle w:val="ListParagraph"/>
              <w:numPr>
                <w:ilvl w:val="0"/>
                <w:numId w:val="27"/>
              </w:numPr>
              <w:spacing w:after="120" w:line="252" w:lineRule="auto"/>
              <w:jc w:val="both"/>
              <w:rPr>
                <w:rFonts w:ascii="Times New Roman" w:hAnsi="Times New Roman"/>
                <w:sz w:val="25"/>
                <w:szCs w:val="25"/>
                <w:lang w:val="lv-LV"/>
              </w:rPr>
            </w:pPr>
            <w:r w:rsidRPr="009A5537">
              <w:rPr>
                <w:rFonts w:ascii="Times New Roman" w:hAnsi="Times New Roman"/>
                <w:sz w:val="25"/>
                <w:szCs w:val="25"/>
                <w:lang w:val="lv-LV"/>
              </w:rPr>
              <w:t xml:space="preserve">Tiks izstrādāti MK noteikumi par jaunās aktivitātes īstenošanu, par pamatu ņemot MK 2010.gada 14.septembra noteikumus Nr.843 “Noteikumi par darbības programmas “Infrastruktūra un pakalpojumi” papildinājuma 3.6.2.1.aktivitāti “Atbalsts novadu pašvaldību kompleksai attīstībai”” un </w:t>
            </w:r>
            <w:r w:rsidR="003518F6" w:rsidRPr="009A5537">
              <w:rPr>
                <w:rFonts w:ascii="Times New Roman" w:hAnsi="Times New Roman"/>
                <w:sz w:val="25"/>
                <w:szCs w:val="25"/>
                <w:lang w:val="lv-LV"/>
              </w:rPr>
              <w:t>MK</w:t>
            </w:r>
            <w:r w:rsidRPr="009A5537">
              <w:rPr>
                <w:rFonts w:ascii="Times New Roman" w:hAnsi="Times New Roman"/>
                <w:sz w:val="25"/>
                <w:szCs w:val="25"/>
                <w:lang w:val="lv-LV"/>
              </w:rPr>
              <w:t xml:space="preserve"> 2010.gada 26.janvāra noteikumus Nr.91 “Noteikumi par darbības programmas „Infrastruktūra un pakalpojumi” papildinājuma 3.6.1.1.aktivitāti „Nacionālas un reģionālas nozīmes attīstības centru izaugsmes veicināšana līdzsvarotai valsts attīstībai””, kā arī projektu iesniegumu atlases ietvaros iesniegto projektu vērtēšanas kritēriji;</w:t>
            </w:r>
          </w:p>
          <w:p w14:paraId="40560B4F" w14:textId="0B84FA27" w:rsidR="00AF643B" w:rsidRPr="009A5537" w:rsidRDefault="00AF643B" w:rsidP="00007AFA">
            <w:pPr>
              <w:pStyle w:val="ListParagraph"/>
              <w:numPr>
                <w:ilvl w:val="0"/>
                <w:numId w:val="27"/>
              </w:numPr>
              <w:spacing w:after="120" w:line="252" w:lineRule="auto"/>
              <w:jc w:val="both"/>
              <w:rPr>
                <w:rFonts w:ascii="Times New Roman" w:hAnsi="Times New Roman"/>
                <w:sz w:val="25"/>
                <w:szCs w:val="25"/>
                <w:lang w:val="lv-LV"/>
              </w:rPr>
            </w:pPr>
            <w:r w:rsidRPr="009A5537">
              <w:rPr>
                <w:rFonts w:ascii="Times New Roman" w:hAnsi="Times New Roman"/>
                <w:sz w:val="25"/>
                <w:szCs w:val="25"/>
                <w:lang w:val="lv-LV"/>
              </w:rPr>
              <w:t>Pēc MK noteikumu un kritēriju apstiprināšanas tiks organizēta 3.6.2.1.aktivitātes “Atbalsts novadu pašvaldību kompleksai attīstībai”</w:t>
            </w:r>
            <w:r w:rsidR="00B07BE0" w:rsidRPr="009A5537">
              <w:rPr>
                <w:rFonts w:ascii="Times New Roman" w:hAnsi="Times New Roman"/>
                <w:sz w:val="25"/>
                <w:szCs w:val="25"/>
                <w:lang w:val="lv-LV"/>
              </w:rPr>
              <w:t xml:space="preserve"> (turpmāk – 3.6.2.1.aktivitāte)</w:t>
            </w:r>
            <w:r w:rsidRPr="009A5537">
              <w:rPr>
                <w:rFonts w:ascii="Times New Roman" w:hAnsi="Times New Roman"/>
                <w:sz w:val="25"/>
                <w:szCs w:val="25"/>
                <w:lang w:val="lv-LV"/>
              </w:rPr>
              <w:t xml:space="preserve"> un 3.6.1.1.aktivitātes “Nacionālas un reģionālas nozīmes attīstības centru izaugsmes veicināšana līdzsvarotai valsts attīstībai”</w:t>
            </w:r>
            <w:r w:rsidR="00B07BE0" w:rsidRPr="009A5537">
              <w:rPr>
                <w:rFonts w:ascii="Times New Roman" w:hAnsi="Times New Roman"/>
                <w:sz w:val="25"/>
                <w:szCs w:val="25"/>
                <w:lang w:val="lv-LV"/>
              </w:rPr>
              <w:t xml:space="preserve"> (turpmāk – </w:t>
            </w:r>
            <w:r w:rsidR="00B07BE0" w:rsidRPr="009A5537">
              <w:rPr>
                <w:rFonts w:ascii="Times New Roman" w:hAnsi="Times New Roman"/>
                <w:sz w:val="25"/>
                <w:szCs w:val="25"/>
                <w:lang w:val="lv-LV"/>
              </w:rPr>
              <w:lastRenderedPageBreak/>
              <w:t>3.6.1.1.aktivitāte)</w:t>
            </w:r>
            <w:r w:rsidRPr="009A5537">
              <w:rPr>
                <w:rFonts w:ascii="Times New Roman" w:hAnsi="Times New Roman"/>
                <w:sz w:val="25"/>
                <w:szCs w:val="25"/>
                <w:lang w:val="lv-LV"/>
              </w:rPr>
              <w:t xml:space="preserve"> ietvaros iesniegto projektu pārbaude atbilstoši izstrādātajai kritēriju kopai. Tie projekti, kas atbildīs kritērijiem, tiks pārcelti uz 2.3.2.2.3.apakšaktivitāti. </w:t>
            </w:r>
            <w:r w:rsidR="00936938" w:rsidRPr="009A5537">
              <w:rPr>
                <w:rFonts w:ascii="Times New Roman" w:hAnsi="Times New Roman"/>
                <w:sz w:val="25"/>
                <w:szCs w:val="25"/>
                <w:lang w:val="lv-LV"/>
              </w:rPr>
              <w:t>Projekti tiks pārcelti to aktuālākajā redakcijā (mainīsies tehniskas lietas – aktivitāte, kuras ietvaros projekts tiks īstenots, projekta numurs, vizuālās identitātes prasības (izmaksas, kas radīsies, lai nodrošinātu atbilstību obligātajām vizuālās identitātes prasībām, tiks segtas no publiskajiem resursiem), ja tiek norādīts projekta numurs</w:t>
            </w:r>
            <w:r w:rsidRPr="009A5537">
              <w:rPr>
                <w:rFonts w:ascii="Times New Roman" w:hAnsi="Times New Roman"/>
                <w:sz w:val="25"/>
                <w:szCs w:val="25"/>
                <w:lang w:val="lv-LV"/>
              </w:rPr>
              <w:t>, kā arī būs nepieciešams veikt izmaiņas Eiropas Savienības struktūrfondu un Kohēzijas fonda vadības informācijas sistēmā);</w:t>
            </w:r>
          </w:p>
          <w:p w14:paraId="3FFCB708" w14:textId="436AB3D7" w:rsidR="00AF643B" w:rsidRPr="009A5537" w:rsidRDefault="00AF643B" w:rsidP="00007AFA">
            <w:pPr>
              <w:pStyle w:val="ListParagraph"/>
              <w:numPr>
                <w:ilvl w:val="0"/>
                <w:numId w:val="27"/>
              </w:numPr>
              <w:spacing w:after="120"/>
              <w:contextualSpacing w:val="0"/>
              <w:jc w:val="both"/>
              <w:rPr>
                <w:rFonts w:ascii="Times New Roman" w:hAnsi="Times New Roman"/>
                <w:sz w:val="25"/>
                <w:szCs w:val="25"/>
                <w:lang w:val="lv-LV"/>
              </w:rPr>
            </w:pPr>
            <w:r w:rsidRPr="009A5537">
              <w:rPr>
                <w:rFonts w:ascii="Times New Roman" w:hAnsi="Times New Roman"/>
                <w:sz w:val="25"/>
                <w:szCs w:val="25"/>
                <w:lang w:val="lv-LV"/>
              </w:rPr>
              <w:t xml:space="preserve">Lai izveidotu jaunu aktivitāti darbības programmas “Uzņēmējdarbība un inovācijas” ietvaros, tai ir nepieciešams paredzēt ES fondu finansējumu. Tā kā atbilstoši iepriekšminētajam EK lēmumam no darbības programmas “Infrastruktūra un pakalpojumi” nav iespējams pārdalīt ES fondu finansējuma piešķīrumu, kā arī projekti, ko plānots pārcelt no darbības programmas “Infrastruktūra un pakalpojumi” uz darbības programmu “Uzņēmējdarbība un inovācijas” tiek finansēti no valsts budžeta </w:t>
            </w:r>
            <w:proofErr w:type="spellStart"/>
            <w:r w:rsidRPr="009A5537">
              <w:rPr>
                <w:rFonts w:ascii="Times New Roman" w:hAnsi="Times New Roman"/>
                <w:sz w:val="25"/>
                <w:szCs w:val="25"/>
                <w:lang w:val="lv-LV"/>
              </w:rPr>
              <w:t>virssaistībām</w:t>
            </w:r>
            <w:proofErr w:type="spellEnd"/>
            <w:r w:rsidRPr="009A5537">
              <w:rPr>
                <w:rFonts w:ascii="Times New Roman" w:hAnsi="Times New Roman"/>
                <w:sz w:val="25"/>
                <w:szCs w:val="25"/>
                <w:lang w:val="lv-LV"/>
              </w:rPr>
              <w:t xml:space="preserve">, tāpat, ņemot vērā to, ka jebkādas pārdales starp prioritātēm darbības programmas “Uzņēmējdarbība un inovācijas” ietvaros (piemēram, no aktivitātēm, kuru ietvaros iesniegtajos projektos ir vērojamas vislielākās nobīdes ieviešanas grafikos, projektu īstenošana ir apturēta vai līgumi par to īstenošanu nav noslēgti/ir lauzti, attiecīgi finansējuma pārdale no šīm aktivitātēm būtu pamatota) būtu jāskaņo ar </w:t>
            </w:r>
            <w:r w:rsidR="004A16ED" w:rsidRPr="009A5537">
              <w:rPr>
                <w:rFonts w:ascii="Times New Roman" w:hAnsi="Times New Roman"/>
                <w:sz w:val="25"/>
                <w:szCs w:val="25"/>
                <w:lang w:val="lv-LV"/>
              </w:rPr>
              <w:t>EK</w:t>
            </w:r>
            <w:r w:rsidRPr="009A5537">
              <w:rPr>
                <w:rFonts w:ascii="Times New Roman" w:hAnsi="Times New Roman"/>
                <w:sz w:val="25"/>
                <w:szCs w:val="25"/>
                <w:lang w:val="lv-LV"/>
              </w:rPr>
              <w:t xml:space="preserve">, tika nolemts jautājuma steidzamības dēļ jaunās aktivitātes izveidošanai nepieciešamo ES fondu finansējumu pārdalīt no </w:t>
            </w:r>
            <w:r w:rsidR="00295A5A" w:rsidRPr="009A5537">
              <w:rPr>
                <w:rFonts w:ascii="Times New Roman" w:hAnsi="Times New Roman"/>
                <w:sz w:val="25"/>
                <w:szCs w:val="25"/>
                <w:lang w:val="lv-LV"/>
              </w:rPr>
              <w:t>DPP</w:t>
            </w:r>
            <w:r w:rsidRPr="009A5537">
              <w:rPr>
                <w:rFonts w:ascii="Times New Roman" w:hAnsi="Times New Roman"/>
                <w:sz w:val="25"/>
                <w:szCs w:val="25"/>
                <w:lang w:val="lv-LV"/>
              </w:rPr>
              <w:t xml:space="preserve"> 2.3.2.2.1.apakšaktivitātes „Atbalsts ieguldījumiem mikro, maziem un vidējiem komersantiem īpaši atbalstāmajās teritorijās”” (10 </w:t>
            </w:r>
            <w:r w:rsidRPr="009A5537">
              <w:rPr>
                <w:rFonts w:ascii="Times New Roman" w:hAnsi="Times New Roman"/>
                <w:i/>
                <w:sz w:val="25"/>
                <w:szCs w:val="25"/>
                <w:lang w:val="lv-LV"/>
              </w:rPr>
              <w:t>euro</w:t>
            </w:r>
            <w:r w:rsidRPr="009A5537">
              <w:rPr>
                <w:rFonts w:ascii="Times New Roman" w:hAnsi="Times New Roman"/>
                <w:sz w:val="25"/>
                <w:szCs w:val="25"/>
                <w:lang w:val="lv-LV"/>
              </w:rPr>
              <w:t xml:space="preserve"> apmērā).</w:t>
            </w:r>
          </w:p>
          <w:p w14:paraId="5E4A9F4A" w14:textId="77777777" w:rsidR="00AF643B" w:rsidRPr="009A5537" w:rsidRDefault="00AF643B" w:rsidP="00007AFA">
            <w:pPr>
              <w:spacing w:after="120"/>
              <w:jc w:val="both"/>
              <w:rPr>
                <w:rFonts w:ascii="Times New Roman" w:hAnsi="Times New Roman" w:cs="Times New Roman"/>
                <w:color w:val="000000" w:themeColor="text1"/>
                <w:sz w:val="25"/>
                <w:szCs w:val="25"/>
                <w:lang w:val="lv-LV"/>
              </w:rPr>
            </w:pPr>
            <w:r w:rsidRPr="009A5537">
              <w:rPr>
                <w:rFonts w:ascii="Times New Roman" w:eastAsia="Times New Roman" w:hAnsi="Times New Roman" w:cs="Times New Roman"/>
                <w:bCs/>
                <w:color w:val="000000" w:themeColor="text1"/>
                <w:sz w:val="25"/>
                <w:szCs w:val="25"/>
                <w:lang w:val="lv-LV" w:eastAsia="lv-LV"/>
              </w:rPr>
              <w:t xml:space="preserve">Jaunās aktivitātes mērķis ir </w:t>
            </w:r>
            <w:r w:rsidRPr="009A5537">
              <w:rPr>
                <w:rFonts w:ascii="Times New Roman" w:hAnsi="Times New Roman" w:cs="Times New Roman"/>
                <w:iCs/>
                <w:color w:val="000000" w:themeColor="text1"/>
                <w:sz w:val="25"/>
                <w:szCs w:val="25"/>
                <w:lang w:val="lv-LV"/>
              </w:rPr>
              <w:t>veicināt valsts līdzsvarotu attīstību, veicot ieguldījumus uzņēmējdarbības attīstību un konkurētspēju sekmējošā infrastruktūrā saskaņā ar integrētām pašvaldību attīstības programmām</w:t>
            </w:r>
            <w:r w:rsidRPr="009A5537">
              <w:rPr>
                <w:rFonts w:ascii="Times New Roman" w:hAnsi="Times New Roman" w:cs="Times New Roman"/>
                <w:color w:val="000000" w:themeColor="text1"/>
                <w:sz w:val="25"/>
                <w:szCs w:val="25"/>
                <w:lang w:val="lv-LV"/>
              </w:rPr>
              <w:t>.</w:t>
            </w:r>
          </w:p>
          <w:p w14:paraId="73396E0B" w14:textId="77777777" w:rsidR="008D5497" w:rsidRPr="009A5537" w:rsidRDefault="008D5497" w:rsidP="00007AFA">
            <w:pPr>
              <w:spacing w:after="120"/>
              <w:jc w:val="both"/>
              <w:rPr>
                <w:rFonts w:ascii="Times New Roman" w:hAnsi="Times New Roman"/>
                <w:sz w:val="25"/>
                <w:szCs w:val="25"/>
                <w:lang w:val="lv-LV"/>
              </w:rPr>
            </w:pPr>
            <w:r w:rsidRPr="009A5537">
              <w:rPr>
                <w:rFonts w:ascii="Times New Roman" w:hAnsi="Times New Roman" w:cs="Times New Roman"/>
                <w:sz w:val="25"/>
                <w:szCs w:val="25"/>
                <w:lang w:val="lv-LV" w:eastAsia="lv-LV"/>
              </w:rPr>
              <w:t>MK</w:t>
            </w:r>
            <w:r w:rsidRPr="009A5537">
              <w:rPr>
                <w:rFonts w:ascii="Times New Roman" w:hAnsi="Times New Roman"/>
                <w:sz w:val="25"/>
                <w:szCs w:val="25"/>
                <w:lang w:val="lv-LV"/>
              </w:rPr>
              <w:t xml:space="preserve"> noteikumu projekts nosaka projektu iesniedzējiem izvirzāmās prasības, atbalstāmās darbības, projektu pārbaudes kritērijus, projektu īstenošanas un finansējuma saņemšanas nosacījumus, kā arī atbildīgo iestādi, sadarbības iestādi un to funkcijas u.c.</w:t>
            </w:r>
          </w:p>
          <w:p w14:paraId="45544543" w14:textId="0ED35865" w:rsidR="00AF643B" w:rsidRPr="009A5537" w:rsidRDefault="00AF643B" w:rsidP="00007AFA">
            <w:pPr>
              <w:spacing w:after="120"/>
              <w:jc w:val="both"/>
              <w:rPr>
                <w:rFonts w:ascii="Times New Roman" w:eastAsia="Times New Roman" w:hAnsi="Times New Roman" w:cs="Times New Roman"/>
                <w:bCs/>
                <w:sz w:val="25"/>
                <w:szCs w:val="25"/>
                <w:lang w:val="lv-LV" w:eastAsia="lv-LV"/>
              </w:rPr>
            </w:pPr>
            <w:r w:rsidRPr="009A5537">
              <w:rPr>
                <w:rFonts w:ascii="Times New Roman" w:eastAsia="Times New Roman" w:hAnsi="Times New Roman" w:cs="Times New Roman"/>
                <w:bCs/>
                <w:sz w:val="25"/>
                <w:szCs w:val="25"/>
                <w:lang w:val="lv-LV" w:eastAsia="lv-LV"/>
              </w:rPr>
              <w:lastRenderedPageBreak/>
              <w:t xml:space="preserve">Projekti tiks pārvērtēti atbilstoši </w:t>
            </w:r>
            <w:r w:rsidRPr="009A5537">
              <w:rPr>
                <w:rFonts w:ascii="Times New Roman" w:hAnsi="Times New Roman" w:cs="Times New Roman"/>
                <w:sz w:val="25"/>
                <w:szCs w:val="25"/>
                <w:lang w:val="lv-LV"/>
              </w:rPr>
              <w:t xml:space="preserve">MK noteikumu </w:t>
            </w:r>
            <w:r w:rsidR="0045243C" w:rsidRPr="009A5537">
              <w:rPr>
                <w:rFonts w:ascii="Times New Roman" w:hAnsi="Times New Roman" w:cs="Times New Roman"/>
                <w:sz w:val="25"/>
                <w:szCs w:val="25"/>
                <w:lang w:val="lv-LV"/>
              </w:rPr>
              <w:t xml:space="preserve">projekta </w:t>
            </w:r>
            <w:r w:rsidRPr="009A5537">
              <w:rPr>
                <w:rFonts w:ascii="Times New Roman" w:hAnsi="Times New Roman" w:cs="Times New Roman"/>
                <w:sz w:val="25"/>
                <w:szCs w:val="25"/>
                <w:lang w:val="lv-LV"/>
              </w:rPr>
              <w:t xml:space="preserve">pielikumā pievienotajiem pārbaudes kritērijiem. </w:t>
            </w:r>
            <w:r w:rsidRPr="009A5537">
              <w:rPr>
                <w:rFonts w:ascii="Times New Roman" w:eastAsia="Times New Roman" w:hAnsi="Times New Roman" w:cs="Times New Roman"/>
                <w:bCs/>
                <w:sz w:val="25"/>
                <w:szCs w:val="25"/>
                <w:lang w:val="lv-LV" w:eastAsia="lv-LV"/>
              </w:rPr>
              <w:t xml:space="preserve">Atbilstīgie projekti tiks pārcelti uz darbības programmu “Uzņēmējdarbība un inovācijas”. </w:t>
            </w:r>
            <w:r w:rsidR="00936938" w:rsidRPr="009A5537">
              <w:rPr>
                <w:rFonts w:ascii="Times New Roman" w:eastAsia="Times New Roman" w:hAnsi="Times New Roman" w:cs="Times New Roman"/>
                <w:bCs/>
                <w:sz w:val="25"/>
                <w:szCs w:val="25"/>
                <w:lang w:val="lv-LV" w:eastAsia="lv-LV"/>
              </w:rPr>
              <w:t>Projekti tiks pārcelti to aktuālākajā redakcijā (mainīsies tehniskas lietas – aktivitāte, kuras ietvaros projekts tiks īstenots, projekta numurs, vizuālās identitātes prasības (izmaksas, kas radīsies, lai nodrošinātu atbilstību obligātajām vizuālās identitātes prasībām, tiks segtas no publiskajiem resursiem), ja tiek norādīts projekta numurs</w:t>
            </w:r>
            <w:r w:rsidRPr="009A5537">
              <w:rPr>
                <w:rFonts w:ascii="Times New Roman" w:eastAsia="Times New Roman" w:hAnsi="Times New Roman" w:cs="Times New Roman"/>
                <w:bCs/>
                <w:sz w:val="25"/>
                <w:szCs w:val="25"/>
                <w:lang w:val="lv-LV" w:eastAsia="lv-LV"/>
              </w:rPr>
              <w:t>, kā arī būs nepieciešams veikt izmaiņas Eiropas Savienības struktūrfondu un Kohēzijas fonda vadības informācijas sistēmā).</w:t>
            </w:r>
          </w:p>
          <w:p w14:paraId="4CF1F27B" w14:textId="77777777" w:rsidR="00AF643B" w:rsidRPr="009A5537" w:rsidRDefault="00AF643B" w:rsidP="00007AFA">
            <w:pPr>
              <w:spacing w:after="120"/>
              <w:jc w:val="both"/>
              <w:rPr>
                <w:rFonts w:ascii="Times New Roman" w:eastAsia="Times New Roman" w:hAnsi="Times New Roman" w:cs="Times New Roman"/>
                <w:bCs/>
                <w:sz w:val="25"/>
                <w:szCs w:val="25"/>
                <w:lang w:val="lv-LV" w:eastAsia="lv-LV"/>
              </w:rPr>
            </w:pPr>
          </w:p>
          <w:p w14:paraId="5EB32EED" w14:textId="1360D561" w:rsidR="00271961" w:rsidRPr="009A5537" w:rsidRDefault="00A011EF" w:rsidP="00007AFA">
            <w:pPr>
              <w:spacing w:after="120"/>
              <w:jc w:val="both"/>
              <w:rPr>
                <w:rFonts w:ascii="Times New Roman" w:hAnsi="Times New Roman"/>
                <w:b/>
                <w:sz w:val="25"/>
                <w:szCs w:val="25"/>
                <w:lang w:val="lv-LV"/>
              </w:rPr>
            </w:pPr>
            <w:r w:rsidRPr="009A5537">
              <w:rPr>
                <w:rFonts w:ascii="Times New Roman" w:hAnsi="Times New Roman"/>
                <w:sz w:val="25"/>
                <w:szCs w:val="25"/>
                <w:lang w:val="lv-LV"/>
              </w:rPr>
              <w:t xml:space="preserve">Saskaņā ar </w:t>
            </w:r>
            <w:r w:rsidRPr="009A5537">
              <w:rPr>
                <w:rFonts w:ascii="Times New Roman" w:hAnsi="Times New Roman"/>
                <w:b/>
                <w:sz w:val="25"/>
                <w:szCs w:val="25"/>
                <w:lang w:val="lv-LV"/>
              </w:rPr>
              <w:t xml:space="preserve">sākotnējo indikatīvo </w:t>
            </w:r>
            <w:proofErr w:type="spellStart"/>
            <w:r w:rsidRPr="009A5537">
              <w:rPr>
                <w:rFonts w:ascii="Times New Roman" w:hAnsi="Times New Roman"/>
                <w:b/>
                <w:sz w:val="25"/>
                <w:szCs w:val="25"/>
                <w:lang w:val="lv-LV"/>
              </w:rPr>
              <w:t>izvērtējumu</w:t>
            </w:r>
            <w:proofErr w:type="spellEnd"/>
            <w:r w:rsidRPr="009A5537">
              <w:rPr>
                <w:rFonts w:ascii="Times New Roman" w:hAnsi="Times New Roman"/>
                <w:sz w:val="25"/>
                <w:szCs w:val="25"/>
                <w:lang w:val="lv-LV"/>
              </w:rPr>
              <w:t xml:space="preserve"> </w:t>
            </w:r>
            <w:r w:rsidR="00271961" w:rsidRPr="009A5537">
              <w:rPr>
                <w:rFonts w:ascii="Times New Roman" w:hAnsi="Times New Roman"/>
                <w:sz w:val="25"/>
                <w:szCs w:val="25"/>
                <w:lang w:val="lv-LV"/>
              </w:rPr>
              <w:t xml:space="preserve">uz </w:t>
            </w:r>
            <w:r w:rsidR="00295A5A" w:rsidRPr="009A5537">
              <w:rPr>
                <w:rFonts w:ascii="Times New Roman" w:hAnsi="Times New Roman"/>
                <w:sz w:val="25"/>
                <w:szCs w:val="25"/>
                <w:lang w:val="lv-LV"/>
              </w:rPr>
              <w:t>DPP</w:t>
            </w:r>
            <w:r w:rsidR="00271961" w:rsidRPr="009A5537">
              <w:rPr>
                <w:rFonts w:ascii="Times New Roman" w:hAnsi="Times New Roman"/>
                <w:sz w:val="25"/>
                <w:szCs w:val="25"/>
                <w:lang w:val="lv-LV"/>
              </w:rPr>
              <w:t xml:space="preserve"> 2.3.2.2.3.apakšaktivitāti </w:t>
            </w:r>
            <w:r w:rsidR="00BE60AF" w:rsidRPr="009A5537">
              <w:rPr>
                <w:rFonts w:ascii="Times New Roman" w:hAnsi="Times New Roman"/>
                <w:sz w:val="25"/>
                <w:szCs w:val="25"/>
                <w:lang w:val="lv-LV"/>
              </w:rPr>
              <w:t xml:space="preserve">pēc pārvērtēšanas </w:t>
            </w:r>
            <w:r w:rsidR="00BE7E9D" w:rsidRPr="009A5537">
              <w:rPr>
                <w:rFonts w:ascii="Times New Roman" w:hAnsi="Times New Roman"/>
                <w:sz w:val="25"/>
                <w:szCs w:val="25"/>
                <w:lang w:val="lv-LV"/>
              </w:rPr>
              <w:t>varētu tikt</w:t>
            </w:r>
            <w:r w:rsidR="00271961" w:rsidRPr="009A5537">
              <w:rPr>
                <w:rFonts w:ascii="Times New Roman" w:hAnsi="Times New Roman"/>
                <w:sz w:val="25"/>
                <w:szCs w:val="25"/>
                <w:lang w:val="lv-LV"/>
              </w:rPr>
              <w:t xml:space="preserve"> pārcelt</w:t>
            </w:r>
            <w:r w:rsidR="00BE60AF" w:rsidRPr="009A5537">
              <w:rPr>
                <w:rFonts w:ascii="Times New Roman" w:hAnsi="Times New Roman"/>
                <w:sz w:val="25"/>
                <w:szCs w:val="25"/>
                <w:lang w:val="lv-LV"/>
              </w:rPr>
              <w:t>a daļa no</w:t>
            </w:r>
            <w:r w:rsidR="00271961" w:rsidRPr="009A5537">
              <w:rPr>
                <w:rFonts w:ascii="Times New Roman" w:hAnsi="Times New Roman"/>
                <w:sz w:val="25"/>
                <w:szCs w:val="25"/>
                <w:lang w:val="lv-LV"/>
              </w:rPr>
              <w:t xml:space="preserve"> DP „Infrastruktūra un pakalpojumi” papildinājuma 3.6.1.1.aktivitātes </w:t>
            </w:r>
            <w:r w:rsidRPr="009A5537">
              <w:rPr>
                <w:rFonts w:ascii="Times New Roman" w:hAnsi="Times New Roman"/>
                <w:sz w:val="25"/>
                <w:szCs w:val="25"/>
                <w:lang w:val="lv-LV"/>
              </w:rPr>
              <w:t xml:space="preserve">un 3.6.2.1.aktivitātes </w:t>
            </w:r>
            <w:r w:rsidR="00AB0D28" w:rsidRPr="009A5537">
              <w:rPr>
                <w:rFonts w:ascii="Times New Roman" w:hAnsi="Times New Roman"/>
                <w:sz w:val="25"/>
                <w:szCs w:val="25"/>
                <w:lang w:val="lv-LV"/>
              </w:rPr>
              <w:t>ietvaros iesniegt</w:t>
            </w:r>
            <w:r w:rsidR="00BE60AF" w:rsidRPr="009A5537">
              <w:rPr>
                <w:rFonts w:ascii="Times New Roman" w:hAnsi="Times New Roman"/>
                <w:sz w:val="25"/>
                <w:szCs w:val="25"/>
                <w:lang w:val="lv-LV"/>
              </w:rPr>
              <w:t>ajiem</w:t>
            </w:r>
            <w:r w:rsidR="00AB0D28" w:rsidRPr="009A5537">
              <w:rPr>
                <w:rFonts w:ascii="Times New Roman" w:hAnsi="Times New Roman"/>
                <w:sz w:val="25"/>
                <w:szCs w:val="25"/>
                <w:lang w:val="lv-LV"/>
              </w:rPr>
              <w:t xml:space="preserve"> projekti</w:t>
            </w:r>
            <w:r w:rsidR="00BE60AF" w:rsidRPr="009A5537">
              <w:rPr>
                <w:rFonts w:ascii="Times New Roman" w:hAnsi="Times New Roman"/>
                <w:sz w:val="25"/>
                <w:szCs w:val="25"/>
                <w:lang w:val="lv-LV"/>
              </w:rPr>
              <w:t xml:space="preserve">em </w:t>
            </w:r>
            <w:r w:rsidR="00CB67B6" w:rsidRPr="009A5537">
              <w:rPr>
                <w:rFonts w:ascii="Times New Roman" w:hAnsi="Times New Roman"/>
                <w:b/>
                <w:sz w:val="25"/>
                <w:szCs w:val="25"/>
                <w:lang w:val="lv-LV"/>
              </w:rPr>
              <w:t>.</w:t>
            </w:r>
          </w:p>
          <w:p w14:paraId="5DD1BD73" w14:textId="107852AF" w:rsidR="00007AFA" w:rsidRPr="009A5537" w:rsidRDefault="00007AFA" w:rsidP="00007AFA">
            <w:pPr>
              <w:spacing w:after="120"/>
              <w:jc w:val="both"/>
              <w:rPr>
                <w:rFonts w:ascii="Times New Roman" w:hAnsi="Times New Roman"/>
                <w:sz w:val="25"/>
                <w:szCs w:val="25"/>
                <w:lang w:val="lv-LV"/>
              </w:rPr>
            </w:pPr>
            <w:r w:rsidRPr="009A5537">
              <w:rPr>
                <w:rFonts w:ascii="Times New Roman" w:hAnsi="Times New Roman"/>
                <w:sz w:val="25"/>
                <w:szCs w:val="25"/>
                <w:lang w:val="lv-LV"/>
              </w:rPr>
              <w:t>Projektu pārcelšana no darbības programmas “Infrastruktūra un pakalpojumi” uz darbības programmu “Uzņēmējdarbība un inovācijas” nav pretrunā ar tiesiskās paļāvības principu. Tiesiskās paļāvības princips aizsargā personas reiz iegūtās tiesības, t.i., persona var paļauties uz to, ka tiesības, kas iegūtas saskaņā ar spēkā esošu tiesību aktu, noteiktajā laika perioda tiks saglabātas un reāli īstenotas. Šajā gadījumā tas nozīmē, ka finansējuma saņēmējam ir tiesiskā paļāvība, ka viņš projektu varēs īstenot saskaņā ar attiecīgās aktivitātes un projekta īstenošanas līguma noteikumiem. Ņemot vērā to, ka šajā gadījumā pēc būtības mainās tikai aktivitāte, kuras ietvaros</w:t>
            </w:r>
            <w:r w:rsidR="002F1F30" w:rsidRPr="009A5537">
              <w:rPr>
                <w:rFonts w:ascii="Times New Roman" w:hAnsi="Times New Roman"/>
                <w:sz w:val="25"/>
                <w:szCs w:val="25"/>
                <w:lang w:val="lv-LV"/>
              </w:rPr>
              <w:t xml:space="preserve"> projekts </w:t>
            </w:r>
            <w:r w:rsidRPr="009A5537">
              <w:rPr>
                <w:rFonts w:ascii="Times New Roman" w:hAnsi="Times New Roman"/>
                <w:sz w:val="25"/>
                <w:szCs w:val="25"/>
                <w:lang w:val="lv-LV"/>
              </w:rPr>
              <w:t xml:space="preserve">tiek finansēts, bet paša projekta īstenošanas nosacījumi nemainās (ne </w:t>
            </w:r>
            <w:r w:rsidR="002F1F30" w:rsidRPr="009A5537">
              <w:rPr>
                <w:rFonts w:ascii="Times New Roman" w:hAnsi="Times New Roman"/>
                <w:sz w:val="25"/>
                <w:szCs w:val="25"/>
                <w:lang w:val="lv-LV"/>
              </w:rPr>
              <w:t xml:space="preserve">MK </w:t>
            </w:r>
            <w:r w:rsidRPr="009A5537">
              <w:rPr>
                <w:rFonts w:ascii="Times New Roman" w:hAnsi="Times New Roman"/>
                <w:sz w:val="25"/>
                <w:szCs w:val="25"/>
                <w:lang w:val="lv-LV"/>
              </w:rPr>
              <w:t>noteikumos</w:t>
            </w:r>
            <w:r w:rsidR="002F1F30" w:rsidRPr="009A5537">
              <w:rPr>
                <w:rFonts w:ascii="Times New Roman" w:hAnsi="Times New Roman"/>
                <w:sz w:val="25"/>
                <w:szCs w:val="25"/>
                <w:lang w:val="lv-LV"/>
              </w:rPr>
              <w:t xml:space="preserve"> par aktivitātes īstenošanu</w:t>
            </w:r>
            <w:r w:rsidRPr="009A5537">
              <w:rPr>
                <w:rFonts w:ascii="Times New Roman" w:hAnsi="Times New Roman"/>
                <w:sz w:val="25"/>
                <w:szCs w:val="25"/>
                <w:lang w:val="lv-LV"/>
              </w:rPr>
              <w:t xml:space="preserve">, ne līgumā), netiek aizskarta finansējuma saņēmēja tiesiskā paļāvība. Tāpat šajā gadījumā netiek pārkāpts arī </w:t>
            </w:r>
            <w:proofErr w:type="spellStart"/>
            <w:r w:rsidRPr="009A5537">
              <w:rPr>
                <w:rFonts w:ascii="Times New Roman" w:hAnsi="Times New Roman"/>
                <w:sz w:val="25"/>
                <w:szCs w:val="25"/>
                <w:lang w:val="lv-LV"/>
              </w:rPr>
              <w:t>dubultfinansējuma</w:t>
            </w:r>
            <w:proofErr w:type="spellEnd"/>
            <w:r w:rsidRPr="009A5537">
              <w:rPr>
                <w:rFonts w:ascii="Times New Roman" w:hAnsi="Times New Roman"/>
                <w:sz w:val="25"/>
                <w:szCs w:val="25"/>
                <w:lang w:val="lv-LV"/>
              </w:rPr>
              <w:t xml:space="preserve"> princips, jo tiklīdz tiks pieņems lēmums par projekta </w:t>
            </w:r>
            <w:r w:rsidR="002F1F30" w:rsidRPr="009A5537">
              <w:rPr>
                <w:rFonts w:ascii="Times New Roman" w:hAnsi="Times New Roman"/>
                <w:sz w:val="25"/>
                <w:szCs w:val="25"/>
                <w:lang w:val="lv-LV"/>
              </w:rPr>
              <w:t>pārcelšanu uz</w:t>
            </w:r>
            <w:r w:rsidRPr="009A5537">
              <w:rPr>
                <w:rFonts w:ascii="Times New Roman" w:hAnsi="Times New Roman"/>
                <w:sz w:val="25"/>
                <w:szCs w:val="25"/>
                <w:lang w:val="lv-LV"/>
              </w:rPr>
              <w:t xml:space="preserve"> darbības programm</w:t>
            </w:r>
            <w:r w:rsidR="002F1F30" w:rsidRPr="009A5537">
              <w:rPr>
                <w:rFonts w:ascii="Times New Roman" w:hAnsi="Times New Roman"/>
                <w:sz w:val="25"/>
                <w:szCs w:val="25"/>
                <w:lang w:val="lv-LV"/>
              </w:rPr>
              <w:t>u</w:t>
            </w:r>
            <w:r w:rsidRPr="009A5537">
              <w:rPr>
                <w:rFonts w:ascii="Times New Roman" w:hAnsi="Times New Roman"/>
                <w:sz w:val="25"/>
                <w:szCs w:val="25"/>
                <w:lang w:val="lv-LV"/>
              </w:rPr>
              <w:t xml:space="preserve"> “Uzņēmējdarbība un inovācijas”, tiks pārgrāmatoti arī līdz šim veiktie maksājumi finansējuma saņēmējam, lai nerastos situācija, ka projekts tiek finansēts divās aktivitātēs.</w:t>
            </w:r>
          </w:p>
          <w:p w14:paraId="10C76E5B" w14:textId="6DA82AE8" w:rsidR="00BE7E9D" w:rsidRPr="009A5537" w:rsidRDefault="00BE60AF" w:rsidP="00007AFA">
            <w:pPr>
              <w:spacing w:after="120"/>
              <w:jc w:val="both"/>
              <w:rPr>
                <w:rFonts w:ascii="Times New Roman" w:hAnsi="Times New Roman"/>
                <w:i/>
                <w:sz w:val="25"/>
                <w:szCs w:val="25"/>
                <w:lang w:val="lv-LV"/>
              </w:rPr>
            </w:pPr>
            <w:r w:rsidRPr="009A5537">
              <w:rPr>
                <w:rFonts w:ascii="Times New Roman" w:hAnsi="Times New Roman"/>
                <w:sz w:val="25"/>
                <w:szCs w:val="25"/>
                <w:lang w:val="lv-LV"/>
              </w:rPr>
              <w:t xml:space="preserve"> Izvērtējot projektu pārcelšanu, jā</w:t>
            </w:r>
            <w:r w:rsidR="00BE7E9D" w:rsidRPr="009A5537">
              <w:rPr>
                <w:rFonts w:ascii="Times New Roman" w:hAnsi="Times New Roman"/>
                <w:sz w:val="25"/>
                <w:szCs w:val="25"/>
                <w:lang w:val="lv-LV"/>
              </w:rPr>
              <w:t>nodrošin</w:t>
            </w:r>
            <w:r w:rsidRPr="009A5537">
              <w:rPr>
                <w:rFonts w:ascii="Times New Roman" w:hAnsi="Times New Roman"/>
                <w:sz w:val="25"/>
                <w:szCs w:val="25"/>
                <w:lang w:val="lv-LV"/>
              </w:rPr>
              <w:t>a</w:t>
            </w:r>
            <w:r w:rsidR="00BE7E9D" w:rsidRPr="009A5537">
              <w:rPr>
                <w:rFonts w:ascii="Times New Roman" w:hAnsi="Times New Roman"/>
                <w:sz w:val="25"/>
                <w:szCs w:val="25"/>
                <w:lang w:val="lv-LV"/>
              </w:rPr>
              <w:t xml:space="preserve">, ka kopumā no darbības programmas „Infrastruktūra un pakalpojumi” papildinājuma 3.6.2.1.aktivitātes un 3.6.1.1.aktivitātes uz </w:t>
            </w:r>
            <w:r w:rsidR="00295A5A" w:rsidRPr="009A5537">
              <w:rPr>
                <w:rFonts w:ascii="Times New Roman" w:hAnsi="Times New Roman"/>
                <w:sz w:val="25"/>
                <w:szCs w:val="25"/>
                <w:lang w:val="lv-LV"/>
              </w:rPr>
              <w:t>DPP</w:t>
            </w:r>
            <w:r w:rsidR="007C75FE" w:rsidRPr="009A5537">
              <w:rPr>
                <w:rFonts w:ascii="Times New Roman" w:hAnsi="Times New Roman"/>
                <w:sz w:val="25"/>
                <w:szCs w:val="25"/>
                <w:lang w:val="lv-LV"/>
              </w:rPr>
              <w:t xml:space="preserve"> 2.3.2.2.3.apakšaktivitāti</w:t>
            </w:r>
            <w:r w:rsidR="00BE7E9D" w:rsidRPr="009A5537">
              <w:rPr>
                <w:rFonts w:ascii="Times New Roman" w:hAnsi="Times New Roman"/>
                <w:sz w:val="25"/>
                <w:szCs w:val="25"/>
                <w:lang w:val="lv-LV"/>
              </w:rPr>
              <w:t xml:space="preserve"> tiek pārcelti pabeigtie vai īstenošanā esošie uzņēmējdarbības vidi veicinošie investīciju projekti, kuros kopējā </w:t>
            </w:r>
            <w:r w:rsidR="00807FBF" w:rsidRPr="009A5537">
              <w:rPr>
                <w:rFonts w:ascii="Times New Roman" w:hAnsi="Times New Roman"/>
                <w:sz w:val="25"/>
                <w:szCs w:val="25"/>
                <w:lang w:val="lv-LV"/>
              </w:rPr>
              <w:t>deklarējamā ERAF</w:t>
            </w:r>
            <w:r w:rsidR="00BE7E9D" w:rsidRPr="009A5537">
              <w:rPr>
                <w:rFonts w:ascii="Times New Roman" w:hAnsi="Times New Roman"/>
                <w:sz w:val="25"/>
                <w:szCs w:val="25"/>
                <w:lang w:val="lv-LV"/>
              </w:rPr>
              <w:t xml:space="preserve"> izdevumu summa </w:t>
            </w:r>
            <w:r w:rsidR="00807FBF" w:rsidRPr="009A5537">
              <w:rPr>
                <w:rFonts w:ascii="Times New Roman" w:hAnsi="Times New Roman"/>
                <w:sz w:val="25"/>
                <w:szCs w:val="25"/>
                <w:lang w:val="lv-LV"/>
              </w:rPr>
              <w:t>2014.gadā ir vismaz</w:t>
            </w:r>
            <w:r w:rsidR="00BE7E9D" w:rsidRPr="009A5537">
              <w:rPr>
                <w:rFonts w:ascii="Times New Roman" w:hAnsi="Times New Roman"/>
                <w:sz w:val="25"/>
                <w:szCs w:val="25"/>
                <w:lang w:val="lv-LV"/>
              </w:rPr>
              <w:t xml:space="preserve"> </w:t>
            </w:r>
            <w:r w:rsidR="00807FBF" w:rsidRPr="009A5537">
              <w:rPr>
                <w:rFonts w:ascii="Times New Roman" w:hAnsi="Times New Roman"/>
                <w:sz w:val="25"/>
                <w:szCs w:val="25"/>
                <w:lang w:val="lv-LV"/>
              </w:rPr>
              <w:t>30</w:t>
            </w:r>
            <w:r w:rsidR="00BE7E9D" w:rsidRPr="009A5537">
              <w:rPr>
                <w:rFonts w:ascii="Times New Roman" w:hAnsi="Times New Roman"/>
                <w:sz w:val="25"/>
                <w:szCs w:val="25"/>
                <w:lang w:val="lv-LV"/>
              </w:rPr>
              <w:t xml:space="preserve"> milj.  </w:t>
            </w:r>
            <w:r w:rsidR="00BE7E9D" w:rsidRPr="009A5537">
              <w:rPr>
                <w:rFonts w:ascii="Times New Roman" w:hAnsi="Times New Roman"/>
                <w:i/>
                <w:sz w:val="25"/>
                <w:szCs w:val="25"/>
                <w:lang w:val="lv-LV"/>
              </w:rPr>
              <w:t>euro.</w:t>
            </w:r>
          </w:p>
          <w:p w14:paraId="4AB52687" w14:textId="2503C716" w:rsidR="00155441" w:rsidRPr="009A5537" w:rsidRDefault="00155441" w:rsidP="00007AFA">
            <w:pPr>
              <w:spacing w:after="120"/>
              <w:jc w:val="both"/>
              <w:rPr>
                <w:rFonts w:ascii="Times New Roman" w:hAnsi="Times New Roman"/>
                <w:sz w:val="25"/>
                <w:szCs w:val="25"/>
                <w:lang w:val="lv-LV"/>
              </w:rPr>
            </w:pPr>
            <w:r w:rsidRPr="009A5537">
              <w:rPr>
                <w:rFonts w:ascii="Times New Roman" w:hAnsi="Times New Roman"/>
                <w:sz w:val="25"/>
                <w:szCs w:val="25"/>
                <w:lang w:val="lv-LV"/>
              </w:rPr>
              <w:lastRenderedPageBreak/>
              <w:t>Finansējuma pārdalīšana tiks veikta šogad, lai nodrošinātu n+</w:t>
            </w:r>
            <w:r w:rsidR="007A31C8" w:rsidRPr="009A5537">
              <w:rPr>
                <w:rFonts w:ascii="Times New Roman" w:hAnsi="Times New Roman"/>
                <w:sz w:val="25"/>
                <w:szCs w:val="25"/>
                <w:lang w:val="lv-LV"/>
              </w:rPr>
              <w:t>2 principa izpildi.</w:t>
            </w:r>
          </w:p>
          <w:p w14:paraId="1CF96106" w14:textId="3F35B150" w:rsidR="007A31C8" w:rsidRPr="009A5537" w:rsidRDefault="007A31C8" w:rsidP="00007AFA">
            <w:pPr>
              <w:spacing w:after="120"/>
              <w:jc w:val="both"/>
              <w:rPr>
                <w:rFonts w:ascii="Times New Roman" w:hAnsi="Times New Roman"/>
                <w:sz w:val="25"/>
                <w:szCs w:val="25"/>
                <w:lang w:val="lv-LV"/>
              </w:rPr>
            </w:pPr>
            <w:r w:rsidRPr="009A5537">
              <w:rPr>
                <w:rFonts w:ascii="Times New Roman" w:hAnsi="Times New Roman"/>
                <w:sz w:val="25"/>
                <w:szCs w:val="25"/>
                <w:lang w:val="lv-LV"/>
              </w:rPr>
              <w:t>MK noteikumu spēkā stāšanās datums noteikts, ņemot vērā nepieciešamību nekavējoties uzsākt projektu pārbaudi, lai paspētu projektu, kas tiks pārcelti uz 2.3.2.2.3.apakšaktivitāti, ietvaros radušās izmaksas nodeklarēt novembrī/decembra pirmajā nedēļā.</w:t>
            </w:r>
          </w:p>
          <w:p w14:paraId="37944CDE" w14:textId="40C2DBAC" w:rsidR="00B42199" w:rsidRPr="009A5537" w:rsidRDefault="00B42199" w:rsidP="00007AFA">
            <w:pPr>
              <w:spacing w:after="120"/>
              <w:jc w:val="both"/>
              <w:rPr>
                <w:rFonts w:ascii="Times New Roman" w:hAnsi="Times New Roman"/>
                <w:sz w:val="25"/>
                <w:szCs w:val="25"/>
                <w:lang w:val="lv-LV"/>
              </w:rPr>
            </w:pPr>
            <w:r w:rsidRPr="009A5537">
              <w:rPr>
                <w:rFonts w:ascii="Times New Roman" w:hAnsi="Times New Roman"/>
                <w:sz w:val="25"/>
                <w:szCs w:val="25"/>
                <w:lang w:val="lv-LV"/>
              </w:rPr>
              <w:t>Apakšaktivitātes ietvaros valsts atbalsts nav paredzēts.</w:t>
            </w:r>
          </w:p>
        </w:tc>
      </w:tr>
      <w:tr w:rsidR="00D40CFC" w:rsidRPr="004C4FD3" w14:paraId="061461F2" w14:textId="77777777" w:rsidTr="00F66F09">
        <w:trPr>
          <w:trHeight w:val="360"/>
        </w:trPr>
        <w:tc>
          <w:tcPr>
            <w:tcW w:w="2567" w:type="dxa"/>
            <w:hideMark/>
          </w:tcPr>
          <w:p w14:paraId="25A6CD2E" w14:textId="73D64370" w:rsidR="00D40CFC" w:rsidRPr="009A5537" w:rsidRDefault="00D40CFC" w:rsidP="002D3F81">
            <w:pPr>
              <w:rPr>
                <w:rFonts w:ascii="Times New Roman" w:hAnsi="Times New Roman"/>
                <w:sz w:val="25"/>
                <w:szCs w:val="25"/>
                <w:lang w:val="lv-LV"/>
              </w:rPr>
            </w:pPr>
            <w:r w:rsidRPr="009A5537">
              <w:rPr>
                <w:rFonts w:ascii="Times New Roman" w:hAnsi="Times New Roman"/>
                <w:sz w:val="25"/>
                <w:szCs w:val="25"/>
                <w:lang w:val="lv-LV"/>
              </w:rPr>
              <w:lastRenderedPageBreak/>
              <w:t xml:space="preserve">3. </w:t>
            </w:r>
            <w:r w:rsidR="002D3F81" w:rsidRPr="009A5537">
              <w:rPr>
                <w:rFonts w:ascii="Times New Roman" w:hAnsi="Times New Roman"/>
                <w:sz w:val="25"/>
                <w:szCs w:val="25"/>
                <w:lang w:val="lv-LV"/>
              </w:rPr>
              <w:t>Projekta izstrādē iesaistītās institūcijas</w:t>
            </w:r>
          </w:p>
        </w:tc>
        <w:tc>
          <w:tcPr>
            <w:tcW w:w="6613" w:type="dxa"/>
            <w:vAlign w:val="center"/>
            <w:hideMark/>
          </w:tcPr>
          <w:p w14:paraId="0B1A2BF1" w14:textId="6B65E035" w:rsidR="00D40CFC" w:rsidRPr="009A5537" w:rsidRDefault="0057647D" w:rsidP="00FD0312">
            <w:pPr>
              <w:jc w:val="both"/>
              <w:rPr>
                <w:rFonts w:ascii="Times New Roman" w:hAnsi="Times New Roman"/>
                <w:color w:val="000000"/>
                <w:sz w:val="25"/>
                <w:szCs w:val="25"/>
                <w:lang w:val="lv-LV"/>
              </w:rPr>
            </w:pPr>
            <w:r w:rsidRPr="009A5537">
              <w:rPr>
                <w:rFonts w:ascii="Times New Roman" w:hAnsi="Times New Roman"/>
                <w:sz w:val="25"/>
                <w:szCs w:val="25"/>
                <w:lang w:val="lv-LV"/>
              </w:rPr>
              <w:t>FM</w:t>
            </w:r>
            <w:r w:rsidR="002800B3" w:rsidRPr="009A5537">
              <w:rPr>
                <w:rFonts w:ascii="Times New Roman" w:hAnsi="Times New Roman"/>
                <w:sz w:val="25"/>
                <w:szCs w:val="25"/>
                <w:lang w:val="lv-LV"/>
              </w:rPr>
              <w:t xml:space="preserve"> kā vadošā iestāde, </w:t>
            </w:r>
            <w:r w:rsidR="00FD0312" w:rsidRPr="009A5537">
              <w:rPr>
                <w:rFonts w:ascii="Times New Roman" w:hAnsi="Times New Roman"/>
                <w:sz w:val="25"/>
                <w:szCs w:val="25"/>
                <w:lang w:val="lv-LV"/>
              </w:rPr>
              <w:t>EM</w:t>
            </w:r>
            <w:r w:rsidR="002800B3" w:rsidRPr="009A5537">
              <w:rPr>
                <w:rFonts w:ascii="Times New Roman" w:hAnsi="Times New Roman"/>
                <w:sz w:val="25"/>
                <w:szCs w:val="25"/>
                <w:lang w:val="lv-LV"/>
              </w:rPr>
              <w:t xml:space="preserve">, Vides aizsardzības un reģionālās attīstības ministrija, </w:t>
            </w:r>
            <w:r w:rsidR="002800B3" w:rsidRPr="009A5537">
              <w:rPr>
                <w:rFonts w:ascii="Times New Roman" w:hAnsi="Times New Roman"/>
                <w:color w:val="000000"/>
                <w:sz w:val="25"/>
                <w:szCs w:val="25"/>
                <w:lang w:val="lv-LV"/>
              </w:rPr>
              <w:t>Valsts reģionālās attīstības aģentūra.</w:t>
            </w:r>
          </w:p>
        </w:tc>
      </w:tr>
      <w:tr w:rsidR="00D40CFC" w:rsidRPr="009A5537" w14:paraId="29D2FD9E" w14:textId="77777777" w:rsidTr="00F66F09">
        <w:trPr>
          <w:trHeight w:val="76"/>
        </w:trPr>
        <w:tc>
          <w:tcPr>
            <w:tcW w:w="2567" w:type="dxa"/>
            <w:hideMark/>
          </w:tcPr>
          <w:p w14:paraId="56FE2687" w14:textId="77777777" w:rsidR="00D40CFC" w:rsidRPr="009A5537" w:rsidRDefault="00D40CFC" w:rsidP="00951FF3">
            <w:pPr>
              <w:rPr>
                <w:rFonts w:ascii="Times New Roman" w:hAnsi="Times New Roman"/>
                <w:sz w:val="25"/>
                <w:szCs w:val="25"/>
                <w:lang w:val="lv-LV"/>
              </w:rPr>
            </w:pPr>
            <w:r w:rsidRPr="009A5537">
              <w:rPr>
                <w:rFonts w:ascii="Times New Roman" w:hAnsi="Times New Roman"/>
                <w:sz w:val="25"/>
                <w:szCs w:val="25"/>
                <w:lang w:val="lv-LV"/>
              </w:rPr>
              <w:t xml:space="preserve">4. </w:t>
            </w:r>
            <w:r w:rsidR="00951FF3" w:rsidRPr="009A5537">
              <w:rPr>
                <w:rFonts w:ascii="Times New Roman" w:hAnsi="Times New Roman"/>
                <w:sz w:val="25"/>
                <w:szCs w:val="25"/>
                <w:lang w:val="lv-LV"/>
              </w:rPr>
              <w:t>Cita informācija</w:t>
            </w:r>
          </w:p>
        </w:tc>
        <w:tc>
          <w:tcPr>
            <w:tcW w:w="6613" w:type="dxa"/>
            <w:hideMark/>
          </w:tcPr>
          <w:p w14:paraId="6F18E9EC" w14:textId="77777777" w:rsidR="00047893" w:rsidRPr="009A5537" w:rsidRDefault="00951FF3" w:rsidP="00DB1BED">
            <w:pPr>
              <w:jc w:val="both"/>
              <w:rPr>
                <w:rFonts w:ascii="Times New Roman" w:hAnsi="Times New Roman"/>
                <w:sz w:val="25"/>
                <w:szCs w:val="25"/>
                <w:lang w:val="lv-LV"/>
              </w:rPr>
            </w:pPr>
            <w:r w:rsidRPr="009A5537">
              <w:rPr>
                <w:rFonts w:ascii="Times New Roman" w:hAnsi="Times New Roman"/>
                <w:sz w:val="25"/>
                <w:szCs w:val="25"/>
                <w:lang w:val="lv-LV"/>
              </w:rPr>
              <w:t>Nav</w:t>
            </w:r>
          </w:p>
        </w:tc>
      </w:tr>
    </w:tbl>
    <w:p w14:paraId="266E17B9" w14:textId="77777777" w:rsidR="00564229" w:rsidRPr="009A5537" w:rsidRDefault="00564229" w:rsidP="00BA3659">
      <w:pPr>
        <w:spacing w:after="0" w:line="240" w:lineRule="auto"/>
        <w:rPr>
          <w:rFonts w:ascii="Times New Roman" w:hAnsi="Times New Roman"/>
          <w:b/>
          <w:sz w:val="25"/>
          <w:szCs w:val="25"/>
          <w:lang w:val="lv-LV"/>
        </w:rPr>
      </w:pPr>
    </w:p>
    <w:tbl>
      <w:tblPr>
        <w:tblStyle w:val="TableGrid"/>
        <w:tblpPr w:leftFromText="180" w:rightFromText="180" w:vertAnchor="text" w:horzAnchor="margin" w:tblpXSpec="center" w:tblpY="149"/>
        <w:tblW w:w="9215" w:type="dxa"/>
        <w:tblLook w:val="0000" w:firstRow="0" w:lastRow="0" w:firstColumn="0" w:lastColumn="0" w:noHBand="0" w:noVBand="0"/>
      </w:tblPr>
      <w:tblGrid>
        <w:gridCol w:w="920"/>
        <w:gridCol w:w="4252"/>
        <w:gridCol w:w="4043"/>
      </w:tblGrid>
      <w:tr w:rsidR="00D40CFC" w:rsidRPr="004C4FD3" w14:paraId="433D8BE4" w14:textId="77777777" w:rsidTr="00F66F09">
        <w:tc>
          <w:tcPr>
            <w:tcW w:w="9215" w:type="dxa"/>
            <w:gridSpan w:val="3"/>
          </w:tcPr>
          <w:p w14:paraId="4135AD13" w14:textId="77777777" w:rsidR="00D40CFC" w:rsidRPr="009A5537" w:rsidRDefault="00D40CFC" w:rsidP="00D40CFC">
            <w:pPr>
              <w:jc w:val="center"/>
              <w:rPr>
                <w:rFonts w:ascii="Times New Roman" w:hAnsi="Times New Roman"/>
                <w:b/>
                <w:sz w:val="25"/>
                <w:szCs w:val="25"/>
                <w:lang w:val="lv-LV"/>
              </w:rPr>
            </w:pPr>
            <w:r w:rsidRPr="009A5537">
              <w:rPr>
                <w:rFonts w:ascii="Times New Roman" w:hAnsi="Times New Roman"/>
                <w:b/>
                <w:sz w:val="25"/>
                <w:szCs w:val="25"/>
                <w:lang w:val="lv-LV"/>
              </w:rPr>
              <w:t>II. Tiesību akta projekta ietekme uz sabiedrību</w:t>
            </w:r>
            <w:r w:rsidR="00312598" w:rsidRPr="009A5537">
              <w:rPr>
                <w:rFonts w:ascii="Times New Roman" w:hAnsi="Times New Roman"/>
                <w:b/>
                <w:sz w:val="25"/>
                <w:szCs w:val="25"/>
                <w:lang w:val="lv-LV"/>
              </w:rPr>
              <w:t>, tautsaimniecības attīstību un administratīvo slogu</w:t>
            </w:r>
          </w:p>
        </w:tc>
      </w:tr>
      <w:tr w:rsidR="00D40CFC" w:rsidRPr="009A5537" w14:paraId="7CCE858D" w14:textId="77777777" w:rsidTr="00F66F09">
        <w:trPr>
          <w:trHeight w:val="467"/>
        </w:trPr>
        <w:tc>
          <w:tcPr>
            <w:tcW w:w="920" w:type="dxa"/>
          </w:tcPr>
          <w:p w14:paraId="2B2C8970" w14:textId="77777777" w:rsidR="00D40CFC" w:rsidRPr="009A5537" w:rsidRDefault="00D40CFC" w:rsidP="00D40CFC">
            <w:pPr>
              <w:rPr>
                <w:rFonts w:ascii="Times New Roman" w:hAnsi="Times New Roman"/>
                <w:sz w:val="25"/>
                <w:szCs w:val="25"/>
                <w:lang w:val="lv-LV"/>
              </w:rPr>
            </w:pPr>
            <w:r w:rsidRPr="009A5537">
              <w:rPr>
                <w:rFonts w:ascii="Times New Roman" w:hAnsi="Times New Roman"/>
                <w:sz w:val="25"/>
                <w:szCs w:val="25"/>
                <w:lang w:val="lv-LV"/>
              </w:rPr>
              <w:t>1.</w:t>
            </w:r>
          </w:p>
        </w:tc>
        <w:tc>
          <w:tcPr>
            <w:tcW w:w="4252" w:type="dxa"/>
          </w:tcPr>
          <w:p w14:paraId="66A15ED5" w14:textId="77777777" w:rsidR="00D40CFC" w:rsidRPr="009A5537" w:rsidRDefault="00D40CFC" w:rsidP="00D40CFC">
            <w:pPr>
              <w:rPr>
                <w:rFonts w:ascii="Times New Roman" w:hAnsi="Times New Roman"/>
                <w:sz w:val="25"/>
                <w:szCs w:val="25"/>
                <w:lang w:val="lv-LV"/>
              </w:rPr>
            </w:pPr>
            <w:r w:rsidRPr="009A5537">
              <w:rPr>
                <w:rFonts w:ascii="Times New Roman" w:hAnsi="Times New Roman"/>
                <w:sz w:val="25"/>
                <w:szCs w:val="25"/>
                <w:lang w:val="lv-LV"/>
              </w:rPr>
              <w:t xml:space="preserve">Sabiedrības </w:t>
            </w:r>
            <w:proofErr w:type="spellStart"/>
            <w:r w:rsidRPr="009A5537">
              <w:rPr>
                <w:rFonts w:ascii="Times New Roman" w:hAnsi="Times New Roman"/>
                <w:sz w:val="25"/>
                <w:szCs w:val="25"/>
                <w:lang w:val="lv-LV"/>
              </w:rPr>
              <w:t>mērķgrupa</w:t>
            </w:r>
            <w:r w:rsidR="00951FF3" w:rsidRPr="009A5537">
              <w:rPr>
                <w:rFonts w:ascii="Times New Roman" w:hAnsi="Times New Roman"/>
                <w:sz w:val="25"/>
                <w:szCs w:val="25"/>
                <w:lang w:val="lv-LV"/>
              </w:rPr>
              <w:t>s</w:t>
            </w:r>
            <w:proofErr w:type="spellEnd"/>
            <w:r w:rsidR="00951FF3" w:rsidRPr="009A5537">
              <w:rPr>
                <w:rFonts w:ascii="Times New Roman" w:hAnsi="Times New Roman"/>
                <w:sz w:val="25"/>
                <w:szCs w:val="25"/>
                <w:lang w:val="lv-LV"/>
              </w:rPr>
              <w:t>, kuras tiesiskais regulējums ietekmē vai varētu ietekmēt</w:t>
            </w:r>
          </w:p>
        </w:tc>
        <w:tc>
          <w:tcPr>
            <w:tcW w:w="4043" w:type="dxa"/>
          </w:tcPr>
          <w:p w14:paraId="57C006B7" w14:textId="5E2D06C8" w:rsidR="00382775" w:rsidRPr="009A5537" w:rsidRDefault="00A011EF" w:rsidP="00DB1BED">
            <w:pPr>
              <w:spacing w:before="75" w:after="75"/>
              <w:jc w:val="both"/>
              <w:rPr>
                <w:rFonts w:ascii="Times New Roman" w:hAnsi="Times New Roman"/>
                <w:sz w:val="25"/>
                <w:szCs w:val="25"/>
                <w:lang w:val="lv-LV"/>
              </w:rPr>
            </w:pPr>
            <w:r w:rsidRPr="009A5537">
              <w:rPr>
                <w:rFonts w:ascii="Times New Roman" w:hAnsi="Times New Roman"/>
                <w:sz w:val="25"/>
                <w:szCs w:val="25"/>
                <w:lang w:val="lv-LV"/>
              </w:rPr>
              <w:t>Pašvaldības</w:t>
            </w:r>
          </w:p>
        </w:tc>
      </w:tr>
      <w:tr w:rsidR="00D40CFC" w:rsidRPr="009A5537" w14:paraId="6D6FC282" w14:textId="77777777" w:rsidTr="00F66F09">
        <w:trPr>
          <w:trHeight w:val="523"/>
        </w:trPr>
        <w:tc>
          <w:tcPr>
            <w:tcW w:w="920" w:type="dxa"/>
          </w:tcPr>
          <w:p w14:paraId="19E661B8" w14:textId="77777777" w:rsidR="00D40CFC" w:rsidRPr="009A5537" w:rsidRDefault="00D40CFC" w:rsidP="00D40CFC">
            <w:pPr>
              <w:rPr>
                <w:rFonts w:ascii="Times New Roman" w:hAnsi="Times New Roman"/>
                <w:sz w:val="25"/>
                <w:szCs w:val="25"/>
                <w:lang w:val="lv-LV"/>
              </w:rPr>
            </w:pPr>
            <w:r w:rsidRPr="009A5537">
              <w:rPr>
                <w:rFonts w:ascii="Times New Roman" w:hAnsi="Times New Roman"/>
                <w:sz w:val="25"/>
                <w:szCs w:val="25"/>
                <w:lang w:val="lv-LV"/>
              </w:rPr>
              <w:t>2.</w:t>
            </w:r>
          </w:p>
        </w:tc>
        <w:tc>
          <w:tcPr>
            <w:tcW w:w="4252" w:type="dxa"/>
          </w:tcPr>
          <w:p w14:paraId="363F8E1C" w14:textId="77777777" w:rsidR="00D40CFC" w:rsidRPr="009A5537" w:rsidRDefault="00951FF3" w:rsidP="00D40CFC">
            <w:pPr>
              <w:rPr>
                <w:rFonts w:ascii="Times New Roman" w:hAnsi="Times New Roman"/>
                <w:sz w:val="25"/>
                <w:szCs w:val="25"/>
                <w:lang w:val="lv-LV"/>
              </w:rPr>
            </w:pPr>
            <w:r w:rsidRPr="009A5537">
              <w:rPr>
                <w:rFonts w:ascii="Times New Roman" w:hAnsi="Times New Roman"/>
                <w:sz w:val="25"/>
                <w:szCs w:val="25"/>
                <w:lang w:val="lv-LV"/>
              </w:rPr>
              <w:t>Tiesiskā regulējuma ietekme uz tautsaimniecību un administratīvo slogu</w:t>
            </w:r>
          </w:p>
        </w:tc>
        <w:tc>
          <w:tcPr>
            <w:tcW w:w="4043" w:type="dxa"/>
          </w:tcPr>
          <w:p w14:paraId="3F3B9FD7" w14:textId="77777777" w:rsidR="00D40CFC" w:rsidRPr="009A5537" w:rsidRDefault="002D3591" w:rsidP="00DB1BED">
            <w:pPr>
              <w:jc w:val="both"/>
              <w:rPr>
                <w:rFonts w:ascii="Times New Roman" w:hAnsi="Times New Roman"/>
                <w:sz w:val="25"/>
                <w:szCs w:val="25"/>
                <w:lang w:val="lv-LV"/>
              </w:rPr>
            </w:pPr>
            <w:r w:rsidRPr="009A5537">
              <w:rPr>
                <w:rFonts w:ascii="Times New Roman" w:hAnsi="Times New Roman"/>
                <w:color w:val="000000"/>
                <w:sz w:val="25"/>
                <w:szCs w:val="25"/>
                <w:lang w:val="lv-LV"/>
              </w:rPr>
              <w:t>Projekts šo jomu neskar.</w:t>
            </w:r>
          </w:p>
        </w:tc>
      </w:tr>
      <w:tr w:rsidR="00D40CFC" w:rsidRPr="009A5537" w14:paraId="60027170" w14:textId="77777777" w:rsidTr="00F66F09">
        <w:trPr>
          <w:trHeight w:val="517"/>
        </w:trPr>
        <w:tc>
          <w:tcPr>
            <w:tcW w:w="920" w:type="dxa"/>
          </w:tcPr>
          <w:p w14:paraId="7385F966" w14:textId="77777777" w:rsidR="00D40CFC" w:rsidRPr="009A5537" w:rsidRDefault="00D40CFC" w:rsidP="00D40CFC">
            <w:pPr>
              <w:rPr>
                <w:rFonts w:ascii="Times New Roman" w:hAnsi="Times New Roman"/>
                <w:sz w:val="25"/>
                <w:szCs w:val="25"/>
                <w:lang w:val="lv-LV"/>
              </w:rPr>
            </w:pPr>
            <w:r w:rsidRPr="009A5537">
              <w:rPr>
                <w:rFonts w:ascii="Times New Roman" w:hAnsi="Times New Roman"/>
                <w:sz w:val="25"/>
                <w:szCs w:val="25"/>
                <w:lang w:val="lv-LV"/>
              </w:rPr>
              <w:t>3.</w:t>
            </w:r>
          </w:p>
        </w:tc>
        <w:tc>
          <w:tcPr>
            <w:tcW w:w="4252" w:type="dxa"/>
          </w:tcPr>
          <w:p w14:paraId="75BDA7C7" w14:textId="77777777" w:rsidR="00D40CFC" w:rsidRPr="009A5537" w:rsidRDefault="00951FF3" w:rsidP="00D40CFC">
            <w:pPr>
              <w:rPr>
                <w:rFonts w:ascii="Times New Roman" w:hAnsi="Times New Roman"/>
                <w:sz w:val="25"/>
                <w:szCs w:val="25"/>
                <w:lang w:val="lv-LV"/>
              </w:rPr>
            </w:pPr>
            <w:r w:rsidRPr="009A5537">
              <w:rPr>
                <w:rFonts w:ascii="Times New Roman" w:hAnsi="Times New Roman"/>
                <w:sz w:val="25"/>
                <w:szCs w:val="25"/>
                <w:lang w:val="lv-LV"/>
              </w:rPr>
              <w:t>Administratīvo izmaksu monetārais novērtējums</w:t>
            </w:r>
          </w:p>
        </w:tc>
        <w:tc>
          <w:tcPr>
            <w:tcW w:w="4043" w:type="dxa"/>
          </w:tcPr>
          <w:p w14:paraId="07DA6286" w14:textId="77777777" w:rsidR="00D40CFC" w:rsidRPr="009A5537" w:rsidRDefault="000F6E43" w:rsidP="00DB1BED">
            <w:pPr>
              <w:jc w:val="both"/>
              <w:rPr>
                <w:rFonts w:ascii="Times New Roman" w:hAnsi="Times New Roman"/>
                <w:sz w:val="25"/>
                <w:szCs w:val="25"/>
                <w:lang w:val="lv-LV"/>
              </w:rPr>
            </w:pPr>
            <w:r w:rsidRPr="009A5537">
              <w:rPr>
                <w:rFonts w:ascii="Times New Roman" w:hAnsi="Times New Roman"/>
                <w:color w:val="000000"/>
                <w:sz w:val="25"/>
                <w:szCs w:val="25"/>
                <w:lang w:val="lv-LV"/>
              </w:rPr>
              <w:t>Projekts šo jomu neskar.</w:t>
            </w:r>
          </w:p>
        </w:tc>
      </w:tr>
      <w:tr w:rsidR="00D40CFC" w:rsidRPr="009A5537" w14:paraId="58F028A1" w14:textId="77777777" w:rsidTr="00F66F09">
        <w:trPr>
          <w:trHeight w:val="517"/>
        </w:trPr>
        <w:tc>
          <w:tcPr>
            <w:tcW w:w="920" w:type="dxa"/>
          </w:tcPr>
          <w:p w14:paraId="58C6CFD2" w14:textId="77777777" w:rsidR="00D40CFC" w:rsidRPr="009A5537" w:rsidRDefault="00D40CFC" w:rsidP="00D40CFC">
            <w:pPr>
              <w:rPr>
                <w:rFonts w:ascii="Times New Roman" w:hAnsi="Times New Roman"/>
                <w:sz w:val="25"/>
                <w:szCs w:val="25"/>
                <w:lang w:val="lv-LV"/>
              </w:rPr>
            </w:pPr>
            <w:r w:rsidRPr="009A5537">
              <w:rPr>
                <w:rFonts w:ascii="Times New Roman" w:hAnsi="Times New Roman"/>
                <w:sz w:val="25"/>
                <w:szCs w:val="25"/>
                <w:lang w:val="lv-LV"/>
              </w:rPr>
              <w:t>4.</w:t>
            </w:r>
          </w:p>
        </w:tc>
        <w:tc>
          <w:tcPr>
            <w:tcW w:w="4252" w:type="dxa"/>
          </w:tcPr>
          <w:p w14:paraId="5E1F87F9" w14:textId="77777777" w:rsidR="00D40CFC" w:rsidRPr="009A5537" w:rsidRDefault="00951FF3" w:rsidP="00D40CFC">
            <w:pPr>
              <w:rPr>
                <w:rFonts w:ascii="Times New Roman" w:hAnsi="Times New Roman"/>
                <w:sz w:val="25"/>
                <w:szCs w:val="25"/>
                <w:lang w:val="lv-LV"/>
              </w:rPr>
            </w:pPr>
            <w:r w:rsidRPr="009A5537">
              <w:rPr>
                <w:rFonts w:ascii="Times New Roman" w:hAnsi="Times New Roman"/>
                <w:sz w:val="25"/>
                <w:szCs w:val="25"/>
                <w:lang w:val="lv-LV"/>
              </w:rPr>
              <w:t>Cita informācija</w:t>
            </w:r>
          </w:p>
        </w:tc>
        <w:tc>
          <w:tcPr>
            <w:tcW w:w="4043" w:type="dxa"/>
          </w:tcPr>
          <w:p w14:paraId="7AB04FBE" w14:textId="77777777" w:rsidR="00D40CFC" w:rsidRPr="009A5537" w:rsidRDefault="00951FF3" w:rsidP="00DB1BED">
            <w:pPr>
              <w:jc w:val="both"/>
              <w:rPr>
                <w:rFonts w:ascii="Times New Roman" w:hAnsi="Times New Roman"/>
                <w:sz w:val="25"/>
                <w:szCs w:val="25"/>
                <w:lang w:val="lv-LV"/>
              </w:rPr>
            </w:pPr>
            <w:r w:rsidRPr="009A5537">
              <w:rPr>
                <w:rFonts w:ascii="Times New Roman" w:hAnsi="Times New Roman"/>
                <w:color w:val="000000"/>
                <w:sz w:val="25"/>
                <w:szCs w:val="25"/>
                <w:lang w:val="lv-LV"/>
              </w:rPr>
              <w:t>Nav</w:t>
            </w:r>
          </w:p>
        </w:tc>
      </w:tr>
    </w:tbl>
    <w:p w14:paraId="10538507" w14:textId="77777777" w:rsidR="00830152" w:rsidRPr="009A5537" w:rsidRDefault="00830152" w:rsidP="00D40CFC">
      <w:pPr>
        <w:spacing w:after="0" w:line="240" w:lineRule="auto"/>
        <w:jc w:val="center"/>
        <w:rPr>
          <w:rFonts w:ascii="Times New Roman" w:hAnsi="Times New Roman"/>
          <w:b/>
          <w:sz w:val="25"/>
          <w:szCs w:val="25"/>
          <w:lang w:val="lv-LV"/>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1250"/>
        <w:gridCol w:w="1496"/>
        <w:gridCol w:w="1265"/>
        <w:gridCol w:w="1265"/>
        <w:gridCol w:w="1627"/>
      </w:tblGrid>
      <w:tr w:rsidR="00C93598" w:rsidRPr="004C4FD3" w14:paraId="138159E0" w14:textId="77777777" w:rsidTr="00F66F09">
        <w:trPr>
          <w:trHeight w:val="361"/>
          <w:jc w:val="center"/>
        </w:trPr>
        <w:tc>
          <w:tcPr>
            <w:tcW w:w="9225" w:type="dxa"/>
            <w:gridSpan w:val="6"/>
            <w:tcBorders>
              <w:top w:val="single" w:sz="4" w:space="0" w:color="auto"/>
              <w:left w:val="single" w:sz="4" w:space="0" w:color="auto"/>
              <w:bottom w:val="single" w:sz="4" w:space="0" w:color="auto"/>
              <w:right w:val="single" w:sz="4" w:space="0" w:color="auto"/>
            </w:tcBorders>
            <w:vAlign w:val="center"/>
            <w:hideMark/>
          </w:tcPr>
          <w:p w14:paraId="03FCC795" w14:textId="77777777" w:rsidR="00C93598" w:rsidRPr="009A5537" w:rsidRDefault="00C93598">
            <w:pPr>
              <w:pStyle w:val="naisnod"/>
              <w:spacing w:before="0" w:beforeAutospacing="0" w:after="0" w:afterAutospacing="0" w:line="276" w:lineRule="auto"/>
              <w:jc w:val="center"/>
              <w:rPr>
                <w:b/>
                <w:i/>
                <w:sz w:val="25"/>
                <w:szCs w:val="25"/>
                <w:lang w:val="lv-LV"/>
              </w:rPr>
            </w:pPr>
            <w:r w:rsidRPr="009A5537">
              <w:rPr>
                <w:sz w:val="25"/>
                <w:szCs w:val="25"/>
                <w:lang w:val="lv-LV"/>
              </w:rPr>
              <w:br w:type="page"/>
            </w:r>
            <w:r w:rsidRPr="009A5537">
              <w:rPr>
                <w:b/>
                <w:sz w:val="25"/>
                <w:szCs w:val="25"/>
                <w:lang w:val="lv-LV"/>
              </w:rPr>
              <w:t>III. Tiesību akta projekta ietekme uz valsts budžetu un pašvaldību budžetiem</w:t>
            </w:r>
          </w:p>
        </w:tc>
      </w:tr>
      <w:tr w:rsidR="00C93598" w:rsidRPr="009A5537" w14:paraId="40F6B709" w14:textId="77777777" w:rsidTr="00F66F09">
        <w:trPr>
          <w:jc w:val="center"/>
        </w:trPr>
        <w:tc>
          <w:tcPr>
            <w:tcW w:w="2367" w:type="dxa"/>
            <w:vMerge w:val="restart"/>
            <w:tcBorders>
              <w:top w:val="single" w:sz="4" w:space="0" w:color="auto"/>
              <w:left w:val="single" w:sz="4" w:space="0" w:color="auto"/>
              <w:bottom w:val="single" w:sz="4" w:space="0" w:color="auto"/>
              <w:right w:val="single" w:sz="4" w:space="0" w:color="auto"/>
            </w:tcBorders>
            <w:vAlign w:val="center"/>
            <w:hideMark/>
          </w:tcPr>
          <w:p w14:paraId="6461A96F" w14:textId="77777777" w:rsidR="00C93598" w:rsidRPr="009A5537" w:rsidRDefault="00C93598">
            <w:pPr>
              <w:pStyle w:val="naisf"/>
              <w:spacing w:before="0" w:beforeAutospacing="0" w:after="0" w:afterAutospacing="0" w:line="276" w:lineRule="auto"/>
              <w:jc w:val="center"/>
              <w:rPr>
                <w:b/>
                <w:sz w:val="25"/>
                <w:szCs w:val="25"/>
                <w:lang w:val="lv-LV"/>
              </w:rPr>
            </w:pPr>
            <w:r w:rsidRPr="009A5537">
              <w:rPr>
                <w:b/>
                <w:sz w:val="25"/>
                <w:szCs w:val="25"/>
                <w:lang w:val="lv-LV"/>
              </w:rPr>
              <w:t>Rādītāji</w:t>
            </w:r>
          </w:p>
        </w:tc>
        <w:tc>
          <w:tcPr>
            <w:tcW w:w="27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ADF6F8" w14:textId="77777777" w:rsidR="00C93598" w:rsidRPr="009A5537" w:rsidRDefault="00C93598">
            <w:pPr>
              <w:pStyle w:val="naisf"/>
              <w:spacing w:before="0" w:beforeAutospacing="0" w:after="0" w:afterAutospacing="0" w:line="276" w:lineRule="auto"/>
              <w:jc w:val="center"/>
              <w:rPr>
                <w:b/>
                <w:sz w:val="25"/>
                <w:szCs w:val="25"/>
                <w:lang w:val="lv-LV"/>
              </w:rPr>
            </w:pPr>
            <w:r w:rsidRPr="009A5537">
              <w:rPr>
                <w:b/>
                <w:sz w:val="25"/>
                <w:szCs w:val="25"/>
                <w:lang w:val="lv-LV"/>
              </w:rPr>
              <w:t>2014.gads</w:t>
            </w:r>
          </w:p>
        </w:tc>
        <w:tc>
          <w:tcPr>
            <w:tcW w:w="4090" w:type="dxa"/>
            <w:gridSpan w:val="3"/>
            <w:tcBorders>
              <w:top w:val="single" w:sz="4" w:space="0" w:color="auto"/>
              <w:left w:val="single" w:sz="4" w:space="0" w:color="auto"/>
              <w:bottom w:val="single" w:sz="4" w:space="0" w:color="auto"/>
              <w:right w:val="single" w:sz="4" w:space="0" w:color="auto"/>
            </w:tcBorders>
            <w:vAlign w:val="center"/>
            <w:hideMark/>
          </w:tcPr>
          <w:p w14:paraId="59E8544B" w14:textId="77777777" w:rsidR="00C93598" w:rsidRPr="009A5537" w:rsidRDefault="00C93598">
            <w:pPr>
              <w:pStyle w:val="naisf"/>
              <w:spacing w:before="0" w:beforeAutospacing="0" w:after="0" w:afterAutospacing="0" w:line="276" w:lineRule="auto"/>
              <w:jc w:val="center"/>
              <w:rPr>
                <w:b/>
                <w:i/>
                <w:sz w:val="25"/>
                <w:szCs w:val="25"/>
                <w:lang w:val="lv-LV"/>
              </w:rPr>
            </w:pPr>
            <w:r w:rsidRPr="009A5537">
              <w:rPr>
                <w:sz w:val="25"/>
                <w:szCs w:val="25"/>
                <w:lang w:val="lv-LV"/>
              </w:rPr>
              <w:t>Turpmākie trīs gadi (euro)</w:t>
            </w:r>
          </w:p>
        </w:tc>
      </w:tr>
      <w:tr w:rsidR="00C93598" w:rsidRPr="009A5537" w14:paraId="51940701" w14:textId="77777777" w:rsidTr="00F66F09">
        <w:trPr>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14:paraId="53D89C6D" w14:textId="77777777" w:rsidR="00C93598" w:rsidRPr="009A5537" w:rsidRDefault="00C93598">
            <w:pPr>
              <w:spacing w:after="0"/>
              <w:rPr>
                <w:rFonts w:ascii="Times New Roman" w:eastAsia="Times New Roman" w:hAnsi="Times New Roman" w:cs="Times New Roman"/>
                <w:b/>
                <w:sz w:val="25"/>
                <w:szCs w:val="25"/>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F5D85E" w14:textId="77777777" w:rsidR="00C93598" w:rsidRPr="009A5537" w:rsidRDefault="00C93598">
            <w:pPr>
              <w:spacing w:after="0"/>
              <w:rPr>
                <w:rFonts w:ascii="Times New Roman" w:eastAsia="Times New Roman" w:hAnsi="Times New Roman" w:cs="Times New Roman"/>
                <w:b/>
                <w:sz w:val="25"/>
                <w:szCs w:val="25"/>
                <w:lang w:val="lv-LV"/>
              </w:rPr>
            </w:pPr>
          </w:p>
        </w:tc>
        <w:tc>
          <w:tcPr>
            <w:tcW w:w="1223" w:type="dxa"/>
            <w:tcBorders>
              <w:top w:val="single" w:sz="4" w:space="0" w:color="auto"/>
              <w:left w:val="single" w:sz="4" w:space="0" w:color="auto"/>
              <w:bottom w:val="single" w:sz="4" w:space="0" w:color="auto"/>
              <w:right w:val="single" w:sz="4" w:space="0" w:color="auto"/>
            </w:tcBorders>
            <w:vAlign w:val="center"/>
            <w:hideMark/>
          </w:tcPr>
          <w:p w14:paraId="6D7A4EA9" w14:textId="77777777" w:rsidR="00C93598" w:rsidRPr="009A5537" w:rsidRDefault="00C93598">
            <w:pPr>
              <w:pStyle w:val="naisf"/>
              <w:spacing w:before="0" w:beforeAutospacing="0" w:after="0" w:afterAutospacing="0" w:line="276" w:lineRule="auto"/>
              <w:jc w:val="center"/>
              <w:rPr>
                <w:b/>
                <w:i/>
                <w:sz w:val="25"/>
                <w:szCs w:val="25"/>
                <w:lang w:val="lv-LV"/>
              </w:rPr>
            </w:pPr>
            <w:r w:rsidRPr="009A5537">
              <w:rPr>
                <w:b/>
                <w:bCs/>
                <w:sz w:val="25"/>
                <w:szCs w:val="25"/>
                <w:lang w:val="lv-LV"/>
              </w:rPr>
              <w:t>2015.gads</w:t>
            </w:r>
          </w:p>
        </w:tc>
        <w:tc>
          <w:tcPr>
            <w:tcW w:w="1223" w:type="dxa"/>
            <w:tcBorders>
              <w:top w:val="single" w:sz="4" w:space="0" w:color="auto"/>
              <w:left w:val="single" w:sz="4" w:space="0" w:color="auto"/>
              <w:bottom w:val="single" w:sz="4" w:space="0" w:color="auto"/>
              <w:right w:val="single" w:sz="4" w:space="0" w:color="auto"/>
            </w:tcBorders>
            <w:vAlign w:val="center"/>
            <w:hideMark/>
          </w:tcPr>
          <w:p w14:paraId="0828924C" w14:textId="77777777" w:rsidR="00C93598" w:rsidRPr="009A5537" w:rsidRDefault="00C93598">
            <w:pPr>
              <w:pStyle w:val="naisf"/>
              <w:spacing w:before="0" w:beforeAutospacing="0" w:after="0" w:afterAutospacing="0" w:line="276" w:lineRule="auto"/>
              <w:jc w:val="center"/>
              <w:rPr>
                <w:b/>
                <w:i/>
                <w:sz w:val="25"/>
                <w:szCs w:val="25"/>
                <w:lang w:val="lv-LV"/>
              </w:rPr>
            </w:pPr>
            <w:r w:rsidRPr="009A5537">
              <w:rPr>
                <w:b/>
                <w:bCs/>
                <w:sz w:val="25"/>
                <w:szCs w:val="25"/>
                <w:lang w:val="lv-LV"/>
              </w:rPr>
              <w:t>2016.gads</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7812C7A" w14:textId="77777777" w:rsidR="00C93598" w:rsidRPr="009A5537" w:rsidRDefault="00C93598">
            <w:pPr>
              <w:pStyle w:val="naisf"/>
              <w:spacing w:before="0" w:beforeAutospacing="0" w:after="0" w:afterAutospacing="0" w:line="276" w:lineRule="auto"/>
              <w:jc w:val="center"/>
              <w:rPr>
                <w:b/>
                <w:i/>
                <w:sz w:val="25"/>
                <w:szCs w:val="25"/>
                <w:lang w:val="lv-LV"/>
              </w:rPr>
            </w:pPr>
            <w:r w:rsidRPr="009A5537">
              <w:rPr>
                <w:b/>
                <w:bCs/>
                <w:sz w:val="25"/>
                <w:szCs w:val="25"/>
                <w:lang w:val="lv-LV"/>
              </w:rPr>
              <w:t>2017.gads</w:t>
            </w:r>
          </w:p>
        </w:tc>
      </w:tr>
      <w:tr w:rsidR="00C93598" w:rsidRPr="009A5537" w14:paraId="3D8C4EA0" w14:textId="77777777" w:rsidTr="00F66F09">
        <w:trPr>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14:paraId="36DDA487" w14:textId="77777777" w:rsidR="00C93598" w:rsidRPr="009A5537" w:rsidRDefault="00C93598">
            <w:pPr>
              <w:spacing w:after="0"/>
              <w:rPr>
                <w:rFonts w:ascii="Times New Roman" w:eastAsia="Times New Roman" w:hAnsi="Times New Roman" w:cs="Times New Roman"/>
                <w:b/>
                <w:sz w:val="25"/>
                <w:szCs w:val="25"/>
                <w:lang w:val="lv-LV"/>
              </w:rPr>
            </w:pPr>
          </w:p>
        </w:tc>
        <w:tc>
          <w:tcPr>
            <w:tcW w:w="1258" w:type="dxa"/>
            <w:tcBorders>
              <w:top w:val="single" w:sz="4" w:space="0" w:color="auto"/>
              <w:left w:val="single" w:sz="4" w:space="0" w:color="auto"/>
              <w:bottom w:val="single" w:sz="4" w:space="0" w:color="auto"/>
              <w:right w:val="single" w:sz="4" w:space="0" w:color="auto"/>
            </w:tcBorders>
            <w:vAlign w:val="center"/>
            <w:hideMark/>
          </w:tcPr>
          <w:p w14:paraId="6FFDAFD9" w14:textId="77777777" w:rsidR="00C93598" w:rsidRPr="009A5537" w:rsidRDefault="00C93598">
            <w:pPr>
              <w:pStyle w:val="naisf"/>
              <w:spacing w:before="0" w:beforeAutospacing="0" w:after="0" w:afterAutospacing="0" w:line="276" w:lineRule="auto"/>
              <w:jc w:val="center"/>
              <w:rPr>
                <w:b/>
                <w:i/>
                <w:sz w:val="25"/>
                <w:szCs w:val="25"/>
                <w:lang w:val="lv-LV"/>
              </w:rPr>
            </w:pPr>
            <w:r w:rsidRPr="009A5537">
              <w:rPr>
                <w:sz w:val="25"/>
                <w:szCs w:val="25"/>
                <w:lang w:val="lv-LV"/>
              </w:rPr>
              <w:t>saskaņā ar valsts budžetu kārtējam gadam</w:t>
            </w:r>
          </w:p>
        </w:tc>
        <w:tc>
          <w:tcPr>
            <w:tcW w:w="1510" w:type="dxa"/>
            <w:tcBorders>
              <w:top w:val="single" w:sz="4" w:space="0" w:color="auto"/>
              <w:left w:val="single" w:sz="4" w:space="0" w:color="auto"/>
              <w:bottom w:val="single" w:sz="4" w:space="0" w:color="auto"/>
              <w:right w:val="single" w:sz="4" w:space="0" w:color="auto"/>
            </w:tcBorders>
            <w:vAlign w:val="center"/>
            <w:hideMark/>
          </w:tcPr>
          <w:p w14:paraId="72500BBE" w14:textId="77777777" w:rsidR="00C93598" w:rsidRPr="009A5537" w:rsidRDefault="00C93598">
            <w:pPr>
              <w:pStyle w:val="naisf"/>
              <w:spacing w:before="0" w:beforeAutospacing="0" w:after="0" w:afterAutospacing="0" w:line="276" w:lineRule="auto"/>
              <w:jc w:val="center"/>
              <w:rPr>
                <w:b/>
                <w:i/>
                <w:sz w:val="25"/>
                <w:szCs w:val="25"/>
                <w:lang w:val="lv-LV"/>
              </w:rPr>
            </w:pPr>
            <w:r w:rsidRPr="009A5537">
              <w:rPr>
                <w:sz w:val="25"/>
                <w:szCs w:val="25"/>
                <w:lang w:val="lv-LV"/>
              </w:rPr>
              <w:t>izmaiņas kārtējā gadā, salīdzinot ar budžetu kārtējam gadam</w:t>
            </w:r>
          </w:p>
        </w:tc>
        <w:tc>
          <w:tcPr>
            <w:tcW w:w="1223" w:type="dxa"/>
            <w:tcBorders>
              <w:top w:val="single" w:sz="4" w:space="0" w:color="auto"/>
              <w:left w:val="single" w:sz="4" w:space="0" w:color="auto"/>
              <w:bottom w:val="single" w:sz="4" w:space="0" w:color="auto"/>
              <w:right w:val="single" w:sz="4" w:space="0" w:color="auto"/>
            </w:tcBorders>
            <w:vAlign w:val="center"/>
            <w:hideMark/>
          </w:tcPr>
          <w:p w14:paraId="03DF783B" w14:textId="77777777" w:rsidR="00C93598" w:rsidRPr="009A5537" w:rsidRDefault="00C93598">
            <w:pPr>
              <w:pStyle w:val="naisf"/>
              <w:spacing w:before="0" w:beforeAutospacing="0" w:after="0" w:afterAutospacing="0" w:line="276" w:lineRule="auto"/>
              <w:jc w:val="center"/>
              <w:rPr>
                <w:b/>
                <w:i/>
                <w:sz w:val="25"/>
                <w:szCs w:val="25"/>
                <w:lang w:val="lv-LV"/>
              </w:rPr>
            </w:pPr>
            <w:r w:rsidRPr="009A5537">
              <w:rPr>
                <w:sz w:val="25"/>
                <w:szCs w:val="25"/>
                <w:lang w:val="lv-LV"/>
              </w:rPr>
              <w:t>izmaiņas, salīdzinot ar kārtējo (n) gadu</w:t>
            </w:r>
          </w:p>
        </w:tc>
        <w:tc>
          <w:tcPr>
            <w:tcW w:w="1223" w:type="dxa"/>
            <w:tcBorders>
              <w:top w:val="single" w:sz="4" w:space="0" w:color="auto"/>
              <w:left w:val="single" w:sz="4" w:space="0" w:color="auto"/>
              <w:bottom w:val="single" w:sz="4" w:space="0" w:color="auto"/>
              <w:right w:val="single" w:sz="4" w:space="0" w:color="auto"/>
            </w:tcBorders>
            <w:vAlign w:val="center"/>
            <w:hideMark/>
          </w:tcPr>
          <w:p w14:paraId="2F141AD2" w14:textId="77777777" w:rsidR="00C93598" w:rsidRPr="009A5537" w:rsidRDefault="00C93598">
            <w:pPr>
              <w:pStyle w:val="naisf"/>
              <w:spacing w:before="0" w:beforeAutospacing="0" w:after="0" w:afterAutospacing="0" w:line="276" w:lineRule="auto"/>
              <w:jc w:val="center"/>
              <w:rPr>
                <w:b/>
                <w:i/>
                <w:sz w:val="25"/>
                <w:szCs w:val="25"/>
                <w:lang w:val="lv-LV"/>
              </w:rPr>
            </w:pPr>
            <w:r w:rsidRPr="009A5537">
              <w:rPr>
                <w:sz w:val="25"/>
                <w:szCs w:val="25"/>
                <w:lang w:val="lv-LV"/>
              </w:rPr>
              <w:t>izmaiņas, salīdzinot ar kārtējo (n) gadu</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155A449" w14:textId="77777777" w:rsidR="00C93598" w:rsidRPr="009A5537" w:rsidRDefault="00C93598">
            <w:pPr>
              <w:pStyle w:val="naisf"/>
              <w:spacing w:before="0" w:beforeAutospacing="0" w:after="0" w:afterAutospacing="0" w:line="276" w:lineRule="auto"/>
              <w:jc w:val="center"/>
              <w:rPr>
                <w:b/>
                <w:i/>
                <w:sz w:val="25"/>
                <w:szCs w:val="25"/>
                <w:lang w:val="lv-LV"/>
              </w:rPr>
            </w:pPr>
            <w:r w:rsidRPr="009A5537">
              <w:rPr>
                <w:sz w:val="25"/>
                <w:szCs w:val="25"/>
                <w:lang w:val="lv-LV"/>
              </w:rPr>
              <w:t>izmaiņas, salīdzinot ar kārtējo (n) gadu</w:t>
            </w:r>
          </w:p>
        </w:tc>
      </w:tr>
      <w:tr w:rsidR="00C93598" w:rsidRPr="009A5537" w14:paraId="0EB6751B" w14:textId="77777777" w:rsidTr="00F66F09">
        <w:trPr>
          <w:jc w:val="center"/>
        </w:trPr>
        <w:tc>
          <w:tcPr>
            <w:tcW w:w="2367" w:type="dxa"/>
            <w:tcBorders>
              <w:top w:val="single" w:sz="4" w:space="0" w:color="auto"/>
              <w:left w:val="single" w:sz="4" w:space="0" w:color="auto"/>
              <w:bottom w:val="single" w:sz="4" w:space="0" w:color="auto"/>
              <w:right w:val="single" w:sz="4" w:space="0" w:color="auto"/>
            </w:tcBorders>
            <w:vAlign w:val="center"/>
            <w:hideMark/>
          </w:tcPr>
          <w:p w14:paraId="4AB11C40" w14:textId="77777777" w:rsidR="00C93598" w:rsidRPr="009A5537" w:rsidRDefault="00C93598">
            <w:pPr>
              <w:pStyle w:val="naisf"/>
              <w:spacing w:before="0" w:beforeAutospacing="0" w:after="0" w:afterAutospacing="0" w:line="276" w:lineRule="auto"/>
              <w:jc w:val="center"/>
              <w:rPr>
                <w:bCs/>
                <w:sz w:val="25"/>
                <w:szCs w:val="25"/>
                <w:lang w:val="lv-LV"/>
              </w:rPr>
            </w:pPr>
            <w:r w:rsidRPr="009A5537">
              <w:rPr>
                <w:bCs/>
                <w:sz w:val="25"/>
                <w:szCs w:val="25"/>
                <w:lang w:val="lv-LV"/>
              </w:rPr>
              <w:t>1</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795B213" w14:textId="77777777" w:rsidR="00C93598" w:rsidRPr="009A5537" w:rsidRDefault="00C93598">
            <w:pPr>
              <w:pStyle w:val="naisf"/>
              <w:spacing w:before="0" w:beforeAutospacing="0" w:after="0" w:afterAutospacing="0" w:line="276" w:lineRule="auto"/>
              <w:jc w:val="center"/>
              <w:rPr>
                <w:bCs/>
                <w:sz w:val="25"/>
                <w:szCs w:val="25"/>
                <w:lang w:val="lv-LV"/>
              </w:rPr>
            </w:pPr>
            <w:r w:rsidRPr="009A5537">
              <w:rPr>
                <w:bCs/>
                <w:sz w:val="25"/>
                <w:szCs w:val="25"/>
                <w:lang w:val="lv-LV"/>
              </w:rPr>
              <w:t>2</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4DD28D2" w14:textId="77777777" w:rsidR="00C93598" w:rsidRPr="009A5537" w:rsidRDefault="00C93598">
            <w:pPr>
              <w:pStyle w:val="naisf"/>
              <w:spacing w:before="0" w:beforeAutospacing="0" w:after="0" w:afterAutospacing="0" w:line="276" w:lineRule="auto"/>
              <w:jc w:val="center"/>
              <w:rPr>
                <w:bCs/>
                <w:sz w:val="25"/>
                <w:szCs w:val="25"/>
                <w:lang w:val="lv-LV"/>
              </w:rPr>
            </w:pPr>
            <w:r w:rsidRPr="009A5537">
              <w:rPr>
                <w:bCs/>
                <w:sz w:val="25"/>
                <w:szCs w:val="25"/>
                <w:lang w:val="lv-LV"/>
              </w:rPr>
              <w:t>3</w:t>
            </w:r>
          </w:p>
        </w:tc>
        <w:tc>
          <w:tcPr>
            <w:tcW w:w="1223" w:type="dxa"/>
            <w:tcBorders>
              <w:top w:val="single" w:sz="4" w:space="0" w:color="auto"/>
              <w:left w:val="single" w:sz="4" w:space="0" w:color="auto"/>
              <w:bottom w:val="single" w:sz="4" w:space="0" w:color="auto"/>
              <w:right w:val="single" w:sz="4" w:space="0" w:color="auto"/>
            </w:tcBorders>
            <w:vAlign w:val="center"/>
            <w:hideMark/>
          </w:tcPr>
          <w:p w14:paraId="0373B052" w14:textId="77777777" w:rsidR="00C93598" w:rsidRPr="009A5537" w:rsidRDefault="00C93598">
            <w:pPr>
              <w:pStyle w:val="naisf"/>
              <w:spacing w:before="0" w:beforeAutospacing="0" w:after="0" w:afterAutospacing="0" w:line="276" w:lineRule="auto"/>
              <w:jc w:val="center"/>
              <w:rPr>
                <w:bCs/>
                <w:sz w:val="25"/>
                <w:szCs w:val="25"/>
                <w:lang w:val="lv-LV"/>
              </w:rPr>
            </w:pPr>
            <w:r w:rsidRPr="009A5537">
              <w:rPr>
                <w:bCs/>
                <w:sz w:val="25"/>
                <w:szCs w:val="25"/>
                <w:lang w:val="lv-LV"/>
              </w:rPr>
              <w:t>4</w:t>
            </w:r>
          </w:p>
        </w:tc>
        <w:tc>
          <w:tcPr>
            <w:tcW w:w="1223" w:type="dxa"/>
            <w:tcBorders>
              <w:top w:val="single" w:sz="4" w:space="0" w:color="auto"/>
              <w:left w:val="single" w:sz="4" w:space="0" w:color="auto"/>
              <w:bottom w:val="single" w:sz="4" w:space="0" w:color="auto"/>
              <w:right w:val="single" w:sz="4" w:space="0" w:color="auto"/>
            </w:tcBorders>
            <w:vAlign w:val="center"/>
            <w:hideMark/>
          </w:tcPr>
          <w:p w14:paraId="083FFDD4" w14:textId="77777777" w:rsidR="00C93598" w:rsidRPr="009A5537" w:rsidRDefault="00C93598">
            <w:pPr>
              <w:pStyle w:val="naisf"/>
              <w:spacing w:before="0" w:beforeAutospacing="0" w:after="0" w:afterAutospacing="0" w:line="276" w:lineRule="auto"/>
              <w:jc w:val="center"/>
              <w:rPr>
                <w:bCs/>
                <w:sz w:val="25"/>
                <w:szCs w:val="25"/>
                <w:lang w:val="lv-LV"/>
              </w:rPr>
            </w:pPr>
            <w:r w:rsidRPr="009A5537">
              <w:rPr>
                <w:bCs/>
                <w:sz w:val="25"/>
                <w:szCs w:val="25"/>
                <w:lang w:val="lv-LV"/>
              </w:rPr>
              <w:t>5</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9F95ECC" w14:textId="77777777" w:rsidR="00C93598" w:rsidRPr="009A5537" w:rsidRDefault="00C93598">
            <w:pPr>
              <w:pStyle w:val="naisf"/>
              <w:spacing w:before="0" w:beforeAutospacing="0" w:after="0" w:afterAutospacing="0" w:line="276" w:lineRule="auto"/>
              <w:jc w:val="center"/>
              <w:rPr>
                <w:bCs/>
                <w:sz w:val="25"/>
                <w:szCs w:val="25"/>
                <w:lang w:val="lv-LV"/>
              </w:rPr>
            </w:pPr>
            <w:r w:rsidRPr="009A5537">
              <w:rPr>
                <w:bCs/>
                <w:sz w:val="25"/>
                <w:szCs w:val="25"/>
                <w:lang w:val="lv-LV"/>
              </w:rPr>
              <w:t>6</w:t>
            </w:r>
          </w:p>
        </w:tc>
      </w:tr>
      <w:tr w:rsidR="00C93598" w:rsidRPr="004C4FD3" w14:paraId="6A07D18A" w14:textId="77777777" w:rsidTr="00F66F09">
        <w:trPr>
          <w:trHeight w:val="556"/>
          <w:jc w:val="center"/>
        </w:trPr>
        <w:tc>
          <w:tcPr>
            <w:tcW w:w="2367" w:type="dxa"/>
            <w:tcBorders>
              <w:top w:val="single" w:sz="4" w:space="0" w:color="auto"/>
              <w:left w:val="single" w:sz="4" w:space="0" w:color="auto"/>
              <w:bottom w:val="single" w:sz="4" w:space="0" w:color="auto"/>
              <w:right w:val="single" w:sz="4" w:space="0" w:color="auto"/>
            </w:tcBorders>
            <w:hideMark/>
          </w:tcPr>
          <w:p w14:paraId="0BAE0AB1" w14:textId="77777777" w:rsidR="00C93598" w:rsidRPr="009A5537" w:rsidRDefault="00C93598">
            <w:pPr>
              <w:spacing w:after="0" w:line="240" w:lineRule="auto"/>
              <w:rPr>
                <w:rFonts w:ascii="Times New Roman" w:hAnsi="Times New Roman" w:cs="Times New Roman"/>
                <w:color w:val="000000" w:themeColor="text1"/>
                <w:sz w:val="25"/>
                <w:szCs w:val="25"/>
                <w:lang w:val="lv-LV"/>
              </w:rPr>
            </w:pPr>
            <w:r w:rsidRPr="009A5537">
              <w:rPr>
                <w:rFonts w:ascii="Times New Roman" w:hAnsi="Times New Roman" w:cs="Times New Roman"/>
                <w:color w:val="000000" w:themeColor="text1"/>
                <w:sz w:val="25"/>
                <w:szCs w:val="25"/>
                <w:lang w:val="lv-LV"/>
              </w:rPr>
              <w:t>7. Cita informācija</w:t>
            </w:r>
          </w:p>
        </w:tc>
        <w:tc>
          <w:tcPr>
            <w:tcW w:w="6858" w:type="dxa"/>
            <w:gridSpan w:val="5"/>
            <w:tcBorders>
              <w:top w:val="single" w:sz="4" w:space="0" w:color="auto"/>
              <w:left w:val="single" w:sz="4" w:space="0" w:color="auto"/>
              <w:bottom w:val="single" w:sz="4" w:space="0" w:color="auto"/>
              <w:right w:val="single" w:sz="4" w:space="0" w:color="auto"/>
            </w:tcBorders>
            <w:hideMark/>
          </w:tcPr>
          <w:p w14:paraId="04589469" w14:textId="66F3564F" w:rsidR="00C12730" w:rsidRPr="009A5537" w:rsidRDefault="00057282" w:rsidP="00936938">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Ir</w:t>
            </w:r>
            <w:r w:rsidR="00C12730" w:rsidRPr="009A5537">
              <w:rPr>
                <w:rFonts w:ascii="Times New Roman" w:hAnsi="Times New Roman"/>
                <w:sz w:val="25"/>
                <w:szCs w:val="25"/>
                <w:lang w:val="lv-LV"/>
              </w:rPr>
              <w:t xml:space="preserve"> izstrādāta jauna - 2.3.2.2.3.apakšaktivitāte </w:t>
            </w:r>
            <w:r w:rsidRPr="009A5537">
              <w:rPr>
                <w:rFonts w:ascii="Times New Roman" w:hAnsi="Times New Roman"/>
                <w:sz w:val="25"/>
                <w:szCs w:val="25"/>
                <w:lang w:val="lv-LV"/>
              </w:rPr>
              <w:t>ar</w:t>
            </w:r>
            <w:r w:rsidR="00C12730" w:rsidRPr="009A5537">
              <w:rPr>
                <w:rFonts w:ascii="Times New Roman" w:hAnsi="Times New Roman"/>
                <w:sz w:val="25"/>
                <w:szCs w:val="25"/>
                <w:lang w:val="lv-LV"/>
              </w:rPr>
              <w:t xml:space="preserve"> mērķi veicināt valsts līdzsvarotu attīstību, veicot ieguldījumus uzņēmējdarbības attīstību un konkurētspēju sekmējošā infrastruktūrā saskaņā ar integrētām pašvaldību attīstības programmām.</w:t>
            </w:r>
          </w:p>
          <w:p w14:paraId="6875646A" w14:textId="77777777" w:rsidR="00C12730" w:rsidRPr="009A5537" w:rsidRDefault="00C12730" w:rsidP="00936938">
            <w:pPr>
              <w:spacing w:after="0" w:line="240" w:lineRule="auto"/>
              <w:jc w:val="both"/>
              <w:rPr>
                <w:rFonts w:ascii="Times New Roman" w:hAnsi="Times New Roman"/>
                <w:color w:val="000000" w:themeColor="text1"/>
                <w:sz w:val="25"/>
                <w:szCs w:val="25"/>
                <w:lang w:val="lv-LV" w:eastAsia="lv-LV"/>
              </w:rPr>
            </w:pPr>
          </w:p>
          <w:p w14:paraId="5E51F814" w14:textId="430DBBFC" w:rsidR="007C75FE" w:rsidRPr="009A5537" w:rsidRDefault="007C75FE" w:rsidP="007C75FE">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 xml:space="preserve">Pēc MK noteikumu </w:t>
            </w:r>
            <w:r w:rsidR="00D36FD0" w:rsidRPr="009A5537">
              <w:rPr>
                <w:rFonts w:ascii="Times New Roman" w:hAnsi="Times New Roman"/>
                <w:sz w:val="25"/>
                <w:szCs w:val="25"/>
                <w:lang w:val="lv-LV"/>
              </w:rPr>
              <w:t xml:space="preserve">projekta </w:t>
            </w:r>
            <w:r w:rsidRPr="009A5537">
              <w:rPr>
                <w:rFonts w:ascii="Times New Roman" w:hAnsi="Times New Roman"/>
                <w:sz w:val="25"/>
                <w:szCs w:val="25"/>
                <w:lang w:val="lv-LV"/>
              </w:rPr>
              <w:t xml:space="preserve">un kritēriju apstiprināšanas tiks organizēta 3.6.2.1.aktivitātes un 3.6.1.1.aktivitātes </w:t>
            </w:r>
            <w:r w:rsidRPr="009A5537">
              <w:rPr>
                <w:rFonts w:ascii="Times New Roman" w:hAnsi="Times New Roman"/>
                <w:sz w:val="25"/>
                <w:szCs w:val="25"/>
                <w:u w:val="single"/>
                <w:lang w:val="lv-LV"/>
              </w:rPr>
              <w:t>ietvaros iesniegto projektu, kas šobrīd jau tiek īstenoti vai ir jau pabeigti</w:t>
            </w:r>
            <w:r w:rsidRPr="009A5537">
              <w:rPr>
                <w:rFonts w:ascii="Times New Roman" w:hAnsi="Times New Roman"/>
                <w:sz w:val="25"/>
                <w:szCs w:val="25"/>
                <w:lang w:val="lv-LV"/>
              </w:rPr>
              <w:t xml:space="preserve">, pārbaude atbilstoši izstrādātajai kritēriju kopai. </w:t>
            </w:r>
            <w:r w:rsidRPr="009A5537">
              <w:rPr>
                <w:rFonts w:ascii="Times New Roman" w:hAnsi="Times New Roman"/>
                <w:sz w:val="25"/>
                <w:szCs w:val="25"/>
                <w:u w:val="single"/>
                <w:lang w:val="lv-LV"/>
              </w:rPr>
              <w:t xml:space="preserve">Tie projekti, kas </w:t>
            </w:r>
            <w:r w:rsidRPr="009A5537">
              <w:rPr>
                <w:rFonts w:ascii="Times New Roman" w:hAnsi="Times New Roman"/>
                <w:sz w:val="25"/>
                <w:szCs w:val="25"/>
                <w:u w:val="single"/>
                <w:lang w:val="lv-LV"/>
              </w:rPr>
              <w:lastRenderedPageBreak/>
              <w:t>atbildīs kritērijiem, tiks pārcelti</w:t>
            </w:r>
            <w:r w:rsidRPr="009A5537">
              <w:rPr>
                <w:rFonts w:ascii="Times New Roman" w:hAnsi="Times New Roman"/>
                <w:sz w:val="25"/>
                <w:szCs w:val="25"/>
                <w:lang w:val="lv-LV"/>
              </w:rPr>
              <w:t xml:space="preserve"> uz 2.3.2.2.3.apakšaktivitāti to aktuālākajā redakcijā.</w:t>
            </w:r>
          </w:p>
          <w:p w14:paraId="6B7EE728" w14:textId="77777777" w:rsidR="007C75FE" w:rsidRPr="009A5537" w:rsidRDefault="007C75FE" w:rsidP="007C75FE">
            <w:pPr>
              <w:spacing w:after="0" w:line="240" w:lineRule="auto"/>
              <w:jc w:val="both"/>
              <w:rPr>
                <w:rFonts w:ascii="Times New Roman" w:hAnsi="Times New Roman"/>
                <w:sz w:val="25"/>
                <w:szCs w:val="25"/>
                <w:lang w:val="lv-LV"/>
              </w:rPr>
            </w:pPr>
          </w:p>
          <w:p w14:paraId="69959150" w14:textId="4492D2CB" w:rsidR="00C12730" w:rsidRPr="009A5537" w:rsidRDefault="00C12730" w:rsidP="00936938">
            <w:pPr>
              <w:spacing w:after="0" w:line="240" w:lineRule="auto"/>
              <w:jc w:val="both"/>
              <w:rPr>
                <w:rFonts w:ascii="Times New Roman" w:hAnsi="Times New Roman"/>
                <w:color w:val="000000" w:themeColor="text1"/>
                <w:sz w:val="25"/>
                <w:szCs w:val="25"/>
                <w:lang w:val="lv-LV" w:eastAsia="lv-LV"/>
              </w:rPr>
            </w:pPr>
            <w:r w:rsidRPr="009A5537">
              <w:rPr>
                <w:rFonts w:ascii="Times New Roman" w:hAnsi="Times New Roman"/>
                <w:color w:val="000000" w:themeColor="text1"/>
                <w:sz w:val="25"/>
                <w:szCs w:val="25"/>
                <w:lang w:val="lv-LV" w:eastAsia="lv-LV"/>
              </w:rPr>
              <w:t>Projektu iesniegumu atlases organizēšana 2.3.2.2.3.apakšaktivitāte</w:t>
            </w:r>
            <w:r w:rsidR="007C75FE" w:rsidRPr="009A5537">
              <w:rPr>
                <w:rFonts w:ascii="Times New Roman" w:hAnsi="Times New Roman"/>
                <w:color w:val="000000" w:themeColor="text1"/>
                <w:sz w:val="25"/>
                <w:szCs w:val="25"/>
                <w:lang w:val="lv-LV" w:eastAsia="lv-LV"/>
              </w:rPr>
              <w:t>s</w:t>
            </w:r>
            <w:r w:rsidRPr="009A5537">
              <w:rPr>
                <w:rFonts w:ascii="Times New Roman" w:hAnsi="Times New Roman"/>
                <w:color w:val="000000" w:themeColor="text1"/>
                <w:sz w:val="25"/>
                <w:szCs w:val="25"/>
                <w:lang w:val="lv-LV" w:eastAsia="lv-LV"/>
              </w:rPr>
              <w:t xml:space="preserve"> ietvaros </w:t>
            </w:r>
            <w:r w:rsidRPr="009A5537">
              <w:rPr>
                <w:rFonts w:ascii="Times New Roman" w:hAnsi="Times New Roman"/>
                <w:color w:val="000000" w:themeColor="text1"/>
                <w:sz w:val="25"/>
                <w:szCs w:val="25"/>
                <w:u w:val="single"/>
                <w:lang w:val="lv-LV" w:eastAsia="lv-LV"/>
              </w:rPr>
              <w:t>nav paredzēta</w:t>
            </w:r>
            <w:r w:rsidRPr="009A5537">
              <w:rPr>
                <w:rFonts w:ascii="Times New Roman" w:hAnsi="Times New Roman"/>
                <w:color w:val="000000" w:themeColor="text1"/>
                <w:sz w:val="25"/>
                <w:szCs w:val="25"/>
                <w:lang w:val="lv-LV" w:eastAsia="lv-LV"/>
              </w:rPr>
              <w:t xml:space="preserve">, </w:t>
            </w:r>
            <w:r w:rsidR="00EC1C79" w:rsidRPr="009A5537">
              <w:rPr>
                <w:rFonts w:ascii="Times New Roman" w:hAnsi="Times New Roman"/>
                <w:color w:val="000000" w:themeColor="text1"/>
                <w:sz w:val="25"/>
                <w:szCs w:val="25"/>
                <w:u w:val="single"/>
                <w:lang w:val="lv-LV" w:eastAsia="lv-LV"/>
              </w:rPr>
              <w:t>jaunus projektus nav plānots apstiprināt</w:t>
            </w:r>
            <w:r w:rsidR="00EC1C79" w:rsidRPr="009A5537">
              <w:rPr>
                <w:rFonts w:ascii="Times New Roman" w:hAnsi="Times New Roman"/>
                <w:color w:val="000000" w:themeColor="text1"/>
                <w:sz w:val="25"/>
                <w:szCs w:val="25"/>
                <w:lang w:val="lv-LV" w:eastAsia="lv-LV"/>
              </w:rPr>
              <w:t xml:space="preserve">, </w:t>
            </w:r>
            <w:r w:rsidRPr="009A5537">
              <w:rPr>
                <w:rFonts w:ascii="Times New Roman" w:hAnsi="Times New Roman"/>
                <w:color w:val="000000" w:themeColor="text1"/>
                <w:sz w:val="25"/>
                <w:szCs w:val="25"/>
                <w:lang w:val="lv-LV" w:eastAsia="lv-LV"/>
              </w:rPr>
              <w:t>arī papildu finansējums projektiem, kas tiks pārcelti, netiks piešķirts, projektu ieviesējus šīs izmaiņas būtiski neietekmēs, tiks mainīta aktivitāte, kuras ietvaros atsevišķi projekti tiks finansēti.</w:t>
            </w:r>
          </w:p>
          <w:p w14:paraId="43DA77D3" w14:textId="77777777" w:rsidR="00EC1C79" w:rsidRPr="009A5537" w:rsidRDefault="00EC1C79" w:rsidP="00057282">
            <w:pPr>
              <w:spacing w:after="0" w:line="240" w:lineRule="auto"/>
              <w:jc w:val="both"/>
              <w:rPr>
                <w:rFonts w:ascii="Times New Roman" w:hAnsi="Times New Roman"/>
                <w:color w:val="000000" w:themeColor="text1"/>
                <w:sz w:val="25"/>
                <w:szCs w:val="25"/>
                <w:lang w:val="lv-LV" w:eastAsia="lv-LV"/>
              </w:rPr>
            </w:pPr>
          </w:p>
          <w:p w14:paraId="567D9B62" w14:textId="4CB4EE5F" w:rsidR="00057282" w:rsidRPr="009A5537" w:rsidRDefault="00EC1C79" w:rsidP="00057282">
            <w:pPr>
              <w:spacing w:after="0" w:line="240" w:lineRule="auto"/>
              <w:jc w:val="both"/>
              <w:rPr>
                <w:rFonts w:ascii="Times New Roman" w:hAnsi="Times New Roman"/>
                <w:sz w:val="25"/>
                <w:szCs w:val="25"/>
                <w:lang w:val="lv-LV"/>
              </w:rPr>
            </w:pPr>
            <w:r w:rsidRPr="009A5537">
              <w:rPr>
                <w:rFonts w:ascii="Times New Roman" w:hAnsi="Times New Roman"/>
                <w:color w:val="000000" w:themeColor="text1"/>
                <w:sz w:val="25"/>
                <w:szCs w:val="25"/>
                <w:lang w:val="lv-LV" w:eastAsia="lv-LV"/>
              </w:rPr>
              <w:t xml:space="preserve">Līdz ar to nekādas ieņēmumu un izdevumu izmaiņas nav paredzētas. Tās jau tika noteiktas sākotnēji anotācijās, kas bija pievienotas MK noteikumiem par </w:t>
            </w:r>
            <w:r w:rsidR="00D36FD0" w:rsidRPr="009A5537">
              <w:rPr>
                <w:rFonts w:ascii="Times New Roman" w:hAnsi="Times New Roman"/>
                <w:color w:val="000000" w:themeColor="text1"/>
                <w:sz w:val="25"/>
                <w:szCs w:val="25"/>
                <w:lang w:val="lv-LV" w:eastAsia="lv-LV"/>
              </w:rPr>
              <w:t>3.6.1.1. un 3.6.2.1.</w:t>
            </w:r>
            <w:r w:rsidRPr="009A5537">
              <w:rPr>
                <w:rFonts w:ascii="Times New Roman" w:hAnsi="Times New Roman"/>
                <w:color w:val="000000" w:themeColor="text1"/>
                <w:sz w:val="25"/>
                <w:szCs w:val="25"/>
                <w:lang w:val="lv-LV" w:eastAsia="lv-LV"/>
              </w:rPr>
              <w:t>aktivitātes īstenošanu, no kurām, attiecīgi šie projekti tiek pārcelti.</w:t>
            </w:r>
          </w:p>
          <w:p w14:paraId="19AAADCE" w14:textId="77777777" w:rsidR="00EC1C79" w:rsidRPr="009A5537" w:rsidRDefault="00EC1C79" w:rsidP="00936938">
            <w:pPr>
              <w:spacing w:after="0" w:line="240" w:lineRule="auto"/>
              <w:jc w:val="both"/>
              <w:rPr>
                <w:rFonts w:ascii="Times New Roman" w:hAnsi="Times New Roman"/>
                <w:color w:val="000000" w:themeColor="text1"/>
                <w:sz w:val="25"/>
                <w:szCs w:val="25"/>
                <w:lang w:val="lv-LV" w:eastAsia="lv-LV"/>
              </w:rPr>
            </w:pPr>
          </w:p>
          <w:p w14:paraId="7A4D1121" w14:textId="6782FD7D" w:rsidR="00936938" w:rsidRPr="009A5537" w:rsidRDefault="00936938" w:rsidP="00936938">
            <w:pPr>
              <w:spacing w:after="0" w:line="240" w:lineRule="auto"/>
              <w:jc w:val="both"/>
              <w:rPr>
                <w:rFonts w:ascii="Times New Roman" w:hAnsi="Times New Roman"/>
                <w:color w:val="000000" w:themeColor="text1"/>
                <w:sz w:val="25"/>
                <w:szCs w:val="25"/>
                <w:lang w:val="lv-LV" w:eastAsia="lv-LV"/>
              </w:rPr>
            </w:pPr>
            <w:r w:rsidRPr="009A5537">
              <w:rPr>
                <w:rFonts w:ascii="Times New Roman" w:hAnsi="Times New Roman"/>
                <w:color w:val="000000" w:themeColor="text1"/>
                <w:sz w:val="25"/>
                <w:szCs w:val="25"/>
                <w:lang w:val="lv-LV" w:eastAsia="lv-LV"/>
              </w:rPr>
              <w:t xml:space="preserve">Kopējais 2.3.2.2.3.apakšaktivitātei pieejamais finansējums ir </w:t>
            </w:r>
            <w:r w:rsidR="00C804D9" w:rsidRPr="009A5537">
              <w:rPr>
                <w:rFonts w:ascii="Times New Roman" w:hAnsi="Times New Roman"/>
                <w:color w:val="000000" w:themeColor="text1"/>
                <w:sz w:val="25"/>
                <w:szCs w:val="25"/>
                <w:lang w:val="lv-LV" w:eastAsia="lv-LV"/>
              </w:rPr>
              <w:t>4</w:t>
            </w:r>
            <w:r w:rsidR="00827216" w:rsidRPr="009A5537">
              <w:rPr>
                <w:rFonts w:ascii="Times New Roman" w:hAnsi="Times New Roman"/>
                <w:color w:val="000000" w:themeColor="text1"/>
                <w:sz w:val="25"/>
                <w:szCs w:val="25"/>
                <w:lang w:val="lv-LV" w:eastAsia="lv-LV"/>
              </w:rPr>
              <w:t>5</w:t>
            </w:r>
            <w:r w:rsidRPr="009A5537">
              <w:rPr>
                <w:rFonts w:ascii="Times New Roman" w:hAnsi="Times New Roman"/>
                <w:color w:val="000000" w:themeColor="text1"/>
                <w:sz w:val="25"/>
                <w:szCs w:val="25"/>
                <w:lang w:val="lv-LV" w:eastAsia="lv-LV"/>
              </w:rPr>
              <w:t> 000 010</w:t>
            </w:r>
            <w:r w:rsidRPr="009A5537">
              <w:rPr>
                <w:rFonts w:ascii="Arial" w:hAnsi="Arial" w:cs="Arial"/>
                <w:color w:val="000000" w:themeColor="text1"/>
                <w:sz w:val="25"/>
                <w:szCs w:val="25"/>
                <w:lang w:val="lv-LV"/>
              </w:rPr>
              <w:t xml:space="preserve"> </w:t>
            </w:r>
            <w:r w:rsidRPr="009A5537">
              <w:rPr>
                <w:rFonts w:ascii="Times New Roman" w:hAnsi="Times New Roman"/>
                <w:color w:val="000000" w:themeColor="text1"/>
                <w:sz w:val="25"/>
                <w:szCs w:val="25"/>
                <w:lang w:val="lv-LV" w:eastAsia="lv-LV"/>
              </w:rPr>
              <w:t> </w:t>
            </w:r>
            <w:r w:rsidRPr="009A5537">
              <w:rPr>
                <w:rFonts w:ascii="Times New Roman" w:hAnsi="Times New Roman"/>
                <w:i/>
                <w:iCs/>
                <w:color w:val="000000" w:themeColor="text1"/>
                <w:sz w:val="25"/>
                <w:szCs w:val="25"/>
                <w:lang w:val="lv-LV" w:eastAsia="lv-LV"/>
              </w:rPr>
              <w:t>euro,</w:t>
            </w:r>
            <w:r w:rsidRPr="009A5537">
              <w:rPr>
                <w:rFonts w:ascii="Times New Roman" w:hAnsi="Times New Roman"/>
                <w:color w:val="000000" w:themeColor="text1"/>
                <w:sz w:val="25"/>
                <w:szCs w:val="25"/>
                <w:lang w:val="lv-LV" w:eastAsia="lv-LV"/>
              </w:rPr>
              <w:t xml:space="preserve"> tai skaitā:</w:t>
            </w:r>
          </w:p>
          <w:p w14:paraId="79971273" w14:textId="77777777" w:rsidR="00936938" w:rsidRPr="009A5537" w:rsidRDefault="00936938" w:rsidP="00936938">
            <w:pPr>
              <w:pStyle w:val="ListParagraph"/>
              <w:numPr>
                <w:ilvl w:val="0"/>
                <w:numId w:val="23"/>
              </w:numPr>
              <w:spacing w:after="0" w:line="240" w:lineRule="auto"/>
              <w:ind w:left="355" w:hanging="284"/>
              <w:contextualSpacing w:val="0"/>
              <w:jc w:val="both"/>
              <w:rPr>
                <w:rFonts w:ascii="Times New Roman" w:hAnsi="Times New Roman"/>
                <w:color w:val="000000"/>
                <w:sz w:val="25"/>
                <w:szCs w:val="25"/>
                <w:lang w:val="lv-LV"/>
              </w:rPr>
            </w:pPr>
            <w:r w:rsidRPr="009A5537">
              <w:rPr>
                <w:rFonts w:ascii="Times New Roman" w:hAnsi="Times New Roman"/>
                <w:color w:val="000000" w:themeColor="text1"/>
                <w:sz w:val="25"/>
                <w:szCs w:val="25"/>
                <w:lang w:val="lv-LV" w:eastAsia="lv-LV"/>
              </w:rPr>
              <w:t>ERAF finansējums 10</w:t>
            </w:r>
            <w:r w:rsidRPr="009A5537">
              <w:rPr>
                <w:rFonts w:ascii="Arial" w:hAnsi="Arial" w:cs="Arial"/>
                <w:color w:val="000000" w:themeColor="text1"/>
                <w:sz w:val="25"/>
                <w:szCs w:val="25"/>
                <w:lang w:val="lv-LV"/>
              </w:rPr>
              <w:t xml:space="preserve"> </w:t>
            </w:r>
            <w:r w:rsidRPr="009A5537">
              <w:rPr>
                <w:rFonts w:ascii="Times New Roman" w:hAnsi="Times New Roman"/>
                <w:i/>
                <w:iCs/>
                <w:color w:val="000000" w:themeColor="text1"/>
                <w:sz w:val="25"/>
                <w:szCs w:val="25"/>
                <w:lang w:val="lv-LV" w:eastAsia="lv-LV"/>
              </w:rPr>
              <w:t>euro</w:t>
            </w:r>
            <w:r w:rsidRPr="009A5537">
              <w:rPr>
                <w:rFonts w:ascii="Times New Roman" w:hAnsi="Times New Roman"/>
                <w:color w:val="000000" w:themeColor="text1"/>
                <w:sz w:val="25"/>
                <w:szCs w:val="25"/>
                <w:lang w:val="lv-LV" w:eastAsia="lv-LV"/>
              </w:rPr>
              <w:t xml:space="preserve">, kas tiek pārdalīts </w:t>
            </w:r>
            <w:r w:rsidRPr="009A5537">
              <w:rPr>
                <w:rFonts w:ascii="Times New Roman" w:hAnsi="Times New Roman" w:cs="Times New Roman"/>
                <w:sz w:val="25"/>
                <w:szCs w:val="25"/>
                <w:lang w:val="lv-LV"/>
              </w:rPr>
              <w:t>no 2.3.2.2.1.apakškativitātes “Atbalsts ieguldījumiem mikro, maziem un vidējiem komersantiem īpaši atbalstāmajās teritorijās (ĪAT)”</w:t>
            </w:r>
            <w:r w:rsidRPr="009A5537">
              <w:rPr>
                <w:rFonts w:ascii="Times New Roman" w:hAnsi="Times New Roman" w:cs="Times New Roman"/>
                <w:color w:val="000000"/>
                <w:sz w:val="25"/>
                <w:szCs w:val="25"/>
                <w:lang w:val="lv-LV"/>
              </w:rPr>
              <w:t>;</w:t>
            </w:r>
          </w:p>
          <w:p w14:paraId="33ABC289" w14:textId="2743A451" w:rsidR="00936938" w:rsidRPr="009A5537" w:rsidRDefault="00936938" w:rsidP="00936938">
            <w:pPr>
              <w:pStyle w:val="ListParagraph"/>
              <w:numPr>
                <w:ilvl w:val="0"/>
                <w:numId w:val="23"/>
              </w:numPr>
              <w:spacing w:after="0" w:line="240" w:lineRule="auto"/>
              <w:ind w:left="355" w:hanging="284"/>
              <w:contextualSpacing w:val="0"/>
              <w:jc w:val="both"/>
              <w:rPr>
                <w:rFonts w:ascii="Times New Roman" w:hAnsi="Times New Roman"/>
                <w:color w:val="000000"/>
                <w:sz w:val="25"/>
                <w:szCs w:val="25"/>
                <w:lang w:val="lv-LV"/>
              </w:rPr>
            </w:pPr>
            <w:r w:rsidRPr="009A5537">
              <w:rPr>
                <w:rFonts w:ascii="Times New Roman" w:hAnsi="Times New Roman"/>
                <w:color w:val="000000" w:themeColor="text1"/>
                <w:sz w:val="25"/>
                <w:szCs w:val="25"/>
                <w:lang w:val="lv-LV" w:eastAsia="lv-LV"/>
              </w:rPr>
              <w:t>Virssaistību finansējums (</w:t>
            </w:r>
            <w:r w:rsidR="00C804D9" w:rsidRPr="009A5537">
              <w:rPr>
                <w:rFonts w:ascii="Times New Roman" w:hAnsi="Times New Roman"/>
                <w:color w:val="000000" w:themeColor="text1"/>
                <w:sz w:val="25"/>
                <w:szCs w:val="25"/>
                <w:lang w:val="lv-LV" w:eastAsia="lv-LV"/>
              </w:rPr>
              <w:t>4</w:t>
            </w:r>
            <w:r w:rsidR="00827216" w:rsidRPr="009A5537">
              <w:rPr>
                <w:rFonts w:ascii="Times New Roman" w:hAnsi="Times New Roman"/>
                <w:color w:val="000000" w:themeColor="text1"/>
                <w:sz w:val="25"/>
                <w:szCs w:val="25"/>
                <w:lang w:val="lv-LV" w:eastAsia="lv-LV"/>
              </w:rPr>
              <w:t>5</w:t>
            </w:r>
            <w:r w:rsidRPr="009A5537">
              <w:rPr>
                <w:rFonts w:ascii="Times New Roman" w:hAnsi="Times New Roman"/>
                <w:color w:val="000000" w:themeColor="text1"/>
                <w:sz w:val="25"/>
                <w:szCs w:val="25"/>
                <w:lang w:val="lv-LV" w:eastAsia="lv-LV"/>
              </w:rPr>
              <w:t> 000 000</w:t>
            </w:r>
            <w:r w:rsidRPr="009A5537">
              <w:rPr>
                <w:rFonts w:ascii="Times New Roman" w:hAnsi="Times New Roman"/>
                <w:b/>
                <w:bCs/>
                <w:color w:val="000000" w:themeColor="text1"/>
                <w:sz w:val="25"/>
                <w:szCs w:val="25"/>
                <w:lang w:val="lv-LV" w:eastAsia="lv-LV"/>
              </w:rPr>
              <w:t xml:space="preserve"> </w:t>
            </w:r>
            <w:r w:rsidRPr="009A5537">
              <w:rPr>
                <w:rFonts w:ascii="Times New Roman" w:hAnsi="Times New Roman"/>
                <w:i/>
                <w:iCs/>
                <w:color w:val="000000" w:themeColor="text1"/>
                <w:sz w:val="25"/>
                <w:szCs w:val="25"/>
                <w:lang w:val="lv-LV" w:eastAsia="lv-LV"/>
              </w:rPr>
              <w:t>euro</w:t>
            </w:r>
            <w:r w:rsidRPr="009A5537">
              <w:rPr>
                <w:rFonts w:ascii="Times New Roman" w:hAnsi="Times New Roman"/>
                <w:iCs/>
                <w:color w:val="000000" w:themeColor="text1"/>
                <w:sz w:val="25"/>
                <w:szCs w:val="25"/>
                <w:lang w:val="lv-LV" w:eastAsia="lv-LV"/>
              </w:rPr>
              <w:t xml:space="preserve">), kas tiek pārdalīts no </w:t>
            </w:r>
            <w:r w:rsidRPr="009A5537">
              <w:rPr>
                <w:rFonts w:ascii="Times New Roman" w:hAnsi="Times New Roman"/>
                <w:sz w:val="25"/>
                <w:szCs w:val="25"/>
                <w:lang w:val="lv-LV"/>
              </w:rPr>
              <w:t xml:space="preserve">3.6.1.1.aktivitātes </w:t>
            </w:r>
            <w:r w:rsidRPr="009A5537">
              <w:rPr>
                <w:rFonts w:ascii="Times New Roman" w:hAnsi="Times New Roman" w:cs="Times New Roman"/>
                <w:sz w:val="25"/>
                <w:szCs w:val="25"/>
                <w:lang w:val="lv-LV"/>
              </w:rPr>
              <w:t xml:space="preserve">un </w:t>
            </w:r>
            <w:r w:rsidRPr="009A5537">
              <w:rPr>
                <w:rFonts w:ascii="Times New Roman" w:hAnsi="Times New Roman"/>
                <w:sz w:val="25"/>
                <w:szCs w:val="25"/>
                <w:lang w:val="lv-LV"/>
              </w:rPr>
              <w:t>3.6.2.1.aktivitātes</w:t>
            </w:r>
            <w:r w:rsidRPr="009A5537">
              <w:rPr>
                <w:rFonts w:ascii="Times New Roman" w:hAnsi="Times New Roman" w:cs="Times New Roman"/>
                <w:sz w:val="25"/>
                <w:szCs w:val="25"/>
                <w:lang w:val="lv-LV"/>
              </w:rPr>
              <w:t>.</w:t>
            </w:r>
          </w:p>
          <w:p w14:paraId="2CBFFE8F" w14:textId="77777777" w:rsidR="00057282" w:rsidRPr="009A5537" w:rsidRDefault="00057282" w:rsidP="0020647A">
            <w:pPr>
              <w:spacing w:after="0" w:line="240" w:lineRule="auto"/>
              <w:jc w:val="both"/>
              <w:rPr>
                <w:rFonts w:ascii="Times New Roman" w:hAnsi="Times New Roman"/>
                <w:sz w:val="25"/>
                <w:szCs w:val="25"/>
                <w:lang w:val="lv-LV"/>
              </w:rPr>
            </w:pPr>
          </w:p>
          <w:p w14:paraId="7E76E7EF" w14:textId="14B4E10B" w:rsidR="007C75FE" w:rsidRPr="009A5537" w:rsidRDefault="00DD6BFE" w:rsidP="0020647A">
            <w:pPr>
              <w:spacing w:after="0" w:line="240" w:lineRule="auto"/>
              <w:jc w:val="both"/>
              <w:rPr>
                <w:rFonts w:ascii="Times New Roman" w:hAnsi="Times New Roman"/>
                <w:color w:val="000000" w:themeColor="text1"/>
                <w:sz w:val="25"/>
                <w:szCs w:val="25"/>
                <w:lang w:val="lv-LV" w:eastAsia="lv-LV"/>
              </w:rPr>
            </w:pPr>
            <w:r w:rsidRPr="009A5537">
              <w:rPr>
                <w:rFonts w:ascii="Times New Roman" w:hAnsi="Times New Roman"/>
                <w:color w:val="000000" w:themeColor="text1"/>
                <w:sz w:val="25"/>
                <w:szCs w:val="25"/>
                <w:lang w:val="lv-LV" w:eastAsia="lv-LV"/>
              </w:rPr>
              <w:t>P</w:t>
            </w:r>
            <w:r w:rsidR="00936938" w:rsidRPr="009A5537">
              <w:rPr>
                <w:rFonts w:ascii="Times New Roman" w:hAnsi="Times New Roman"/>
                <w:color w:val="000000" w:themeColor="text1"/>
                <w:sz w:val="25"/>
                <w:szCs w:val="25"/>
                <w:lang w:val="lv-LV" w:eastAsia="lv-LV"/>
              </w:rPr>
              <w:t xml:space="preserve">ēc projektu verificēšanas un precīza </w:t>
            </w:r>
            <w:r w:rsidR="007C75FE" w:rsidRPr="009A5537">
              <w:rPr>
                <w:rFonts w:ascii="Times New Roman" w:hAnsi="Times New Roman"/>
                <w:color w:val="000000" w:themeColor="text1"/>
                <w:sz w:val="25"/>
                <w:szCs w:val="25"/>
                <w:lang w:val="lv-LV" w:eastAsia="lv-LV"/>
              </w:rPr>
              <w:t xml:space="preserve">finansējuma </w:t>
            </w:r>
            <w:r w:rsidR="00936938" w:rsidRPr="009A5537">
              <w:rPr>
                <w:rFonts w:ascii="Times New Roman" w:hAnsi="Times New Roman"/>
                <w:color w:val="000000" w:themeColor="text1"/>
                <w:sz w:val="25"/>
                <w:szCs w:val="25"/>
                <w:lang w:val="lv-LV" w:eastAsia="lv-LV"/>
              </w:rPr>
              <w:t>apmēra noteikšanas,</w:t>
            </w:r>
            <w:r w:rsidR="007C75FE" w:rsidRPr="009A5537">
              <w:rPr>
                <w:rFonts w:ascii="Times New Roman" w:hAnsi="Times New Roman"/>
                <w:color w:val="000000" w:themeColor="text1"/>
                <w:sz w:val="25"/>
                <w:szCs w:val="25"/>
                <w:lang w:val="lv-LV" w:eastAsia="lv-LV"/>
              </w:rPr>
              <w:t xml:space="preserve"> par kādu tiks ieviesti projekti </w:t>
            </w:r>
            <w:r w:rsidRPr="009A5537">
              <w:rPr>
                <w:rFonts w:ascii="Times New Roman" w:hAnsi="Times New Roman"/>
                <w:color w:val="000000" w:themeColor="text1"/>
                <w:sz w:val="25"/>
                <w:szCs w:val="25"/>
                <w:lang w:val="lv-LV" w:eastAsia="lv-LV"/>
              </w:rPr>
              <w:t xml:space="preserve">2.3.2.2.3.apakšaktivitātes ietvaros, tiks veikti grozījumi gan </w:t>
            </w:r>
            <w:r w:rsidR="007C75FE" w:rsidRPr="009A5537">
              <w:rPr>
                <w:rFonts w:ascii="Times New Roman" w:hAnsi="Times New Roman"/>
                <w:color w:val="000000" w:themeColor="text1"/>
                <w:sz w:val="25"/>
                <w:szCs w:val="25"/>
                <w:lang w:val="lv-LV" w:eastAsia="lv-LV"/>
              </w:rPr>
              <w:t>MK noteikum</w:t>
            </w:r>
            <w:r w:rsidRPr="009A5537">
              <w:rPr>
                <w:rFonts w:ascii="Times New Roman" w:hAnsi="Times New Roman"/>
                <w:color w:val="000000" w:themeColor="text1"/>
                <w:sz w:val="25"/>
                <w:szCs w:val="25"/>
                <w:lang w:val="lv-LV" w:eastAsia="lv-LV"/>
              </w:rPr>
              <w:t xml:space="preserve">os par 2.3.2.2.3.apakšaktvitātes īstenošanu, gan </w:t>
            </w:r>
            <w:r w:rsidR="00EC1C79" w:rsidRPr="009A5537">
              <w:rPr>
                <w:rFonts w:ascii="Times New Roman" w:hAnsi="Times New Roman"/>
                <w:color w:val="000000" w:themeColor="text1"/>
                <w:sz w:val="25"/>
                <w:szCs w:val="25"/>
                <w:lang w:val="lv-LV" w:eastAsia="lv-LV"/>
              </w:rPr>
              <w:t xml:space="preserve">MK noteikumos </w:t>
            </w:r>
            <w:r w:rsidRPr="009A5537">
              <w:rPr>
                <w:rFonts w:ascii="Times New Roman" w:hAnsi="Times New Roman"/>
                <w:color w:val="000000" w:themeColor="text1"/>
                <w:sz w:val="25"/>
                <w:szCs w:val="25"/>
                <w:lang w:val="lv-LV" w:eastAsia="lv-LV"/>
              </w:rPr>
              <w:t xml:space="preserve">par </w:t>
            </w:r>
            <w:r w:rsidR="007C75FE" w:rsidRPr="009A5537">
              <w:rPr>
                <w:rFonts w:ascii="Times New Roman" w:hAnsi="Times New Roman"/>
                <w:color w:val="000000" w:themeColor="text1"/>
                <w:sz w:val="25"/>
                <w:szCs w:val="25"/>
                <w:lang w:val="lv-LV" w:eastAsia="lv-LV"/>
              </w:rPr>
              <w:t>3.6.1.1.</w:t>
            </w:r>
            <w:r w:rsidRPr="009A5537">
              <w:rPr>
                <w:rFonts w:ascii="Times New Roman" w:hAnsi="Times New Roman"/>
                <w:color w:val="000000" w:themeColor="text1"/>
                <w:sz w:val="25"/>
                <w:szCs w:val="25"/>
                <w:lang w:val="lv-LV" w:eastAsia="lv-LV"/>
              </w:rPr>
              <w:t xml:space="preserve"> </w:t>
            </w:r>
            <w:r w:rsidR="007C75FE" w:rsidRPr="009A5537">
              <w:rPr>
                <w:rFonts w:ascii="Times New Roman" w:hAnsi="Times New Roman"/>
                <w:color w:val="000000" w:themeColor="text1"/>
                <w:sz w:val="25"/>
                <w:szCs w:val="25"/>
                <w:lang w:val="lv-LV" w:eastAsia="lv-LV"/>
              </w:rPr>
              <w:t>un</w:t>
            </w:r>
            <w:r w:rsidRPr="009A5537">
              <w:rPr>
                <w:rFonts w:ascii="Times New Roman" w:hAnsi="Times New Roman"/>
                <w:color w:val="000000" w:themeColor="text1"/>
                <w:sz w:val="25"/>
                <w:szCs w:val="25"/>
                <w:lang w:val="lv-LV" w:eastAsia="lv-LV"/>
              </w:rPr>
              <w:t xml:space="preserve"> </w:t>
            </w:r>
            <w:r w:rsidR="007C75FE" w:rsidRPr="009A5537">
              <w:rPr>
                <w:rFonts w:ascii="Times New Roman" w:hAnsi="Times New Roman"/>
                <w:color w:val="000000" w:themeColor="text1"/>
                <w:sz w:val="25"/>
                <w:szCs w:val="25"/>
                <w:lang w:val="lv-LV" w:eastAsia="lv-LV"/>
              </w:rPr>
              <w:t xml:space="preserve">3.6.2.1.aktivitātes </w:t>
            </w:r>
            <w:r w:rsidRPr="009A5537">
              <w:rPr>
                <w:rFonts w:ascii="Times New Roman" w:hAnsi="Times New Roman"/>
                <w:color w:val="000000" w:themeColor="text1"/>
                <w:sz w:val="25"/>
                <w:szCs w:val="25"/>
                <w:lang w:val="lv-LV" w:eastAsia="lv-LV"/>
              </w:rPr>
              <w:t>īstenošanu, paredzot precīzu finansējuma apjomu, kā arī šo projektu ietekmi uz budžeta ieņēmumiem un izdevumiem</w:t>
            </w:r>
            <w:r w:rsidR="00EC1C79" w:rsidRPr="009A5537">
              <w:rPr>
                <w:rFonts w:ascii="Times New Roman" w:hAnsi="Times New Roman"/>
                <w:color w:val="000000" w:themeColor="text1"/>
                <w:sz w:val="25"/>
                <w:szCs w:val="25"/>
                <w:lang w:val="lv-LV" w:eastAsia="lv-LV"/>
              </w:rPr>
              <w:t xml:space="preserve"> katras aktivitātes ietvaros</w:t>
            </w:r>
            <w:r w:rsidRPr="009A5537">
              <w:rPr>
                <w:rFonts w:ascii="Times New Roman" w:hAnsi="Times New Roman"/>
                <w:color w:val="000000" w:themeColor="text1"/>
                <w:sz w:val="25"/>
                <w:szCs w:val="25"/>
                <w:lang w:val="lv-LV" w:eastAsia="lv-LV"/>
              </w:rPr>
              <w:t>. G</w:t>
            </w:r>
            <w:r w:rsidR="007C75FE" w:rsidRPr="009A5537">
              <w:rPr>
                <w:rFonts w:ascii="Times New Roman" w:hAnsi="Times New Roman"/>
                <w:color w:val="000000" w:themeColor="text1"/>
                <w:sz w:val="25"/>
                <w:szCs w:val="25"/>
                <w:lang w:val="lv-LV" w:eastAsia="lv-LV"/>
              </w:rPr>
              <w:t xml:space="preserve">rozījumi </w:t>
            </w:r>
            <w:r w:rsidRPr="009A5537">
              <w:rPr>
                <w:rFonts w:ascii="Times New Roman" w:hAnsi="Times New Roman"/>
                <w:color w:val="000000" w:themeColor="text1"/>
                <w:sz w:val="25"/>
                <w:szCs w:val="25"/>
                <w:lang w:val="lv-LV" w:eastAsia="lv-LV"/>
              </w:rPr>
              <w:t xml:space="preserve">šajos MK noteikumos </w:t>
            </w:r>
            <w:r w:rsidR="007C75FE" w:rsidRPr="009A5537">
              <w:rPr>
                <w:rFonts w:ascii="Times New Roman" w:hAnsi="Times New Roman"/>
                <w:color w:val="000000" w:themeColor="text1"/>
                <w:sz w:val="25"/>
                <w:szCs w:val="25"/>
                <w:lang w:val="lv-LV" w:eastAsia="lv-LV"/>
              </w:rPr>
              <w:t>tiks iesniegti</w:t>
            </w:r>
            <w:r w:rsidR="00936938" w:rsidRPr="009A5537">
              <w:rPr>
                <w:rFonts w:ascii="Times New Roman" w:hAnsi="Times New Roman"/>
                <w:color w:val="000000" w:themeColor="text1"/>
                <w:sz w:val="25"/>
                <w:szCs w:val="25"/>
                <w:lang w:val="lv-LV" w:eastAsia="lv-LV"/>
              </w:rPr>
              <w:t xml:space="preserve"> </w:t>
            </w:r>
            <w:r w:rsidRPr="009A5537">
              <w:rPr>
                <w:rFonts w:ascii="Times New Roman" w:hAnsi="Times New Roman"/>
                <w:color w:val="000000" w:themeColor="text1"/>
                <w:sz w:val="25"/>
                <w:szCs w:val="25"/>
                <w:lang w:val="lv-LV" w:eastAsia="lv-LV"/>
              </w:rPr>
              <w:t>MK</w:t>
            </w:r>
            <w:r w:rsidR="00936938" w:rsidRPr="009A5537">
              <w:rPr>
                <w:rFonts w:ascii="Times New Roman" w:hAnsi="Times New Roman"/>
                <w:color w:val="000000" w:themeColor="text1"/>
                <w:sz w:val="25"/>
                <w:szCs w:val="25"/>
                <w:lang w:val="lv-LV" w:eastAsia="lv-LV"/>
              </w:rPr>
              <w:t xml:space="preserve"> ne vēlāk kā līdz 2014.gada 30.decembrim.</w:t>
            </w:r>
          </w:p>
          <w:p w14:paraId="45B652A0" w14:textId="32ACA626" w:rsidR="00936938" w:rsidRPr="009A5537" w:rsidRDefault="00936938" w:rsidP="0020647A">
            <w:pPr>
              <w:spacing w:after="0" w:line="240" w:lineRule="auto"/>
              <w:jc w:val="both"/>
              <w:rPr>
                <w:rFonts w:ascii="Times New Roman" w:hAnsi="Times New Roman"/>
                <w:color w:val="000000" w:themeColor="text1"/>
                <w:sz w:val="25"/>
                <w:szCs w:val="25"/>
                <w:lang w:val="lv-LV" w:eastAsia="lv-LV"/>
              </w:rPr>
            </w:pPr>
            <w:r w:rsidRPr="009A5537">
              <w:rPr>
                <w:rFonts w:ascii="Times New Roman" w:hAnsi="Times New Roman"/>
                <w:color w:val="000000" w:themeColor="text1"/>
                <w:sz w:val="25"/>
                <w:szCs w:val="25"/>
                <w:lang w:val="lv-LV" w:eastAsia="lv-LV"/>
              </w:rPr>
              <w:t xml:space="preserve"> </w:t>
            </w:r>
          </w:p>
          <w:p w14:paraId="2EDCDC9A" w14:textId="33C36AF2" w:rsidR="004425B5" w:rsidRPr="009A5537" w:rsidRDefault="00C93598" w:rsidP="004A16ED">
            <w:pPr>
              <w:spacing w:after="0" w:line="240" w:lineRule="auto"/>
              <w:jc w:val="both"/>
              <w:rPr>
                <w:color w:val="000000" w:themeColor="text1"/>
                <w:sz w:val="25"/>
                <w:szCs w:val="25"/>
                <w:lang w:val="lv-LV"/>
              </w:rPr>
            </w:pPr>
            <w:r w:rsidRPr="009A5537">
              <w:rPr>
                <w:rFonts w:ascii="Times New Roman" w:hAnsi="Times New Roman" w:cs="Times New Roman"/>
                <w:color w:val="000000" w:themeColor="text1"/>
                <w:sz w:val="25"/>
                <w:szCs w:val="25"/>
                <w:lang w:val="lv-LV"/>
              </w:rPr>
              <w:t xml:space="preserve">Attiecībā uz ieņēmumu daļu ietekme uz budžetu ir neitrāla, savukārt uz izdevumu daļu – tā var būt vai nu pozitīva, vai neitrāla, jo no </w:t>
            </w:r>
            <w:r w:rsidR="00E11A4A" w:rsidRPr="009A5537">
              <w:rPr>
                <w:rFonts w:ascii="Times New Roman" w:hAnsi="Times New Roman" w:cs="Times New Roman"/>
                <w:color w:val="000000" w:themeColor="text1"/>
                <w:sz w:val="25"/>
                <w:szCs w:val="25"/>
                <w:lang w:val="lv-LV"/>
              </w:rPr>
              <w:t>darbības programmas “Infrastruktūra un pakalpojumi”</w:t>
            </w:r>
            <w:r w:rsidRPr="009A5537">
              <w:rPr>
                <w:rFonts w:ascii="Times New Roman" w:hAnsi="Times New Roman" w:cs="Times New Roman"/>
                <w:color w:val="000000" w:themeColor="text1"/>
                <w:sz w:val="25"/>
                <w:szCs w:val="25"/>
                <w:lang w:val="lv-LV"/>
              </w:rPr>
              <w:t xml:space="preserve">, kuras ietvaros šīs </w:t>
            </w:r>
            <w:proofErr w:type="spellStart"/>
            <w:r w:rsidRPr="009A5537">
              <w:rPr>
                <w:rFonts w:ascii="Times New Roman" w:hAnsi="Times New Roman" w:cs="Times New Roman"/>
                <w:color w:val="000000" w:themeColor="text1"/>
                <w:sz w:val="25"/>
                <w:szCs w:val="25"/>
                <w:lang w:val="lv-LV"/>
              </w:rPr>
              <w:t>virssaistības</w:t>
            </w:r>
            <w:proofErr w:type="spellEnd"/>
            <w:r w:rsidRPr="009A5537">
              <w:rPr>
                <w:rFonts w:ascii="Times New Roman" w:hAnsi="Times New Roman" w:cs="Times New Roman"/>
                <w:color w:val="000000" w:themeColor="text1"/>
                <w:sz w:val="25"/>
                <w:szCs w:val="25"/>
                <w:lang w:val="lv-LV"/>
              </w:rPr>
              <w:t xml:space="preserve"> veido negatīvu ietekmi uz valsts budžeta deficītu, projekti tiek pārcelti uz </w:t>
            </w:r>
            <w:r w:rsidR="008F3F8D" w:rsidRPr="009A5537">
              <w:rPr>
                <w:rFonts w:ascii="Times New Roman" w:hAnsi="Times New Roman" w:cs="Times New Roman"/>
                <w:color w:val="000000" w:themeColor="text1"/>
                <w:sz w:val="25"/>
                <w:szCs w:val="25"/>
                <w:lang w:val="lv-LV"/>
              </w:rPr>
              <w:t>darbības programmu “Uzņēmējdarbība un inovācijas”</w:t>
            </w:r>
            <w:r w:rsidRPr="009A5537">
              <w:rPr>
                <w:rFonts w:ascii="Times New Roman" w:hAnsi="Times New Roman" w:cs="Times New Roman"/>
                <w:color w:val="000000" w:themeColor="text1"/>
                <w:sz w:val="25"/>
                <w:szCs w:val="25"/>
                <w:lang w:val="lv-LV"/>
              </w:rPr>
              <w:t>, kur ir n+2 principa neizpildes risks, līdz ar to negatīvā ietekme potenciāli varētu tikt samazināta vai palikt esošajā līmenī.</w:t>
            </w:r>
            <w:r w:rsidR="00DD6BFE" w:rsidRPr="009A5537">
              <w:rPr>
                <w:rFonts w:ascii="Times New Roman" w:hAnsi="Times New Roman" w:cs="Times New Roman"/>
                <w:color w:val="000000" w:themeColor="text1"/>
                <w:sz w:val="25"/>
                <w:szCs w:val="25"/>
                <w:lang w:val="lv-LV"/>
              </w:rPr>
              <w:t xml:space="preserve"> </w:t>
            </w:r>
            <w:r w:rsidR="004425B5" w:rsidRPr="009A5537">
              <w:rPr>
                <w:rFonts w:ascii="Times New Roman" w:hAnsi="Times New Roman" w:cs="Times New Roman"/>
                <w:color w:val="000000" w:themeColor="text1"/>
                <w:sz w:val="25"/>
                <w:szCs w:val="25"/>
                <w:lang w:val="lv-LV"/>
              </w:rPr>
              <w:t xml:space="preserve">Šobrīd notiek diskusijas ar </w:t>
            </w:r>
            <w:r w:rsidR="004A16ED" w:rsidRPr="009A5537">
              <w:rPr>
                <w:rFonts w:ascii="Times New Roman" w:hAnsi="Times New Roman" w:cs="Times New Roman"/>
                <w:color w:val="000000" w:themeColor="text1"/>
                <w:sz w:val="25"/>
                <w:szCs w:val="25"/>
                <w:lang w:val="lv-LV"/>
              </w:rPr>
              <w:t>EK</w:t>
            </w:r>
            <w:r w:rsidR="004425B5" w:rsidRPr="009A5537">
              <w:rPr>
                <w:rFonts w:ascii="Times New Roman" w:hAnsi="Times New Roman" w:cs="Times New Roman"/>
                <w:color w:val="000000" w:themeColor="text1"/>
                <w:sz w:val="25"/>
                <w:szCs w:val="25"/>
                <w:lang w:val="lv-LV"/>
              </w:rPr>
              <w:t xml:space="preserve"> par</w:t>
            </w:r>
            <w:r w:rsidR="0020647A" w:rsidRPr="009A5537">
              <w:rPr>
                <w:rFonts w:ascii="Times New Roman" w:hAnsi="Times New Roman" w:cs="Times New Roman"/>
                <w:color w:val="000000" w:themeColor="text1"/>
                <w:sz w:val="25"/>
                <w:szCs w:val="25"/>
                <w:lang w:val="lv-LV"/>
              </w:rPr>
              <w:t xml:space="preserve"> 3.6.1.1. un 3.6.2.1.aktivitātes ietvaros pabeigto projektu pārcelšanu uz </w:t>
            </w:r>
            <w:r w:rsidR="00134540" w:rsidRPr="009A5537">
              <w:rPr>
                <w:rFonts w:ascii="Times New Roman" w:hAnsi="Times New Roman" w:cs="Times New Roman"/>
                <w:color w:val="000000" w:themeColor="text1"/>
                <w:sz w:val="25"/>
                <w:szCs w:val="25"/>
                <w:lang w:val="lv-LV"/>
              </w:rPr>
              <w:t>2.3.2.2.3.apakšaktivitāti</w:t>
            </w:r>
            <w:r w:rsidR="0020647A" w:rsidRPr="009A5537">
              <w:rPr>
                <w:rFonts w:ascii="Times New Roman" w:hAnsi="Times New Roman" w:cs="Times New Roman"/>
                <w:color w:val="000000" w:themeColor="text1"/>
                <w:sz w:val="25"/>
                <w:szCs w:val="25"/>
                <w:lang w:val="lv-LV"/>
              </w:rPr>
              <w:t xml:space="preserve">. Ja tiks pieņemts lēmums pārcelt arī pabeigtos projektus, tad </w:t>
            </w:r>
            <w:r w:rsidR="00134540" w:rsidRPr="009A5537">
              <w:rPr>
                <w:rFonts w:ascii="Times New Roman" w:hAnsi="Times New Roman" w:cs="Times New Roman"/>
                <w:color w:val="000000" w:themeColor="text1"/>
                <w:sz w:val="25"/>
                <w:szCs w:val="25"/>
                <w:lang w:val="lv-LV"/>
              </w:rPr>
              <w:t xml:space="preserve">arī </w:t>
            </w:r>
            <w:r w:rsidR="0020647A" w:rsidRPr="009A5537">
              <w:rPr>
                <w:rFonts w:ascii="Times New Roman" w:hAnsi="Times New Roman" w:cs="Times New Roman"/>
                <w:color w:val="000000" w:themeColor="text1"/>
                <w:sz w:val="25"/>
                <w:szCs w:val="25"/>
                <w:lang w:val="lv-LV"/>
              </w:rPr>
              <w:t xml:space="preserve">tiem </w:t>
            </w:r>
            <w:r w:rsidR="00134540" w:rsidRPr="009A5537">
              <w:rPr>
                <w:rFonts w:ascii="Times New Roman" w:hAnsi="Times New Roman" w:cs="Times New Roman"/>
                <w:color w:val="000000" w:themeColor="text1"/>
                <w:sz w:val="25"/>
                <w:szCs w:val="25"/>
                <w:lang w:val="lv-LV"/>
              </w:rPr>
              <w:t>būs vai nu pozitīva, vai neitrāla</w:t>
            </w:r>
            <w:r w:rsidR="0020647A" w:rsidRPr="009A5537">
              <w:rPr>
                <w:rFonts w:ascii="Times New Roman" w:hAnsi="Times New Roman" w:cs="Times New Roman"/>
                <w:color w:val="000000" w:themeColor="text1"/>
                <w:sz w:val="25"/>
                <w:szCs w:val="25"/>
                <w:lang w:val="lv-LV"/>
              </w:rPr>
              <w:t xml:space="preserve"> ietekmes uz valsts budžetu.</w:t>
            </w:r>
          </w:p>
        </w:tc>
      </w:tr>
    </w:tbl>
    <w:p w14:paraId="6F231D87" w14:textId="186269C0" w:rsidR="00377F0B" w:rsidRPr="009A5537" w:rsidRDefault="00377F0B" w:rsidP="00F66F09">
      <w:pPr>
        <w:spacing w:after="0" w:line="240" w:lineRule="auto"/>
        <w:rPr>
          <w:rFonts w:ascii="Times New Roman" w:hAnsi="Times New Roman"/>
          <w:b/>
          <w:sz w:val="25"/>
          <w:szCs w:val="25"/>
          <w:lang w:val="lv-LV"/>
        </w:rPr>
      </w:pPr>
    </w:p>
    <w:p w14:paraId="3130C8E4" w14:textId="77777777" w:rsidR="00253836" w:rsidRPr="009A5537" w:rsidRDefault="00253836" w:rsidP="00377F0B">
      <w:pPr>
        <w:spacing w:after="0" w:line="240" w:lineRule="auto"/>
        <w:jc w:val="center"/>
        <w:rPr>
          <w:rFonts w:ascii="Times New Roman" w:hAnsi="Times New Roman"/>
          <w:b/>
          <w:sz w:val="25"/>
          <w:szCs w:val="25"/>
          <w:lang w:val="lv-LV"/>
        </w:rPr>
      </w:pPr>
    </w:p>
    <w:tbl>
      <w:tblPr>
        <w:tblStyle w:val="TableGrid"/>
        <w:tblW w:w="9180" w:type="dxa"/>
        <w:tblLayout w:type="fixed"/>
        <w:tblLook w:val="00A0" w:firstRow="1" w:lastRow="0" w:firstColumn="1" w:lastColumn="0" w:noHBand="0" w:noVBand="0"/>
      </w:tblPr>
      <w:tblGrid>
        <w:gridCol w:w="426"/>
        <w:gridCol w:w="3402"/>
        <w:gridCol w:w="5352"/>
      </w:tblGrid>
      <w:tr w:rsidR="00D40CFC" w:rsidRPr="004C4FD3" w14:paraId="54211F4B" w14:textId="77777777" w:rsidTr="00F66F09">
        <w:tc>
          <w:tcPr>
            <w:tcW w:w="426" w:type="dxa"/>
          </w:tcPr>
          <w:p w14:paraId="3797AE9E" w14:textId="77777777" w:rsidR="00D40CFC" w:rsidRPr="009A5537" w:rsidRDefault="00D40CFC" w:rsidP="00D40CFC">
            <w:pPr>
              <w:ind w:firstLine="720"/>
              <w:jc w:val="center"/>
              <w:rPr>
                <w:rFonts w:ascii="Times New Roman" w:hAnsi="Times New Roman"/>
                <w:b/>
                <w:sz w:val="25"/>
                <w:szCs w:val="25"/>
                <w:lang w:val="lv-LV"/>
              </w:rPr>
            </w:pPr>
          </w:p>
        </w:tc>
        <w:tc>
          <w:tcPr>
            <w:tcW w:w="8754" w:type="dxa"/>
            <w:gridSpan w:val="2"/>
          </w:tcPr>
          <w:p w14:paraId="5112AA6E" w14:textId="77777777" w:rsidR="00D40CFC" w:rsidRPr="009A5537" w:rsidRDefault="00D40CFC" w:rsidP="00D40CFC">
            <w:pPr>
              <w:rPr>
                <w:rFonts w:ascii="Times New Roman" w:hAnsi="Times New Roman"/>
                <w:b/>
                <w:sz w:val="25"/>
                <w:szCs w:val="25"/>
                <w:lang w:val="lv-LV"/>
              </w:rPr>
            </w:pPr>
            <w:r w:rsidRPr="009A5537">
              <w:rPr>
                <w:rFonts w:ascii="Times New Roman" w:hAnsi="Times New Roman"/>
                <w:b/>
                <w:sz w:val="25"/>
                <w:szCs w:val="25"/>
                <w:lang w:val="lv-LV"/>
              </w:rPr>
              <w:t>IV. Tiesību akta projekta ietekme uz spēkā esošo tiesību normu sistēmu</w:t>
            </w:r>
          </w:p>
        </w:tc>
      </w:tr>
      <w:tr w:rsidR="00D40CFC" w:rsidRPr="004C4FD3" w14:paraId="607E7822" w14:textId="77777777" w:rsidTr="00D2270B">
        <w:trPr>
          <w:trHeight w:val="699"/>
        </w:trPr>
        <w:tc>
          <w:tcPr>
            <w:tcW w:w="426" w:type="dxa"/>
          </w:tcPr>
          <w:p w14:paraId="15BA5837" w14:textId="77777777" w:rsidR="00D40CFC" w:rsidRPr="009A5537" w:rsidRDefault="00D40CFC" w:rsidP="00D40CFC">
            <w:pPr>
              <w:jc w:val="both"/>
              <w:rPr>
                <w:rFonts w:ascii="Times New Roman" w:hAnsi="Times New Roman"/>
                <w:sz w:val="25"/>
                <w:szCs w:val="25"/>
                <w:lang w:val="lv-LV"/>
              </w:rPr>
            </w:pPr>
            <w:r w:rsidRPr="009A5537">
              <w:rPr>
                <w:rFonts w:ascii="Times New Roman" w:hAnsi="Times New Roman"/>
                <w:sz w:val="25"/>
                <w:szCs w:val="25"/>
                <w:lang w:val="lv-LV"/>
              </w:rPr>
              <w:t>1.</w:t>
            </w:r>
          </w:p>
        </w:tc>
        <w:tc>
          <w:tcPr>
            <w:tcW w:w="3402" w:type="dxa"/>
          </w:tcPr>
          <w:p w14:paraId="28D6F2E6" w14:textId="77777777" w:rsidR="00D40CFC" w:rsidRPr="009A5537" w:rsidRDefault="00D40CFC" w:rsidP="00D40CFC">
            <w:pPr>
              <w:jc w:val="both"/>
              <w:rPr>
                <w:rFonts w:ascii="Times New Roman" w:hAnsi="Times New Roman"/>
                <w:sz w:val="25"/>
                <w:szCs w:val="25"/>
                <w:lang w:val="lv-LV"/>
              </w:rPr>
            </w:pPr>
            <w:r w:rsidRPr="009A5537">
              <w:rPr>
                <w:rFonts w:ascii="Times New Roman" w:hAnsi="Times New Roman"/>
                <w:sz w:val="25"/>
                <w:szCs w:val="25"/>
                <w:lang w:val="lv-LV"/>
              </w:rPr>
              <w:t>Nepieciešamie saistītie tiesību aktu projekti</w:t>
            </w:r>
          </w:p>
        </w:tc>
        <w:tc>
          <w:tcPr>
            <w:tcW w:w="5352" w:type="dxa"/>
          </w:tcPr>
          <w:p w14:paraId="59312EE1" w14:textId="44F42CD0" w:rsidR="0090738B" w:rsidRPr="009A5537" w:rsidRDefault="00186E20" w:rsidP="000960E2">
            <w:pPr>
              <w:ind w:left="-37" w:right="173"/>
              <w:jc w:val="both"/>
              <w:rPr>
                <w:rFonts w:ascii="Times New Roman" w:hAnsi="Times New Roman" w:cs="Times New Roman"/>
                <w:sz w:val="25"/>
                <w:szCs w:val="25"/>
                <w:lang w:val="lv-LV"/>
              </w:rPr>
            </w:pPr>
            <w:r w:rsidRPr="009A5537">
              <w:rPr>
                <w:rFonts w:ascii="Times New Roman" w:hAnsi="Times New Roman" w:cs="Times New Roman"/>
                <w:sz w:val="25"/>
                <w:szCs w:val="25"/>
                <w:lang w:val="lv-LV"/>
              </w:rPr>
              <w:t xml:space="preserve">MK noteikumu </w:t>
            </w:r>
            <w:r w:rsidR="000960E2" w:rsidRPr="009A5537">
              <w:rPr>
                <w:rFonts w:ascii="Times New Roman" w:hAnsi="Times New Roman" w:cs="Times New Roman"/>
                <w:sz w:val="25"/>
                <w:szCs w:val="25"/>
                <w:lang w:val="lv-LV"/>
              </w:rPr>
              <w:t xml:space="preserve">projekts saistīts ar grozījumiem šādos </w:t>
            </w:r>
            <w:r w:rsidR="003518F6" w:rsidRPr="009A5537">
              <w:rPr>
                <w:rFonts w:ascii="Times New Roman" w:hAnsi="Times New Roman" w:cs="Times New Roman"/>
                <w:sz w:val="25"/>
                <w:szCs w:val="25"/>
                <w:lang w:val="lv-LV"/>
              </w:rPr>
              <w:t>MK</w:t>
            </w:r>
            <w:r w:rsidRPr="009A5537">
              <w:rPr>
                <w:rFonts w:ascii="Times New Roman" w:hAnsi="Times New Roman" w:cs="Times New Roman"/>
                <w:sz w:val="25"/>
                <w:szCs w:val="25"/>
                <w:lang w:val="lv-LV"/>
              </w:rPr>
              <w:t xml:space="preserve"> </w:t>
            </w:r>
            <w:r w:rsidR="000960E2" w:rsidRPr="009A5537">
              <w:rPr>
                <w:rFonts w:ascii="Times New Roman" w:hAnsi="Times New Roman" w:cs="Times New Roman"/>
                <w:sz w:val="25"/>
                <w:szCs w:val="25"/>
                <w:lang w:val="lv-LV"/>
              </w:rPr>
              <w:t>noteikumos:</w:t>
            </w:r>
          </w:p>
          <w:p w14:paraId="09691252" w14:textId="3EEDDF62" w:rsidR="0068037C" w:rsidRPr="009A5537" w:rsidRDefault="003518F6" w:rsidP="0068037C">
            <w:pPr>
              <w:pStyle w:val="ListParagraph"/>
              <w:numPr>
                <w:ilvl w:val="0"/>
                <w:numId w:val="29"/>
              </w:numPr>
              <w:jc w:val="both"/>
              <w:rPr>
                <w:rFonts w:ascii="Times New Roman" w:hAnsi="Times New Roman"/>
                <w:sz w:val="25"/>
                <w:szCs w:val="25"/>
                <w:lang w:val="lv-LV"/>
              </w:rPr>
            </w:pPr>
            <w:r w:rsidRPr="009A5537">
              <w:rPr>
                <w:rFonts w:ascii="Times New Roman" w:hAnsi="Times New Roman"/>
                <w:sz w:val="25"/>
                <w:szCs w:val="25"/>
                <w:lang w:val="lv-LV"/>
              </w:rPr>
              <w:t>MK</w:t>
            </w:r>
            <w:r w:rsidR="0068037C" w:rsidRPr="009A5537">
              <w:rPr>
                <w:rFonts w:ascii="Times New Roman" w:hAnsi="Times New Roman"/>
                <w:sz w:val="25"/>
                <w:szCs w:val="25"/>
                <w:lang w:val="lv-LV"/>
              </w:rPr>
              <w:t xml:space="preserve"> 2010.gada 26.janvāra noteikumos Nr.91 “Noteikumi par darbības programmas “Infrastruktūra un pakalpojumi” papildinājuma 3.6.1.1.aktivitāti “Nacionālas un reģionālas nozīmes attīstības centru izaugsmes veicināšana līdzsvarotai valsts attīstībai”” - tiek samazināts 4.1punktā noteiktais aktivitātes ietvaros pieejamais saistību apjoms un 20.punktā noteiktās kvotas pašvaldībām u.c.;</w:t>
            </w:r>
          </w:p>
          <w:p w14:paraId="1EF0876B" w14:textId="469F8ED7" w:rsidR="0068037C" w:rsidRPr="009A5537" w:rsidRDefault="003518F6" w:rsidP="0068037C">
            <w:pPr>
              <w:pStyle w:val="ListParagraph"/>
              <w:numPr>
                <w:ilvl w:val="0"/>
                <w:numId w:val="29"/>
              </w:numPr>
              <w:jc w:val="both"/>
              <w:rPr>
                <w:rFonts w:ascii="Times New Roman" w:hAnsi="Times New Roman"/>
                <w:sz w:val="25"/>
                <w:szCs w:val="25"/>
                <w:lang w:val="lv-LV"/>
              </w:rPr>
            </w:pPr>
            <w:r w:rsidRPr="009A5537">
              <w:rPr>
                <w:rFonts w:ascii="Times New Roman" w:hAnsi="Times New Roman"/>
                <w:sz w:val="25"/>
                <w:szCs w:val="25"/>
                <w:lang w:val="lv-LV"/>
              </w:rPr>
              <w:t>MK</w:t>
            </w:r>
            <w:r w:rsidR="0068037C" w:rsidRPr="009A5537">
              <w:rPr>
                <w:rFonts w:ascii="Times New Roman" w:hAnsi="Times New Roman"/>
                <w:sz w:val="25"/>
                <w:szCs w:val="25"/>
                <w:lang w:val="lv-LV"/>
              </w:rPr>
              <w:t xml:space="preserve"> 2010.gada 14.septembra noteikumos Nr.843 “Noteikumi par darbības programmas “Infrastruktūra un pakalpojumi” papildinājuma 3.6.2.1.aktivitāti “Atbalsts novadu pašvaldību kompleksai attīstībai”” - tiek samazināts 4.2punktā noteiktais aktivitātes ietvaros pieejamais saistību apjoms un 20.1punktā noteiktās kvotas pašvaldībām u.c.</w:t>
            </w:r>
          </w:p>
          <w:p w14:paraId="0F793D23" w14:textId="77777777" w:rsidR="000960E2" w:rsidRPr="009A5537" w:rsidRDefault="000960E2" w:rsidP="000960E2">
            <w:pPr>
              <w:jc w:val="both"/>
              <w:rPr>
                <w:rFonts w:ascii="Times New Roman" w:hAnsi="Times New Roman"/>
                <w:sz w:val="25"/>
                <w:szCs w:val="25"/>
                <w:lang w:val="lv-LV"/>
              </w:rPr>
            </w:pPr>
          </w:p>
          <w:p w14:paraId="049EF089" w14:textId="36F0393D" w:rsidR="00A011EF" w:rsidRPr="009A5537" w:rsidRDefault="000960E2" w:rsidP="007C75FE">
            <w:pPr>
              <w:jc w:val="both"/>
              <w:rPr>
                <w:sz w:val="25"/>
                <w:szCs w:val="25"/>
                <w:lang w:val="lv-LV"/>
              </w:rPr>
            </w:pPr>
            <w:r w:rsidRPr="009A5537">
              <w:rPr>
                <w:rFonts w:ascii="Times New Roman" w:hAnsi="Times New Roman"/>
                <w:sz w:val="25"/>
                <w:szCs w:val="25"/>
                <w:lang w:val="lv-LV"/>
              </w:rPr>
              <w:t>Tāpat MK noteikumu projekts ir saistīts ar grozījumiem DPP</w:t>
            </w:r>
            <w:r w:rsidRPr="009A5537">
              <w:rPr>
                <w:rFonts w:ascii="Times New Roman" w:eastAsia="Times New Roman" w:hAnsi="Times New Roman" w:cs="Times New Roman"/>
                <w:bCs/>
                <w:sz w:val="25"/>
                <w:szCs w:val="25"/>
                <w:lang w:val="lv-LV" w:eastAsia="lv-LV"/>
              </w:rPr>
              <w:t xml:space="preserve">, </w:t>
            </w:r>
            <w:r w:rsidR="00D07A17" w:rsidRPr="009A5537">
              <w:rPr>
                <w:rFonts w:ascii="Times New Roman" w:hAnsi="Times New Roman" w:cs="Times New Roman"/>
                <w:sz w:val="25"/>
                <w:szCs w:val="25"/>
                <w:lang w:val="lv-LV"/>
              </w:rPr>
              <w:t>paredz</w:t>
            </w:r>
            <w:r w:rsidRPr="009A5537">
              <w:rPr>
                <w:rFonts w:ascii="Times New Roman" w:hAnsi="Times New Roman" w:cs="Times New Roman"/>
                <w:sz w:val="25"/>
                <w:szCs w:val="25"/>
                <w:lang w:val="lv-LV"/>
              </w:rPr>
              <w:t>ot</w:t>
            </w:r>
            <w:r w:rsidR="00D07A17" w:rsidRPr="009A5537">
              <w:rPr>
                <w:rFonts w:ascii="Times New Roman" w:hAnsi="Times New Roman" w:cs="Times New Roman"/>
                <w:sz w:val="25"/>
                <w:szCs w:val="25"/>
                <w:lang w:val="lv-LV"/>
              </w:rPr>
              <w:t xml:space="preserve"> izveidot jaunu </w:t>
            </w:r>
            <w:r w:rsidR="00D07A17" w:rsidRPr="009A5537">
              <w:rPr>
                <w:rFonts w:ascii="Times New Roman" w:hAnsi="Times New Roman" w:cs="Times New Roman"/>
                <w:sz w:val="25"/>
                <w:szCs w:val="25"/>
                <w:lang w:val="lv-LV" w:eastAsia="lv-LV"/>
              </w:rPr>
              <w:t xml:space="preserve">- 2.3.2.2.3.apakšaktivitāti </w:t>
            </w:r>
            <w:r w:rsidRPr="009A5537">
              <w:rPr>
                <w:rFonts w:ascii="Times New Roman" w:hAnsi="Times New Roman" w:cs="Times New Roman"/>
                <w:sz w:val="25"/>
                <w:szCs w:val="25"/>
                <w:lang w:val="lv-LV"/>
              </w:rPr>
              <w:t>(</w:t>
            </w:r>
            <w:r w:rsidR="00CA0317" w:rsidRPr="009A5537">
              <w:rPr>
                <w:rFonts w:ascii="Times New Roman" w:hAnsi="Times New Roman" w:cs="Times New Roman"/>
                <w:sz w:val="25"/>
                <w:szCs w:val="25"/>
                <w:lang w:val="lv-LV"/>
              </w:rPr>
              <w:t>grozījumi DPP tiek virzīti vienlaikus ar MK noteikumu projektu</w:t>
            </w:r>
            <w:r w:rsidRPr="009A5537">
              <w:rPr>
                <w:rFonts w:ascii="Times New Roman" w:hAnsi="Times New Roman" w:cs="Times New Roman"/>
                <w:sz w:val="25"/>
                <w:szCs w:val="25"/>
                <w:lang w:val="lv-LV"/>
              </w:rPr>
              <w:t>).</w:t>
            </w:r>
          </w:p>
        </w:tc>
      </w:tr>
      <w:tr w:rsidR="00951FF3" w:rsidRPr="009A5537" w14:paraId="2823C979" w14:textId="77777777" w:rsidTr="00F66F09">
        <w:tc>
          <w:tcPr>
            <w:tcW w:w="426" w:type="dxa"/>
          </w:tcPr>
          <w:p w14:paraId="6ED38B50" w14:textId="77777777" w:rsidR="00951FF3" w:rsidRPr="009A5537" w:rsidRDefault="00951FF3" w:rsidP="00D40CFC">
            <w:pPr>
              <w:jc w:val="both"/>
              <w:rPr>
                <w:rFonts w:ascii="Times New Roman" w:hAnsi="Times New Roman"/>
                <w:sz w:val="25"/>
                <w:szCs w:val="25"/>
                <w:lang w:val="lv-LV"/>
              </w:rPr>
            </w:pPr>
            <w:r w:rsidRPr="009A5537">
              <w:rPr>
                <w:rFonts w:ascii="Times New Roman" w:hAnsi="Times New Roman"/>
                <w:sz w:val="25"/>
                <w:szCs w:val="25"/>
                <w:lang w:val="lv-LV"/>
              </w:rPr>
              <w:t>2.</w:t>
            </w:r>
          </w:p>
        </w:tc>
        <w:tc>
          <w:tcPr>
            <w:tcW w:w="3402" w:type="dxa"/>
          </w:tcPr>
          <w:p w14:paraId="44946988" w14:textId="77777777" w:rsidR="00951FF3" w:rsidRPr="009A5537" w:rsidRDefault="00951FF3" w:rsidP="00D40CFC">
            <w:pPr>
              <w:jc w:val="both"/>
              <w:rPr>
                <w:rFonts w:ascii="Times New Roman" w:hAnsi="Times New Roman"/>
                <w:sz w:val="25"/>
                <w:szCs w:val="25"/>
                <w:lang w:val="lv-LV"/>
              </w:rPr>
            </w:pPr>
            <w:r w:rsidRPr="009A5537">
              <w:rPr>
                <w:rFonts w:ascii="Times New Roman" w:hAnsi="Times New Roman"/>
                <w:sz w:val="25"/>
                <w:szCs w:val="25"/>
                <w:lang w:val="lv-LV"/>
              </w:rPr>
              <w:t>Atbildīgā institūcija</w:t>
            </w:r>
          </w:p>
        </w:tc>
        <w:tc>
          <w:tcPr>
            <w:tcW w:w="5352" w:type="dxa"/>
          </w:tcPr>
          <w:p w14:paraId="0CA16EC9" w14:textId="72379895" w:rsidR="00951FF3" w:rsidRPr="009A5537" w:rsidRDefault="00FD0312" w:rsidP="00F219F2">
            <w:pPr>
              <w:jc w:val="both"/>
              <w:rPr>
                <w:rFonts w:ascii="Times New Roman" w:hAnsi="Times New Roman"/>
                <w:sz w:val="25"/>
                <w:szCs w:val="25"/>
                <w:lang w:val="lv-LV"/>
              </w:rPr>
            </w:pPr>
            <w:r w:rsidRPr="009A5537">
              <w:rPr>
                <w:rFonts w:ascii="Times New Roman" w:hAnsi="Times New Roman"/>
                <w:sz w:val="25"/>
                <w:szCs w:val="25"/>
                <w:lang w:val="lv-LV"/>
              </w:rPr>
              <w:t>EM</w:t>
            </w:r>
            <w:r w:rsidR="00D210DA" w:rsidRPr="009A5537">
              <w:rPr>
                <w:rFonts w:ascii="Times New Roman" w:hAnsi="Times New Roman"/>
                <w:sz w:val="25"/>
                <w:szCs w:val="25"/>
                <w:lang w:val="lv-LV"/>
              </w:rPr>
              <w:t xml:space="preserve">, Vides aizsardzības un reģionālās attīstības ministrija, </w:t>
            </w:r>
            <w:r w:rsidR="00A011EF" w:rsidRPr="009A5537">
              <w:rPr>
                <w:rFonts w:ascii="Times New Roman" w:hAnsi="Times New Roman"/>
                <w:sz w:val="25"/>
                <w:szCs w:val="25"/>
                <w:lang w:val="lv-LV"/>
              </w:rPr>
              <w:t>Finanšu</w:t>
            </w:r>
            <w:r w:rsidR="0041285A" w:rsidRPr="009A5537">
              <w:rPr>
                <w:rFonts w:ascii="Times New Roman" w:hAnsi="Times New Roman"/>
                <w:sz w:val="25"/>
                <w:szCs w:val="25"/>
                <w:lang w:val="lv-LV"/>
              </w:rPr>
              <w:t xml:space="preserve"> ministrija</w:t>
            </w:r>
            <w:r w:rsidR="0068037C" w:rsidRPr="009A5537">
              <w:rPr>
                <w:rFonts w:ascii="Times New Roman" w:hAnsi="Times New Roman"/>
                <w:sz w:val="25"/>
                <w:szCs w:val="25"/>
                <w:lang w:val="lv-LV"/>
              </w:rPr>
              <w:t>.</w:t>
            </w:r>
          </w:p>
        </w:tc>
      </w:tr>
      <w:tr w:rsidR="00D40CFC" w:rsidRPr="004C4FD3" w14:paraId="58C6C6FE" w14:textId="77777777" w:rsidTr="00F66F09">
        <w:tc>
          <w:tcPr>
            <w:tcW w:w="426" w:type="dxa"/>
          </w:tcPr>
          <w:p w14:paraId="7FF4E020" w14:textId="77777777" w:rsidR="00D40CFC" w:rsidRPr="009A5537" w:rsidRDefault="00951FF3" w:rsidP="00D40CFC">
            <w:pPr>
              <w:jc w:val="both"/>
              <w:rPr>
                <w:rFonts w:ascii="Times New Roman" w:hAnsi="Times New Roman"/>
                <w:sz w:val="25"/>
                <w:szCs w:val="25"/>
                <w:lang w:val="lv-LV"/>
              </w:rPr>
            </w:pPr>
            <w:r w:rsidRPr="009A5537">
              <w:rPr>
                <w:rFonts w:ascii="Times New Roman" w:hAnsi="Times New Roman"/>
                <w:sz w:val="25"/>
                <w:szCs w:val="25"/>
                <w:lang w:val="lv-LV"/>
              </w:rPr>
              <w:t>3</w:t>
            </w:r>
            <w:r w:rsidR="00D40CFC" w:rsidRPr="009A5537">
              <w:rPr>
                <w:rFonts w:ascii="Times New Roman" w:hAnsi="Times New Roman"/>
                <w:sz w:val="25"/>
                <w:szCs w:val="25"/>
                <w:lang w:val="lv-LV"/>
              </w:rPr>
              <w:t>.</w:t>
            </w:r>
          </w:p>
        </w:tc>
        <w:tc>
          <w:tcPr>
            <w:tcW w:w="3402" w:type="dxa"/>
          </w:tcPr>
          <w:p w14:paraId="70471C2A" w14:textId="77777777" w:rsidR="00D40CFC" w:rsidRPr="009A5537" w:rsidRDefault="00D40CFC" w:rsidP="00D40CFC">
            <w:pPr>
              <w:jc w:val="both"/>
              <w:rPr>
                <w:rFonts w:ascii="Times New Roman" w:hAnsi="Times New Roman"/>
                <w:sz w:val="25"/>
                <w:szCs w:val="25"/>
                <w:lang w:val="lv-LV"/>
              </w:rPr>
            </w:pPr>
            <w:r w:rsidRPr="009A5537">
              <w:rPr>
                <w:rFonts w:ascii="Times New Roman" w:hAnsi="Times New Roman"/>
                <w:sz w:val="25"/>
                <w:szCs w:val="25"/>
                <w:lang w:val="lv-LV"/>
              </w:rPr>
              <w:t>Cita informācija</w:t>
            </w:r>
          </w:p>
        </w:tc>
        <w:tc>
          <w:tcPr>
            <w:tcW w:w="5352" w:type="dxa"/>
          </w:tcPr>
          <w:p w14:paraId="731070DD" w14:textId="78363C67" w:rsidR="00D40CFC" w:rsidRPr="0085084E" w:rsidRDefault="0085084E" w:rsidP="004C4FD3">
            <w:pPr>
              <w:jc w:val="both"/>
              <w:rPr>
                <w:rFonts w:ascii="Times New Roman" w:hAnsi="Times New Roman"/>
                <w:sz w:val="25"/>
                <w:szCs w:val="25"/>
                <w:lang w:val="lv-LV"/>
              </w:rPr>
            </w:pPr>
            <w:r w:rsidRPr="0085084E">
              <w:rPr>
                <w:rFonts w:ascii="Times New Roman" w:hAnsi="Times New Roman"/>
                <w:sz w:val="25"/>
                <w:szCs w:val="25"/>
                <w:lang w:val="lv-LV"/>
              </w:rPr>
              <w:t xml:space="preserve">Ņemot vērā, ka </w:t>
            </w:r>
            <w:r w:rsidR="00436141">
              <w:rPr>
                <w:rFonts w:ascii="Times New Roman" w:hAnsi="Times New Roman"/>
                <w:sz w:val="25"/>
                <w:szCs w:val="25"/>
                <w:lang w:val="lv-LV"/>
              </w:rPr>
              <w:t>2.3.2.2.1.apakšaktivitātes “</w:t>
            </w:r>
            <w:r w:rsidRPr="0085084E">
              <w:rPr>
                <w:rFonts w:ascii="Times New Roman" w:hAnsi="Times New Roman"/>
                <w:sz w:val="25"/>
                <w:szCs w:val="25"/>
                <w:lang w:val="lv-LV"/>
              </w:rPr>
              <w:t>Atbalsts ieguldījumiem mikro, maziem un vidējiem komersantiem īpaši atbalstāmajās teritorijās</w:t>
            </w:r>
            <w:r w:rsidR="00436141">
              <w:rPr>
                <w:rFonts w:ascii="Times New Roman" w:hAnsi="Times New Roman"/>
                <w:sz w:val="25"/>
                <w:szCs w:val="25"/>
                <w:lang w:val="lv-LV"/>
              </w:rPr>
              <w:t>”</w:t>
            </w:r>
            <w:r w:rsidRPr="0085084E">
              <w:rPr>
                <w:rFonts w:ascii="Times New Roman" w:hAnsi="Times New Roman"/>
                <w:sz w:val="25"/>
                <w:szCs w:val="25"/>
                <w:lang w:val="lv-LV"/>
              </w:rPr>
              <w:t xml:space="preserve"> ieviešana ir pabeigta, pieņemt zināšanai, ka grozījumi </w:t>
            </w:r>
            <w:r w:rsidRPr="009A5537">
              <w:rPr>
                <w:rFonts w:ascii="Times New Roman" w:hAnsi="Times New Roman"/>
                <w:sz w:val="25"/>
                <w:szCs w:val="25"/>
                <w:lang w:val="lv-LV"/>
              </w:rPr>
              <w:t xml:space="preserve">MK 2009.gada 24.februāra noteikumos Nr.197 “Noteikumi par darbības programmas “Uzņēmējdarbība un inovācijas” papildinājuma 2.3.2.2.1.apakšaktivitāti “Atbalsts ieguldījumiem mikro, maziem un vidējiem komersantiem īpaši atbalstāmajās teritorijās”” </w:t>
            </w:r>
            <w:r w:rsidRPr="0085084E">
              <w:rPr>
                <w:rFonts w:ascii="Times New Roman" w:hAnsi="Times New Roman"/>
                <w:sz w:val="25"/>
                <w:szCs w:val="25"/>
                <w:lang w:val="lv-LV"/>
              </w:rPr>
              <w:t>nav nepi</w:t>
            </w:r>
            <w:r>
              <w:rPr>
                <w:rFonts w:ascii="Times New Roman" w:hAnsi="Times New Roman"/>
                <w:sz w:val="25"/>
                <w:szCs w:val="25"/>
                <w:lang w:val="lv-LV"/>
              </w:rPr>
              <w:t>eciešami.</w:t>
            </w:r>
          </w:p>
        </w:tc>
      </w:tr>
    </w:tbl>
    <w:p w14:paraId="5CCCF017" w14:textId="77777777" w:rsidR="009E34F3" w:rsidRDefault="009E34F3" w:rsidP="004E7BC4">
      <w:pPr>
        <w:rPr>
          <w:rFonts w:ascii="Times New Roman" w:hAnsi="Times New Roman"/>
          <w:sz w:val="25"/>
          <w:szCs w:val="25"/>
          <w:lang w:val="lv-LV"/>
        </w:rPr>
      </w:pPr>
    </w:p>
    <w:p w14:paraId="401502A4" w14:textId="77777777" w:rsidR="002770D4" w:rsidRDefault="002770D4" w:rsidP="004E7BC4">
      <w:pPr>
        <w:rPr>
          <w:rFonts w:ascii="Times New Roman" w:hAnsi="Times New Roman"/>
          <w:sz w:val="25"/>
          <w:szCs w:val="25"/>
          <w:lang w:val="lv-LV"/>
        </w:rPr>
      </w:pPr>
    </w:p>
    <w:p w14:paraId="01132938" w14:textId="77777777" w:rsidR="002770D4" w:rsidRPr="009A5537" w:rsidRDefault="002770D4" w:rsidP="004E7BC4">
      <w:pPr>
        <w:rPr>
          <w:rFonts w:ascii="Times New Roman" w:hAnsi="Times New Roman"/>
          <w:sz w:val="25"/>
          <w:szCs w:val="25"/>
          <w:lang w:val="lv-LV"/>
        </w:rPr>
      </w:pPr>
    </w:p>
    <w:tbl>
      <w:tblPr>
        <w:tblW w:w="4996" w:type="pct"/>
        <w:tblCellSpacing w:w="15" w:type="dxa"/>
        <w:tblInd w:w="-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0"/>
        <w:gridCol w:w="1701"/>
        <w:gridCol w:w="6737"/>
      </w:tblGrid>
      <w:tr w:rsidR="00E56EB9" w:rsidRPr="009A5537" w14:paraId="14DF01A9" w14:textId="77777777" w:rsidTr="00F66F0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14:paraId="3D2378D3" w14:textId="77777777" w:rsidR="00E56EB9" w:rsidRPr="009A5537" w:rsidRDefault="00E56EB9" w:rsidP="00225426">
            <w:pPr>
              <w:spacing w:line="240" w:lineRule="auto"/>
              <w:jc w:val="center"/>
              <w:rPr>
                <w:rFonts w:ascii="Times New Roman" w:hAnsi="Times New Roman"/>
                <w:b/>
                <w:sz w:val="25"/>
                <w:szCs w:val="25"/>
                <w:lang w:val="lv-LV"/>
              </w:rPr>
            </w:pPr>
            <w:r w:rsidRPr="009A5537">
              <w:rPr>
                <w:rFonts w:ascii="Times New Roman" w:hAnsi="Times New Roman"/>
                <w:b/>
                <w:sz w:val="25"/>
                <w:szCs w:val="25"/>
                <w:lang w:val="lv-LV"/>
              </w:rPr>
              <w:t>V. Tiesību akta projekta atbilstība Latvijas Republikas starptautiskajām saistībām</w:t>
            </w:r>
          </w:p>
        </w:tc>
      </w:tr>
      <w:tr w:rsidR="00E56EB9" w:rsidRPr="009A5537" w14:paraId="686CE480" w14:textId="77777777" w:rsidTr="00F66F09">
        <w:trPr>
          <w:tblCellSpacing w:w="15" w:type="dxa"/>
        </w:trPr>
        <w:tc>
          <w:tcPr>
            <w:tcW w:w="314" w:type="pct"/>
            <w:tcBorders>
              <w:top w:val="outset" w:sz="6" w:space="0" w:color="auto"/>
              <w:left w:val="outset" w:sz="6" w:space="0" w:color="auto"/>
              <w:bottom w:val="outset" w:sz="6" w:space="0" w:color="auto"/>
              <w:right w:val="outset" w:sz="6" w:space="0" w:color="auto"/>
            </w:tcBorders>
            <w:hideMark/>
          </w:tcPr>
          <w:p w14:paraId="4A4F5D0D" w14:textId="77777777" w:rsidR="00E56EB9" w:rsidRPr="009A5537" w:rsidRDefault="00E56EB9">
            <w:pPr>
              <w:spacing w:line="240" w:lineRule="auto"/>
              <w:rPr>
                <w:rFonts w:ascii="Times New Roman" w:hAnsi="Times New Roman"/>
                <w:sz w:val="25"/>
                <w:szCs w:val="25"/>
                <w:lang w:val="lv-LV"/>
              </w:rPr>
            </w:pPr>
            <w:r w:rsidRPr="009A5537">
              <w:rPr>
                <w:rFonts w:ascii="Times New Roman" w:hAnsi="Times New Roman"/>
                <w:sz w:val="25"/>
                <w:szCs w:val="25"/>
                <w:lang w:val="lv-LV"/>
              </w:rPr>
              <w:lastRenderedPageBreak/>
              <w:t>1.</w:t>
            </w:r>
          </w:p>
        </w:tc>
        <w:tc>
          <w:tcPr>
            <w:tcW w:w="930" w:type="pct"/>
            <w:tcBorders>
              <w:top w:val="outset" w:sz="6" w:space="0" w:color="auto"/>
              <w:left w:val="outset" w:sz="6" w:space="0" w:color="auto"/>
              <w:bottom w:val="outset" w:sz="6" w:space="0" w:color="auto"/>
              <w:right w:val="outset" w:sz="6" w:space="0" w:color="auto"/>
            </w:tcBorders>
            <w:hideMark/>
          </w:tcPr>
          <w:p w14:paraId="61B19F73" w14:textId="77777777" w:rsidR="00E56EB9" w:rsidRPr="009A5537" w:rsidRDefault="00E56EB9" w:rsidP="00225426">
            <w:pPr>
              <w:spacing w:line="240" w:lineRule="auto"/>
              <w:jc w:val="both"/>
              <w:rPr>
                <w:rFonts w:ascii="Times New Roman" w:hAnsi="Times New Roman"/>
                <w:sz w:val="25"/>
                <w:szCs w:val="25"/>
                <w:lang w:val="lv-LV"/>
              </w:rPr>
            </w:pPr>
            <w:r w:rsidRPr="009A5537">
              <w:rPr>
                <w:rFonts w:ascii="Times New Roman" w:hAnsi="Times New Roman"/>
                <w:sz w:val="25"/>
                <w:szCs w:val="25"/>
                <w:lang w:val="lv-LV"/>
              </w:rPr>
              <w:t>Saistības pret Eiropas Savienību</w:t>
            </w:r>
          </w:p>
        </w:tc>
        <w:tc>
          <w:tcPr>
            <w:tcW w:w="3691" w:type="pct"/>
            <w:tcBorders>
              <w:top w:val="outset" w:sz="6" w:space="0" w:color="auto"/>
              <w:left w:val="outset" w:sz="6" w:space="0" w:color="auto"/>
              <w:bottom w:val="outset" w:sz="6" w:space="0" w:color="auto"/>
              <w:right w:val="outset" w:sz="6" w:space="0" w:color="auto"/>
            </w:tcBorders>
            <w:hideMark/>
          </w:tcPr>
          <w:p w14:paraId="24A81CFB" w14:textId="28D74ED1" w:rsidR="00CD7C4F" w:rsidRPr="009A5537" w:rsidRDefault="00567E66" w:rsidP="00CD7C4F">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sz w:val="25"/>
                <w:szCs w:val="25"/>
                <w:lang w:val="lv-LV"/>
              </w:rPr>
              <w:t xml:space="preserve">Eiropas Parlamenta un Padomes 2006.gada 5.jūlija Regula </w:t>
            </w:r>
            <w:r w:rsidRPr="009A5537">
              <w:rPr>
                <w:rStyle w:val="Strong"/>
                <w:rFonts w:ascii="Times New Roman" w:hAnsi="Times New Roman"/>
                <w:b w:val="0"/>
                <w:sz w:val="25"/>
                <w:szCs w:val="25"/>
                <w:lang w:val="lv-LV"/>
              </w:rPr>
              <w:t>(EK) Nr.1080/2006 par Eiropas Reģionālās attīstības fondu un Regulas (EK) Nr.1783/1999 atcelšanu;</w:t>
            </w:r>
          </w:p>
          <w:p w14:paraId="3B06946C" w14:textId="7E4C4141" w:rsidR="00567E66" w:rsidRPr="009A5537" w:rsidRDefault="00567E66" w:rsidP="00CD7C4F">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sz w:val="25"/>
                <w:szCs w:val="25"/>
                <w:lang w:val="lv-LV"/>
              </w:rPr>
              <w:t>Eiropas Parlamenta un Padomes 2006.gada 5.jūlija Regula (EK) Nr.1081/2006 par Eiropas Sociālo fondu un Regulas (EK) Nr.1784/1999 atcelšanu;</w:t>
            </w:r>
          </w:p>
          <w:p w14:paraId="40416B2D" w14:textId="63A0DBB7" w:rsidR="00CD7C4F" w:rsidRPr="009A5537" w:rsidRDefault="00567E66" w:rsidP="00CD7C4F">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sz w:val="25"/>
                <w:szCs w:val="25"/>
                <w:lang w:val="lv-LV"/>
              </w:rPr>
              <w:t xml:space="preserve">Padomes 2006.gada 11.jūlija Regula (EK) Nr. 1083/2006, ar ko </w:t>
            </w:r>
            <w:r w:rsidRPr="009A5537">
              <w:rPr>
                <w:rFonts w:ascii="Times New Roman" w:hAnsi="Times New Roman" w:cs="Times New Roman"/>
                <w:sz w:val="25"/>
                <w:szCs w:val="25"/>
                <w:lang w:val="lv-LV"/>
              </w:rPr>
              <w:t>paredz vispārīgus noteikumus par Eiropas Reģionālās attīstības fondu, Eiropas Sociālo fondu un Kohēzijas fondu un atceļ Regulu (EK) Nr. 1260/1999;</w:t>
            </w:r>
          </w:p>
          <w:p w14:paraId="42E0E0BD" w14:textId="77777777" w:rsidR="006C6B81" w:rsidRPr="009A5537" w:rsidRDefault="00567E66" w:rsidP="00CC3EDB">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cs="Times New Roman"/>
                <w:sz w:val="25"/>
                <w:szCs w:val="25"/>
                <w:lang w:val="lv-LV"/>
              </w:rPr>
              <w:t>Komisijas 2005. gada 28. novembra Lēmums (EK) Nr. 842/2005 par EK līguma 86. panta 2. punkta piemērošanu valsts atbalstam attiecībā uz kompensāciju par sabiedriskajiem pakalpojumiem dažiem uzņēmumiem, kuriem uzticēts sniegt pakalpojumus ar vispārēju tautsaimniecisku nozīmi</w:t>
            </w:r>
            <w:r w:rsidR="00EB2A0D" w:rsidRPr="009A5537">
              <w:rPr>
                <w:rFonts w:ascii="Times New Roman" w:eastAsia="Times New Roman" w:hAnsi="Times New Roman" w:cs="Times New Roman"/>
                <w:sz w:val="25"/>
                <w:szCs w:val="25"/>
                <w:lang w:val="lv-LV"/>
              </w:rPr>
              <w:t>;</w:t>
            </w:r>
          </w:p>
          <w:p w14:paraId="0E790781" w14:textId="576D3E7E" w:rsidR="00014658" w:rsidRPr="009A5537" w:rsidRDefault="00014658" w:rsidP="00CC3EDB">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color w:val="000000"/>
                <w:sz w:val="25"/>
                <w:szCs w:val="25"/>
                <w:lang w:val="lv-LV"/>
              </w:rPr>
              <w:t>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tautsaimniecības nozīmi;</w:t>
            </w:r>
          </w:p>
          <w:p w14:paraId="28B96488" w14:textId="2D19F2EB" w:rsidR="00CD7C4F" w:rsidRPr="009A5537" w:rsidRDefault="006C6B81">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cs="Times New Roman"/>
                <w:sz w:val="25"/>
                <w:szCs w:val="25"/>
                <w:lang w:val="lv-LV"/>
              </w:rPr>
              <w:t>Līgums par Eiropas Savienību un Līgums par Eiropas Savienības darbību 2012/C 326/01;</w:t>
            </w:r>
          </w:p>
          <w:p w14:paraId="763EF5E9" w14:textId="6C1FD96F" w:rsidR="00E56EB9" w:rsidRPr="009A5537" w:rsidRDefault="00CD7C4F" w:rsidP="00F66F09">
            <w:pPr>
              <w:spacing w:after="0" w:line="240" w:lineRule="auto"/>
              <w:jc w:val="both"/>
              <w:rPr>
                <w:rFonts w:ascii="Times New Roman" w:hAnsi="Times New Roman"/>
                <w:b/>
                <w:sz w:val="25"/>
                <w:szCs w:val="25"/>
                <w:lang w:val="lv-LV"/>
              </w:rPr>
            </w:pPr>
            <w:r w:rsidRPr="009A5537">
              <w:rPr>
                <w:rFonts w:ascii="Times New Roman" w:eastAsia="Times New Roman" w:hAnsi="Times New Roman" w:cs="Times New Roman"/>
                <w:sz w:val="25"/>
                <w:szCs w:val="25"/>
                <w:lang w:val="lv-LV"/>
              </w:rPr>
              <w:t>Kopienas nostādnes Nr.2005/C 297/04</w:t>
            </w:r>
            <w:r w:rsidR="006C6B81" w:rsidRPr="009A5537">
              <w:rPr>
                <w:rFonts w:ascii="Times New Roman" w:eastAsia="Times New Roman" w:hAnsi="Times New Roman" w:cs="Times New Roman"/>
                <w:sz w:val="25"/>
                <w:szCs w:val="25"/>
                <w:lang w:val="lv-LV"/>
              </w:rPr>
              <w:t>.</w:t>
            </w:r>
          </w:p>
        </w:tc>
      </w:tr>
      <w:tr w:rsidR="00E56EB9" w:rsidRPr="009A5537" w14:paraId="6D7F07E6" w14:textId="77777777" w:rsidTr="00F66F09">
        <w:trPr>
          <w:tblCellSpacing w:w="15" w:type="dxa"/>
        </w:trPr>
        <w:tc>
          <w:tcPr>
            <w:tcW w:w="314" w:type="pct"/>
            <w:tcBorders>
              <w:top w:val="outset" w:sz="6" w:space="0" w:color="auto"/>
              <w:left w:val="outset" w:sz="6" w:space="0" w:color="auto"/>
              <w:bottom w:val="outset" w:sz="6" w:space="0" w:color="auto"/>
              <w:right w:val="outset" w:sz="6" w:space="0" w:color="auto"/>
            </w:tcBorders>
            <w:vAlign w:val="center"/>
            <w:hideMark/>
          </w:tcPr>
          <w:p w14:paraId="34870241" w14:textId="77777777" w:rsidR="00E56EB9" w:rsidRPr="009A5537" w:rsidRDefault="00E56EB9">
            <w:pPr>
              <w:spacing w:line="240" w:lineRule="auto"/>
              <w:rPr>
                <w:rFonts w:ascii="Times New Roman" w:hAnsi="Times New Roman"/>
                <w:sz w:val="25"/>
                <w:szCs w:val="25"/>
                <w:lang w:val="lv-LV"/>
              </w:rPr>
            </w:pPr>
            <w:r w:rsidRPr="009A5537">
              <w:rPr>
                <w:rFonts w:ascii="Times New Roman" w:hAnsi="Times New Roman"/>
                <w:sz w:val="25"/>
                <w:szCs w:val="25"/>
                <w:lang w:val="lv-LV"/>
              </w:rPr>
              <w:t>2.</w:t>
            </w:r>
          </w:p>
        </w:tc>
        <w:tc>
          <w:tcPr>
            <w:tcW w:w="930" w:type="pct"/>
            <w:tcBorders>
              <w:top w:val="outset" w:sz="6" w:space="0" w:color="auto"/>
              <w:left w:val="outset" w:sz="6" w:space="0" w:color="auto"/>
              <w:bottom w:val="outset" w:sz="6" w:space="0" w:color="auto"/>
              <w:right w:val="outset" w:sz="6" w:space="0" w:color="auto"/>
            </w:tcBorders>
            <w:vAlign w:val="center"/>
            <w:hideMark/>
          </w:tcPr>
          <w:p w14:paraId="3A6E45D7" w14:textId="77777777" w:rsidR="00E56EB9" w:rsidRPr="009A5537" w:rsidRDefault="00E56EB9" w:rsidP="00F66F09">
            <w:pPr>
              <w:spacing w:line="240" w:lineRule="auto"/>
              <w:rPr>
                <w:rFonts w:ascii="Times New Roman" w:hAnsi="Times New Roman"/>
                <w:sz w:val="25"/>
                <w:szCs w:val="25"/>
                <w:lang w:val="lv-LV"/>
              </w:rPr>
            </w:pPr>
            <w:r w:rsidRPr="009A5537">
              <w:rPr>
                <w:rFonts w:ascii="Times New Roman" w:hAnsi="Times New Roman"/>
                <w:sz w:val="25"/>
                <w:szCs w:val="25"/>
                <w:lang w:val="lv-LV"/>
              </w:rPr>
              <w:t>Citas starptautiskās saistības</w:t>
            </w:r>
          </w:p>
        </w:tc>
        <w:tc>
          <w:tcPr>
            <w:tcW w:w="3691" w:type="pct"/>
            <w:tcBorders>
              <w:top w:val="outset" w:sz="6" w:space="0" w:color="auto"/>
              <w:left w:val="outset" w:sz="6" w:space="0" w:color="auto"/>
              <w:bottom w:val="outset" w:sz="6" w:space="0" w:color="auto"/>
              <w:right w:val="outset" w:sz="6" w:space="0" w:color="auto"/>
            </w:tcBorders>
            <w:vAlign w:val="center"/>
            <w:hideMark/>
          </w:tcPr>
          <w:p w14:paraId="337A14DC" w14:textId="3A6DF712" w:rsidR="00E56EB9" w:rsidRPr="009A5537" w:rsidRDefault="00CD7C4F" w:rsidP="00F66F09">
            <w:pPr>
              <w:spacing w:line="240" w:lineRule="auto"/>
              <w:rPr>
                <w:rFonts w:ascii="Times New Roman" w:hAnsi="Times New Roman"/>
                <w:sz w:val="25"/>
                <w:szCs w:val="25"/>
                <w:lang w:val="lv-LV"/>
              </w:rPr>
            </w:pPr>
            <w:r w:rsidRPr="009A5537">
              <w:rPr>
                <w:rFonts w:ascii="Times New Roman" w:eastAsia="Times New Roman" w:hAnsi="Times New Roman" w:cs="Times New Roman"/>
                <w:sz w:val="25"/>
                <w:szCs w:val="25"/>
                <w:lang w:val="lv-LV" w:eastAsia="lv-LV"/>
              </w:rPr>
              <w:t>Projekts šo jomu neskar</w:t>
            </w:r>
          </w:p>
        </w:tc>
      </w:tr>
      <w:tr w:rsidR="00E56EB9" w:rsidRPr="009A5537" w14:paraId="2CC14E86" w14:textId="77777777" w:rsidTr="00F66F09">
        <w:trPr>
          <w:tblCellSpacing w:w="15" w:type="dxa"/>
        </w:trPr>
        <w:tc>
          <w:tcPr>
            <w:tcW w:w="314" w:type="pct"/>
            <w:tcBorders>
              <w:top w:val="outset" w:sz="6" w:space="0" w:color="auto"/>
              <w:left w:val="outset" w:sz="6" w:space="0" w:color="auto"/>
              <w:bottom w:val="outset" w:sz="6" w:space="0" w:color="auto"/>
              <w:right w:val="outset" w:sz="6" w:space="0" w:color="auto"/>
            </w:tcBorders>
            <w:vAlign w:val="center"/>
            <w:hideMark/>
          </w:tcPr>
          <w:p w14:paraId="3D5EE370" w14:textId="77777777" w:rsidR="00E56EB9" w:rsidRPr="009A5537" w:rsidRDefault="00E56EB9">
            <w:pPr>
              <w:spacing w:line="240" w:lineRule="auto"/>
              <w:rPr>
                <w:rFonts w:ascii="Times New Roman" w:hAnsi="Times New Roman"/>
                <w:sz w:val="25"/>
                <w:szCs w:val="25"/>
                <w:lang w:val="lv-LV"/>
              </w:rPr>
            </w:pPr>
            <w:r w:rsidRPr="009A5537">
              <w:rPr>
                <w:rFonts w:ascii="Times New Roman" w:hAnsi="Times New Roman"/>
                <w:sz w:val="25"/>
                <w:szCs w:val="25"/>
                <w:lang w:val="lv-LV"/>
              </w:rPr>
              <w:t>3.</w:t>
            </w:r>
          </w:p>
        </w:tc>
        <w:tc>
          <w:tcPr>
            <w:tcW w:w="930" w:type="pct"/>
            <w:tcBorders>
              <w:top w:val="outset" w:sz="6" w:space="0" w:color="auto"/>
              <w:left w:val="outset" w:sz="6" w:space="0" w:color="auto"/>
              <w:bottom w:val="outset" w:sz="6" w:space="0" w:color="auto"/>
              <w:right w:val="outset" w:sz="6" w:space="0" w:color="auto"/>
            </w:tcBorders>
            <w:vAlign w:val="center"/>
            <w:hideMark/>
          </w:tcPr>
          <w:p w14:paraId="7C481447" w14:textId="77777777" w:rsidR="00E56EB9" w:rsidRPr="009A5537" w:rsidRDefault="00E56EB9" w:rsidP="00F66F09">
            <w:pPr>
              <w:spacing w:line="240" w:lineRule="auto"/>
              <w:rPr>
                <w:rFonts w:ascii="Times New Roman" w:hAnsi="Times New Roman"/>
                <w:sz w:val="25"/>
                <w:szCs w:val="25"/>
                <w:lang w:val="lv-LV"/>
              </w:rPr>
            </w:pPr>
            <w:r w:rsidRPr="009A5537">
              <w:rPr>
                <w:rFonts w:ascii="Times New Roman" w:hAnsi="Times New Roman"/>
                <w:sz w:val="25"/>
                <w:szCs w:val="25"/>
                <w:lang w:val="lv-LV"/>
              </w:rPr>
              <w:t>Cita informācija</w:t>
            </w:r>
          </w:p>
        </w:tc>
        <w:tc>
          <w:tcPr>
            <w:tcW w:w="3691" w:type="pct"/>
            <w:tcBorders>
              <w:top w:val="outset" w:sz="6" w:space="0" w:color="auto"/>
              <w:left w:val="outset" w:sz="6" w:space="0" w:color="auto"/>
              <w:bottom w:val="outset" w:sz="6" w:space="0" w:color="auto"/>
              <w:right w:val="outset" w:sz="6" w:space="0" w:color="auto"/>
            </w:tcBorders>
            <w:vAlign w:val="center"/>
            <w:hideMark/>
          </w:tcPr>
          <w:p w14:paraId="743EEAC4" w14:textId="77777777" w:rsidR="00E56EB9" w:rsidRPr="009A5537" w:rsidRDefault="00A76A07">
            <w:pPr>
              <w:spacing w:after="0" w:line="240" w:lineRule="auto"/>
              <w:rPr>
                <w:rFonts w:ascii="Times New Roman" w:hAnsi="Times New Roman"/>
                <w:sz w:val="25"/>
                <w:szCs w:val="25"/>
                <w:lang w:val="lv-LV"/>
              </w:rPr>
            </w:pPr>
            <w:r w:rsidRPr="009A5537">
              <w:rPr>
                <w:rFonts w:ascii="Times New Roman" w:hAnsi="Times New Roman"/>
                <w:sz w:val="25"/>
                <w:szCs w:val="25"/>
                <w:lang w:val="lv-LV"/>
              </w:rPr>
              <w:t>Nav</w:t>
            </w:r>
          </w:p>
        </w:tc>
      </w:tr>
    </w:tbl>
    <w:p w14:paraId="0EEE451F" w14:textId="77777777" w:rsidR="00E56EB9" w:rsidRPr="009A5537" w:rsidRDefault="00E56EB9" w:rsidP="004E7BC4">
      <w:pPr>
        <w:rPr>
          <w:rFonts w:ascii="Times New Roman" w:hAnsi="Times New Roman"/>
          <w:sz w:val="25"/>
          <w:szCs w:val="25"/>
          <w:lang w:val="lv-LV"/>
        </w:rPr>
      </w:pPr>
    </w:p>
    <w:tbl>
      <w:tblPr>
        <w:tblW w:w="9078" w:type="dxa"/>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243"/>
        <w:gridCol w:w="598"/>
        <w:gridCol w:w="1499"/>
        <w:gridCol w:w="2097"/>
        <w:gridCol w:w="2641"/>
      </w:tblGrid>
      <w:tr w:rsidR="00E56EB9" w:rsidRPr="004C4FD3" w14:paraId="21ECD96D" w14:textId="77777777" w:rsidTr="00D0283A">
        <w:trPr>
          <w:tblCellSpacing w:w="15" w:type="dxa"/>
        </w:trPr>
        <w:tc>
          <w:tcPr>
            <w:tcW w:w="9018" w:type="dxa"/>
            <w:gridSpan w:val="5"/>
            <w:tcBorders>
              <w:top w:val="outset" w:sz="6" w:space="0" w:color="auto"/>
              <w:left w:val="outset" w:sz="6" w:space="0" w:color="auto"/>
              <w:bottom w:val="outset" w:sz="6" w:space="0" w:color="auto"/>
              <w:right w:val="outset" w:sz="6" w:space="0" w:color="auto"/>
            </w:tcBorders>
            <w:vAlign w:val="center"/>
            <w:hideMark/>
          </w:tcPr>
          <w:p w14:paraId="65DE72F4" w14:textId="77777777" w:rsidR="00E56EB9" w:rsidRPr="009A5537" w:rsidRDefault="00E56EB9" w:rsidP="00225426">
            <w:pPr>
              <w:spacing w:line="240" w:lineRule="auto"/>
              <w:jc w:val="center"/>
              <w:rPr>
                <w:rFonts w:ascii="Times New Roman" w:hAnsi="Times New Roman"/>
                <w:b/>
                <w:sz w:val="25"/>
                <w:szCs w:val="25"/>
                <w:lang w:val="lv-LV"/>
              </w:rPr>
            </w:pPr>
            <w:r w:rsidRPr="009A5537">
              <w:rPr>
                <w:rFonts w:ascii="Times New Roman" w:hAnsi="Times New Roman"/>
                <w:b/>
                <w:sz w:val="25"/>
                <w:szCs w:val="25"/>
                <w:lang w:val="lv-LV"/>
              </w:rPr>
              <w:t>1.tabula</w:t>
            </w:r>
            <w:r w:rsidRPr="009A5537">
              <w:rPr>
                <w:rFonts w:ascii="Times New Roman" w:hAnsi="Times New Roman"/>
                <w:b/>
                <w:sz w:val="25"/>
                <w:szCs w:val="25"/>
                <w:lang w:val="lv-LV"/>
              </w:rPr>
              <w:br/>
              <w:t>Tiesību akta projekta atbilstība ES tiesību aktiem</w:t>
            </w:r>
          </w:p>
        </w:tc>
      </w:tr>
      <w:tr w:rsidR="00E56EB9" w:rsidRPr="009A5537" w14:paraId="22FA836F" w14:textId="77777777" w:rsidTr="00D0283A">
        <w:trPr>
          <w:tblCellSpacing w:w="15" w:type="dxa"/>
        </w:trPr>
        <w:tc>
          <w:tcPr>
            <w:tcW w:w="2198" w:type="dxa"/>
            <w:tcBorders>
              <w:top w:val="outset" w:sz="6" w:space="0" w:color="auto"/>
              <w:left w:val="outset" w:sz="6" w:space="0" w:color="auto"/>
              <w:bottom w:val="outset" w:sz="6" w:space="0" w:color="auto"/>
              <w:right w:val="outset" w:sz="6" w:space="0" w:color="auto"/>
            </w:tcBorders>
            <w:vAlign w:val="center"/>
            <w:hideMark/>
          </w:tcPr>
          <w:p w14:paraId="165DFBD3" w14:textId="77777777" w:rsidR="00E56EB9" w:rsidRPr="009A5537" w:rsidRDefault="00E56EB9" w:rsidP="00225426">
            <w:pPr>
              <w:spacing w:line="240" w:lineRule="auto"/>
              <w:jc w:val="both"/>
              <w:rPr>
                <w:rFonts w:ascii="Times New Roman" w:hAnsi="Times New Roman"/>
                <w:sz w:val="25"/>
                <w:szCs w:val="25"/>
                <w:lang w:val="lv-LV"/>
              </w:rPr>
            </w:pPr>
            <w:r w:rsidRPr="009A5537">
              <w:rPr>
                <w:rFonts w:ascii="Times New Roman" w:hAnsi="Times New Roman"/>
                <w:sz w:val="25"/>
                <w:szCs w:val="25"/>
                <w:lang w:val="lv-LV"/>
              </w:rPr>
              <w:t>Attiecīgā ES tiesību akta datums, numurs un nosaukums</w:t>
            </w:r>
          </w:p>
        </w:tc>
        <w:tc>
          <w:tcPr>
            <w:tcW w:w="6790" w:type="dxa"/>
            <w:gridSpan w:val="4"/>
            <w:tcBorders>
              <w:top w:val="outset" w:sz="6" w:space="0" w:color="auto"/>
              <w:left w:val="outset" w:sz="6" w:space="0" w:color="auto"/>
              <w:bottom w:val="outset" w:sz="6" w:space="0" w:color="auto"/>
              <w:right w:val="outset" w:sz="6" w:space="0" w:color="auto"/>
            </w:tcBorders>
            <w:vAlign w:val="center"/>
            <w:hideMark/>
          </w:tcPr>
          <w:p w14:paraId="685D49AA" w14:textId="77777777" w:rsidR="006C6B81" w:rsidRPr="009A5537" w:rsidRDefault="006C6B81" w:rsidP="006C6B81">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sz w:val="25"/>
                <w:szCs w:val="25"/>
                <w:lang w:val="lv-LV"/>
              </w:rPr>
              <w:t xml:space="preserve">Eiropas Parlamenta un Padomes 2006.gada 5.jūlija Regula </w:t>
            </w:r>
            <w:r w:rsidRPr="009A5537">
              <w:rPr>
                <w:rStyle w:val="Strong"/>
                <w:rFonts w:ascii="Times New Roman" w:hAnsi="Times New Roman"/>
                <w:b w:val="0"/>
                <w:sz w:val="25"/>
                <w:szCs w:val="25"/>
                <w:lang w:val="lv-LV"/>
              </w:rPr>
              <w:t>(EK) Nr.1080/2006 par Eiropas Reģionālās attīstības fondu un Regulas (EK) Nr.1783/1999 atcelšanu;</w:t>
            </w:r>
          </w:p>
          <w:p w14:paraId="5DDFE63B" w14:textId="77777777" w:rsidR="006C6B81" w:rsidRPr="009A5537" w:rsidRDefault="006C6B81" w:rsidP="006C6B81">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sz w:val="25"/>
                <w:szCs w:val="25"/>
                <w:lang w:val="lv-LV"/>
              </w:rPr>
              <w:t>Eiropas Parlamenta un Padomes 2006.gada 5.jūlija Regula (EK) Nr.1081/2006 par Eiropas Sociālo fondu un Regulas (EK) Nr.1784/1999 atcelšanu;</w:t>
            </w:r>
          </w:p>
          <w:p w14:paraId="71905FB7" w14:textId="77777777" w:rsidR="006C6B81" w:rsidRPr="009A5537" w:rsidRDefault="006C6B81" w:rsidP="006C6B81">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sz w:val="25"/>
                <w:szCs w:val="25"/>
                <w:lang w:val="lv-LV"/>
              </w:rPr>
              <w:t xml:space="preserve">Padomes 2006.gada 11.jūlija Regula (EK) Nr. 1083/2006, ar ko </w:t>
            </w:r>
            <w:r w:rsidRPr="009A5537">
              <w:rPr>
                <w:rFonts w:ascii="Times New Roman" w:hAnsi="Times New Roman" w:cs="Times New Roman"/>
                <w:sz w:val="25"/>
                <w:szCs w:val="25"/>
                <w:lang w:val="lv-LV"/>
              </w:rPr>
              <w:t>paredz vispārīgus noteikumus par Eiropas Reģionālās attīstības fondu, Eiropas Sociālo fondu un Kohēzijas fondu un atceļ Regulu (EK) Nr. 1260/1999;</w:t>
            </w:r>
          </w:p>
          <w:p w14:paraId="4AB4DA1A" w14:textId="77777777" w:rsidR="006C6B81" w:rsidRPr="009A5537" w:rsidRDefault="006C6B81" w:rsidP="006C6B81">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cs="Times New Roman"/>
                <w:sz w:val="25"/>
                <w:szCs w:val="25"/>
                <w:lang w:val="lv-LV"/>
              </w:rPr>
              <w:lastRenderedPageBreak/>
              <w:t>Komisijas 2005. gada 28. novembra Lēmums (EK) Nr. 842/2005 par EK līguma 86. panta 2. punkta piemērošanu valsts atbalstam attiecībā uz kompensāciju par sabiedriskajiem pakalpojumiem dažiem uzņēmumiem, kuriem uzticēts sniegt pakalpojumus ar vispārēju tautsaimniecisku nozīmi</w:t>
            </w:r>
            <w:r w:rsidRPr="009A5537">
              <w:rPr>
                <w:rFonts w:ascii="Times New Roman" w:eastAsia="Times New Roman" w:hAnsi="Times New Roman" w:cs="Times New Roman"/>
                <w:sz w:val="25"/>
                <w:szCs w:val="25"/>
                <w:lang w:val="lv-LV"/>
              </w:rPr>
              <w:t>;</w:t>
            </w:r>
          </w:p>
          <w:p w14:paraId="150357F2" w14:textId="28396AAB" w:rsidR="00014658" w:rsidRPr="009A5537" w:rsidRDefault="00014658" w:rsidP="006C6B81">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color w:val="000000"/>
                <w:sz w:val="25"/>
                <w:szCs w:val="25"/>
                <w:lang w:val="lv-LV"/>
              </w:rPr>
              <w:t>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tautsaimniecības nozīmi;</w:t>
            </w:r>
          </w:p>
          <w:p w14:paraId="17200392" w14:textId="77777777" w:rsidR="006C6B81" w:rsidRPr="009A5537" w:rsidRDefault="006C6B81" w:rsidP="006C6B81">
            <w:pPr>
              <w:spacing w:after="0" w:line="240" w:lineRule="auto"/>
              <w:jc w:val="both"/>
              <w:rPr>
                <w:rFonts w:ascii="Times New Roman" w:eastAsia="Times New Roman" w:hAnsi="Times New Roman" w:cs="Times New Roman"/>
                <w:sz w:val="25"/>
                <w:szCs w:val="25"/>
                <w:lang w:val="lv-LV"/>
              </w:rPr>
            </w:pPr>
            <w:r w:rsidRPr="009A5537">
              <w:rPr>
                <w:rFonts w:ascii="Times New Roman" w:hAnsi="Times New Roman" w:cs="Times New Roman"/>
                <w:sz w:val="25"/>
                <w:szCs w:val="25"/>
                <w:lang w:val="lv-LV"/>
              </w:rPr>
              <w:t>Līgums par Eiropas Savienību un Līgums par Eiropas Savienības darbību 2012/C 326/01;</w:t>
            </w:r>
          </w:p>
          <w:p w14:paraId="027A256D" w14:textId="5253DB08" w:rsidR="00A76A07" w:rsidRPr="009A5537" w:rsidRDefault="006C6B81" w:rsidP="00A76A07">
            <w:pPr>
              <w:spacing w:after="0" w:line="240" w:lineRule="auto"/>
              <w:jc w:val="both"/>
              <w:rPr>
                <w:rFonts w:ascii="Times New Roman" w:hAnsi="Times New Roman"/>
                <w:sz w:val="25"/>
                <w:szCs w:val="25"/>
                <w:lang w:val="lv-LV"/>
              </w:rPr>
            </w:pPr>
            <w:r w:rsidRPr="009A5537">
              <w:rPr>
                <w:rFonts w:ascii="Times New Roman" w:eastAsia="Times New Roman" w:hAnsi="Times New Roman" w:cs="Times New Roman"/>
                <w:sz w:val="25"/>
                <w:szCs w:val="25"/>
                <w:lang w:val="lv-LV"/>
              </w:rPr>
              <w:t>Kopienas nostādnes Nr.2005/C 297/04.</w:t>
            </w:r>
          </w:p>
        </w:tc>
      </w:tr>
      <w:tr w:rsidR="00E56EB9" w:rsidRPr="009A5537" w14:paraId="72A167AE" w14:textId="77777777" w:rsidTr="00D0283A">
        <w:trPr>
          <w:tblCellSpacing w:w="15" w:type="dxa"/>
        </w:trPr>
        <w:tc>
          <w:tcPr>
            <w:tcW w:w="2198" w:type="dxa"/>
            <w:tcBorders>
              <w:top w:val="outset" w:sz="6" w:space="0" w:color="auto"/>
              <w:left w:val="outset" w:sz="6" w:space="0" w:color="auto"/>
              <w:bottom w:val="outset" w:sz="6" w:space="0" w:color="auto"/>
              <w:right w:val="outset" w:sz="6" w:space="0" w:color="auto"/>
            </w:tcBorders>
            <w:vAlign w:val="center"/>
            <w:hideMark/>
          </w:tcPr>
          <w:p w14:paraId="7F90F06C" w14:textId="77777777" w:rsidR="00E56EB9" w:rsidRPr="009A5537" w:rsidRDefault="00E56EB9" w:rsidP="00225426">
            <w:pPr>
              <w:spacing w:line="240" w:lineRule="auto"/>
              <w:jc w:val="center"/>
              <w:rPr>
                <w:rFonts w:ascii="Times New Roman" w:hAnsi="Times New Roman"/>
                <w:sz w:val="25"/>
                <w:szCs w:val="25"/>
                <w:lang w:val="lv-LV"/>
              </w:rPr>
            </w:pPr>
            <w:r w:rsidRPr="009A5537">
              <w:rPr>
                <w:rFonts w:ascii="Times New Roman" w:hAnsi="Times New Roman"/>
                <w:sz w:val="25"/>
                <w:szCs w:val="25"/>
                <w:lang w:val="lv-LV"/>
              </w:rPr>
              <w:lastRenderedPageBreak/>
              <w:t>A</w:t>
            </w:r>
          </w:p>
        </w:tc>
        <w:tc>
          <w:tcPr>
            <w:tcW w:w="2067" w:type="dxa"/>
            <w:gridSpan w:val="2"/>
            <w:tcBorders>
              <w:top w:val="outset" w:sz="6" w:space="0" w:color="auto"/>
              <w:left w:val="outset" w:sz="6" w:space="0" w:color="auto"/>
              <w:bottom w:val="outset" w:sz="6" w:space="0" w:color="auto"/>
              <w:right w:val="outset" w:sz="6" w:space="0" w:color="auto"/>
            </w:tcBorders>
            <w:vAlign w:val="center"/>
            <w:hideMark/>
          </w:tcPr>
          <w:p w14:paraId="76646AE6" w14:textId="77777777" w:rsidR="00E56EB9" w:rsidRPr="009A5537" w:rsidRDefault="00E56EB9" w:rsidP="00225426">
            <w:pPr>
              <w:spacing w:line="240" w:lineRule="auto"/>
              <w:jc w:val="center"/>
              <w:rPr>
                <w:rFonts w:ascii="Times New Roman" w:hAnsi="Times New Roman"/>
                <w:sz w:val="25"/>
                <w:szCs w:val="25"/>
                <w:lang w:val="lv-LV"/>
              </w:rPr>
            </w:pPr>
            <w:r w:rsidRPr="009A5537">
              <w:rPr>
                <w:rFonts w:ascii="Times New Roman" w:hAnsi="Times New Roman"/>
                <w:sz w:val="25"/>
                <w:szCs w:val="25"/>
                <w:lang w:val="lv-LV"/>
              </w:rPr>
              <w:t>B</w:t>
            </w:r>
          </w:p>
        </w:tc>
        <w:tc>
          <w:tcPr>
            <w:tcW w:w="2067" w:type="dxa"/>
            <w:tcBorders>
              <w:top w:val="outset" w:sz="6" w:space="0" w:color="auto"/>
              <w:left w:val="outset" w:sz="6" w:space="0" w:color="auto"/>
              <w:bottom w:val="outset" w:sz="6" w:space="0" w:color="auto"/>
              <w:right w:val="outset" w:sz="6" w:space="0" w:color="auto"/>
            </w:tcBorders>
            <w:vAlign w:val="center"/>
            <w:hideMark/>
          </w:tcPr>
          <w:p w14:paraId="0565E994" w14:textId="77777777" w:rsidR="00E56EB9" w:rsidRPr="009A5537" w:rsidRDefault="00E56EB9" w:rsidP="00225426">
            <w:pPr>
              <w:spacing w:line="240" w:lineRule="auto"/>
              <w:jc w:val="center"/>
              <w:rPr>
                <w:rFonts w:ascii="Times New Roman" w:hAnsi="Times New Roman"/>
                <w:sz w:val="25"/>
                <w:szCs w:val="25"/>
                <w:lang w:val="lv-LV"/>
              </w:rPr>
            </w:pPr>
            <w:r w:rsidRPr="009A5537">
              <w:rPr>
                <w:rFonts w:ascii="Times New Roman" w:hAnsi="Times New Roman"/>
                <w:sz w:val="25"/>
                <w:szCs w:val="25"/>
                <w:lang w:val="lv-LV"/>
              </w:rPr>
              <w:t>C</w:t>
            </w:r>
          </w:p>
        </w:tc>
        <w:tc>
          <w:tcPr>
            <w:tcW w:w="2596" w:type="dxa"/>
            <w:tcBorders>
              <w:top w:val="outset" w:sz="6" w:space="0" w:color="auto"/>
              <w:left w:val="outset" w:sz="6" w:space="0" w:color="auto"/>
              <w:bottom w:val="outset" w:sz="6" w:space="0" w:color="auto"/>
              <w:right w:val="outset" w:sz="6" w:space="0" w:color="auto"/>
            </w:tcBorders>
            <w:vAlign w:val="center"/>
            <w:hideMark/>
          </w:tcPr>
          <w:p w14:paraId="31BE7529" w14:textId="77777777" w:rsidR="00E56EB9" w:rsidRPr="009A5537" w:rsidRDefault="00E56EB9" w:rsidP="00225426">
            <w:pPr>
              <w:spacing w:line="240" w:lineRule="auto"/>
              <w:jc w:val="center"/>
              <w:rPr>
                <w:rFonts w:ascii="Times New Roman" w:hAnsi="Times New Roman"/>
                <w:sz w:val="25"/>
                <w:szCs w:val="25"/>
                <w:lang w:val="lv-LV"/>
              </w:rPr>
            </w:pPr>
            <w:r w:rsidRPr="009A5537">
              <w:rPr>
                <w:rFonts w:ascii="Times New Roman" w:hAnsi="Times New Roman"/>
                <w:sz w:val="25"/>
                <w:szCs w:val="25"/>
                <w:lang w:val="lv-LV"/>
              </w:rPr>
              <w:t>D</w:t>
            </w:r>
          </w:p>
        </w:tc>
      </w:tr>
      <w:tr w:rsidR="00E56EB9" w:rsidRPr="004C4FD3" w14:paraId="05599BCB" w14:textId="77777777" w:rsidTr="00D0283A">
        <w:trPr>
          <w:tblCellSpacing w:w="15" w:type="dxa"/>
        </w:trPr>
        <w:tc>
          <w:tcPr>
            <w:tcW w:w="2198" w:type="dxa"/>
            <w:tcBorders>
              <w:top w:val="outset" w:sz="6" w:space="0" w:color="auto"/>
              <w:left w:val="outset" w:sz="6" w:space="0" w:color="auto"/>
              <w:bottom w:val="outset" w:sz="6" w:space="0" w:color="auto"/>
              <w:right w:val="outset" w:sz="6" w:space="0" w:color="auto"/>
            </w:tcBorders>
            <w:hideMark/>
          </w:tcPr>
          <w:p w14:paraId="35136A7C" w14:textId="77777777" w:rsidR="00E56EB9" w:rsidRPr="009A5537" w:rsidRDefault="00E56EB9" w:rsidP="00225426">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 xml:space="preserve">Attiecīgā ES tiesību akta panta numurs (uzskaitot katru tiesību akta </w:t>
            </w:r>
            <w:r w:rsidRPr="009A5537">
              <w:rPr>
                <w:rFonts w:ascii="Times New Roman" w:hAnsi="Times New Roman"/>
                <w:sz w:val="25"/>
                <w:szCs w:val="25"/>
                <w:lang w:val="lv-LV"/>
              </w:rPr>
              <w:br/>
              <w:t>vienību – pantu, daļu, punktu, apakšpunktu)</w:t>
            </w:r>
          </w:p>
        </w:tc>
        <w:tc>
          <w:tcPr>
            <w:tcW w:w="2067" w:type="dxa"/>
            <w:gridSpan w:val="2"/>
            <w:tcBorders>
              <w:top w:val="outset" w:sz="6" w:space="0" w:color="auto"/>
              <w:left w:val="outset" w:sz="6" w:space="0" w:color="auto"/>
              <w:bottom w:val="outset" w:sz="6" w:space="0" w:color="auto"/>
              <w:right w:val="outset" w:sz="6" w:space="0" w:color="auto"/>
            </w:tcBorders>
            <w:hideMark/>
          </w:tcPr>
          <w:p w14:paraId="44E8DCA8" w14:textId="77777777" w:rsidR="00E56EB9" w:rsidRPr="009A5537" w:rsidRDefault="00E56EB9" w:rsidP="00225426">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Projekta vienība, kas pārņem vai ievieš katru šīs tabulas A ailē minēto ES tiesību akta vienību</w:t>
            </w:r>
          </w:p>
        </w:tc>
        <w:tc>
          <w:tcPr>
            <w:tcW w:w="2067" w:type="dxa"/>
            <w:tcBorders>
              <w:top w:val="outset" w:sz="6" w:space="0" w:color="auto"/>
              <w:left w:val="outset" w:sz="6" w:space="0" w:color="auto"/>
              <w:bottom w:val="outset" w:sz="6" w:space="0" w:color="auto"/>
              <w:right w:val="outset" w:sz="6" w:space="0" w:color="auto"/>
            </w:tcBorders>
            <w:hideMark/>
          </w:tcPr>
          <w:p w14:paraId="3465E90E" w14:textId="77777777" w:rsidR="00E56EB9" w:rsidRPr="009A5537" w:rsidRDefault="00E56EB9" w:rsidP="00225426">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Informācija par to, vai šīs tabulas A ailē minētās ES tiesību akta vienības tiek pārņemtas vai ieviestas pilnībā vai daļēji.</w:t>
            </w:r>
          </w:p>
          <w:p w14:paraId="44AA97A0" w14:textId="77777777" w:rsidR="00E56EB9" w:rsidRPr="009A5537" w:rsidRDefault="00E56EB9" w:rsidP="00225426">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Ja attiecīgā ES tiesību akta vienība tiek pārņemta vai ieviesta daļēji, – sniedz attiecīgu skaidrojumu, kā arī precīzi norāda, kad un kādā veidā ES tiesību akta vienība tiks pārņemta vai ieviesta pilnībā.</w:t>
            </w:r>
          </w:p>
          <w:p w14:paraId="5F87B149" w14:textId="77777777" w:rsidR="00E56EB9" w:rsidRPr="009A5537" w:rsidRDefault="00E56EB9" w:rsidP="00225426">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Norāda institūciju, kas ir atbildīga par šo saistību izpildi pilnībā</w:t>
            </w:r>
          </w:p>
        </w:tc>
        <w:tc>
          <w:tcPr>
            <w:tcW w:w="2596" w:type="dxa"/>
            <w:tcBorders>
              <w:top w:val="outset" w:sz="6" w:space="0" w:color="auto"/>
              <w:left w:val="outset" w:sz="6" w:space="0" w:color="auto"/>
              <w:bottom w:val="outset" w:sz="6" w:space="0" w:color="auto"/>
              <w:right w:val="outset" w:sz="6" w:space="0" w:color="auto"/>
            </w:tcBorders>
            <w:hideMark/>
          </w:tcPr>
          <w:p w14:paraId="73A92764" w14:textId="77777777" w:rsidR="00E56EB9" w:rsidRPr="009A5537" w:rsidRDefault="00E56EB9" w:rsidP="00225426">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Informācija par to, vai šīs tabulas B ailē minētās projekta vienības paredz stingrākas prasības nekā šīs tabulas A ailē minētās ES tiesību akta vienības.</w:t>
            </w:r>
          </w:p>
          <w:p w14:paraId="3B591A6B" w14:textId="77777777" w:rsidR="00E56EB9" w:rsidRPr="009A5537" w:rsidRDefault="00E56EB9" w:rsidP="00225426">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Ja projekts satur stingrākas prasības nekā attiecīgais ES tiesību akts, – norāda pamatojumu un samērīgumu.</w:t>
            </w:r>
          </w:p>
          <w:p w14:paraId="645754B5" w14:textId="77777777" w:rsidR="00E56EB9" w:rsidRPr="009A5537" w:rsidRDefault="00E56EB9" w:rsidP="00225426">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E56EB9" w:rsidRPr="009A5537" w14:paraId="77BC2E04" w14:textId="77777777" w:rsidTr="00D0283A">
        <w:trPr>
          <w:tblCellSpacing w:w="15" w:type="dxa"/>
        </w:trPr>
        <w:tc>
          <w:tcPr>
            <w:tcW w:w="2198" w:type="dxa"/>
            <w:tcBorders>
              <w:top w:val="outset" w:sz="6" w:space="0" w:color="auto"/>
              <w:left w:val="outset" w:sz="6" w:space="0" w:color="auto"/>
              <w:bottom w:val="outset" w:sz="6" w:space="0" w:color="auto"/>
              <w:right w:val="outset" w:sz="6" w:space="0" w:color="auto"/>
            </w:tcBorders>
            <w:vAlign w:val="center"/>
          </w:tcPr>
          <w:p w14:paraId="59BA6DC5" w14:textId="77777777" w:rsidR="00E56EB9" w:rsidRPr="009A5537" w:rsidRDefault="00A76A07" w:rsidP="00225426">
            <w:pPr>
              <w:pStyle w:val="naiskr"/>
              <w:spacing w:before="0" w:after="0"/>
              <w:jc w:val="both"/>
              <w:rPr>
                <w:i/>
                <w:sz w:val="25"/>
                <w:szCs w:val="25"/>
                <w:lang w:val="lv-LV"/>
              </w:rPr>
            </w:pPr>
            <w:r w:rsidRPr="009A5537">
              <w:rPr>
                <w:i/>
                <w:sz w:val="25"/>
                <w:szCs w:val="25"/>
                <w:lang w:val="lv-LV"/>
              </w:rPr>
              <w:t>Padomes Regulas Nr.1083/2006 93.panta 1. un 2.punkts.</w:t>
            </w:r>
          </w:p>
        </w:tc>
        <w:tc>
          <w:tcPr>
            <w:tcW w:w="2067" w:type="dxa"/>
            <w:gridSpan w:val="2"/>
            <w:tcBorders>
              <w:top w:val="outset" w:sz="6" w:space="0" w:color="auto"/>
              <w:left w:val="outset" w:sz="6" w:space="0" w:color="auto"/>
              <w:bottom w:val="outset" w:sz="6" w:space="0" w:color="auto"/>
              <w:right w:val="outset" w:sz="6" w:space="0" w:color="auto"/>
            </w:tcBorders>
            <w:vAlign w:val="center"/>
          </w:tcPr>
          <w:p w14:paraId="60121327" w14:textId="77777777" w:rsidR="00E56EB9" w:rsidRPr="009A5537" w:rsidRDefault="00E56EB9" w:rsidP="00A76A07">
            <w:pPr>
              <w:pStyle w:val="naiskr"/>
              <w:spacing w:before="0" w:after="0"/>
              <w:jc w:val="both"/>
              <w:rPr>
                <w:i/>
                <w:sz w:val="25"/>
                <w:szCs w:val="25"/>
                <w:lang w:val="lv-LV"/>
              </w:rPr>
            </w:pPr>
            <w:r w:rsidRPr="009A5537">
              <w:rPr>
                <w:i/>
                <w:sz w:val="25"/>
                <w:szCs w:val="25"/>
                <w:lang w:val="lv-LV"/>
              </w:rPr>
              <w:t xml:space="preserve">Noteikumu projekta </w:t>
            </w:r>
            <w:r w:rsidR="00A76A07" w:rsidRPr="009A5537">
              <w:rPr>
                <w:i/>
                <w:sz w:val="25"/>
                <w:szCs w:val="25"/>
                <w:lang w:val="lv-LV"/>
              </w:rPr>
              <w:t>8</w:t>
            </w:r>
            <w:r w:rsidRPr="009A5537">
              <w:rPr>
                <w:i/>
                <w:sz w:val="25"/>
                <w:szCs w:val="25"/>
                <w:lang w:val="lv-LV"/>
              </w:rPr>
              <w:t>.</w:t>
            </w:r>
            <w:r w:rsidR="00A76A07" w:rsidRPr="009A5537">
              <w:rPr>
                <w:i/>
                <w:sz w:val="25"/>
                <w:szCs w:val="25"/>
                <w:lang w:val="lv-LV"/>
              </w:rPr>
              <w:t>9</w:t>
            </w:r>
            <w:r w:rsidRPr="009A5537">
              <w:rPr>
                <w:i/>
                <w:sz w:val="25"/>
                <w:szCs w:val="25"/>
                <w:lang w:val="lv-LV"/>
              </w:rPr>
              <w:t>.</w:t>
            </w:r>
            <w:r w:rsidR="00A76A07" w:rsidRPr="009A5537">
              <w:rPr>
                <w:i/>
                <w:sz w:val="25"/>
                <w:szCs w:val="25"/>
                <w:lang w:val="lv-LV"/>
              </w:rPr>
              <w:t xml:space="preserve"> un 9.8.</w:t>
            </w:r>
            <w:r w:rsidRPr="009A5537">
              <w:rPr>
                <w:i/>
                <w:sz w:val="25"/>
                <w:szCs w:val="25"/>
                <w:lang w:val="lv-LV"/>
              </w:rPr>
              <w:t xml:space="preserve">apakšpunkts </w:t>
            </w:r>
          </w:p>
        </w:tc>
        <w:tc>
          <w:tcPr>
            <w:tcW w:w="2067" w:type="dxa"/>
            <w:tcBorders>
              <w:top w:val="outset" w:sz="6" w:space="0" w:color="auto"/>
              <w:left w:val="outset" w:sz="6" w:space="0" w:color="auto"/>
              <w:bottom w:val="outset" w:sz="6" w:space="0" w:color="auto"/>
              <w:right w:val="outset" w:sz="6" w:space="0" w:color="auto"/>
            </w:tcBorders>
            <w:vAlign w:val="center"/>
          </w:tcPr>
          <w:p w14:paraId="3075B149" w14:textId="77777777" w:rsidR="00E56EB9" w:rsidRPr="009A5537" w:rsidRDefault="00E56EB9" w:rsidP="00225426">
            <w:pPr>
              <w:pStyle w:val="naiskr"/>
              <w:spacing w:before="0" w:after="0"/>
              <w:jc w:val="both"/>
              <w:rPr>
                <w:i/>
                <w:sz w:val="25"/>
                <w:szCs w:val="25"/>
                <w:lang w:val="lv-LV"/>
              </w:rPr>
            </w:pPr>
            <w:r w:rsidRPr="009A5537">
              <w:rPr>
                <w:i/>
                <w:sz w:val="25"/>
                <w:szCs w:val="25"/>
                <w:lang w:val="lv-LV"/>
              </w:rPr>
              <w:t>ieviesta pilnībā</w:t>
            </w:r>
          </w:p>
        </w:tc>
        <w:tc>
          <w:tcPr>
            <w:tcW w:w="2596" w:type="dxa"/>
            <w:tcBorders>
              <w:top w:val="outset" w:sz="6" w:space="0" w:color="auto"/>
              <w:left w:val="outset" w:sz="6" w:space="0" w:color="auto"/>
              <w:bottom w:val="outset" w:sz="6" w:space="0" w:color="auto"/>
              <w:right w:val="outset" w:sz="6" w:space="0" w:color="auto"/>
            </w:tcBorders>
            <w:vAlign w:val="center"/>
          </w:tcPr>
          <w:p w14:paraId="2E1F0980" w14:textId="77777777" w:rsidR="00E56EB9" w:rsidRPr="009A5537" w:rsidRDefault="00E56EB9" w:rsidP="00225426">
            <w:pPr>
              <w:pStyle w:val="naiskr"/>
              <w:spacing w:before="0" w:after="0"/>
              <w:jc w:val="both"/>
              <w:rPr>
                <w:i/>
                <w:sz w:val="25"/>
                <w:szCs w:val="25"/>
                <w:lang w:val="lv-LV"/>
              </w:rPr>
            </w:pPr>
            <w:r w:rsidRPr="009A5537">
              <w:rPr>
                <w:i/>
                <w:sz w:val="25"/>
                <w:szCs w:val="25"/>
                <w:lang w:val="lv-LV"/>
              </w:rPr>
              <w:t>neparedz stingrākas prasības</w:t>
            </w:r>
          </w:p>
        </w:tc>
      </w:tr>
      <w:tr w:rsidR="00E56EB9" w:rsidRPr="009A5537" w14:paraId="70A433A7" w14:textId="77777777" w:rsidTr="00D0283A">
        <w:trPr>
          <w:tblCellSpacing w:w="15" w:type="dxa"/>
        </w:trPr>
        <w:tc>
          <w:tcPr>
            <w:tcW w:w="2198" w:type="dxa"/>
            <w:tcBorders>
              <w:top w:val="outset" w:sz="6" w:space="0" w:color="auto"/>
              <w:left w:val="outset" w:sz="6" w:space="0" w:color="auto"/>
              <w:bottom w:val="outset" w:sz="6" w:space="0" w:color="auto"/>
              <w:right w:val="outset" w:sz="6" w:space="0" w:color="auto"/>
            </w:tcBorders>
            <w:vAlign w:val="center"/>
          </w:tcPr>
          <w:p w14:paraId="093E4A57" w14:textId="77777777" w:rsidR="00E56EB9" w:rsidRPr="009A5537" w:rsidRDefault="00A76A07" w:rsidP="00225426">
            <w:pPr>
              <w:pStyle w:val="naiskr"/>
              <w:spacing w:before="0" w:after="0"/>
              <w:jc w:val="both"/>
              <w:rPr>
                <w:i/>
                <w:sz w:val="25"/>
                <w:szCs w:val="25"/>
                <w:lang w:val="lv-LV"/>
              </w:rPr>
            </w:pPr>
            <w:r w:rsidRPr="009A5537">
              <w:rPr>
                <w:i/>
                <w:sz w:val="25"/>
                <w:szCs w:val="25"/>
                <w:lang w:val="lv-LV"/>
              </w:rPr>
              <w:t>Padomes Regulas Nr.1081/2006 3.panta 1.punkts.</w:t>
            </w:r>
          </w:p>
        </w:tc>
        <w:tc>
          <w:tcPr>
            <w:tcW w:w="2067" w:type="dxa"/>
            <w:gridSpan w:val="2"/>
            <w:tcBorders>
              <w:top w:val="outset" w:sz="6" w:space="0" w:color="auto"/>
              <w:left w:val="outset" w:sz="6" w:space="0" w:color="auto"/>
              <w:bottom w:val="outset" w:sz="6" w:space="0" w:color="auto"/>
              <w:right w:val="outset" w:sz="6" w:space="0" w:color="auto"/>
            </w:tcBorders>
            <w:vAlign w:val="center"/>
          </w:tcPr>
          <w:p w14:paraId="35B69AE3" w14:textId="77777777" w:rsidR="00E56EB9" w:rsidRPr="009A5537" w:rsidRDefault="00A76A07" w:rsidP="00A76A07">
            <w:pPr>
              <w:pStyle w:val="naiskr"/>
              <w:spacing w:before="0" w:after="0"/>
              <w:jc w:val="both"/>
              <w:rPr>
                <w:i/>
                <w:sz w:val="25"/>
                <w:szCs w:val="25"/>
                <w:lang w:val="lv-LV"/>
              </w:rPr>
            </w:pPr>
            <w:r w:rsidRPr="009A5537">
              <w:rPr>
                <w:i/>
                <w:sz w:val="25"/>
                <w:szCs w:val="25"/>
                <w:lang w:val="lv-LV"/>
              </w:rPr>
              <w:t>Noteikumu projekta 1</w:t>
            </w:r>
            <w:r w:rsidR="00E56EB9" w:rsidRPr="009A5537">
              <w:rPr>
                <w:i/>
                <w:sz w:val="25"/>
                <w:szCs w:val="25"/>
                <w:lang w:val="lv-LV"/>
              </w:rPr>
              <w:t xml:space="preserve">2.punkts </w:t>
            </w:r>
          </w:p>
        </w:tc>
        <w:tc>
          <w:tcPr>
            <w:tcW w:w="2067" w:type="dxa"/>
            <w:tcBorders>
              <w:top w:val="outset" w:sz="6" w:space="0" w:color="auto"/>
              <w:left w:val="outset" w:sz="6" w:space="0" w:color="auto"/>
              <w:bottom w:val="outset" w:sz="6" w:space="0" w:color="auto"/>
              <w:right w:val="outset" w:sz="6" w:space="0" w:color="auto"/>
            </w:tcBorders>
            <w:vAlign w:val="center"/>
          </w:tcPr>
          <w:p w14:paraId="3960C18B" w14:textId="77777777" w:rsidR="00E56EB9" w:rsidRPr="009A5537" w:rsidRDefault="00E56EB9" w:rsidP="00225426">
            <w:pPr>
              <w:pStyle w:val="naiskr"/>
              <w:spacing w:before="0" w:after="0"/>
              <w:jc w:val="both"/>
              <w:rPr>
                <w:i/>
                <w:sz w:val="25"/>
                <w:szCs w:val="25"/>
                <w:lang w:val="lv-LV"/>
              </w:rPr>
            </w:pPr>
            <w:r w:rsidRPr="009A5537">
              <w:rPr>
                <w:i/>
                <w:sz w:val="25"/>
                <w:szCs w:val="25"/>
                <w:lang w:val="lv-LV"/>
              </w:rPr>
              <w:t>ieviesta pilnībā</w:t>
            </w:r>
          </w:p>
        </w:tc>
        <w:tc>
          <w:tcPr>
            <w:tcW w:w="2596" w:type="dxa"/>
            <w:tcBorders>
              <w:top w:val="outset" w:sz="6" w:space="0" w:color="auto"/>
              <w:left w:val="outset" w:sz="6" w:space="0" w:color="auto"/>
              <w:bottom w:val="outset" w:sz="6" w:space="0" w:color="auto"/>
              <w:right w:val="outset" w:sz="6" w:space="0" w:color="auto"/>
            </w:tcBorders>
            <w:vAlign w:val="center"/>
          </w:tcPr>
          <w:p w14:paraId="4FEDCB7C" w14:textId="77777777" w:rsidR="00E56EB9" w:rsidRPr="009A5537" w:rsidRDefault="00E56EB9" w:rsidP="00225426">
            <w:pPr>
              <w:pStyle w:val="naiskr"/>
              <w:spacing w:before="0" w:after="0"/>
              <w:jc w:val="both"/>
              <w:rPr>
                <w:i/>
                <w:sz w:val="25"/>
                <w:szCs w:val="25"/>
                <w:lang w:val="lv-LV"/>
              </w:rPr>
            </w:pPr>
            <w:r w:rsidRPr="009A5537">
              <w:rPr>
                <w:i/>
                <w:sz w:val="25"/>
                <w:szCs w:val="25"/>
                <w:lang w:val="lv-LV"/>
              </w:rPr>
              <w:t>neparedz stingrākas prasības</w:t>
            </w:r>
          </w:p>
        </w:tc>
      </w:tr>
      <w:tr w:rsidR="00E56EB9" w:rsidRPr="009A5537" w14:paraId="54659428" w14:textId="77777777" w:rsidTr="00D0283A">
        <w:trPr>
          <w:tblCellSpacing w:w="15" w:type="dxa"/>
        </w:trPr>
        <w:tc>
          <w:tcPr>
            <w:tcW w:w="2198" w:type="dxa"/>
            <w:tcBorders>
              <w:top w:val="outset" w:sz="6" w:space="0" w:color="auto"/>
              <w:left w:val="outset" w:sz="6" w:space="0" w:color="auto"/>
              <w:bottom w:val="outset" w:sz="6" w:space="0" w:color="auto"/>
              <w:right w:val="outset" w:sz="6" w:space="0" w:color="auto"/>
            </w:tcBorders>
            <w:vAlign w:val="center"/>
          </w:tcPr>
          <w:p w14:paraId="665E852D" w14:textId="77777777" w:rsidR="00E56EB9" w:rsidRPr="009A5537" w:rsidRDefault="00A76A07" w:rsidP="00225426">
            <w:pPr>
              <w:pStyle w:val="naiskr"/>
              <w:spacing w:before="0" w:after="0"/>
              <w:jc w:val="both"/>
              <w:rPr>
                <w:i/>
                <w:sz w:val="25"/>
                <w:szCs w:val="25"/>
                <w:lang w:val="lv-LV"/>
              </w:rPr>
            </w:pPr>
            <w:r w:rsidRPr="009A5537">
              <w:rPr>
                <w:i/>
                <w:sz w:val="25"/>
                <w:szCs w:val="25"/>
                <w:lang w:val="lv-LV"/>
              </w:rPr>
              <w:lastRenderedPageBreak/>
              <w:t>Padomes Regulas Nr.1080/2006 3.panta 1.punkts.</w:t>
            </w:r>
          </w:p>
        </w:tc>
        <w:tc>
          <w:tcPr>
            <w:tcW w:w="2067" w:type="dxa"/>
            <w:gridSpan w:val="2"/>
            <w:tcBorders>
              <w:top w:val="outset" w:sz="6" w:space="0" w:color="auto"/>
              <w:left w:val="outset" w:sz="6" w:space="0" w:color="auto"/>
              <w:bottom w:val="outset" w:sz="6" w:space="0" w:color="auto"/>
              <w:right w:val="outset" w:sz="6" w:space="0" w:color="auto"/>
            </w:tcBorders>
            <w:vAlign w:val="center"/>
          </w:tcPr>
          <w:p w14:paraId="532804C2" w14:textId="77777777" w:rsidR="00E56EB9" w:rsidRPr="009A5537" w:rsidRDefault="00E56EB9" w:rsidP="00A76A07">
            <w:pPr>
              <w:pStyle w:val="naiskr"/>
              <w:spacing w:before="0" w:after="0"/>
              <w:jc w:val="both"/>
              <w:rPr>
                <w:i/>
                <w:sz w:val="25"/>
                <w:szCs w:val="25"/>
                <w:lang w:val="lv-LV"/>
              </w:rPr>
            </w:pPr>
            <w:r w:rsidRPr="009A5537">
              <w:rPr>
                <w:i/>
                <w:sz w:val="25"/>
                <w:szCs w:val="25"/>
                <w:lang w:val="lv-LV"/>
              </w:rPr>
              <w:t>Noteikumu projekta 1</w:t>
            </w:r>
            <w:r w:rsidR="00A76A07" w:rsidRPr="009A5537">
              <w:rPr>
                <w:i/>
                <w:sz w:val="25"/>
                <w:szCs w:val="25"/>
                <w:lang w:val="lv-LV"/>
              </w:rPr>
              <w:t>4</w:t>
            </w:r>
            <w:r w:rsidRPr="009A5537">
              <w:rPr>
                <w:i/>
                <w:sz w:val="25"/>
                <w:szCs w:val="25"/>
                <w:lang w:val="lv-LV"/>
              </w:rPr>
              <w:t>.</w:t>
            </w:r>
            <w:r w:rsidR="00A76A07" w:rsidRPr="009A5537">
              <w:rPr>
                <w:i/>
                <w:sz w:val="25"/>
                <w:szCs w:val="25"/>
                <w:lang w:val="lv-LV"/>
              </w:rPr>
              <w:t>1</w:t>
            </w:r>
            <w:r w:rsidRPr="009A5537">
              <w:rPr>
                <w:i/>
                <w:sz w:val="25"/>
                <w:szCs w:val="25"/>
                <w:lang w:val="lv-LV"/>
              </w:rPr>
              <w:t xml:space="preserve">.apakšpunkts </w:t>
            </w:r>
          </w:p>
        </w:tc>
        <w:tc>
          <w:tcPr>
            <w:tcW w:w="2067" w:type="dxa"/>
            <w:tcBorders>
              <w:top w:val="outset" w:sz="6" w:space="0" w:color="auto"/>
              <w:left w:val="outset" w:sz="6" w:space="0" w:color="auto"/>
              <w:bottom w:val="outset" w:sz="6" w:space="0" w:color="auto"/>
              <w:right w:val="outset" w:sz="6" w:space="0" w:color="auto"/>
            </w:tcBorders>
            <w:vAlign w:val="center"/>
          </w:tcPr>
          <w:p w14:paraId="414B7885" w14:textId="77777777" w:rsidR="00E56EB9" w:rsidRPr="009A5537" w:rsidRDefault="00E56EB9" w:rsidP="00225426">
            <w:pPr>
              <w:pStyle w:val="naiskr"/>
              <w:spacing w:before="0" w:after="0"/>
              <w:jc w:val="both"/>
              <w:rPr>
                <w:i/>
                <w:sz w:val="25"/>
                <w:szCs w:val="25"/>
                <w:lang w:val="lv-LV"/>
              </w:rPr>
            </w:pPr>
            <w:r w:rsidRPr="009A5537">
              <w:rPr>
                <w:i/>
                <w:sz w:val="25"/>
                <w:szCs w:val="25"/>
                <w:lang w:val="lv-LV"/>
              </w:rPr>
              <w:t>ieviesta pilnībā</w:t>
            </w:r>
          </w:p>
        </w:tc>
        <w:tc>
          <w:tcPr>
            <w:tcW w:w="2596" w:type="dxa"/>
            <w:tcBorders>
              <w:top w:val="outset" w:sz="6" w:space="0" w:color="auto"/>
              <w:left w:val="outset" w:sz="6" w:space="0" w:color="auto"/>
              <w:bottom w:val="outset" w:sz="6" w:space="0" w:color="auto"/>
              <w:right w:val="outset" w:sz="6" w:space="0" w:color="auto"/>
            </w:tcBorders>
            <w:vAlign w:val="center"/>
          </w:tcPr>
          <w:p w14:paraId="075B4B54" w14:textId="77777777" w:rsidR="00E56EB9" w:rsidRPr="009A5537" w:rsidRDefault="00E56EB9" w:rsidP="00225426">
            <w:pPr>
              <w:pStyle w:val="naiskr"/>
              <w:spacing w:before="0" w:after="0"/>
              <w:jc w:val="both"/>
              <w:rPr>
                <w:i/>
                <w:sz w:val="25"/>
                <w:szCs w:val="25"/>
                <w:lang w:val="lv-LV"/>
              </w:rPr>
            </w:pPr>
            <w:r w:rsidRPr="009A5537">
              <w:rPr>
                <w:i/>
                <w:sz w:val="25"/>
                <w:szCs w:val="25"/>
                <w:lang w:val="lv-LV"/>
              </w:rPr>
              <w:t>neparedz stingrākas prasības</w:t>
            </w:r>
          </w:p>
        </w:tc>
      </w:tr>
      <w:tr w:rsidR="00E56EB9" w:rsidRPr="009A5537" w14:paraId="78AA71C8" w14:textId="77777777" w:rsidTr="00D0283A">
        <w:trPr>
          <w:tblCellSpacing w:w="15" w:type="dxa"/>
        </w:trPr>
        <w:tc>
          <w:tcPr>
            <w:tcW w:w="2198" w:type="dxa"/>
            <w:tcBorders>
              <w:top w:val="outset" w:sz="6" w:space="0" w:color="auto"/>
              <w:left w:val="outset" w:sz="6" w:space="0" w:color="auto"/>
              <w:bottom w:val="outset" w:sz="6" w:space="0" w:color="auto"/>
              <w:right w:val="outset" w:sz="6" w:space="0" w:color="auto"/>
            </w:tcBorders>
            <w:vAlign w:val="center"/>
          </w:tcPr>
          <w:p w14:paraId="57F196AD" w14:textId="77777777" w:rsidR="00A76A07" w:rsidRPr="009A5537" w:rsidRDefault="00A76A07" w:rsidP="00A76A07">
            <w:pPr>
              <w:pStyle w:val="naiskr"/>
              <w:spacing w:after="0"/>
              <w:jc w:val="both"/>
              <w:rPr>
                <w:i/>
                <w:sz w:val="25"/>
                <w:szCs w:val="25"/>
                <w:lang w:val="lv-LV"/>
              </w:rPr>
            </w:pPr>
            <w:r w:rsidRPr="009A5537">
              <w:rPr>
                <w:i/>
                <w:sz w:val="25"/>
                <w:szCs w:val="25"/>
                <w:lang w:val="lv-LV"/>
              </w:rPr>
              <w:t>Komisijas lēmuma Nr.842/2005/EK 4.pants un</w:t>
            </w:r>
          </w:p>
          <w:p w14:paraId="6A2E4403" w14:textId="77777777" w:rsidR="00E56EB9" w:rsidRPr="009A5537" w:rsidRDefault="00A76A07" w:rsidP="00A76A07">
            <w:pPr>
              <w:pStyle w:val="naiskr"/>
              <w:spacing w:before="0" w:after="0"/>
              <w:jc w:val="both"/>
              <w:rPr>
                <w:i/>
                <w:sz w:val="25"/>
                <w:szCs w:val="25"/>
                <w:lang w:val="lv-LV"/>
              </w:rPr>
            </w:pPr>
            <w:r w:rsidRPr="009A5537">
              <w:rPr>
                <w:i/>
                <w:sz w:val="25"/>
                <w:szCs w:val="25"/>
                <w:lang w:val="lv-LV"/>
              </w:rPr>
              <w:t>Kopienas nostādnes valsts atbalstam attiecībā uz kompensāciju par sabiedrisko pakalpojumu sniegšanu (2005/C 297/04) 12.punkts.</w:t>
            </w:r>
          </w:p>
        </w:tc>
        <w:tc>
          <w:tcPr>
            <w:tcW w:w="2067" w:type="dxa"/>
            <w:gridSpan w:val="2"/>
            <w:tcBorders>
              <w:top w:val="outset" w:sz="6" w:space="0" w:color="auto"/>
              <w:left w:val="outset" w:sz="6" w:space="0" w:color="auto"/>
              <w:bottom w:val="outset" w:sz="6" w:space="0" w:color="auto"/>
              <w:right w:val="outset" w:sz="6" w:space="0" w:color="auto"/>
            </w:tcBorders>
            <w:vAlign w:val="center"/>
          </w:tcPr>
          <w:p w14:paraId="0BF406C7" w14:textId="77777777" w:rsidR="00E56EB9" w:rsidRPr="009A5537" w:rsidRDefault="00A76A07" w:rsidP="00225426">
            <w:pPr>
              <w:pStyle w:val="naiskr"/>
              <w:spacing w:before="0" w:after="0"/>
              <w:jc w:val="both"/>
              <w:rPr>
                <w:i/>
                <w:sz w:val="25"/>
                <w:szCs w:val="25"/>
                <w:lang w:val="lv-LV"/>
              </w:rPr>
            </w:pPr>
            <w:r w:rsidRPr="009A5537">
              <w:rPr>
                <w:i/>
                <w:sz w:val="25"/>
                <w:szCs w:val="25"/>
                <w:lang w:val="lv-LV"/>
              </w:rPr>
              <w:t>Noteikumu projekta 2</w:t>
            </w:r>
            <w:r w:rsidR="005D1132" w:rsidRPr="009A5537">
              <w:rPr>
                <w:i/>
                <w:sz w:val="25"/>
                <w:szCs w:val="25"/>
                <w:lang w:val="lv-LV"/>
              </w:rPr>
              <w:t>7</w:t>
            </w:r>
            <w:r w:rsidR="00E56EB9" w:rsidRPr="009A5537">
              <w:rPr>
                <w:i/>
                <w:sz w:val="25"/>
                <w:szCs w:val="25"/>
                <w:lang w:val="lv-LV"/>
              </w:rPr>
              <w:t>.</w:t>
            </w:r>
            <w:r w:rsidRPr="009A5537">
              <w:rPr>
                <w:i/>
                <w:sz w:val="25"/>
                <w:szCs w:val="25"/>
                <w:lang w:val="lv-LV"/>
              </w:rPr>
              <w:t>8.1 un 2</w:t>
            </w:r>
            <w:r w:rsidR="005D1132" w:rsidRPr="009A5537">
              <w:rPr>
                <w:i/>
                <w:sz w:val="25"/>
                <w:szCs w:val="25"/>
                <w:lang w:val="lv-LV"/>
              </w:rPr>
              <w:t>7</w:t>
            </w:r>
            <w:r w:rsidRPr="009A5537">
              <w:rPr>
                <w:i/>
                <w:sz w:val="25"/>
                <w:szCs w:val="25"/>
                <w:lang w:val="lv-LV"/>
              </w:rPr>
              <w:t>.9.1</w:t>
            </w:r>
            <w:r w:rsidR="00E56EB9" w:rsidRPr="009A5537">
              <w:rPr>
                <w:i/>
                <w:sz w:val="25"/>
                <w:szCs w:val="25"/>
                <w:lang w:val="lv-LV"/>
              </w:rPr>
              <w:t>.apakšpunkts</w:t>
            </w:r>
          </w:p>
          <w:p w14:paraId="2BB4B20C" w14:textId="77777777" w:rsidR="00E56EB9" w:rsidRPr="009A5537" w:rsidRDefault="00E56EB9" w:rsidP="00225426">
            <w:pPr>
              <w:pStyle w:val="naiskr"/>
              <w:spacing w:before="0" w:after="0"/>
              <w:jc w:val="both"/>
              <w:rPr>
                <w:i/>
                <w:sz w:val="25"/>
                <w:szCs w:val="25"/>
                <w:lang w:val="lv-LV"/>
              </w:rPr>
            </w:pPr>
          </w:p>
        </w:tc>
        <w:tc>
          <w:tcPr>
            <w:tcW w:w="2067" w:type="dxa"/>
            <w:tcBorders>
              <w:top w:val="outset" w:sz="6" w:space="0" w:color="auto"/>
              <w:left w:val="outset" w:sz="6" w:space="0" w:color="auto"/>
              <w:bottom w:val="outset" w:sz="6" w:space="0" w:color="auto"/>
              <w:right w:val="outset" w:sz="6" w:space="0" w:color="auto"/>
            </w:tcBorders>
            <w:vAlign w:val="center"/>
          </w:tcPr>
          <w:p w14:paraId="4E1F4136" w14:textId="77777777" w:rsidR="00E56EB9" w:rsidRPr="009A5537" w:rsidRDefault="00E56EB9" w:rsidP="00225426">
            <w:pPr>
              <w:pStyle w:val="naiskr"/>
              <w:spacing w:before="0" w:after="0"/>
              <w:jc w:val="both"/>
              <w:rPr>
                <w:i/>
                <w:sz w:val="25"/>
                <w:szCs w:val="25"/>
                <w:lang w:val="lv-LV"/>
              </w:rPr>
            </w:pPr>
            <w:r w:rsidRPr="009A5537">
              <w:rPr>
                <w:i/>
                <w:sz w:val="25"/>
                <w:szCs w:val="25"/>
                <w:lang w:val="lv-LV"/>
              </w:rPr>
              <w:t>ieviesta pilnībā</w:t>
            </w:r>
          </w:p>
        </w:tc>
        <w:tc>
          <w:tcPr>
            <w:tcW w:w="2596" w:type="dxa"/>
            <w:tcBorders>
              <w:top w:val="outset" w:sz="6" w:space="0" w:color="auto"/>
              <w:left w:val="outset" w:sz="6" w:space="0" w:color="auto"/>
              <w:bottom w:val="outset" w:sz="6" w:space="0" w:color="auto"/>
              <w:right w:val="outset" w:sz="6" w:space="0" w:color="auto"/>
            </w:tcBorders>
            <w:vAlign w:val="center"/>
          </w:tcPr>
          <w:p w14:paraId="2015A011" w14:textId="77777777" w:rsidR="00E56EB9" w:rsidRPr="009A5537" w:rsidRDefault="00E56EB9" w:rsidP="00225426">
            <w:pPr>
              <w:pStyle w:val="naiskr"/>
              <w:spacing w:before="0" w:after="0"/>
              <w:jc w:val="both"/>
              <w:rPr>
                <w:i/>
                <w:sz w:val="25"/>
                <w:szCs w:val="25"/>
                <w:lang w:val="lv-LV"/>
              </w:rPr>
            </w:pPr>
            <w:r w:rsidRPr="009A5537">
              <w:rPr>
                <w:i/>
                <w:sz w:val="25"/>
                <w:szCs w:val="25"/>
                <w:lang w:val="lv-LV"/>
              </w:rPr>
              <w:t>neparedz stingrākas prasības</w:t>
            </w:r>
          </w:p>
        </w:tc>
      </w:tr>
      <w:tr w:rsidR="00E56EB9" w:rsidRPr="009A5537" w14:paraId="0C8265F9" w14:textId="77777777" w:rsidTr="00D0283A">
        <w:trPr>
          <w:tblCellSpacing w:w="15" w:type="dxa"/>
        </w:trPr>
        <w:tc>
          <w:tcPr>
            <w:tcW w:w="2198" w:type="dxa"/>
            <w:tcBorders>
              <w:top w:val="outset" w:sz="6" w:space="0" w:color="auto"/>
              <w:left w:val="outset" w:sz="6" w:space="0" w:color="auto"/>
              <w:bottom w:val="outset" w:sz="6" w:space="0" w:color="auto"/>
              <w:right w:val="outset" w:sz="6" w:space="0" w:color="auto"/>
            </w:tcBorders>
            <w:vAlign w:val="center"/>
          </w:tcPr>
          <w:p w14:paraId="3DDBFC0B" w14:textId="77777777" w:rsidR="00E56EB9" w:rsidRPr="009A5537" w:rsidRDefault="00A76A07" w:rsidP="00225426">
            <w:pPr>
              <w:pStyle w:val="naiskr"/>
              <w:spacing w:before="0" w:after="0"/>
              <w:jc w:val="both"/>
              <w:rPr>
                <w:i/>
                <w:sz w:val="25"/>
                <w:szCs w:val="25"/>
                <w:lang w:val="lv-LV"/>
              </w:rPr>
            </w:pPr>
            <w:r w:rsidRPr="009A5537">
              <w:rPr>
                <w:i/>
                <w:sz w:val="25"/>
                <w:szCs w:val="25"/>
                <w:lang w:val="lv-LV"/>
              </w:rPr>
              <w:t>Komisijas lēmuma 2005/842/EK 2.panta a), b) un d) daļa, EK Līguma 86.panta 2.punkts.</w:t>
            </w:r>
          </w:p>
        </w:tc>
        <w:tc>
          <w:tcPr>
            <w:tcW w:w="2067" w:type="dxa"/>
            <w:gridSpan w:val="2"/>
            <w:tcBorders>
              <w:top w:val="outset" w:sz="6" w:space="0" w:color="auto"/>
              <w:left w:val="outset" w:sz="6" w:space="0" w:color="auto"/>
              <w:bottom w:val="outset" w:sz="6" w:space="0" w:color="auto"/>
              <w:right w:val="outset" w:sz="6" w:space="0" w:color="auto"/>
            </w:tcBorders>
            <w:vAlign w:val="center"/>
          </w:tcPr>
          <w:p w14:paraId="3B610B89" w14:textId="77777777" w:rsidR="00E56EB9" w:rsidRPr="009A5537" w:rsidRDefault="00A76A07" w:rsidP="00225426">
            <w:pPr>
              <w:pStyle w:val="naiskr"/>
              <w:spacing w:before="0" w:after="0"/>
              <w:jc w:val="both"/>
              <w:rPr>
                <w:i/>
                <w:sz w:val="25"/>
                <w:szCs w:val="25"/>
                <w:lang w:val="lv-LV"/>
              </w:rPr>
            </w:pPr>
            <w:r w:rsidRPr="009A5537">
              <w:rPr>
                <w:i/>
                <w:sz w:val="25"/>
                <w:szCs w:val="25"/>
                <w:lang w:val="lv-LV"/>
              </w:rPr>
              <w:t>Noteikumu projekta 2</w:t>
            </w:r>
            <w:r w:rsidR="005D1132" w:rsidRPr="009A5537">
              <w:rPr>
                <w:i/>
                <w:sz w:val="25"/>
                <w:szCs w:val="25"/>
                <w:lang w:val="lv-LV"/>
              </w:rPr>
              <w:t>7</w:t>
            </w:r>
            <w:r w:rsidRPr="009A5537">
              <w:rPr>
                <w:i/>
                <w:sz w:val="25"/>
                <w:szCs w:val="25"/>
                <w:lang w:val="lv-LV"/>
              </w:rPr>
              <w:t>.8.1 un 2</w:t>
            </w:r>
            <w:r w:rsidR="005D1132" w:rsidRPr="009A5537">
              <w:rPr>
                <w:i/>
                <w:sz w:val="25"/>
                <w:szCs w:val="25"/>
                <w:lang w:val="lv-LV"/>
              </w:rPr>
              <w:t>7</w:t>
            </w:r>
            <w:r w:rsidRPr="009A5537">
              <w:rPr>
                <w:i/>
                <w:sz w:val="25"/>
                <w:szCs w:val="25"/>
                <w:lang w:val="lv-LV"/>
              </w:rPr>
              <w:t>.9.1.apakšpunkts</w:t>
            </w:r>
          </w:p>
        </w:tc>
        <w:tc>
          <w:tcPr>
            <w:tcW w:w="2067" w:type="dxa"/>
            <w:tcBorders>
              <w:top w:val="outset" w:sz="6" w:space="0" w:color="auto"/>
              <w:left w:val="outset" w:sz="6" w:space="0" w:color="auto"/>
              <w:bottom w:val="outset" w:sz="6" w:space="0" w:color="auto"/>
              <w:right w:val="outset" w:sz="6" w:space="0" w:color="auto"/>
            </w:tcBorders>
            <w:vAlign w:val="center"/>
          </w:tcPr>
          <w:p w14:paraId="150462EF" w14:textId="77777777" w:rsidR="00E56EB9" w:rsidRPr="009A5537" w:rsidRDefault="00E56EB9" w:rsidP="00225426">
            <w:pPr>
              <w:pStyle w:val="naiskr"/>
              <w:spacing w:before="0" w:after="0"/>
              <w:jc w:val="both"/>
              <w:rPr>
                <w:i/>
                <w:sz w:val="25"/>
                <w:szCs w:val="25"/>
                <w:lang w:val="lv-LV"/>
              </w:rPr>
            </w:pPr>
            <w:r w:rsidRPr="009A5537">
              <w:rPr>
                <w:i/>
                <w:sz w:val="25"/>
                <w:szCs w:val="25"/>
                <w:lang w:val="lv-LV"/>
              </w:rPr>
              <w:t>ieviesta pilnībā</w:t>
            </w:r>
          </w:p>
        </w:tc>
        <w:tc>
          <w:tcPr>
            <w:tcW w:w="2596" w:type="dxa"/>
            <w:tcBorders>
              <w:top w:val="outset" w:sz="6" w:space="0" w:color="auto"/>
              <w:left w:val="outset" w:sz="6" w:space="0" w:color="auto"/>
              <w:bottom w:val="outset" w:sz="6" w:space="0" w:color="auto"/>
              <w:right w:val="outset" w:sz="6" w:space="0" w:color="auto"/>
            </w:tcBorders>
            <w:vAlign w:val="center"/>
          </w:tcPr>
          <w:p w14:paraId="64542E55" w14:textId="77777777" w:rsidR="00E56EB9" w:rsidRPr="009A5537" w:rsidRDefault="00E56EB9" w:rsidP="00225426">
            <w:pPr>
              <w:pStyle w:val="naiskr"/>
              <w:spacing w:before="0" w:after="0"/>
              <w:jc w:val="both"/>
              <w:rPr>
                <w:i/>
                <w:sz w:val="25"/>
                <w:szCs w:val="25"/>
                <w:lang w:val="lv-LV"/>
              </w:rPr>
            </w:pPr>
            <w:r w:rsidRPr="009A5537">
              <w:rPr>
                <w:i/>
                <w:sz w:val="25"/>
                <w:szCs w:val="25"/>
                <w:lang w:val="lv-LV"/>
              </w:rPr>
              <w:t>neparedz stingrākas prasības</w:t>
            </w:r>
          </w:p>
        </w:tc>
      </w:tr>
      <w:tr w:rsidR="00E56EB9" w:rsidRPr="009A5537" w14:paraId="13C60F88" w14:textId="77777777" w:rsidTr="00D0283A">
        <w:trPr>
          <w:tblCellSpacing w:w="15" w:type="dxa"/>
        </w:trPr>
        <w:tc>
          <w:tcPr>
            <w:tcW w:w="2796" w:type="dxa"/>
            <w:gridSpan w:val="2"/>
            <w:tcBorders>
              <w:top w:val="outset" w:sz="6" w:space="0" w:color="auto"/>
              <w:left w:val="outset" w:sz="6" w:space="0" w:color="auto"/>
              <w:bottom w:val="outset" w:sz="6" w:space="0" w:color="auto"/>
              <w:right w:val="outset" w:sz="6" w:space="0" w:color="auto"/>
            </w:tcBorders>
            <w:hideMark/>
          </w:tcPr>
          <w:p w14:paraId="018EB4F0" w14:textId="77777777" w:rsidR="00E56EB9" w:rsidRPr="009A5537" w:rsidRDefault="00E56EB9" w:rsidP="00EF2219">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Kā ir izmantota ES tiesību aktā paredzētā rīcības brīvība dalībvalstij pārņemt vai ieviest noteiktas ES tiesību akta normas.</w:t>
            </w:r>
          </w:p>
        </w:tc>
        <w:tc>
          <w:tcPr>
            <w:tcW w:w="6192" w:type="dxa"/>
            <w:gridSpan w:val="3"/>
            <w:tcBorders>
              <w:top w:val="outset" w:sz="6" w:space="0" w:color="auto"/>
              <w:left w:val="outset" w:sz="6" w:space="0" w:color="auto"/>
              <w:bottom w:val="outset" w:sz="6" w:space="0" w:color="auto"/>
              <w:right w:val="outset" w:sz="6" w:space="0" w:color="auto"/>
            </w:tcBorders>
            <w:hideMark/>
          </w:tcPr>
          <w:p w14:paraId="5AC0067F" w14:textId="77777777" w:rsidR="00E56EB9" w:rsidRPr="009A5537" w:rsidRDefault="00E56EB9" w:rsidP="00225426">
            <w:pPr>
              <w:spacing w:line="240" w:lineRule="auto"/>
              <w:jc w:val="both"/>
              <w:rPr>
                <w:rFonts w:ascii="Times New Roman" w:hAnsi="Times New Roman"/>
                <w:sz w:val="25"/>
                <w:szCs w:val="25"/>
                <w:lang w:val="lv-LV"/>
              </w:rPr>
            </w:pPr>
            <w:r w:rsidRPr="009A5537">
              <w:rPr>
                <w:rFonts w:ascii="Times New Roman" w:hAnsi="Times New Roman"/>
                <w:sz w:val="25"/>
                <w:szCs w:val="25"/>
                <w:lang w:val="lv-LV"/>
              </w:rPr>
              <w:t>Nav attiecināms.</w:t>
            </w:r>
          </w:p>
        </w:tc>
      </w:tr>
      <w:tr w:rsidR="00E56EB9" w:rsidRPr="004C4FD3" w14:paraId="328BD29C" w14:textId="77777777" w:rsidTr="00D0283A">
        <w:trPr>
          <w:tblCellSpacing w:w="15" w:type="dxa"/>
        </w:trPr>
        <w:tc>
          <w:tcPr>
            <w:tcW w:w="2796" w:type="dxa"/>
            <w:gridSpan w:val="2"/>
            <w:tcBorders>
              <w:top w:val="outset" w:sz="6" w:space="0" w:color="auto"/>
              <w:left w:val="outset" w:sz="6" w:space="0" w:color="auto"/>
              <w:bottom w:val="outset" w:sz="6" w:space="0" w:color="auto"/>
              <w:right w:val="outset" w:sz="6" w:space="0" w:color="auto"/>
            </w:tcBorders>
            <w:hideMark/>
          </w:tcPr>
          <w:p w14:paraId="304E87BC" w14:textId="77777777" w:rsidR="00E56EB9" w:rsidRPr="009A5537" w:rsidRDefault="00E56EB9" w:rsidP="00EF2219">
            <w:pPr>
              <w:spacing w:line="240" w:lineRule="auto"/>
              <w:jc w:val="both"/>
              <w:rPr>
                <w:rFonts w:ascii="Times New Roman" w:hAnsi="Times New Roman"/>
                <w:sz w:val="25"/>
                <w:szCs w:val="25"/>
                <w:lang w:val="lv-LV"/>
              </w:rPr>
            </w:pPr>
            <w:r w:rsidRPr="009A5537">
              <w:rPr>
                <w:rFonts w:ascii="Times New Roman" w:hAnsi="Times New Roman"/>
                <w:sz w:val="25"/>
                <w:szCs w:val="25"/>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92" w:type="dxa"/>
            <w:gridSpan w:val="3"/>
            <w:tcBorders>
              <w:top w:val="outset" w:sz="6" w:space="0" w:color="auto"/>
              <w:left w:val="outset" w:sz="6" w:space="0" w:color="auto"/>
              <w:bottom w:val="outset" w:sz="6" w:space="0" w:color="auto"/>
              <w:right w:val="outset" w:sz="6" w:space="0" w:color="auto"/>
            </w:tcBorders>
            <w:hideMark/>
          </w:tcPr>
          <w:p w14:paraId="4FB9FB08" w14:textId="59E57B19" w:rsidR="00A76A07" w:rsidRPr="009A5537" w:rsidRDefault="00A76A07" w:rsidP="00FB1513">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 xml:space="preserve">Saskaņā ar Komisijas lēmuma 2005/842/EK par EK Līguma 86.panta 2.punkta piemērošanu valsts atbalstam attiecībā uz kompensāciju par sabiedriskajiem pakalpojumiem dažiem uzņēmumiem, kuriem uzticēts sniegt pakalpojumus ar vispārēju tautsaimniecisku nozīmi (publicēts Eiropas Kopienas Oficiālajā Vēstnesī L 312, 29.11.2005, 67.-73.lpp.) un Kopienas nostādnēm valsts atbalstam attiecībā uz kompensāciju par sabiedrisko pakalpojumu sniegšanu (2005/C 297/04), un EK Līguma 86.panta 2.punktu, paziņojums </w:t>
            </w:r>
            <w:r w:rsidR="004A16ED" w:rsidRPr="009A5537">
              <w:rPr>
                <w:rFonts w:ascii="Times New Roman" w:hAnsi="Times New Roman"/>
                <w:sz w:val="25"/>
                <w:szCs w:val="25"/>
                <w:lang w:val="lv-LV"/>
              </w:rPr>
              <w:t>EK</w:t>
            </w:r>
            <w:r w:rsidRPr="009A5537">
              <w:rPr>
                <w:rFonts w:ascii="Times New Roman" w:hAnsi="Times New Roman"/>
                <w:sz w:val="25"/>
                <w:szCs w:val="25"/>
                <w:lang w:val="lv-LV"/>
              </w:rPr>
              <w:t xml:space="preserve"> nav jāsniedz. </w:t>
            </w:r>
          </w:p>
          <w:p w14:paraId="2CE0438A" w14:textId="0121398C" w:rsidR="00E56EB9" w:rsidRPr="009A5537" w:rsidRDefault="00A76A07" w:rsidP="00FB1513">
            <w:pPr>
              <w:spacing w:after="0" w:line="240" w:lineRule="auto"/>
              <w:jc w:val="both"/>
              <w:rPr>
                <w:rFonts w:ascii="Times New Roman" w:hAnsi="Times New Roman"/>
                <w:sz w:val="25"/>
                <w:szCs w:val="25"/>
                <w:lang w:val="lv-LV"/>
              </w:rPr>
            </w:pPr>
            <w:r w:rsidRPr="009A5537">
              <w:rPr>
                <w:rFonts w:ascii="Times New Roman" w:hAnsi="Times New Roman"/>
                <w:sz w:val="25"/>
                <w:szCs w:val="25"/>
                <w:lang w:val="lv-LV"/>
              </w:rPr>
              <w:t>Iepriekšējas paziņošanas prasība, kas paredzēta EK Līguma 88.panta 3.punktā, nav jāievēro, ja uzņēmumi, kuru gada apgrozījums pirms nodokļu nomaksas, ieskaitot visas darbības jomas, ir mazāks par 100 milj</w:t>
            </w:r>
            <w:r w:rsidR="002C2258" w:rsidRPr="009A5537">
              <w:rPr>
                <w:rFonts w:ascii="Times New Roman" w:hAnsi="Times New Roman"/>
                <w:sz w:val="25"/>
                <w:szCs w:val="25"/>
                <w:lang w:val="lv-LV"/>
              </w:rPr>
              <w:t>.</w:t>
            </w:r>
            <w:r w:rsidRPr="009A5537">
              <w:rPr>
                <w:rFonts w:ascii="Times New Roman" w:hAnsi="Times New Roman"/>
                <w:sz w:val="25"/>
                <w:szCs w:val="25"/>
                <w:lang w:val="lv-LV"/>
              </w:rPr>
              <w:t xml:space="preserve"> </w:t>
            </w:r>
            <w:r w:rsidRPr="009A5537">
              <w:rPr>
                <w:rFonts w:ascii="Times New Roman" w:hAnsi="Times New Roman"/>
                <w:i/>
                <w:sz w:val="25"/>
                <w:szCs w:val="25"/>
                <w:lang w:val="lv-LV"/>
              </w:rPr>
              <w:t>euro</w:t>
            </w:r>
            <w:r w:rsidRPr="009A5537">
              <w:rPr>
                <w:rFonts w:ascii="Times New Roman" w:hAnsi="Times New Roman"/>
                <w:sz w:val="25"/>
                <w:szCs w:val="25"/>
                <w:lang w:val="lv-LV"/>
              </w:rPr>
              <w:t xml:space="preserve"> divus finanšu gadus pirms tika piešķirtas tiesības sniegt pakalpojumus ar vispārēju tautsaimniecisku nozīmi un ar gada kompensāciju par minētajiem pakalpojumiem, kas mazāka par 30 milj</w:t>
            </w:r>
            <w:r w:rsidR="002C2258" w:rsidRPr="009A5537">
              <w:rPr>
                <w:rFonts w:ascii="Times New Roman" w:hAnsi="Times New Roman"/>
                <w:sz w:val="25"/>
                <w:szCs w:val="25"/>
                <w:lang w:val="lv-LV"/>
              </w:rPr>
              <w:t>.</w:t>
            </w:r>
            <w:r w:rsidRPr="009A5537">
              <w:rPr>
                <w:rFonts w:ascii="Times New Roman" w:hAnsi="Times New Roman"/>
                <w:sz w:val="25"/>
                <w:szCs w:val="25"/>
                <w:lang w:val="lv-LV"/>
              </w:rPr>
              <w:t xml:space="preserve"> </w:t>
            </w:r>
            <w:r w:rsidRPr="009A5537">
              <w:rPr>
                <w:rFonts w:ascii="Times New Roman" w:hAnsi="Times New Roman"/>
                <w:i/>
                <w:sz w:val="25"/>
                <w:szCs w:val="25"/>
                <w:lang w:val="lv-LV"/>
              </w:rPr>
              <w:t>euro</w:t>
            </w:r>
            <w:r w:rsidRPr="009A5537">
              <w:rPr>
                <w:rFonts w:ascii="Times New Roman" w:hAnsi="Times New Roman"/>
                <w:sz w:val="25"/>
                <w:szCs w:val="25"/>
                <w:lang w:val="lv-LV"/>
              </w:rPr>
              <w:t>.</w:t>
            </w:r>
          </w:p>
        </w:tc>
      </w:tr>
      <w:tr w:rsidR="00E56EB9" w:rsidRPr="009A5537" w14:paraId="6C266D01" w14:textId="77777777" w:rsidTr="00D0283A">
        <w:trPr>
          <w:trHeight w:val="596"/>
          <w:tblCellSpacing w:w="15" w:type="dxa"/>
        </w:trPr>
        <w:tc>
          <w:tcPr>
            <w:tcW w:w="2796" w:type="dxa"/>
            <w:gridSpan w:val="2"/>
            <w:tcBorders>
              <w:top w:val="outset" w:sz="6" w:space="0" w:color="auto"/>
              <w:left w:val="outset" w:sz="6" w:space="0" w:color="auto"/>
              <w:bottom w:val="outset" w:sz="6" w:space="0" w:color="auto"/>
              <w:right w:val="outset" w:sz="6" w:space="0" w:color="auto"/>
            </w:tcBorders>
            <w:hideMark/>
          </w:tcPr>
          <w:p w14:paraId="391B7D78" w14:textId="77777777" w:rsidR="00E56EB9" w:rsidRPr="009A5537" w:rsidRDefault="00E56EB9" w:rsidP="00225426">
            <w:pPr>
              <w:spacing w:line="240" w:lineRule="auto"/>
              <w:jc w:val="both"/>
              <w:rPr>
                <w:rFonts w:ascii="Times New Roman" w:hAnsi="Times New Roman"/>
                <w:sz w:val="25"/>
                <w:szCs w:val="25"/>
                <w:lang w:val="lv-LV"/>
              </w:rPr>
            </w:pPr>
            <w:r w:rsidRPr="009A5537">
              <w:rPr>
                <w:rFonts w:ascii="Times New Roman" w:hAnsi="Times New Roman"/>
                <w:sz w:val="25"/>
                <w:szCs w:val="25"/>
                <w:lang w:val="lv-LV"/>
              </w:rPr>
              <w:t>Cita informācija</w:t>
            </w:r>
          </w:p>
        </w:tc>
        <w:tc>
          <w:tcPr>
            <w:tcW w:w="6192" w:type="dxa"/>
            <w:gridSpan w:val="3"/>
            <w:tcBorders>
              <w:top w:val="outset" w:sz="6" w:space="0" w:color="auto"/>
              <w:left w:val="outset" w:sz="6" w:space="0" w:color="auto"/>
              <w:bottom w:val="outset" w:sz="6" w:space="0" w:color="auto"/>
              <w:right w:val="outset" w:sz="6" w:space="0" w:color="auto"/>
            </w:tcBorders>
            <w:hideMark/>
          </w:tcPr>
          <w:p w14:paraId="6EA9336A" w14:textId="298A746C" w:rsidR="00E56EB9" w:rsidRPr="009A5537" w:rsidRDefault="00E56EB9" w:rsidP="00225426">
            <w:pPr>
              <w:spacing w:line="240" w:lineRule="auto"/>
              <w:jc w:val="both"/>
              <w:rPr>
                <w:rFonts w:ascii="Times New Roman" w:hAnsi="Times New Roman"/>
                <w:sz w:val="25"/>
                <w:szCs w:val="25"/>
                <w:lang w:val="lv-LV"/>
              </w:rPr>
            </w:pPr>
            <w:r w:rsidRPr="009A5537">
              <w:rPr>
                <w:rFonts w:ascii="Times New Roman" w:hAnsi="Times New Roman"/>
                <w:sz w:val="25"/>
                <w:szCs w:val="25"/>
                <w:lang w:val="lv-LV"/>
              </w:rPr>
              <w:t>Nav</w:t>
            </w:r>
            <w:r w:rsidR="00883F96" w:rsidRPr="009A5537">
              <w:rPr>
                <w:rFonts w:ascii="Times New Roman" w:hAnsi="Times New Roman"/>
                <w:sz w:val="25"/>
                <w:szCs w:val="25"/>
                <w:lang w:val="lv-LV"/>
              </w:rPr>
              <w:t>.</w:t>
            </w:r>
          </w:p>
        </w:tc>
      </w:tr>
    </w:tbl>
    <w:p w14:paraId="0F14B2EB" w14:textId="77777777" w:rsidR="00D0283A" w:rsidRPr="009A5537" w:rsidRDefault="00D0283A">
      <w:pPr>
        <w:rPr>
          <w:sz w:val="25"/>
          <w:szCs w:val="25"/>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308"/>
        <w:gridCol w:w="5357"/>
      </w:tblGrid>
      <w:tr w:rsidR="00883F96" w:rsidRPr="009A5537" w14:paraId="50914298" w14:textId="77777777" w:rsidTr="00D0283A">
        <w:trPr>
          <w:trHeight w:val="421"/>
          <w:jc w:val="center"/>
        </w:trPr>
        <w:tc>
          <w:tcPr>
            <w:tcW w:w="9164" w:type="dxa"/>
            <w:gridSpan w:val="3"/>
            <w:vAlign w:val="center"/>
          </w:tcPr>
          <w:p w14:paraId="12BBFACD" w14:textId="77777777" w:rsidR="00883F96" w:rsidRPr="009A5537" w:rsidRDefault="00883F96" w:rsidP="00225426">
            <w:pPr>
              <w:pStyle w:val="naisnod"/>
              <w:spacing w:before="0" w:beforeAutospacing="0" w:after="0" w:afterAutospacing="0"/>
              <w:ind w:left="57" w:right="57"/>
              <w:jc w:val="center"/>
              <w:rPr>
                <w:sz w:val="25"/>
                <w:szCs w:val="25"/>
                <w:lang w:val="lv-LV"/>
              </w:rPr>
            </w:pPr>
            <w:r w:rsidRPr="009A5537">
              <w:rPr>
                <w:b/>
                <w:sz w:val="25"/>
                <w:szCs w:val="25"/>
                <w:lang w:val="lv-LV"/>
              </w:rPr>
              <w:t>VI. Sabiedrības līdzdalība un komunikācijas aktivitātes</w:t>
            </w:r>
          </w:p>
        </w:tc>
      </w:tr>
      <w:tr w:rsidR="00883F96" w:rsidRPr="004C4FD3" w14:paraId="71ABAFE8" w14:textId="77777777" w:rsidTr="00D0283A">
        <w:trPr>
          <w:trHeight w:val="553"/>
          <w:jc w:val="center"/>
        </w:trPr>
        <w:tc>
          <w:tcPr>
            <w:tcW w:w="499" w:type="dxa"/>
            <w:vAlign w:val="center"/>
          </w:tcPr>
          <w:p w14:paraId="6FB49CEE" w14:textId="77777777" w:rsidR="00883F96" w:rsidRPr="009A5537" w:rsidRDefault="00883F96" w:rsidP="00F66F09">
            <w:pPr>
              <w:spacing w:after="0" w:line="240" w:lineRule="auto"/>
              <w:ind w:left="57" w:right="57"/>
              <w:jc w:val="center"/>
              <w:rPr>
                <w:rFonts w:ascii="Times New Roman" w:hAnsi="Times New Roman" w:cs="Times New Roman"/>
                <w:bCs/>
                <w:sz w:val="25"/>
                <w:szCs w:val="25"/>
                <w:lang w:val="lv-LV"/>
              </w:rPr>
            </w:pPr>
            <w:r w:rsidRPr="009A5537">
              <w:rPr>
                <w:rFonts w:ascii="Times New Roman" w:hAnsi="Times New Roman" w:cs="Times New Roman"/>
                <w:bCs/>
                <w:sz w:val="25"/>
                <w:szCs w:val="25"/>
                <w:lang w:val="lv-LV"/>
              </w:rPr>
              <w:t>1.</w:t>
            </w:r>
          </w:p>
        </w:tc>
        <w:tc>
          <w:tcPr>
            <w:tcW w:w="3308" w:type="dxa"/>
          </w:tcPr>
          <w:p w14:paraId="7EF53CE2" w14:textId="77777777" w:rsidR="00883F96" w:rsidRPr="009A5537" w:rsidRDefault="00883F96" w:rsidP="00225426">
            <w:pPr>
              <w:tabs>
                <w:tab w:val="left" w:pos="170"/>
              </w:tabs>
              <w:spacing w:after="0" w:line="240" w:lineRule="auto"/>
              <w:ind w:left="57" w:right="57"/>
              <w:jc w:val="both"/>
              <w:rPr>
                <w:rFonts w:ascii="Times New Roman" w:hAnsi="Times New Roman" w:cs="Times New Roman"/>
                <w:sz w:val="25"/>
                <w:szCs w:val="25"/>
                <w:lang w:val="lv-LV"/>
              </w:rPr>
            </w:pPr>
            <w:r w:rsidRPr="009A5537">
              <w:rPr>
                <w:rFonts w:ascii="Times New Roman" w:hAnsi="Times New Roman" w:cs="Times New Roman"/>
                <w:sz w:val="25"/>
                <w:szCs w:val="25"/>
                <w:lang w:val="lv-LV"/>
              </w:rPr>
              <w:t>Plānotās sabiedrības līdzdalības un komunikācijas aktivitātes saistībā ar projektu</w:t>
            </w:r>
          </w:p>
        </w:tc>
        <w:tc>
          <w:tcPr>
            <w:tcW w:w="5357" w:type="dxa"/>
            <w:vAlign w:val="center"/>
          </w:tcPr>
          <w:p w14:paraId="212DB5FF" w14:textId="7CB112F8" w:rsidR="00883F96" w:rsidRPr="009A5537" w:rsidRDefault="00CA0317" w:rsidP="004A63FD">
            <w:pPr>
              <w:shd w:val="clear" w:color="auto" w:fill="FFFFFF"/>
              <w:spacing w:after="0" w:line="240" w:lineRule="auto"/>
              <w:ind w:left="57" w:right="57"/>
              <w:jc w:val="both"/>
              <w:rPr>
                <w:rFonts w:ascii="Times New Roman" w:hAnsi="Times New Roman" w:cs="Times New Roman"/>
                <w:sz w:val="25"/>
                <w:szCs w:val="25"/>
                <w:lang w:val="lv-LV"/>
              </w:rPr>
            </w:pPr>
            <w:bookmarkStart w:id="1" w:name="p61"/>
            <w:bookmarkEnd w:id="1"/>
            <w:r w:rsidRPr="009A5537">
              <w:rPr>
                <w:rFonts w:ascii="Times New Roman" w:hAnsi="Times New Roman" w:cs="Times New Roman"/>
                <w:color w:val="000000" w:themeColor="text1"/>
                <w:sz w:val="25"/>
                <w:szCs w:val="25"/>
                <w:lang w:val="lv-LV"/>
              </w:rPr>
              <w:t>2014.gada 23.oktobrī apstiprināšanai ES fondu Uzraudzības komitejas rakstiskās procedūras veidā tika izsūtīta 2.3.2.2.3.apakšaktivitātes projektu ie</w:t>
            </w:r>
            <w:r w:rsidR="004A63FD" w:rsidRPr="009A5537">
              <w:rPr>
                <w:rFonts w:ascii="Times New Roman" w:hAnsi="Times New Roman" w:cs="Times New Roman"/>
                <w:color w:val="000000" w:themeColor="text1"/>
                <w:sz w:val="25"/>
                <w:szCs w:val="25"/>
                <w:lang w:val="lv-LV"/>
              </w:rPr>
              <w:t>sniegumu atlases kritēriju kopa, kas tika apstiprināta ar ES fondu Uzraudzības komitejas š.g. 6.novembra lēmumu Nr.L-2014/15. Papildus vēršam uzmanību, ka ES fondu Uzraudzības komitejas sastāvā ir arī Eiropas Komisijas pārstāvji (rakstiskās procedūras ietvaros arī DG REGIO sniedza savus iebildumus, kuri tika ņemti vērā).</w:t>
            </w:r>
          </w:p>
        </w:tc>
      </w:tr>
      <w:tr w:rsidR="00883F96" w:rsidRPr="004C4FD3" w14:paraId="2E3657C6" w14:textId="77777777" w:rsidTr="00D0283A">
        <w:trPr>
          <w:trHeight w:val="339"/>
          <w:jc w:val="center"/>
        </w:trPr>
        <w:tc>
          <w:tcPr>
            <w:tcW w:w="499" w:type="dxa"/>
            <w:vAlign w:val="center"/>
          </w:tcPr>
          <w:p w14:paraId="628840EE" w14:textId="77777777" w:rsidR="00883F96" w:rsidRPr="009A5537" w:rsidRDefault="00883F96" w:rsidP="00F66F09">
            <w:pPr>
              <w:spacing w:after="0" w:line="240" w:lineRule="auto"/>
              <w:ind w:left="57" w:right="57"/>
              <w:jc w:val="center"/>
              <w:rPr>
                <w:rFonts w:ascii="Times New Roman" w:hAnsi="Times New Roman" w:cs="Times New Roman"/>
                <w:bCs/>
                <w:sz w:val="25"/>
                <w:szCs w:val="25"/>
                <w:lang w:val="lv-LV"/>
              </w:rPr>
            </w:pPr>
            <w:r w:rsidRPr="009A5537">
              <w:rPr>
                <w:rFonts w:ascii="Times New Roman" w:hAnsi="Times New Roman" w:cs="Times New Roman"/>
                <w:bCs/>
                <w:sz w:val="25"/>
                <w:szCs w:val="25"/>
                <w:lang w:val="lv-LV"/>
              </w:rPr>
              <w:t>2.</w:t>
            </w:r>
          </w:p>
        </w:tc>
        <w:tc>
          <w:tcPr>
            <w:tcW w:w="3308" w:type="dxa"/>
            <w:vAlign w:val="center"/>
          </w:tcPr>
          <w:p w14:paraId="202FC8CC" w14:textId="77777777" w:rsidR="00883F96" w:rsidRPr="009A5537" w:rsidRDefault="00883F96" w:rsidP="00225426">
            <w:pPr>
              <w:spacing w:after="0" w:line="240" w:lineRule="auto"/>
              <w:ind w:left="57" w:right="57"/>
              <w:rPr>
                <w:rFonts w:ascii="Times New Roman" w:hAnsi="Times New Roman" w:cs="Times New Roman"/>
                <w:sz w:val="25"/>
                <w:szCs w:val="25"/>
                <w:lang w:val="lv-LV"/>
              </w:rPr>
            </w:pPr>
            <w:r w:rsidRPr="009A5537">
              <w:rPr>
                <w:rFonts w:ascii="Times New Roman" w:hAnsi="Times New Roman" w:cs="Times New Roman"/>
                <w:sz w:val="25"/>
                <w:szCs w:val="25"/>
                <w:lang w:val="lv-LV"/>
              </w:rPr>
              <w:t>Sabiedrības līdzdalība projekta izstrādē</w:t>
            </w:r>
          </w:p>
        </w:tc>
        <w:tc>
          <w:tcPr>
            <w:tcW w:w="5357" w:type="dxa"/>
            <w:vAlign w:val="center"/>
          </w:tcPr>
          <w:p w14:paraId="7A4553D6" w14:textId="53B0485F" w:rsidR="00324899" w:rsidRPr="009A5537" w:rsidRDefault="00324899" w:rsidP="00324899">
            <w:pPr>
              <w:shd w:val="clear" w:color="auto" w:fill="FFFFFF"/>
              <w:spacing w:after="0" w:line="240" w:lineRule="auto"/>
              <w:ind w:left="86" w:right="57"/>
              <w:jc w:val="both"/>
              <w:rPr>
                <w:rFonts w:ascii="Times New Roman" w:hAnsi="Times New Roman" w:cs="Times New Roman"/>
                <w:color w:val="000000" w:themeColor="text1"/>
                <w:sz w:val="25"/>
                <w:szCs w:val="25"/>
                <w:lang w:val="lv-LV"/>
              </w:rPr>
            </w:pPr>
            <w:bookmarkStart w:id="2" w:name="p62"/>
            <w:bookmarkEnd w:id="2"/>
            <w:r w:rsidRPr="009A5537">
              <w:rPr>
                <w:rFonts w:ascii="Times New Roman" w:hAnsi="Times New Roman" w:cs="Times New Roman"/>
                <w:color w:val="000000" w:themeColor="text1"/>
                <w:sz w:val="25"/>
                <w:szCs w:val="25"/>
                <w:lang w:val="lv-LV"/>
              </w:rPr>
              <w:t xml:space="preserve">Tika saņemts ieteikums no </w:t>
            </w:r>
            <w:r w:rsidR="00A9221C" w:rsidRPr="009A5537">
              <w:rPr>
                <w:rFonts w:ascii="Times New Roman" w:hAnsi="Times New Roman" w:cs="Times New Roman"/>
                <w:color w:val="000000" w:themeColor="text1"/>
                <w:sz w:val="25"/>
                <w:szCs w:val="25"/>
                <w:lang w:val="lv-LV"/>
              </w:rPr>
              <w:t>Latvijas Tirdzniecības un rūpniecības kamera</w:t>
            </w:r>
            <w:r w:rsidRPr="009A5537">
              <w:rPr>
                <w:rFonts w:ascii="Times New Roman" w:hAnsi="Times New Roman" w:cs="Times New Roman"/>
                <w:color w:val="000000" w:themeColor="text1"/>
                <w:sz w:val="25"/>
                <w:szCs w:val="25"/>
                <w:lang w:val="lv-LV"/>
              </w:rPr>
              <w:t xml:space="preserve"> - iekļaut metodiskās vadības norādes par ilgtspēju, piem., (1) kādas uzņēmējdarbības problēmas tas risina, (2) kādus pastāvošos risinājumus uzņēmējdarbībā tas uzlabos, (3) kādu netiešo efektu var radīt projekts u.c. </w:t>
            </w:r>
          </w:p>
          <w:p w14:paraId="43BD90D6" w14:textId="77777777" w:rsidR="00324899" w:rsidRPr="009A5537" w:rsidRDefault="00324899" w:rsidP="00324899">
            <w:pPr>
              <w:shd w:val="clear" w:color="auto" w:fill="FFFFFF"/>
              <w:spacing w:after="0" w:line="240" w:lineRule="auto"/>
              <w:ind w:left="86" w:right="57"/>
              <w:jc w:val="both"/>
              <w:rPr>
                <w:rFonts w:ascii="Times New Roman" w:hAnsi="Times New Roman" w:cs="Times New Roman"/>
                <w:color w:val="000000" w:themeColor="text1"/>
                <w:sz w:val="25"/>
                <w:szCs w:val="25"/>
                <w:lang w:val="lv-LV"/>
              </w:rPr>
            </w:pPr>
          </w:p>
          <w:p w14:paraId="643707E2" w14:textId="36DBFE95" w:rsidR="00883F96" w:rsidRPr="009A5537" w:rsidRDefault="00324899" w:rsidP="007C75FE">
            <w:pPr>
              <w:shd w:val="clear" w:color="auto" w:fill="FFFFFF"/>
              <w:spacing w:after="0" w:line="240" w:lineRule="auto"/>
              <w:ind w:left="86" w:right="57"/>
              <w:jc w:val="both"/>
              <w:rPr>
                <w:rFonts w:ascii="Times New Roman" w:hAnsi="Times New Roman" w:cs="Times New Roman"/>
                <w:color w:val="000000" w:themeColor="text1"/>
                <w:sz w:val="25"/>
                <w:szCs w:val="25"/>
                <w:lang w:val="lv-LV"/>
              </w:rPr>
            </w:pPr>
            <w:r w:rsidRPr="009A5537">
              <w:rPr>
                <w:rFonts w:ascii="Times New Roman" w:hAnsi="Times New Roman" w:cs="Times New Roman"/>
                <w:color w:val="000000" w:themeColor="text1"/>
                <w:sz w:val="25"/>
                <w:szCs w:val="25"/>
                <w:lang w:val="lv-LV"/>
              </w:rPr>
              <w:t>Tika skaidrots, ka projektu iesniegumu atlases organizēšana 2.3.2.2.3.apakšaktivitāte</w:t>
            </w:r>
            <w:r w:rsidR="007C75FE" w:rsidRPr="009A5537">
              <w:rPr>
                <w:rFonts w:ascii="Times New Roman" w:hAnsi="Times New Roman" w:cs="Times New Roman"/>
                <w:color w:val="000000" w:themeColor="text1"/>
                <w:sz w:val="25"/>
                <w:szCs w:val="25"/>
                <w:lang w:val="lv-LV"/>
              </w:rPr>
              <w:t>s</w:t>
            </w:r>
            <w:r w:rsidRPr="009A5537">
              <w:rPr>
                <w:rFonts w:ascii="Times New Roman" w:hAnsi="Times New Roman" w:cs="Times New Roman"/>
                <w:color w:val="000000" w:themeColor="text1"/>
                <w:sz w:val="25"/>
                <w:szCs w:val="25"/>
                <w:lang w:val="lv-LV"/>
              </w:rPr>
              <w:t xml:space="preserve"> ietvaros nav paredzēta, ir plānota jau apstiprinātu projektu pārbaude un pārcelšana uz citu aktivitāti, arī papildu finansējums projektiem, kas tiks pārcelti, netiks piešķirts.</w:t>
            </w:r>
          </w:p>
        </w:tc>
      </w:tr>
      <w:tr w:rsidR="00883F96" w:rsidRPr="004C4FD3" w14:paraId="50DCACE7" w14:textId="77777777" w:rsidTr="00D0283A">
        <w:trPr>
          <w:trHeight w:val="476"/>
          <w:jc w:val="center"/>
        </w:trPr>
        <w:tc>
          <w:tcPr>
            <w:tcW w:w="499" w:type="dxa"/>
            <w:vAlign w:val="center"/>
          </w:tcPr>
          <w:p w14:paraId="75D20544" w14:textId="77777777" w:rsidR="00883F96" w:rsidRPr="009A5537" w:rsidRDefault="00883F96" w:rsidP="00F66F09">
            <w:pPr>
              <w:spacing w:after="0" w:line="240" w:lineRule="auto"/>
              <w:ind w:left="57" w:right="57"/>
              <w:jc w:val="center"/>
              <w:rPr>
                <w:rFonts w:ascii="Times New Roman" w:hAnsi="Times New Roman" w:cs="Times New Roman"/>
                <w:bCs/>
                <w:sz w:val="25"/>
                <w:szCs w:val="25"/>
                <w:lang w:val="lv-LV"/>
              </w:rPr>
            </w:pPr>
            <w:r w:rsidRPr="009A5537">
              <w:rPr>
                <w:rFonts w:ascii="Times New Roman" w:hAnsi="Times New Roman" w:cs="Times New Roman"/>
                <w:bCs/>
                <w:sz w:val="25"/>
                <w:szCs w:val="25"/>
                <w:lang w:val="lv-LV"/>
              </w:rPr>
              <w:t>3.</w:t>
            </w:r>
          </w:p>
        </w:tc>
        <w:tc>
          <w:tcPr>
            <w:tcW w:w="3308" w:type="dxa"/>
            <w:vAlign w:val="center"/>
          </w:tcPr>
          <w:p w14:paraId="152106B4" w14:textId="77777777" w:rsidR="00883F96" w:rsidRPr="009A5537" w:rsidRDefault="00883F96" w:rsidP="00225426">
            <w:pPr>
              <w:spacing w:after="0" w:line="240" w:lineRule="auto"/>
              <w:ind w:left="57" w:right="57"/>
              <w:rPr>
                <w:rFonts w:ascii="Times New Roman" w:hAnsi="Times New Roman" w:cs="Times New Roman"/>
                <w:sz w:val="25"/>
                <w:szCs w:val="25"/>
                <w:lang w:val="lv-LV"/>
              </w:rPr>
            </w:pPr>
            <w:r w:rsidRPr="009A5537">
              <w:rPr>
                <w:rFonts w:ascii="Times New Roman" w:hAnsi="Times New Roman" w:cs="Times New Roman"/>
                <w:sz w:val="25"/>
                <w:szCs w:val="25"/>
                <w:lang w:val="lv-LV"/>
              </w:rPr>
              <w:t>Sabiedrības līdzdalības rezultāti</w:t>
            </w:r>
          </w:p>
        </w:tc>
        <w:tc>
          <w:tcPr>
            <w:tcW w:w="5357" w:type="dxa"/>
            <w:vAlign w:val="center"/>
          </w:tcPr>
          <w:p w14:paraId="2F0AEAC1" w14:textId="30C26C7A" w:rsidR="00883F96" w:rsidRPr="009A5537" w:rsidRDefault="00324899" w:rsidP="007C75FE">
            <w:pPr>
              <w:shd w:val="clear" w:color="auto" w:fill="FFFFFF"/>
              <w:tabs>
                <w:tab w:val="left" w:pos="736"/>
                <w:tab w:val="left" w:pos="878"/>
              </w:tabs>
              <w:spacing w:after="0" w:line="240" w:lineRule="auto"/>
              <w:ind w:left="86" w:right="57"/>
              <w:jc w:val="both"/>
              <w:rPr>
                <w:rFonts w:ascii="Times New Roman" w:hAnsi="Times New Roman" w:cs="Times New Roman"/>
                <w:sz w:val="25"/>
                <w:szCs w:val="25"/>
                <w:lang w:val="lv-LV"/>
              </w:rPr>
            </w:pPr>
            <w:r w:rsidRPr="009A5537">
              <w:rPr>
                <w:rFonts w:ascii="Times New Roman" w:hAnsi="Times New Roman" w:cs="Times New Roman"/>
                <w:color w:val="000000" w:themeColor="text1"/>
                <w:sz w:val="25"/>
                <w:szCs w:val="25"/>
                <w:lang w:val="lv-LV"/>
              </w:rPr>
              <w:t>2.3.2.2.3.apakšaktivitātes projektu iesniegumu atlases kritēriju kopa</w:t>
            </w:r>
            <w:r w:rsidRPr="009A5537">
              <w:rPr>
                <w:rFonts w:ascii="Times New Roman" w:hAnsi="Times New Roman" w:cs="Times New Roman"/>
                <w:sz w:val="25"/>
                <w:szCs w:val="25"/>
                <w:lang w:val="lv-LV"/>
              </w:rPr>
              <w:t xml:space="preserve"> tika apstiprināta š.g.6.novembrī.</w:t>
            </w:r>
          </w:p>
        </w:tc>
      </w:tr>
      <w:tr w:rsidR="00883F96" w:rsidRPr="009A5537" w14:paraId="78B704B1" w14:textId="77777777" w:rsidTr="00D0283A">
        <w:trPr>
          <w:trHeight w:val="476"/>
          <w:jc w:val="center"/>
        </w:trPr>
        <w:tc>
          <w:tcPr>
            <w:tcW w:w="499" w:type="dxa"/>
            <w:vAlign w:val="center"/>
          </w:tcPr>
          <w:p w14:paraId="3CE1FC00" w14:textId="77777777" w:rsidR="00883F96" w:rsidRPr="009A5537" w:rsidRDefault="00883F96" w:rsidP="00F66F09">
            <w:pPr>
              <w:spacing w:after="0" w:line="240" w:lineRule="auto"/>
              <w:ind w:left="57" w:right="57"/>
              <w:jc w:val="center"/>
              <w:rPr>
                <w:rFonts w:ascii="Times New Roman" w:hAnsi="Times New Roman" w:cs="Times New Roman"/>
                <w:bCs/>
                <w:sz w:val="25"/>
                <w:szCs w:val="25"/>
                <w:lang w:val="lv-LV"/>
              </w:rPr>
            </w:pPr>
            <w:r w:rsidRPr="009A5537">
              <w:rPr>
                <w:rFonts w:ascii="Times New Roman" w:hAnsi="Times New Roman" w:cs="Times New Roman"/>
                <w:bCs/>
                <w:sz w:val="25"/>
                <w:szCs w:val="25"/>
                <w:lang w:val="lv-LV"/>
              </w:rPr>
              <w:t>4.</w:t>
            </w:r>
          </w:p>
        </w:tc>
        <w:tc>
          <w:tcPr>
            <w:tcW w:w="3308" w:type="dxa"/>
            <w:vAlign w:val="center"/>
          </w:tcPr>
          <w:p w14:paraId="448D5CEC" w14:textId="77777777" w:rsidR="00883F96" w:rsidRPr="009A5537" w:rsidRDefault="00883F96" w:rsidP="00225426">
            <w:pPr>
              <w:spacing w:after="0" w:line="240" w:lineRule="auto"/>
              <w:ind w:left="57" w:right="57"/>
              <w:rPr>
                <w:rFonts w:ascii="Times New Roman" w:hAnsi="Times New Roman" w:cs="Times New Roman"/>
                <w:sz w:val="25"/>
                <w:szCs w:val="25"/>
                <w:lang w:val="lv-LV"/>
              </w:rPr>
            </w:pPr>
            <w:r w:rsidRPr="009A5537">
              <w:rPr>
                <w:rFonts w:ascii="Times New Roman" w:hAnsi="Times New Roman" w:cs="Times New Roman"/>
                <w:sz w:val="25"/>
                <w:szCs w:val="25"/>
                <w:lang w:val="lv-LV"/>
              </w:rPr>
              <w:t>Cita informācija</w:t>
            </w:r>
          </w:p>
        </w:tc>
        <w:tc>
          <w:tcPr>
            <w:tcW w:w="5357" w:type="dxa"/>
            <w:vAlign w:val="center"/>
          </w:tcPr>
          <w:p w14:paraId="7E32AA2A" w14:textId="77777777" w:rsidR="00883F96" w:rsidRPr="009A5537" w:rsidRDefault="00883F96" w:rsidP="00225426">
            <w:pPr>
              <w:spacing w:after="0" w:line="240" w:lineRule="auto"/>
              <w:ind w:left="57" w:right="57"/>
              <w:jc w:val="both"/>
              <w:rPr>
                <w:rFonts w:ascii="Times New Roman" w:hAnsi="Times New Roman" w:cs="Times New Roman"/>
                <w:sz w:val="25"/>
                <w:szCs w:val="25"/>
                <w:lang w:val="lv-LV"/>
              </w:rPr>
            </w:pPr>
            <w:r w:rsidRPr="009A5537">
              <w:rPr>
                <w:rFonts w:ascii="Times New Roman" w:hAnsi="Times New Roman" w:cs="Times New Roman"/>
                <w:sz w:val="25"/>
                <w:szCs w:val="25"/>
                <w:lang w:val="lv-LV"/>
              </w:rPr>
              <w:t>Nav.</w:t>
            </w:r>
          </w:p>
        </w:tc>
      </w:tr>
    </w:tbl>
    <w:p w14:paraId="2F35BAD6" w14:textId="77777777" w:rsidR="00883F96" w:rsidRPr="009A5537" w:rsidRDefault="00883F96" w:rsidP="00D40CFC">
      <w:pPr>
        <w:tabs>
          <w:tab w:val="left" w:pos="7655"/>
        </w:tabs>
        <w:spacing w:after="0" w:line="240" w:lineRule="auto"/>
        <w:jc w:val="both"/>
        <w:rPr>
          <w:rFonts w:ascii="Times New Roman" w:hAnsi="Times New Roman"/>
          <w:b/>
          <w:sz w:val="25"/>
          <w:szCs w:val="25"/>
          <w:lang w:val="lv-LV"/>
        </w:rPr>
      </w:pPr>
    </w:p>
    <w:p w14:paraId="1DEC8ED7" w14:textId="77777777" w:rsidR="00830152" w:rsidRPr="009A5537" w:rsidRDefault="00830152" w:rsidP="00D40CFC">
      <w:pPr>
        <w:tabs>
          <w:tab w:val="left" w:pos="7655"/>
        </w:tabs>
        <w:spacing w:after="0" w:line="240" w:lineRule="auto"/>
        <w:jc w:val="both"/>
        <w:rPr>
          <w:rFonts w:ascii="Times New Roman" w:hAnsi="Times New Roman"/>
          <w:sz w:val="25"/>
          <w:szCs w:val="25"/>
          <w:lang w:val="lv-LV"/>
        </w:rPr>
      </w:pPr>
    </w:p>
    <w:tbl>
      <w:tblPr>
        <w:tblW w:w="92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46"/>
        <w:gridCol w:w="2977"/>
        <w:gridCol w:w="5391"/>
      </w:tblGrid>
      <w:tr w:rsidR="009A31FD" w:rsidRPr="004C4FD3" w14:paraId="3DC7E1B2" w14:textId="77777777" w:rsidTr="00F66F09">
        <w:trPr>
          <w:trHeight w:val="381"/>
        </w:trPr>
        <w:tc>
          <w:tcPr>
            <w:tcW w:w="9214" w:type="dxa"/>
            <w:gridSpan w:val="3"/>
            <w:vAlign w:val="center"/>
          </w:tcPr>
          <w:p w14:paraId="173094C4" w14:textId="77777777" w:rsidR="001E6FAC" w:rsidRPr="009A5537" w:rsidRDefault="001E6FAC" w:rsidP="00225426">
            <w:pPr>
              <w:pStyle w:val="naisnod"/>
              <w:spacing w:before="0" w:beforeAutospacing="0" w:after="0" w:afterAutospacing="0"/>
              <w:ind w:left="57" w:right="57"/>
              <w:jc w:val="center"/>
              <w:rPr>
                <w:sz w:val="25"/>
                <w:szCs w:val="25"/>
                <w:lang w:val="lv-LV"/>
              </w:rPr>
            </w:pPr>
            <w:r w:rsidRPr="009A5537">
              <w:rPr>
                <w:b/>
                <w:sz w:val="25"/>
                <w:szCs w:val="25"/>
                <w:lang w:val="lv-LV"/>
              </w:rPr>
              <w:t>VII. Tiesību akta projekta izpildes nodrošināšana un tās ietekme uz institūcijām</w:t>
            </w:r>
          </w:p>
        </w:tc>
      </w:tr>
      <w:tr w:rsidR="009A31FD" w:rsidRPr="004C4FD3" w14:paraId="42F63FFF" w14:textId="77777777" w:rsidTr="00F66F09">
        <w:trPr>
          <w:trHeight w:val="427"/>
        </w:trPr>
        <w:tc>
          <w:tcPr>
            <w:tcW w:w="846" w:type="dxa"/>
            <w:vAlign w:val="center"/>
          </w:tcPr>
          <w:p w14:paraId="382A2FDF" w14:textId="77777777" w:rsidR="001E6FAC" w:rsidRPr="009A5537" w:rsidRDefault="001E6FAC" w:rsidP="00F66F09">
            <w:pPr>
              <w:pStyle w:val="naisnod"/>
              <w:spacing w:before="0" w:beforeAutospacing="0" w:after="0" w:afterAutospacing="0"/>
              <w:ind w:left="57" w:right="57"/>
              <w:jc w:val="center"/>
              <w:rPr>
                <w:sz w:val="25"/>
                <w:szCs w:val="25"/>
                <w:lang w:val="lv-LV"/>
              </w:rPr>
            </w:pPr>
            <w:r w:rsidRPr="009A5537">
              <w:rPr>
                <w:sz w:val="25"/>
                <w:szCs w:val="25"/>
                <w:lang w:val="lv-LV"/>
              </w:rPr>
              <w:t>1.</w:t>
            </w:r>
          </w:p>
        </w:tc>
        <w:tc>
          <w:tcPr>
            <w:tcW w:w="2977" w:type="dxa"/>
            <w:vAlign w:val="center"/>
          </w:tcPr>
          <w:p w14:paraId="457B5F6B" w14:textId="77777777" w:rsidR="001E6FAC" w:rsidRPr="009A5537" w:rsidRDefault="001E6FAC" w:rsidP="00883F96">
            <w:pPr>
              <w:pStyle w:val="naisf"/>
              <w:spacing w:before="0" w:beforeAutospacing="0" w:after="0" w:afterAutospacing="0"/>
              <w:ind w:left="57" w:right="57"/>
              <w:rPr>
                <w:sz w:val="25"/>
                <w:szCs w:val="25"/>
                <w:lang w:val="lv-LV"/>
              </w:rPr>
            </w:pPr>
            <w:r w:rsidRPr="009A5537">
              <w:rPr>
                <w:sz w:val="25"/>
                <w:szCs w:val="25"/>
                <w:lang w:val="lv-LV"/>
              </w:rPr>
              <w:t>Projekta izpildē iesaistītās institūcijas</w:t>
            </w:r>
          </w:p>
        </w:tc>
        <w:tc>
          <w:tcPr>
            <w:tcW w:w="5391" w:type="dxa"/>
            <w:vAlign w:val="center"/>
          </w:tcPr>
          <w:p w14:paraId="29086ACF" w14:textId="1C1CE46E" w:rsidR="001E6FAC" w:rsidRPr="009A5537" w:rsidRDefault="00186E20" w:rsidP="00FD0312">
            <w:pPr>
              <w:shd w:val="clear" w:color="auto" w:fill="FFFFFF"/>
              <w:spacing w:after="0" w:line="240" w:lineRule="auto"/>
              <w:jc w:val="both"/>
              <w:rPr>
                <w:rFonts w:ascii="Times New Roman" w:hAnsi="Times New Roman"/>
                <w:sz w:val="25"/>
                <w:szCs w:val="25"/>
                <w:lang w:val="lv-LV"/>
              </w:rPr>
            </w:pPr>
            <w:bookmarkStart w:id="3" w:name="p66"/>
            <w:bookmarkStart w:id="4" w:name="p67"/>
            <w:bookmarkStart w:id="5" w:name="p68"/>
            <w:bookmarkStart w:id="6" w:name="p69"/>
            <w:bookmarkEnd w:id="3"/>
            <w:bookmarkEnd w:id="4"/>
            <w:bookmarkEnd w:id="5"/>
            <w:bookmarkEnd w:id="6"/>
            <w:r w:rsidRPr="009A5537">
              <w:rPr>
                <w:rFonts w:ascii="Times New Roman" w:hAnsi="Times New Roman"/>
                <w:sz w:val="25"/>
                <w:szCs w:val="25"/>
                <w:lang w:val="lv-LV"/>
              </w:rPr>
              <w:t xml:space="preserve">MK noteikumu </w:t>
            </w:r>
            <w:r w:rsidR="00F168CB" w:rsidRPr="009A5537">
              <w:rPr>
                <w:rFonts w:ascii="Times New Roman" w:hAnsi="Times New Roman"/>
                <w:sz w:val="25"/>
                <w:szCs w:val="25"/>
                <w:lang w:val="lv-LV"/>
              </w:rPr>
              <w:t xml:space="preserve">projekta izpildē ir iesaistīta </w:t>
            </w:r>
            <w:r w:rsidR="0057647D" w:rsidRPr="009A5537">
              <w:rPr>
                <w:rFonts w:ascii="Times New Roman" w:hAnsi="Times New Roman"/>
                <w:sz w:val="25"/>
                <w:szCs w:val="25"/>
                <w:lang w:val="lv-LV"/>
              </w:rPr>
              <w:t>FM</w:t>
            </w:r>
            <w:r w:rsidR="001E6FAC" w:rsidRPr="009A5537">
              <w:rPr>
                <w:rFonts w:ascii="Times New Roman" w:hAnsi="Times New Roman"/>
                <w:sz w:val="25"/>
                <w:szCs w:val="25"/>
                <w:lang w:val="lv-LV"/>
              </w:rPr>
              <w:t xml:space="preserve"> kā vadošā iestāde</w:t>
            </w:r>
            <w:r w:rsidR="00253836" w:rsidRPr="009A5537">
              <w:rPr>
                <w:rFonts w:ascii="Times New Roman" w:hAnsi="Times New Roman"/>
                <w:sz w:val="25"/>
                <w:szCs w:val="25"/>
                <w:lang w:val="lv-LV"/>
              </w:rPr>
              <w:t xml:space="preserve">, </w:t>
            </w:r>
            <w:r w:rsidR="00FD0312" w:rsidRPr="009A5537">
              <w:rPr>
                <w:rFonts w:ascii="Times New Roman" w:hAnsi="Times New Roman"/>
                <w:sz w:val="25"/>
                <w:szCs w:val="25"/>
                <w:lang w:val="lv-LV"/>
              </w:rPr>
              <w:t>EM</w:t>
            </w:r>
            <w:r w:rsidR="00253836" w:rsidRPr="009A5537">
              <w:rPr>
                <w:rFonts w:ascii="Times New Roman" w:hAnsi="Times New Roman"/>
                <w:sz w:val="25"/>
                <w:szCs w:val="25"/>
                <w:lang w:val="lv-LV"/>
              </w:rPr>
              <w:t xml:space="preserve">, </w:t>
            </w:r>
            <w:r w:rsidR="001E6FAC" w:rsidRPr="009A5537">
              <w:rPr>
                <w:rFonts w:ascii="Times New Roman" w:hAnsi="Times New Roman"/>
                <w:sz w:val="25"/>
                <w:szCs w:val="25"/>
                <w:lang w:val="lv-LV"/>
              </w:rPr>
              <w:t>Vides aizsardzības un re</w:t>
            </w:r>
            <w:r w:rsidR="00FB1513" w:rsidRPr="009A5537">
              <w:rPr>
                <w:rFonts w:ascii="Times New Roman" w:hAnsi="Times New Roman"/>
                <w:sz w:val="25"/>
                <w:szCs w:val="25"/>
                <w:lang w:val="lv-LV"/>
              </w:rPr>
              <w:t>ģionālās attīstības ministrija</w:t>
            </w:r>
            <w:r w:rsidR="00600201" w:rsidRPr="009A5537">
              <w:rPr>
                <w:rFonts w:ascii="Times New Roman" w:hAnsi="Times New Roman"/>
                <w:sz w:val="25"/>
                <w:szCs w:val="25"/>
                <w:lang w:val="lv-LV"/>
              </w:rPr>
              <w:t xml:space="preserve">, </w:t>
            </w:r>
            <w:r w:rsidR="00FB1513" w:rsidRPr="009A5537">
              <w:rPr>
                <w:rFonts w:ascii="Times New Roman" w:hAnsi="Times New Roman"/>
                <w:color w:val="000000"/>
                <w:sz w:val="25"/>
                <w:szCs w:val="25"/>
                <w:lang w:val="lv-LV"/>
              </w:rPr>
              <w:t>Valsts reģionālās attīstības aģentūra</w:t>
            </w:r>
            <w:r w:rsidR="00600201" w:rsidRPr="009A5537">
              <w:rPr>
                <w:rFonts w:ascii="Times New Roman" w:hAnsi="Times New Roman"/>
                <w:color w:val="000000"/>
                <w:sz w:val="25"/>
                <w:szCs w:val="25"/>
                <w:lang w:val="lv-LV"/>
              </w:rPr>
              <w:t xml:space="preserve"> un Valsts kase.</w:t>
            </w:r>
          </w:p>
        </w:tc>
      </w:tr>
      <w:tr w:rsidR="00F168CB" w:rsidRPr="009A5537" w14:paraId="541A8354" w14:textId="77777777" w:rsidTr="00F66F09">
        <w:trPr>
          <w:trHeight w:val="427"/>
        </w:trPr>
        <w:tc>
          <w:tcPr>
            <w:tcW w:w="846" w:type="dxa"/>
            <w:vAlign w:val="center"/>
          </w:tcPr>
          <w:p w14:paraId="1C57B193" w14:textId="7568D34B" w:rsidR="00F168CB" w:rsidRPr="009A5537" w:rsidRDefault="00F168CB" w:rsidP="00F66F09">
            <w:pPr>
              <w:pStyle w:val="naisnod"/>
              <w:spacing w:before="0" w:beforeAutospacing="0" w:after="0" w:afterAutospacing="0"/>
              <w:ind w:left="57" w:right="57"/>
              <w:jc w:val="center"/>
              <w:rPr>
                <w:sz w:val="25"/>
                <w:szCs w:val="25"/>
                <w:lang w:val="lv-LV"/>
              </w:rPr>
            </w:pPr>
            <w:r w:rsidRPr="009A5537">
              <w:rPr>
                <w:sz w:val="25"/>
                <w:szCs w:val="25"/>
                <w:lang w:val="lv-LV"/>
              </w:rPr>
              <w:t>2.</w:t>
            </w:r>
          </w:p>
        </w:tc>
        <w:tc>
          <w:tcPr>
            <w:tcW w:w="2977" w:type="dxa"/>
            <w:vAlign w:val="center"/>
          </w:tcPr>
          <w:p w14:paraId="54E88160" w14:textId="77777777" w:rsidR="00F168CB" w:rsidRPr="009A5537" w:rsidRDefault="00F168CB" w:rsidP="00883F96">
            <w:pPr>
              <w:pStyle w:val="naisf"/>
              <w:spacing w:before="0" w:beforeAutospacing="0" w:after="0" w:afterAutospacing="0"/>
              <w:ind w:left="57" w:right="57"/>
              <w:rPr>
                <w:sz w:val="25"/>
                <w:szCs w:val="25"/>
                <w:lang w:val="lv-LV"/>
              </w:rPr>
            </w:pPr>
            <w:r w:rsidRPr="009A5537">
              <w:rPr>
                <w:sz w:val="25"/>
                <w:szCs w:val="25"/>
                <w:lang w:val="lv-LV"/>
              </w:rPr>
              <w:t>Projekta izpildes ietekme uz pārvaldes funkcijām un institucionālo struktūru.</w:t>
            </w:r>
          </w:p>
          <w:p w14:paraId="6B4424CC" w14:textId="76B8209B" w:rsidR="00F168CB" w:rsidRPr="009A5537" w:rsidRDefault="00F168CB" w:rsidP="00883F96">
            <w:pPr>
              <w:pStyle w:val="naisf"/>
              <w:spacing w:before="0" w:beforeAutospacing="0" w:after="0" w:afterAutospacing="0"/>
              <w:ind w:left="57" w:right="57"/>
              <w:rPr>
                <w:sz w:val="25"/>
                <w:szCs w:val="25"/>
                <w:lang w:val="lv-LV"/>
              </w:rPr>
            </w:pPr>
            <w:r w:rsidRPr="009A5537">
              <w:rPr>
                <w:sz w:val="25"/>
                <w:szCs w:val="25"/>
                <w:lang w:val="lv-LV"/>
              </w:rPr>
              <w:t>Jaunu institūciju izveide, esošu institūciju likvidācija vai reorganizācija, to ietekme uz institūcijas cilvēkresursiem</w:t>
            </w:r>
          </w:p>
        </w:tc>
        <w:tc>
          <w:tcPr>
            <w:tcW w:w="5391" w:type="dxa"/>
            <w:vAlign w:val="center"/>
          </w:tcPr>
          <w:p w14:paraId="3044A27E" w14:textId="7BB7273C" w:rsidR="00F168CB" w:rsidRPr="009A5537" w:rsidRDefault="00F168CB" w:rsidP="00F66F09">
            <w:pPr>
              <w:shd w:val="clear" w:color="auto" w:fill="FFFFFF"/>
              <w:spacing w:after="0" w:line="240" w:lineRule="auto"/>
              <w:rPr>
                <w:rFonts w:ascii="Times New Roman" w:hAnsi="Times New Roman"/>
                <w:sz w:val="25"/>
                <w:szCs w:val="25"/>
                <w:lang w:val="lv-LV"/>
              </w:rPr>
            </w:pPr>
            <w:r w:rsidRPr="009A5537">
              <w:rPr>
                <w:rFonts w:ascii="Times New Roman" w:hAnsi="Times New Roman"/>
                <w:sz w:val="25"/>
                <w:szCs w:val="25"/>
                <w:lang w:val="lv-LV"/>
              </w:rPr>
              <w:t>Nav</w:t>
            </w:r>
            <w:r w:rsidR="00883F96" w:rsidRPr="009A5537">
              <w:rPr>
                <w:rFonts w:ascii="Times New Roman" w:hAnsi="Times New Roman"/>
                <w:sz w:val="25"/>
                <w:szCs w:val="25"/>
                <w:lang w:val="lv-LV"/>
              </w:rPr>
              <w:t>.</w:t>
            </w:r>
          </w:p>
        </w:tc>
      </w:tr>
      <w:tr w:rsidR="00F168CB" w:rsidRPr="009A5537" w14:paraId="40C92145" w14:textId="77777777" w:rsidTr="00F66F09">
        <w:trPr>
          <w:trHeight w:val="427"/>
        </w:trPr>
        <w:tc>
          <w:tcPr>
            <w:tcW w:w="846" w:type="dxa"/>
            <w:vAlign w:val="center"/>
          </w:tcPr>
          <w:p w14:paraId="3ACB131E" w14:textId="517ED7EF" w:rsidR="00F168CB" w:rsidRPr="009A5537" w:rsidRDefault="00F168CB" w:rsidP="00F66F09">
            <w:pPr>
              <w:pStyle w:val="naisnod"/>
              <w:spacing w:before="0" w:beforeAutospacing="0" w:after="0" w:afterAutospacing="0"/>
              <w:ind w:left="57" w:right="57"/>
              <w:jc w:val="center"/>
              <w:rPr>
                <w:sz w:val="25"/>
                <w:szCs w:val="25"/>
                <w:lang w:val="lv-LV"/>
              </w:rPr>
            </w:pPr>
            <w:r w:rsidRPr="009A5537">
              <w:rPr>
                <w:sz w:val="25"/>
                <w:szCs w:val="25"/>
                <w:lang w:val="lv-LV"/>
              </w:rPr>
              <w:lastRenderedPageBreak/>
              <w:t>3.</w:t>
            </w:r>
          </w:p>
        </w:tc>
        <w:tc>
          <w:tcPr>
            <w:tcW w:w="2977" w:type="dxa"/>
            <w:vAlign w:val="center"/>
          </w:tcPr>
          <w:p w14:paraId="1BA93FBD" w14:textId="182237FD" w:rsidR="00F168CB" w:rsidRPr="009A5537" w:rsidRDefault="00F168CB" w:rsidP="00883F96">
            <w:pPr>
              <w:pStyle w:val="naisf"/>
              <w:spacing w:before="0" w:beforeAutospacing="0" w:after="0" w:afterAutospacing="0"/>
              <w:ind w:left="57" w:right="57"/>
              <w:rPr>
                <w:sz w:val="25"/>
                <w:szCs w:val="25"/>
                <w:lang w:val="lv-LV"/>
              </w:rPr>
            </w:pPr>
            <w:r w:rsidRPr="009A5537">
              <w:rPr>
                <w:sz w:val="25"/>
                <w:szCs w:val="25"/>
                <w:lang w:val="lv-LV"/>
              </w:rPr>
              <w:t>Cita informācija</w:t>
            </w:r>
          </w:p>
        </w:tc>
        <w:tc>
          <w:tcPr>
            <w:tcW w:w="5391" w:type="dxa"/>
            <w:vAlign w:val="center"/>
          </w:tcPr>
          <w:p w14:paraId="46FF0755" w14:textId="3C692A59" w:rsidR="00F168CB" w:rsidRPr="009A5537" w:rsidRDefault="00F168CB" w:rsidP="00F66F09">
            <w:pPr>
              <w:shd w:val="clear" w:color="auto" w:fill="FFFFFF"/>
              <w:spacing w:after="0" w:line="240" w:lineRule="auto"/>
              <w:rPr>
                <w:rFonts w:ascii="Times New Roman" w:hAnsi="Times New Roman"/>
                <w:sz w:val="25"/>
                <w:szCs w:val="25"/>
                <w:lang w:val="lv-LV"/>
              </w:rPr>
            </w:pPr>
            <w:r w:rsidRPr="009A5537">
              <w:rPr>
                <w:rFonts w:ascii="Times New Roman" w:hAnsi="Times New Roman"/>
                <w:sz w:val="25"/>
                <w:szCs w:val="25"/>
                <w:lang w:val="lv-LV"/>
              </w:rPr>
              <w:t>Nav</w:t>
            </w:r>
            <w:r w:rsidR="00883F96" w:rsidRPr="009A5537">
              <w:rPr>
                <w:rFonts w:ascii="Times New Roman" w:hAnsi="Times New Roman"/>
                <w:sz w:val="25"/>
                <w:szCs w:val="25"/>
                <w:lang w:val="lv-LV"/>
              </w:rPr>
              <w:t>.</w:t>
            </w:r>
          </w:p>
        </w:tc>
      </w:tr>
    </w:tbl>
    <w:p w14:paraId="5BDCCFCE" w14:textId="77777777" w:rsidR="004C4FD3" w:rsidRDefault="004C4FD3" w:rsidP="00D2270B">
      <w:pPr>
        <w:tabs>
          <w:tab w:val="left" w:pos="720"/>
        </w:tabs>
        <w:autoSpaceDE w:val="0"/>
        <w:autoSpaceDN w:val="0"/>
        <w:adjustRightInd w:val="0"/>
        <w:spacing w:before="360" w:after="480" w:line="240" w:lineRule="auto"/>
        <w:ind w:left="-142"/>
        <w:rPr>
          <w:rFonts w:ascii="Times New Roman" w:hAnsi="Times New Roman"/>
          <w:sz w:val="25"/>
          <w:szCs w:val="25"/>
          <w:lang w:val="lv-LV"/>
        </w:rPr>
      </w:pPr>
    </w:p>
    <w:p w14:paraId="7014B5F1" w14:textId="77777777" w:rsidR="009D0A29" w:rsidRPr="009A5537" w:rsidRDefault="009D0A29" w:rsidP="00D2270B">
      <w:pPr>
        <w:tabs>
          <w:tab w:val="left" w:pos="720"/>
        </w:tabs>
        <w:autoSpaceDE w:val="0"/>
        <w:autoSpaceDN w:val="0"/>
        <w:adjustRightInd w:val="0"/>
        <w:spacing w:before="360" w:after="480" w:line="240" w:lineRule="auto"/>
        <w:ind w:left="-142"/>
        <w:rPr>
          <w:rFonts w:ascii="Times New Roman" w:hAnsi="Times New Roman"/>
          <w:sz w:val="25"/>
          <w:szCs w:val="25"/>
          <w:lang w:val="lv-LV"/>
        </w:rPr>
      </w:pPr>
      <w:r w:rsidRPr="009A5537">
        <w:rPr>
          <w:rFonts w:ascii="Times New Roman" w:hAnsi="Times New Roman"/>
          <w:sz w:val="25"/>
          <w:szCs w:val="25"/>
          <w:lang w:val="lv-LV"/>
        </w:rPr>
        <w:t>Iesniedzējs:</w:t>
      </w:r>
    </w:p>
    <w:p w14:paraId="6594C760" w14:textId="0AC9A3DE" w:rsidR="00BA3659" w:rsidRPr="009A5537" w:rsidRDefault="003C46E4" w:rsidP="001B46EC">
      <w:pPr>
        <w:tabs>
          <w:tab w:val="left" w:pos="8364"/>
        </w:tabs>
        <w:spacing w:after="0" w:line="240" w:lineRule="auto"/>
        <w:ind w:left="-142"/>
        <w:jc w:val="both"/>
        <w:rPr>
          <w:rFonts w:ascii="Times New Roman" w:hAnsi="Times New Roman"/>
          <w:sz w:val="25"/>
          <w:szCs w:val="25"/>
          <w:lang w:val="lv-LV"/>
        </w:rPr>
      </w:pPr>
      <w:r w:rsidRPr="009A5537">
        <w:rPr>
          <w:rFonts w:ascii="Times New Roman" w:hAnsi="Times New Roman"/>
          <w:sz w:val="25"/>
          <w:szCs w:val="25"/>
          <w:lang w:val="lv-LV"/>
        </w:rPr>
        <w:t>Finanšu</w:t>
      </w:r>
      <w:r w:rsidR="00BA3659" w:rsidRPr="009A5537">
        <w:rPr>
          <w:rFonts w:ascii="Times New Roman" w:hAnsi="Times New Roman"/>
          <w:sz w:val="25"/>
          <w:szCs w:val="25"/>
          <w:lang w:val="lv-LV"/>
        </w:rPr>
        <w:t xml:space="preserve"> ministr</w:t>
      </w:r>
      <w:r w:rsidR="001B46EC" w:rsidRPr="009A5537">
        <w:rPr>
          <w:rFonts w:ascii="Times New Roman" w:hAnsi="Times New Roman"/>
          <w:sz w:val="25"/>
          <w:szCs w:val="25"/>
          <w:lang w:val="lv-LV"/>
        </w:rPr>
        <w:t xml:space="preserve">s </w:t>
      </w:r>
      <w:r w:rsidR="001B46EC" w:rsidRPr="009A5537">
        <w:rPr>
          <w:rFonts w:ascii="Times New Roman" w:hAnsi="Times New Roman"/>
          <w:sz w:val="25"/>
          <w:szCs w:val="25"/>
          <w:lang w:val="lv-LV"/>
        </w:rPr>
        <w:tab/>
      </w:r>
      <w:proofErr w:type="spellStart"/>
      <w:r w:rsidR="001B46EC" w:rsidRPr="009A5537">
        <w:rPr>
          <w:rFonts w:ascii="Times New Roman" w:hAnsi="Times New Roman"/>
          <w:sz w:val="25"/>
          <w:szCs w:val="25"/>
          <w:lang w:val="lv-LV"/>
        </w:rPr>
        <w:t>J.Reirs</w:t>
      </w:r>
      <w:proofErr w:type="spellEnd"/>
    </w:p>
    <w:p w14:paraId="17B18C36" w14:textId="77777777" w:rsidR="00BA3659" w:rsidRPr="009A5537" w:rsidRDefault="00BA3659" w:rsidP="00BA3659">
      <w:pPr>
        <w:spacing w:after="0" w:line="240" w:lineRule="auto"/>
        <w:jc w:val="both"/>
        <w:rPr>
          <w:rFonts w:ascii="Times New Roman" w:hAnsi="Times New Roman"/>
          <w:color w:val="000000"/>
          <w:sz w:val="25"/>
          <w:szCs w:val="25"/>
          <w:lang w:val="lv-LV"/>
        </w:rPr>
      </w:pPr>
    </w:p>
    <w:p w14:paraId="1EFC0B8A" w14:textId="1D0456E0" w:rsidR="004C05A8" w:rsidRPr="009A5537" w:rsidRDefault="004C05A8" w:rsidP="00BA3659">
      <w:pPr>
        <w:spacing w:after="0" w:line="240" w:lineRule="auto"/>
        <w:jc w:val="both"/>
        <w:rPr>
          <w:rFonts w:ascii="Times New Roman" w:hAnsi="Times New Roman"/>
          <w:color w:val="000000"/>
          <w:sz w:val="25"/>
          <w:szCs w:val="25"/>
          <w:lang w:val="lv-LV"/>
        </w:rPr>
      </w:pPr>
    </w:p>
    <w:p w14:paraId="115CC165" w14:textId="77777777" w:rsidR="00BA3659" w:rsidRDefault="00BA3659">
      <w:pPr>
        <w:spacing w:after="0" w:line="240" w:lineRule="auto"/>
        <w:jc w:val="both"/>
        <w:rPr>
          <w:rFonts w:ascii="Times New Roman" w:hAnsi="Times New Roman"/>
          <w:color w:val="000000"/>
          <w:sz w:val="25"/>
          <w:szCs w:val="25"/>
          <w:lang w:val="lv-LV"/>
        </w:rPr>
      </w:pPr>
    </w:p>
    <w:p w14:paraId="411CF09F" w14:textId="77777777" w:rsidR="004C4FD3" w:rsidRPr="009A5537" w:rsidRDefault="004C4FD3">
      <w:pPr>
        <w:spacing w:after="0" w:line="240" w:lineRule="auto"/>
        <w:jc w:val="both"/>
        <w:rPr>
          <w:rFonts w:ascii="Times New Roman" w:hAnsi="Times New Roman"/>
          <w:color w:val="000000"/>
          <w:sz w:val="25"/>
          <w:szCs w:val="25"/>
          <w:lang w:val="lv-LV"/>
        </w:rPr>
      </w:pPr>
    </w:p>
    <w:p w14:paraId="0A416992" w14:textId="77777777" w:rsidR="00EE3C39" w:rsidRPr="009A5537" w:rsidRDefault="00EE3C39">
      <w:pPr>
        <w:spacing w:after="0" w:line="240" w:lineRule="auto"/>
        <w:jc w:val="both"/>
        <w:rPr>
          <w:rFonts w:ascii="Times New Roman" w:hAnsi="Times New Roman"/>
          <w:color w:val="000000"/>
          <w:sz w:val="25"/>
          <w:szCs w:val="25"/>
          <w:lang w:val="lv-LV"/>
        </w:rPr>
      </w:pPr>
    </w:p>
    <w:p w14:paraId="3463A657" w14:textId="703ED71A" w:rsidR="004E7BC4" w:rsidRPr="009A5537" w:rsidRDefault="00BA3659" w:rsidP="00C675B7">
      <w:pPr>
        <w:tabs>
          <w:tab w:val="right" w:pos="9071"/>
        </w:tabs>
        <w:spacing w:after="0" w:line="240" w:lineRule="auto"/>
        <w:ind w:left="-142"/>
        <w:jc w:val="both"/>
        <w:rPr>
          <w:rFonts w:ascii="Times New Roman" w:hAnsi="Times New Roman"/>
          <w:sz w:val="25"/>
          <w:szCs w:val="25"/>
          <w:lang w:val="lv-LV"/>
        </w:rPr>
      </w:pPr>
      <w:r w:rsidRPr="009A5537">
        <w:rPr>
          <w:rFonts w:ascii="Times New Roman" w:hAnsi="Times New Roman"/>
          <w:color w:val="000000"/>
          <w:sz w:val="25"/>
          <w:szCs w:val="25"/>
          <w:lang w:val="lv-LV"/>
        </w:rPr>
        <w:t>Vīza: Valsts sekretār</w:t>
      </w:r>
      <w:r w:rsidR="003C46E4" w:rsidRPr="009A5537">
        <w:rPr>
          <w:rFonts w:ascii="Times New Roman" w:hAnsi="Times New Roman"/>
          <w:color w:val="000000"/>
          <w:sz w:val="25"/>
          <w:szCs w:val="25"/>
          <w:lang w:val="lv-LV"/>
        </w:rPr>
        <w:t>e</w:t>
      </w:r>
      <w:r w:rsidR="00C675B7" w:rsidRPr="009A5537">
        <w:rPr>
          <w:rFonts w:ascii="Times New Roman" w:hAnsi="Times New Roman"/>
          <w:color w:val="000000"/>
          <w:sz w:val="25"/>
          <w:szCs w:val="25"/>
          <w:lang w:val="lv-LV"/>
        </w:rPr>
        <w:tab/>
      </w:r>
      <w:proofErr w:type="spellStart"/>
      <w:r w:rsidR="003C46E4" w:rsidRPr="009A5537">
        <w:rPr>
          <w:rFonts w:ascii="Times New Roman" w:hAnsi="Times New Roman"/>
          <w:color w:val="000000"/>
          <w:sz w:val="25"/>
          <w:szCs w:val="25"/>
          <w:lang w:val="lv-LV"/>
        </w:rPr>
        <w:t>B</w:t>
      </w:r>
      <w:r w:rsidR="006D60D3" w:rsidRPr="009A5537">
        <w:rPr>
          <w:rFonts w:ascii="Times New Roman" w:hAnsi="Times New Roman"/>
          <w:color w:val="000000"/>
          <w:sz w:val="25"/>
          <w:szCs w:val="25"/>
          <w:lang w:val="lv-LV"/>
        </w:rPr>
        <w:t>.</w:t>
      </w:r>
      <w:r w:rsidR="003C46E4" w:rsidRPr="009A5537">
        <w:rPr>
          <w:rFonts w:ascii="Times New Roman" w:hAnsi="Times New Roman"/>
          <w:color w:val="000000"/>
          <w:sz w:val="25"/>
          <w:szCs w:val="25"/>
          <w:lang w:val="lv-LV"/>
        </w:rPr>
        <w:t>Bāne</w:t>
      </w:r>
      <w:proofErr w:type="spellEnd"/>
    </w:p>
    <w:p w14:paraId="6DF1363D" w14:textId="77777777" w:rsidR="004E7BC4" w:rsidRPr="009A5537" w:rsidRDefault="004E7BC4" w:rsidP="0091090E">
      <w:pPr>
        <w:tabs>
          <w:tab w:val="left" w:pos="8080"/>
        </w:tabs>
        <w:spacing w:after="0" w:line="240" w:lineRule="auto"/>
        <w:jc w:val="both"/>
        <w:rPr>
          <w:rFonts w:ascii="Times New Roman" w:hAnsi="Times New Roman"/>
          <w:color w:val="000000"/>
          <w:sz w:val="25"/>
          <w:szCs w:val="25"/>
          <w:lang w:val="lv-LV"/>
        </w:rPr>
      </w:pPr>
    </w:p>
    <w:p w14:paraId="24EBD812" w14:textId="77777777" w:rsidR="004C05A8" w:rsidRPr="009A5537" w:rsidRDefault="004C05A8" w:rsidP="004E7BC4">
      <w:pPr>
        <w:tabs>
          <w:tab w:val="left" w:pos="8080"/>
        </w:tabs>
        <w:spacing w:after="0" w:line="240" w:lineRule="auto"/>
        <w:jc w:val="both"/>
        <w:rPr>
          <w:rFonts w:ascii="Times New Roman" w:hAnsi="Times New Roman"/>
          <w:sz w:val="25"/>
          <w:szCs w:val="25"/>
          <w:lang w:val="lv-LV"/>
        </w:rPr>
      </w:pPr>
    </w:p>
    <w:p w14:paraId="202062B1" w14:textId="292E2FBC" w:rsidR="00133652" w:rsidRDefault="00133652" w:rsidP="004E7BC4">
      <w:pPr>
        <w:tabs>
          <w:tab w:val="left" w:pos="8080"/>
        </w:tabs>
        <w:spacing w:after="0" w:line="240" w:lineRule="auto"/>
        <w:jc w:val="both"/>
        <w:rPr>
          <w:rFonts w:ascii="Times New Roman" w:hAnsi="Times New Roman"/>
          <w:sz w:val="25"/>
          <w:szCs w:val="25"/>
          <w:lang w:val="lv-LV"/>
        </w:rPr>
      </w:pPr>
    </w:p>
    <w:p w14:paraId="6BE9FA1D" w14:textId="77777777" w:rsidR="004C4FD3" w:rsidRDefault="004C4FD3" w:rsidP="004E7BC4">
      <w:pPr>
        <w:tabs>
          <w:tab w:val="left" w:pos="8080"/>
        </w:tabs>
        <w:spacing w:after="0" w:line="240" w:lineRule="auto"/>
        <w:jc w:val="both"/>
        <w:rPr>
          <w:rFonts w:ascii="Times New Roman" w:hAnsi="Times New Roman"/>
          <w:sz w:val="25"/>
          <w:szCs w:val="25"/>
          <w:lang w:val="lv-LV"/>
        </w:rPr>
      </w:pPr>
    </w:p>
    <w:p w14:paraId="0A2D1AEE" w14:textId="77777777" w:rsidR="004C4FD3" w:rsidRDefault="004C4FD3" w:rsidP="004E7BC4">
      <w:pPr>
        <w:tabs>
          <w:tab w:val="left" w:pos="8080"/>
        </w:tabs>
        <w:spacing w:after="0" w:line="240" w:lineRule="auto"/>
        <w:jc w:val="both"/>
        <w:rPr>
          <w:rFonts w:ascii="Times New Roman" w:hAnsi="Times New Roman"/>
          <w:sz w:val="25"/>
          <w:szCs w:val="25"/>
          <w:lang w:val="lv-LV"/>
        </w:rPr>
      </w:pPr>
    </w:p>
    <w:p w14:paraId="0E47D4FD" w14:textId="77777777" w:rsidR="004C4FD3" w:rsidRDefault="004C4FD3" w:rsidP="004E7BC4">
      <w:pPr>
        <w:tabs>
          <w:tab w:val="left" w:pos="8080"/>
        </w:tabs>
        <w:spacing w:after="0" w:line="240" w:lineRule="auto"/>
        <w:jc w:val="both"/>
        <w:rPr>
          <w:rFonts w:ascii="Times New Roman" w:hAnsi="Times New Roman"/>
          <w:sz w:val="25"/>
          <w:szCs w:val="25"/>
          <w:lang w:val="lv-LV"/>
        </w:rPr>
      </w:pPr>
    </w:p>
    <w:p w14:paraId="6920AB5C" w14:textId="77777777" w:rsidR="004C4FD3" w:rsidRDefault="004C4FD3" w:rsidP="004E7BC4">
      <w:pPr>
        <w:tabs>
          <w:tab w:val="left" w:pos="8080"/>
        </w:tabs>
        <w:spacing w:after="0" w:line="240" w:lineRule="auto"/>
        <w:jc w:val="both"/>
        <w:rPr>
          <w:rFonts w:ascii="Times New Roman" w:hAnsi="Times New Roman"/>
          <w:sz w:val="25"/>
          <w:szCs w:val="25"/>
          <w:lang w:val="lv-LV"/>
        </w:rPr>
      </w:pPr>
    </w:p>
    <w:p w14:paraId="255AD871" w14:textId="77777777" w:rsidR="004C4FD3" w:rsidRPr="009A5537" w:rsidRDefault="004C4FD3" w:rsidP="004E7BC4">
      <w:pPr>
        <w:tabs>
          <w:tab w:val="left" w:pos="8080"/>
        </w:tabs>
        <w:spacing w:after="0" w:line="240" w:lineRule="auto"/>
        <w:jc w:val="both"/>
        <w:rPr>
          <w:rFonts w:ascii="Times New Roman" w:hAnsi="Times New Roman"/>
          <w:sz w:val="25"/>
          <w:szCs w:val="25"/>
          <w:lang w:val="lv-LV"/>
        </w:rPr>
      </w:pPr>
    </w:p>
    <w:p w14:paraId="7BF35DE9" w14:textId="77777777" w:rsidR="00553D47" w:rsidRPr="009A5537" w:rsidRDefault="00553D47" w:rsidP="00553D47">
      <w:pPr>
        <w:spacing w:after="0" w:line="240" w:lineRule="auto"/>
        <w:jc w:val="both"/>
        <w:rPr>
          <w:rFonts w:ascii="Times New Roman" w:hAnsi="Times New Roman"/>
          <w:sz w:val="25"/>
          <w:szCs w:val="25"/>
          <w:lang w:val="lv-LV"/>
        </w:rPr>
      </w:pPr>
    </w:p>
    <w:p w14:paraId="4952EF1D" w14:textId="55FBBE52" w:rsidR="00553D47" w:rsidRPr="009A5537" w:rsidRDefault="0085084E" w:rsidP="00553D47">
      <w:pPr>
        <w:spacing w:after="0" w:line="240" w:lineRule="auto"/>
        <w:ind w:left="-142"/>
        <w:jc w:val="both"/>
        <w:rPr>
          <w:rFonts w:ascii="Times New Roman" w:eastAsia="Times New Roman" w:hAnsi="Times New Roman" w:cs="Times New Roman"/>
          <w:sz w:val="20"/>
          <w:szCs w:val="25"/>
          <w:lang w:val="lv-LV"/>
        </w:rPr>
      </w:pPr>
      <w:r>
        <w:rPr>
          <w:rFonts w:ascii="Times New Roman" w:eastAsia="Times New Roman" w:hAnsi="Times New Roman" w:cs="Times New Roman"/>
          <w:sz w:val="20"/>
          <w:szCs w:val="25"/>
          <w:lang w:val="lv-LV"/>
        </w:rPr>
        <w:t>22</w:t>
      </w:r>
      <w:r w:rsidR="00553D47" w:rsidRPr="009A5537">
        <w:rPr>
          <w:rFonts w:ascii="Times New Roman" w:eastAsia="Times New Roman" w:hAnsi="Times New Roman" w:cs="Times New Roman"/>
          <w:sz w:val="20"/>
          <w:szCs w:val="25"/>
          <w:lang w:val="lv-LV"/>
        </w:rPr>
        <w:t xml:space="preserve">.11.2014 </w:t>
      </w:r>
      <w:r>
        <w:rPr>
          <w:rFonts w:ascii="Times New Roman" w:eastAsia="Times New Roman" w:hAnsi="Times New Roman" w:cs="Times New Roman"/>
          <w:sz w:val="20"/>
          <w:szCs w:val="25"/>
          <w:lang w:val="lv-LV"/>
        </w:rPr>
        <w:t>12</w:t>
      </w:r>
      <w:r w:rsidR="00553D47" w:rsidRPr="009A5537">
        <w:rPr>
          <w:rFonts w:ascii="Times New Roman" w:eastAsia="Times New Roman" w:hAnsi="Times New Roman" w:cs="Times New Roman"/>
          <w:sz w:val="20"/>
          <w:szCs w:val="25"/>
          <w:lang w:val="lv-LV"/>
        </w:rPr>
        <w:t>:30</w:t>
      </w:r>
    </w:p>
    <w:p w14:paraId="0DAC0860" w14:textId="5B1F53C0" w:rsidR="00553D47" w:rsidRPr="009A5537" w:rsidRDefault="00553D47" w:rsidP="00553D47">
      <w:pPr>
        <w:spacing w:after="0" w:line="240" w:lineRule="auto"/>
        <w:ind w:left="-142"/>
        <w:jc w:val="both"/>
        <w:rPr>
          <w:rFonts w:ascii="Times New Roman" w:eastAsia="Times New Roman" w:hAnsi="Times New Roman" w:cs="Times New Roman"/>
          <w:sz w:val="20"/>
          <w:szCs w:val="25"/>
          <w:lang w:val="lv-LV"/>
        </w:rPr>
      </w:pPr>
      <w:r w:rsidRPr="009A5537">
        <w:rPr>
          <w:rFonts w:ascii="Times New Roman" w:eastAsia="Times New Roman" w:hAnsi="Times New Roman" w:cs="Times New Roman"/>
          <w:sz w:val="20"/>
          <w:szCs w:val="25"/>
          <w:lang w:val="lv-LV"/>
        </w:rPr>
        <w:t>31</w:t>
      </w:r>
      <w:r w:rsidR="004C4FD3">
        <w:rPr>
          <w:rFonts w:ascii="Times New Roman" w:eastAsia="Times New Roman" w:hAnsi="Times New Roman" w:cs="Times New Roman"/>
          <w:sz w:val="20"/>
          <w:szCs w:val="25"/>
          <w:lang w:val="lv-LV"/>
        </w:rPr>
        <w:t>69</w:t>
      </w:r>
    </w:p>
    <w:p w14:paraId="1BCA0060" w14:textId="4E9C355F" w:rsidR="00553D47" w:rsidRPr="009A5537" w:rsidRDefault="0085084E" w:rsidP="00553D47">
      <w:pPr>
        <w:spacing w:after="0" w:line="240" w:lineRule="auto"/>
        <w:ind w:left="-142"/>
        <w:jc w:val="both"/>
        <w:rPr>
          <w:rFonts w:ascii="Times New Roman" w:eastAsia="Times New Roman" w:hAnsi="Times New Roman" w:cs="Times New Roman"/>
          <w:sz w:val="20"/>
          <w:szCs w:val="25"/>
          <w:lang w:val="lv-LV"/>
        </w:rPr>
      </w:pPr>
      <w:r>
        <w:rPr>
          <w:rFonts w:ascii="Times New Roman" w:eastAsia="Times New Roman" w:hAnsi="Times New Roman" w:cs="Times New Roman"/>
          <w:sz w:val="20"/>
          <w:szCs w:val="25"/>
          <w:lang w:val="lv-LV"/>
        </w:rPr>
        <w:t xml:space="preserve">Andrejs </w:t>
      </w:r>
      <w:proofErr w:type="spellStart"/>
      <w:r>
        <w:rPr>
          <w:rFonts w:ascii="Times New Roman" w:eastAsia="Times New Roman" w:hAnsi="Times New Roman" w:cs="Times New Roman"/>
          <w:sz w:val="20"/>
          <w:szCs w:val="25"/>
          <w:lang w:val="lv-LV"/>
        </w:rPr>
        <w:t>Zambzetskis</w:t>
      </w:r>
      <w:proofErr w:type="spellEnd"/>
    </w:p>
    <w:p w14:paraId="2F7D30E0" w14:textId="77777777" w:rsidR="00553D47" w:rsidRPr="009A5537" w:rsidRDefault="00553D47" w:rsidP="00553D47">
      <w:pPr>
        <w:spacing w:after="0" w:line="240" w:lineRule="auto"/>
        <w:ind w:left="-142"/>
        <w:jc w:val="both"/>
        <w:rPr>
          <w:rFonts w:ascii="Times New Roman" w:eastAsia="Times New Roman" w:hAnsi="Times New Roman" w:cs="Times New Roman"/>
          <w:sz w:val="20"/>
          <w:szCs w:val="25"/>
          <w:lang w:val="lv-LV"/>
        </w:rPr>
      </w:pPr>
      <w:r w:rsidRPr="009A5537">
        <w:rPr>
          <w:rFonts w:ascii="Times New Roman" w:eastAsia="Times New Roman" w:hAnsi="Times New Roman" w:cs="Times New Roman"/>
          <w:sz w:val="20"/>
          <w:szCs w:val="25"/>
          <w:lang w:val="lv-LV"/>
        </w:rPr>
        <w:t>Finanšu ministrijas</w:t>
      </w:r>
    </w:p>
    <w:p w14:paraId="70C8DE95" w14:textId="77777777" w:rsidR="00553D47" w:rsidRPr="009A5537" w:rsidRDefault="00553D47" w:rsidP="00553D47">
      <w:pPr>
        <w:spacing w:after="0" w:line="240" w:lineRule="auto"/>
        <w:ind w:left="-142"/>
        <w:jc w:val="both"/>
        <w:rPr>
          <w:rFonts w:ascii="Times New Roman" w:eastAsia="Times New Roman" w:hAnsi="Times New Roman" w:cs="Times New Roman"/>
          <w:sz w:val="20"/>
          <w:szCs w:val="25"/>
          <w:lang w:val="lv-LV"/>
        </w:rPr>
      </w:pPr>
      <w:r w:rsidRPr="009A5537">
        <w:rPr>
          <w:rFonts w:ascii="Times New Roman" w:eastAsia="Times New Roman" w:hAnsi="Times New Roman" w:cs="Times New Roman"/>
          <w:sz w:val="20"/>
          <w:szCs w:val="25"/>
          <w:lang w:val="lv-LV"/>
        </w:rPr>
        <w:t>Eiropas Savienības fondu stratēģijas departamenta</w:t>
      </w:r>
    </w:p>
    <w:p w14:paraId="650FF8D5" w14:textId="77777777" w:rsidR="00553D47" w:rsidRPr="009A5537" w:rsidRDefault="00553D47" w:rsidP="00553D47">
      <w:pPr>
        <w:spacing w:after="0" w:line="240" w:lineRule="auto"/>
        <w:ind w:left="-142"/>
        <w:jc w:val="both"/>
        <w:rPr>
          <w:rFonts w:ascii="Times New Roman" w:eastAsia="Times New Roman" w:hAnsi="Times New Roman" w:cs="Times New Roman"/>
          <w:sz w:val="20"/>
          <w:szCs w:val="25"/>
          <w:lang w:val="lv-LV"/>
        </w:rPr>
      </w:pPr>
      <w:r w:rsidRPr="009A5537">
        <w:rPr>
          <w:rFonts w:ascii="Times New Roman" w:eastAsia="Times New Roman" w:hAnsi="Times New Roman" w:cs="Times New Roman"/>
          <w:sz w:val="20"/>
          <w:szCs w:val="25"/>
          <w:lang w:val="lv-LV"/>
        </w:rPr>
        <w:t>Uzņēmējdarbības un inovāciju plānošanas nodaļas</w:t>
      </w:r>
    </w:p>
    <w:p w14:paraId="30C9E337" w14:textId="77777777" w:rsidR="00553D47" w:rsidRPr="009A5537" w:rsidRDefault="00553D47" w:rsidP="00553D47">
      <w:pPr>
        <w:spacing w:after="0" w:line="240" w:lineRule="auto"/>
        <w:ind w:left="-142"/>
        <w:jc w:val="both"/>
        <w:rPr>
          <w:rFonts w:ascii="Times New Roman" w:eastAsia="Times New Roman" w:hAnsi="Times New Roman" w:cs="Times New Roman"/>
          <w:sz w:val="20"/>
          <w:szCs w:val="25"/>
          <w:lang w:val="lv-LV"/>
        </w:rPr>
      </w:pPr>
      <w:r w:rsidRPr="009A5537">
        <w:rPr>
          <w:rFonts w:ascii="Times New Roman" w:eastAsia="Times New Roman" w:hAnsi="Times New Roman" w:cs="Times New Roman"/>
          <w:sz w:val="20"/>
          <w:szCs w:val="25"/>
          <w:lang w:val="lv-LV"/>
        </w:rPr>
        <w:t>vecākais eksperts</w:t>
      </w:r>
    </w:p>
    <w:p w14:paraId="4C1E74AB" w14:textId="5C45446C" w:rsidR="00553D47" w:rsidRPr="009A5537" w:rsidRDefault="00553D47" w:rsidP="00553D47">
      <w:pPr>
        <w:spacing w:after="0" w:line="240" w:lineRule="auto"/>
        <w:ind w:left="-142"/>
        <w:jc w:val="both"/>
        <w:rPr>
          <w:rFonts w:ascii="Times New Roman" w:eastAsia="Times New Roman" w:hAnsi="Times New Roman" w:cs="Times New Roman"/>
          <w:sz w:val="20"/>
          <w:szCs w:val="25"/>
          <w:lang w:val="lv-LV"/>
        </w:rPr>
      </w:pPr>
      <w:r w:rsidRPr="009A5537">
        <w:rPr>
          <w:rFonts w:ascii="Times New Roman" w:eastAsia="Times New Roman" w:hAnsi="Times New Roman" w:cs="Times New Roman"/>
          <w:sz w:val="20"/>
          <w:szCs w:val="25"/>
          <w:lang w:val="lv-LV"/>
        </w:rPr>
        <w:t>tālr. 670</w:t>
      </w:r>
      <w:r w:rsidR="0085084E" w:rsidRPr="0085084E">
        <w:rPr>
          <w:rFonts w:ascii="Times New Roman" w:eastAsia="Times New Roman" w:hAnsi="Times New Roman" w:cs="Times New Roman"/>
          <w:sz w:val="20"/>
          <w:szCs w:val="25"/>
          <w:lang w:val="lv-LV"/>
        </w:rPr>
        <w:t>83944</w:t>
      </w:r>
      <w:r w:rsidRPr="009A5537">
        <w:rPr>
          <w:rFonts w:ascii="Times New Roman" w:eastAsia="Times New Roman" w:hAnsi="Times New Roman" w:cs="Times New Roman"/>
          <w:sz w:val="20"/>
          <w:szCs w:val="25"/>
          <w:lang w:val="lv-LV"/>
        </w:rPr>
        <w:t xml:space="preserve">, </w:t>
      </w:r>
    </w:p>
    <w:p w14:paraId="410C24C9" w14:textId="131149FC" w:rsidR="00D40CFC" w:rsidRPr="009A5537" w:rsidRDefault="0085084E" w:rsidP="00553D47">
      <w:pPr>
        <w:widowControl w:val="0"/>
        <w:spacing w:after="0" w:line="240" w:lineRule="auto"/>
        <w:ind w:left="-142"/>
        <w:jc w:val="both"/>
        <w:rPr>
          <w:rFonts w:ascii="Times New Roman" w:hAnsi="Times New Roman"/>
          <w:sz w:val="20"/>
          <w:szCs w:val="25"/>
          <w:lang w:val="lv-LV"/>
        </w:rPr>
      </w:pPr>
      <w:r>
        <w:rPr>
          <w:rFonts w:ascii="Times New Roman" w:eastAsia="Times New Roman" w:hAnsi="Times New Roman" w:cs="Times New Roman"/>
          <w:sz w:val="20"/>
          <w:szCs w:val="25"/>
          <w:lang w:val="lv-LV"/>
        </w:rPr>
        <w:t>Andrejs.Zambz</w:t>
      </w:r>
      <w:r w:rsidRPr="0085084E">
        <w:rPr>
          <w:rFonts w:ascii="Times New Roman" w:eastAsia="Times New Roman" w:hAnsi="Times New Roman" w:cs="Times New Roman"/>
          <w:sz w:val="20"/>
          <w:szCs w:val="25"/>
          <w:lang w:val="lv-LV"/>
        </w:rPr>
        <w:t>etskis</w:t>
      </w:r>
      <w:r w:rsidR="00553D47" w:rsidRPr="009A5537">
        <w:rPr>
          <w:rFonts w:ascii="Times New Roman" w:eastAsia="Times New Roman" w:hAnsi="Times New Roman" w:cs="Times New Roman"/>
          <w:sz w:val="20"/>
          <w:szCs w:val="25"/>
          <w:lang w:val="lv-LV"/>
        </w:rPr>
        <w:t>@fm.gov.lv</w:t>
      </w:r>
    </w:p>
    <w:sectPr w:rsidR="00D40CFC" w:rsidRPr="009A5537" w:rsidSect="00D40CFC">
      <w:footerReference w:type="default" r:id="rId8"/>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DEB39" w14:textId="77777777" w:rsidR="007C589C" w:rsidRDefault="007C589C" w:rsidP="002A617A">
      <w:pPr>
        <w:spacing w:after="0" w:line="240" w:lineRule="auto"/>
      </w:pPr>
      <w:r>
        <w:separator/>
      </w:r>
    </w:p>
  </w:endnote>
  <w:endnote w:type="continuationSeparator" w:id="0">
    <w:p w14:paraId="3F34B51F" w14:textId="77777777" w:rsidR="007C589C" w:rsidRDefault="007C589C" w:rsidP="002A617A">
      <w:pPr>
        <w:spacing w:after="0" w:line="240" w:lineRule="auto"/>
      </w:pPr>
      <w:r>
        <w:continuationSeparator/>
      </w:r>
    </w:p>
  </w:endnote>
  <w:endnote w:type="continuationNotice" w:id="1">
    <w:p w14:paraId="1BF8D1C3" w14:textId="77777777" w:rsidR="007C589C" w:rsidRDefault="007C5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215A" w14:textId="0380C24B" w:rsidR="00225426" w:rsidRPr="002A76B5" w:rsidRDefault="00225426" w:rsidP="00F66F09">
    <w:pPr>
      <w:spacing w:after="0" w:line="240" w:lineRule="auto"/>
      <w:ind w:left="-142"/>
      <w:jc w:val="both"/>
      <w:outlineLvl w:val="0"/>
      <w:rPr>
        <w:rFonts w:ascii="Times New Roman" w:hAnsi="Times New Roman" w:cs="Times New Roman"/>
        <w:sz w:val="20"/>
        <w:szCs w:val="20"/>
      </w:rPr>
    </w:pPr>
    <w:r w:rsidRPr="002A76B5">
      <w:rPr>
        <w:rFonts w:ascii="Times New Roman" w:hAnsi="Times New Roman" w:cs="Times New Roman"/>
        <w:sz w:val="20"/>
        <w:szCs w:val="20"/>
      </w:rPr>
      <w:fldChar w:fldCharType="begin"/>
    </w:r>
    <w:r w:rsidRPr="002A76B5">
      <w:rPr>
        <w:rFonts w:ascii="Times New Roman" w:hAnsi="Times New Roman" w:cs="Times New Roman"/>
        <w:sz w:val="20"/>
        <w:szCs w:val="20"/>
      </w:rPr>
      <w:instrText xml:space="preserve"> FILENAME   \* MERGEFORMAT </w:instrText>
    </w:r>
    <w:r w:rsidRPr="002A76B5">
      <w:rPr>
        <w:rFonts w:ascii="Times New Roman" w:hAnsi="Times New Roman" w:cs="Times New Roman"/>
        <w:sz w:val="20"/>
        <w:szCs w:val="20"/>
      </w:rPr>
      <w:fldChar w:fldCharType="separate"/>
    </w:r>
    <w:r w:rsidR="004C4FD3">
      <w:rPr>
        <w:rFonts w:ascii="Times New Roman" w:hAnsi="Times New Roman" w:cs="Times New Roman"/>
        <w:noProof/>
        <w:sz w:val="20"/>
        <w:szCs w:val="20"/>
      </w:rPr>
      <w:t>FMAnot_23223_141114</w:t>
    </w:r>
    <w:r w:rsidRPr="002A76B5">
      <w:rPr>
        <w:rFonts w:ascii="Times New Roman" w:hAnsi="Times New Roman" w:cs="Times New Roman"/>
        <w:noProof/>
        <w:sz w:val="20"/>
        <w:szCs w:val="20"/>
      </w:rPr>
      <w:fldChar w:fldCharType="end"/>
    </w:r>
    <w:r w:rsidRPr="002A76B5">
      <w:rPr>
        <w:rFonts w:ascii="Times New Roman" w:hAnsi="Times New Roman" w:cs="Times New Roman"/>
        <w:sz w:val="20"/>
        <w:szCs w:val="20"/>
      </w:rPr>
      <w:t>;</w:t>
    </w:r>
    <w:r w:rsidRPr="00396E9E">
      <w:rPr>
        <w:rFonts w:ascii="Times New Roman" w:eastAsia="Calibri" w:hAnsi="Times New Roman" w:cs="Times New Roman"/>
        <w:sz w:val="20"/>
        <w:szCs w:val="20"/>
        <w:lang w:val="en-AU"/>
      </w:rPr>
      <w:t xml:space="preserve"> </w:t>
    </w:r>
    <w:r w:rsidRPr="00972446">
      <w:rPr>
        <w:rFonts w:ascii="Times New Roman" w:hAnsi="Times New Roman" w:cs="Times New Roman"/>
        <w:sz w:val="20"/>
        <w:szCs w:val="20"/>
        <w:lang w:val="lv-LV" w:eastAsia="lv-LV"/>
      </w:rPr>
      <w:t>MK noteikumu projekta “Noteikumi par darbības programmas „Uzņēmējdarbība un inovācijas” papildinājuma 2.3.2.2.aktivitātes “Atbalsts ieguldījumiem mikro, maziem un vidējiem komersantiem” 2.3.2.2.3.apakšaktivitāti „Atbalsts ieguldījumiem infrastruktūrā uzņēmējdarbības attīstībai””</w:t>
    </w:r>
    <w:r w:rsidRPr="00972446">
      <w:rPr>
        <w:rFonts w:ascii="Times New Roman" w:eastAsia="Times New Roman" w:hAnsi="Times New Roman" w:cs="Times New Roman"/>
        <w:sz w:val="20"/>
        <w:szCs w:val="20"/>
        <w:lang w:val="lv-LV"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CE3F" w14:textId="77777777" w:rsidR="007C589C" w:rsidRDefault="007C589C" w:rsidP="002A617A">
      <w:pPr>
        <w:spacing w:after="0" w:line="240" w:lineRule="auto"/>
      </w:pPr>
      <w:r>
        <w:separator/>
      </w:r>
    </w:p>
  </w:footnote>
  <w:footnote w:type="continuationSeparator" w:id="0">
    <w:p w14:paraId="37482CEB" w14:textId="77777777" w:rsidR="007C589C" w:rsidRDefault="007C589C" w:rsidP="002A617A">
      <w:pPr>
        <w:spacing w:after="0" w:line="240" w:lineRule="auto"/>
      </w:pPr>
      <w:r>
        <w:continuationSeparator/>
      </w:r>
    </w:p>
  </w:footnote>
  <w:footnote w:type="continuationNotice" w:id="1">
    <w:p w14:paraId="221523D8" w14:textId="77777777" w:rsidR="007C589C" w:rsidRDefault="007C589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3F73"/>
    <w:multiLevelType w:val="hybridMultilevel"/>
    <w:tmpl w:val="F530C0EC"/>
    <w:lvl w:ilvl="0" w:tplc="D69EE388">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2643C8"/>
    <w:multiLevelType w:val="hybridMultilevel"/>
    <w:tmpl w:val="3168C74C"/>
    <w:lvl w:ilvl="0" w:tplc="4F9A28C8">
      <w:start w:val="1"/>
      <w:numFmt w:val="decimal"/>
      <w:lvlText w:val="%1."/>
      <w:lvlJc w:val="left"/>
      <w:pPr>
        <w:ind w:left="720" w:hanging="360"/>
      </w:pPr>
      <w:rPr>
        <w:sz w:val="28"/>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B17464"/>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DA75F2"/>
    <w:multiLevelType w:val="hybridMultilevel"/>
    <w:tmpl w:val="2D6CE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C76B51"/>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10">
    <w:nsid w:val="43AE2BD5"/>
    <w:multiLevelType w:val="hybridMultilevel"/>
    <w:tmpl w:val="83968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45D66B47"/>
    <w:multiLevelType w:val="hybridMultilevel"/>
    <w:tmpl w:val="B5225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9B4333"/>
    <w:multiLevelType w:val="hybridMultilevel"/>
    <w:tmpl w:val="ED1E1FB6"/>
    <w:lvl w:ilvl="0" w:tplc="F0FCB5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5D9B5F91"/>
    <w:multiLevelType w:val="hybridMultilevel"/>
    <w:tmpl w:val="303E1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32D034E"/>
    <w:multiLevelType w:val="hybridMultilevel"/>
    <w:tmpl w:val="DB4447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65CB634A"/>
    <w:multiLevelType w:val="hybridMultilevel"/>
    <w:tmpl w:val="7EF4E0DA"/>
    <w:lvl w:ilvl="0" w:tplc="B218ECA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7FC7338"/>
    <w:multiLevelType w:val="hybridMultilevel"/>
    <w:tmpl w:val="33547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20">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2075059"/>
    <w:multiLevelType w:val="hybridMultilevel"/>
    <w:tmpl w:val="A090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380F09"/>
    <w:multiLevelType w:val="hybridMultilevel"/>
    <w:tmpl w:val="D5080B84"/>
    <w:lvl w:ilvl="0" w:tplc="6816A63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53C60B1"/>
    <w:multiLevelType w:val="hybridMultilevel"/>
    <w:tmpl w:val="8FC61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nsid w:val="7D4D53A9"/>
    <w:multiLevelType w:val="hybridMultilevel"/>
    <w:tmpl w:val="6436D0AA"/>
    <w:lvl w:ilvl="0" w:tplc="47C00E9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4"/>
  </w:num>
  <w:num w:numId="4">
    <w:abstractNumId w:val="19"/>
  </w:num>
  <w:num w:numId="5">
    <w:abstractNumId w:val="9"/>
  </w:num>
  <w:num w:numId="6">
    <w:abstractNumId w:val="20"/>
  </w:num>
  <w:num w:numId="7">
    <w:abstractNumId w:val="26"/>
  </w:num>
  <w:num w:numId="8">
    <w:abstractNumId w:val="11"/>
  </w:num>
  <w:num w:numId="9">
    <w:abstractNumId w:val="7"/>
  </w:num>
  <w:num w:numId="10">
    <w:abstractNumId w:val="27"/>
  </w:num>
  <w:num w:numId="11">
    <w:abstractNumId w:val="6"/>
  </w:num>
  <w:num w:numId="12">
    <w:abstractNumId w:val="24"/>
  </w:num>
  <w:num w:numId="13">
    <w:abstractNumId w:val="8"/>
  </w:num>
  <w:num w:numId="14">
    <w:abstractNumId w:val="3"/>
  </w:num>
  <w:num w:numId="15">
    <w:abstractNumId w:val="18"/>
  </w:num>
  <w:num w:numId="16">
    <w:abstractNumId w:val="16"/>
  </w:num>
  <w:num w:numId="17">
    <w:abstractNumId w:val="22"/>
  </w:num>
  <w:num w:numId="18">
    <w:abstractNumId w:val="21"/>
  </w:num>
  <w:num w:numId="19">
    <w:abstractNumId w:val="23"/>
  </w:num>
  <w:num w:numId="20">
    <w:abstractNumId w:val="10"/>
  </w:num>
  <w:num w:numId="21">
    <w:abstractNumId w:val="12"/>
  </w:num>
  <w:num w:numId="22">
    <w:abstractNumId w:val="1"/>
  </w:num>
  <w:num w:numId="23">
    <w:abstractNumId w:val="4"/>
  </w:num>
  <w:num w:numId="24">
    <w:abstractNumId w:val="13"/>
  </w:num>
  <w:num w:numId="25">
    <w:abstractNumId w:val="0"/>
  </w:num>
  <w:num w:numId="26">
    <w:abstractNumId w:val="17"/>
  </w:num>
  <w:num w:numId="27">
    <w:abstractNumId w:val="28"/>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90"/>
    <w:rsid w:val="00003043"/>
    <w:rsid w:val="000068AE"/>
    <w:rsid w:val="00007AFA"/>
    <w:rsid w:val="000105BC"/>
    <w:rsid w:val="00010B38"/>
    <w:rsid w:val="00014658"/>
    <w:rsid w:val="00016F2B"/>
    <w:rsid w:val="00037822"/>
    <w:rsid w:val="00047893"/>
    <w:rsid w:val="00047CFE"/>
    <w:rsid w:val="000534EB"/>
    <w:rsid w:val="00057282"/>
    <w:rsid w:val="0006068B"/>
    <w:rsid w:val="00076BFF"/>
    <w:rsid w:val="00080429"/>
    <w:rsid w:val="00082494"/>
    <w:rsid w:val="0008369E"/>
    <w:rsid w:val="00084891"/>
    <w:rsid w:val="000862E6"/>
    <w:rsid w:val="00094966"/>
    <w:rsid w:val="000960E2"/>
    <w:rsid w:val="00097867"/>
    <w:rsid w:val="000A01AB"/>
    <w:rsid w:val="000A0617"/>
    <w:rsid w:val="000A2104"/>
    <w:rsid w:val="000A2788"/>
    <w:rsid w:val="000B2665"/>
    <w:rsid w:val="000B3BD3"/>
    <w:rsid w:val="000C4AE5"/>
    <w:rsid w:val="000C5018"/>
    <w:rsid w:val="000D2379"/>
    <w:rsid w:val="000F08A9"/>
    <w:rsid w:val="000F3F7E"/>
    <w:rsid w:val="000F4492"/>
    <w:rsid w:val="000F6E43"/>
    <w:rsid w:val="00112DB5"/>
    <w:rsid w:val="00114F2D"/>
    <w:rsid w:val="001169AD"/>
    <w:rsid w:val="0012729E"/>
    <w:rsid w:val="001305B6"/>
    <w:rsid w:val="00133652"/>
    <w:rsid w:val="0013367B"/>
    <w:rsid w:val="00134540"/>
    <w:rsid w:val="00137360"/>
    <w:rsid w:val="00143981"/>
    <w:rsid w:val="00143CE8"/>
    <w:rsid w:val="00146ABF"/>
    <w:rsid w:val="00150636"/>
    <w:rsid w:val="00155441"/>
    <w:rsid w:val="00157860"/>
    <w:rsid w:val="00162CFB"/>
    <w:rsid w:val="00163752"/>
    <w:rsid w:val="00163E67"/>
    <w:rsid w:val="00165A68"/>
    <w:rsid w:val="001869F9"/>
    <w:rsid w:val="00186E20"/>
    <w:rsid w:val="00195713"/>
    <w:rsid w:val="001B46EC"/>
    <w:rsid w:val="001B4C9E"/>
    <w:rsid w:val="001C3EEE"/>
    <w:rsid w:val="001C6BB1"/>
    <w:rsid w:val="001D081B"/>
    <w:rsid w:val="001D1D5E"/>
    <w:rsid w:val="001D4A7D"/>
    <w:rsid w:val="001D6C9E"/>
    <w:rsid w:val="001E222B"/>
    <w:rsid w:val="001E2843"/>
    <w:rsid w:val="001E3C16"/>
    <w:rsid w:val="001E6FAC"/>
    <w:rsid w:val="001F5390"/>
    <w:rsid w:val="00202E85"/>
    <w:rsid w:val="0020613E"/>
    <w:rsid w:val="0020647A"/>
    <w:rsid w:val="002163FF"/>
    <w:rsid w:val="00221E27"/>
    <w:rsid w:val="00223C77"/>
    <w:rsid w:val="00224A67"/>
    <w:rsid w:val="00225426"/>
    <w:rsid w:val="00233240"/>
    <w:rsid w:val="00235864"/>
    <w:rsid w:val="00237EAE"/>
    <w:rsid w:val="00240293"/>
    <w:rsid w:val="002450CD"/>
    <w:rsid w:val="00245470"/>
    <w:rsid w:val="0024564F"/>
    <w:rsid w:val="00246230"/>
    <w:rsid w:val="00252BAC"/>
    <w:rsid w:val="00253836"/>
    <w:rsid w:val="00264391"/>
    <w:rsid w:val="00271961"/>
    <w:rsid w:val="0027301F"/>
    <w:rsid w:val="002746A6"/>
    <w:rsid w:val="002770D4"/>
    <w:rsid w:val="002800B3"/>
    <w:rsid w:val="00281EE5"/>
    <w:rsid w:val="00284723"/>
    <w:rsid w:val="00295A5A"/>
    <w:rsid w:val="002A617A"/>
    <w:rsid w:val="002A6D32"/>
    <w:rsid w:val="002A76B5"/>
    <w:rsid w:val="002B3465"/>
    <w:rsid w:val="002B7362"/>
    <w:rsid w:val="002C179D"/>
    <w:rsid w:val="002C2258"/>
    <w:rsid w:val="002D3591"/>
    <w:rsid w:val="002D3D8D"/>
    <w:rsid w:val="002D3F81"/>
    <w:rsid w:val="002E7E36"/>
    <w:rsid w:val="002F1F30"/>
    <w:rsid w:val="002F2B06"/>
    <w:rsid w:val="002F2C3F"/>
    <w:rsid w:val="002F7C80"/>
    <w:rsid w:val="00311139"/>
    <w:rsid w:val="00311CBF"/>
    <w:rsid w:val="00312598"/>
    <w:rsid w:val="003132F2"/>
    <w:rsid w:val="00313581"/>
    <w:rsid w:val="0031672B"/>
    <w:rsid w:val="00320334"/>
    <w:rsid w:val="00324899"/>
    <w:rsid w:val="00326718"/>
    <w:rsid w:val="00330F50"/>
    <w:rsid w:val="00333EAD"/>
    <w:rsid w:val="00335259"/>
    <w:rsid w:val="0034037A"/>
    <w:rsid w:val="0034089F"/>
    <w:rsid w:val="00350AA3"/>
    <w:rsid w:val="003518F6"/>
    <w:rsid w:val="00372223"/>
    <w:rsid w:val="00377F0B"/>
    <w:rsid w:val="00382775"/>
    <w:rsid w:val="00385240"/>
    <w:rsid w:val="00391A25"/>
    <w:rsid w:val="00394C15"/>
    <w:rsid w:val="00396E9E"/>
    <w:rsid w:val="003A0A5F"/>
    <w:rsid w:val="003A3D52"/>
    <w:rsid w:val="003A5E71"/>
    <w:rsid w:val="003C4242"/>
    <w:rsid w:val="003C46E4"/>
    <w:rsid w:val="003C4E9C"/>
    <w:rsid w:val="003D3562"/>
    <w:rsid w:val="003D6C41"/>
    <w:rsid w:val="003E0200"/>
    <w:rsid w:val="003E0CC1"/>
    <w:rsid w:val="003E0F17"/>
    <w:rsid w:val="003E2BFC"/>
    <w:rsid w:val="004006AF"/>
    <w:rsid w:val="0040525E"/>
    <w:rsid w:val="00405FE3"/>
    <w:rsid w:val="00406BD3"/>
    <w:rsid w:val="0040788B"/>
    <w:rsid w:val="00407AEA"/>
    <w:rsid w:val="0041285A"/>
    <w:rsid w:val="00414C6B"/>
    <w:rsid w:val="004174D4"/>
    <w:rsid w:val="00420EB1"/>
    <w:rsid w:val="00430011"/>
    <w:rsid w:val="004339BF"/>
    <w:rsid w:val="00436141"/>
    <w:rsid w:val="004425B5"/>
    <w:rsid w:val="0045243C"/>
    <w:rsid w:val="00462295"/>
    <w:rsid w:val="00464FD0"/>
    <w:rsid w:val="00465001"/>
    <w:rsid w:val="00470971"/>
    <w:rsid w:val="00471835"/>
    <w:rsid w:val="0047344C"/>
    <w:rsid w:val="00476E5D"/>
    <w:rsid w:val="00477BB3"/>
    <w:rsid w:val="004848A4"/>
    <w:rsid w:val="00484DC4"/>
    <w:rsid w:val="00485C18"/>
    <w:rsid w:val="0049276A"/>
    <w:rsid w:val="00493C09"/>
    <w:rsid w:val="004949AE"/>
    <w:rsid w:val="004976CD"/>
    <w:rsid w:val="004A16ED"/>
    <w:rsid w:val="004A63FD"/>
    <w:rsid w:val="004B3159"/>
    <w:rsid w:val="004B4C5A"/>
    <w:rsid w:val="004C05A8"/>
    <w:rsid w:val="004C1CA6"/>
    <w:rsid w:val="004C2FE4"/>
    <w:rsid w:val="004C3038"/>
    <w:rsid w:val="004C4FD3"/>
    <w:rsid w:val="004E22A9"/>
    <w:rsid w:val="004E37EF"/>
    <w:rsid w:val="004E692D"/>
    <w:rsid w:val="004E6C72"/>
    <w:rsid w:val="004E7BC4"/>
    <w:rsid w:val="004F067D"/>
    <w:rsid w:val="004F274F"/>
    <w:rsid w:val="004F3C75"/>
    <w:rsid w:val="005060F9"/>
    <w:rsid w:val="00510120"/>
    <w:rsid w:val="00514675"/>
    <w:rsid w:val="00514AC2"/>
    <w:rsid w:val="0053117C"/>
    <w:rsid w:val="00550D17"/>
    <w:rsid w:val="00553D47"/>
    <w:rsid w:val="00554803"/>
    <w:rsid w:val="005567C5"/>
    <w:rsid w:val="005571ED"/>
    <w:rsid w:val="00560737"/>
    <w:rsid w:val="00564229"/>
    <w:rsid w:val="00564B1C"/>
    <w:rsid w:val="005655B1"/>
    <w:rsid w:val="00567E66"/>
    <w:rsid w:val="0057483F"/>
    <w:rsid w:val="0057647D"/>
    <w:rsid w:val="00590C36"/>
    <w:rsid w:val="005A5F0D"/>
    <w:rsid w:val="005B1F5A"/>
    <w:rsid w:val="005B1FB2"/>
    <w:rsid w:val="005B7A45"/>
    <w:rsid w:val="005D1132"/>
    <w:rsid w:val="005D1D0B"/>
    <w:rsid w:val="005D55D5"/>
    <w:rsid w:val="005D5FD1"/>
    <w:rsid w:val="005E4289"/>
    <w:rsid w:val="005E5030"/>
    <w:rsid w:val="005E631C"/>
    <w:rsid w:val="005E6AF0"/>
    <w:rsid w:val="005F15F4"/>
    <w:rsid w:val="005F449F"/>
    <w:rsid w:val="00600201"/>
    <w:rsid w:val="006026C0"/>
    <w:rsid w:val="006052C4"/>
    <w:rsid w:val="00607320"/>
    <w:rsid w:val="00614C95"/>
    <w:rsid w:val="0063244F"/>
    <w:rsid w:val="0063311E"/>
    <w:rsid w:val="00650193"/>
    <w:rsid w:val="00655016"/>
    <w:rsid w:val="006562A9"/>
    <w:rsid w:val="006570E4"/>
    <w:rsid w:val="006627F3"/>
    <w:rsid w:val="00664470"/>
    <w:rsid w:val="00664CDD"/>
    <w:rsid w:val="00670BBC"/>
    <w:rsid w:val="00672281"/>
    <w:rsid w:val="00672A29"/>
    <w:rsid w:val="006756A4"/>
    <w:rsid w:val="0068037C"/>
    <w:rsid w:val="00680ADC"/>
    <w:rsid w:val="00682F53"/>
    <w:rsid w:val="006963F1"/>
    <w:rsid w:val="006A0320"/>
    <w:rsid w:val="006A45EA"/>
    <w:rsid w:val="006A50B9"/>
    <w:rsid w:val="006B385D"/>
    <w:rsid w:val="006C6B81"/>
    <w:rsid w:val="006C7599"/>
    <w:rsid w:val="006D4811"/>
    <w:rsid w:val="006D60D3"/>
    <w:rsid w:val="006D7B18"/>
    <w:rsid w:val="006E1187"/>
    <w:rsid w:val="006E210C"/>
    <w:rsid w:val="006E24E5"/>
    <w:rsid w:val="006E31DC"/>
    <w:rsid w:val="00703951"/>
    <w:rsid w:val="007075A1"/>
    <w:rsid w:val="00712F65"/>
    <w:rsid w:val="00713C31"/>
    <w:rsid w:val="00713F08"/>
    <w:rsid w:val="00722173"/>
    <w:rsid w:val="00737330"/>
    <w:rsid w:val="00737CF5"/>
    <w:rsid w:val="00747722"/>
    <w:rsid w:val="00751510"/>
    <w:rsid w:val="0075352B"/>
    <w:rsid w:val="00754828"/>
    <w:rsid w:val="0077511A"/>
    <w:rsid w:val="00775125"/>
    <w:rsid w:val="00791E66"/>
    <w:rsid w:val="00792A2F"/>
    <w:rsid w:val="007A31C8"/>
    <w:rsid w:val="007A686F"/>
    <w:rsid w:val="007A7672"/>
    <w:rsid w:val="007B08DD"/>
    <w:rsid w:val="007B215D"/>
    <w:rsid w:val="007B32E4"/>
    <w:rsid w:val="007B44E0"/>
    <w:rsid w:val="007B56C8"/>
    <w:rsid w:val="007B6D18"/>
    <w:rsid w:val="007C589C"/>
    <w:rsid w:val="007C75FE"/>
    <w:rsid w:val="007D1417"/>
    <w:rsid w:val="007D62D4"/>
    <w:rsid w:val="007D6AEE"/>
    <w:rsid w:val="007F1012"/>
    <w:rsid w:val="007F1018"/>
    <w:rsid w:val="007F1752"/>
    <w:rsid w:val="007F3ACE"/>
    <w:rsid w:val="0080623C"/>
    <w:rsid w:val="00806A07"/>
    <w:rsid w:val="00807FBF"/>
    <w:rsid w:val="00813DD9"/>
    <w:rsid w:val="008152F8"/>
    <w:rsid w:val="00817F69"/>
    <w:rsid w:val="00820BD2"/>
    <w:rsid w:val="0082103D"/>
    <w:rsid w:val="00824AED"/>
    <w:rsid w:val="00827216"/>
    <w:rsid w:val="00827E9E"/>
    <w:rsid w:val="00830152"/>
    <w:rsid w:val="00837155"/>
    <w:rsid w:val="00840469"/>
    <w:rsid w:val="00840DC8"/>
    <w:rsid w:val="00842442"/>
    <w:rsid w:val="00844F78"/>
    <w:rsid w:val="0085084E"/>
    <w:rsid w:val="00851937"/>
    <w:rsid w:val="00851ACE"/>
    <w:rsid w:val="008530EC"/>
    <w:rsid w:val="00853E1B"/>
    <w:rsid w:val="00861E55"/>
    <w:rsid w:val="00871F14"/>
    <w:rsid w:val="00873607"/>
    <w:rsid w:val="00874291"/>
    <w:rsid w:val="00877148"/>
    <w:rsid w:val="008810C0"/>
    <w:rsid w:val="00881F0A"/>
    <w:rsid w:val="00883450"/>
    <w:rsid w:val="00883F96"/>
    <w:rsid w:val="008848CE"/>
    <w:rsid w:val="00886F90"/>
    <w:rsid w:val="0089212D"/>
    <w:rsid w:val="008A0AEA"/>
    <w:rsid w:val="008A0DC7"/>
    <w:rsid w:val="008A4E00"/>
    <w:rsid w:val="008A780B"/>
    <w:rsid w:val="008A7F67"/>
    <w:rsid w:val="008B40AB"/>
    <w:rsid w:val="008B4CAC"/>
    <w:rsid w:val="008C47BE"/>
    <w:rsid w:val="008C5375"/>
    <w:rsid w:val="008D0BCD"/>
    <w:rsid w:val="008D5497"/>
    <w:rsid w:val="008D678E"/>
    <w:rsid w:val="008E0789"/>
    <w:rsid w:val="008F3F8D"/>
    <w:rsid w:val="00902B1D"/>
    <w:rsid w:val="009064B5"/>
    <w:rsid w:val="0090738B"/>
    <w:rsid w:val="0091090E"/>
    <w:rsid w:val="009145E1"/>
    <w:rsid w:val="00920D07"/>
    <w:rsid w:val="00923CC8"/>
    <w:rsid w:val="009302FA"/>
    <w:rsid w:val="00936938"/>
    <w:rsid w:val="00940888"/>
    <w:rsid w:val="00940A3A"/>
    <w:rsid w:val="00951FF3"/>
    <w:rsid w:val="009526E8"/>
    <w:rsid w:val="009555CC"/>
    <w:rsid w:val="009573E7"/>
    <w:rsid w:val="00960A2A"/>
    <w:rsid w:val="009675F8"/>
    <w:rsid w:val="00970D3C"/>
    <w:rsid w:val="00972446"/>
    <w:rsid w:val="00991093"/>
    <w:rsid w:val="009921E3"/>
    <w:rsid w:val="0099705C"/>
    <w:rsid w:val="009A31FD"/>
    <w:rsid w:val="009A5537"/>
    <w:rsid w:val="009B0CC7"/>
    <w:rsid w:val="009D0A29"/>
    <w:rsid w:val="009E0850"/>
    <w:rsid w:val="009E34F3"/>
    <w:rsid w:val="009F19EC"/>
    <w:rsid w:val="00A00AC9"/>
    <w:rsid w:val="00A011EF"/>
    <w:rsid w:val="00A03129"/>
    <w:rsid w:val="00A06FDB"/>
    <w:rsid w:val="00A07540"/>
    <w:rsid w:val="00A11A29"/>
    <w:rsid w:val="00A12EA0"/>
    <w:rsid w:val="00A15B7A"/>
    <w:rsid w:val="00A160A3"/>
    <w:rsid w:val="00A21034"/>
    <w:rsid w:val="00A3157F"/>
    <w:rsid w:val="00A3284F"/>
    <w:rsid w:val="00A338DB"/>
    <w:rsid w:val="00A346C5"/>
    <w:rsid w:val="00A45F97"/>
    <w:rsid w:val="00A50CB9"/>
    <w:rsid w:val="00A51F1F"/>
    <w:rsid w:val="00A53CD4"/>
    <w:rsid w:val="00A548AC"/>
    <w:rsid w:val="00A64E0C"/>
    <w:rsid w:val="00A654F1"/>
    <w:rsid w:val="00A70743"/>
    <w:rsid w:val="00A71CCF"/>
    <w:rsid w:val="00A76A07"/>
    <w:rsid w:val="00A81BD5"/>
    <w:rsid w:val="00A86DB4"/>
    <w:rsid w:val="00A9221C"/>
    <w:rsid w:val="00AA1E56"/>
    <w:rsid w:val="00AA4F24"/>
    <w:rsid w:val="00AA5084"/>
    <w:rsid w:val="00AA6492"/>
    <w:rsid w:val="00AB0D28"/>
    <w:rsid w:val="00AB5197"/>
    <w:rsid w:val="00AB650D"/>
    <w:rsid w:val="00AC0127"/>
    <w:rsid w:val="00AC7302"/>
    <w:rsid w:val="00AD3797"/>
    <w:rsid w:val="00AD4C3F"/>
    <w:rsid w:val="00AE0BC0"/>
    <w:rsid w:val="00AE7408"/>
    <w:rsid w:val="00AF29AE"/>
    <w:rsid w:val="00AF38B1"/>
    <w:rsid w:val="00AF5753"/>
    <w:rsid w:val="00AF643B"/>
    <w:rsid w:val="00B02416"/>
    <w:rsid w:val="00B024D3"/>
    <w:rsid w:val="00B02B4C"/>
    <w:rsid w:val="00B07BE0"/>
    <w:rsid w:val="00B1044F"/>
    <w:rsid w:val="00B2205C"/>
    <w:rsid w:val="00B257AC"/>
    <w:rsid w:val="00B264C0"/>
    <w:rsid w:val="00B42199"/>
    <w:rsid w:val="00B506AB"/>
    <w:rsid w:val="00B535B1"/>
    <w:rsid w:val="00B57FD3"/>
    <w:rsid w:val="00B62120"/>
    <w:rsid w:val="00B82963"/>
    <w:rsid w:val="00B84A5B"/>
    <w:rsid w:val="00BA3659"/>
    <w:rsid w:val="00BA6846"/>
    <w:rsid w:val="00BB6ED6"/>
    <w:rsid w:val="00BC5620"/>
    <w:rsid w:val="00BD64C1"/>
    <w:rsid w:val="00BD7619"/>
    <w:rsid w:val="00BD7F9B"/>
    <w:rsid w:val="00BE00EB"/>
    <w:rsid w:val="00BE2D5A"/>
    <w:rsid w:val="00BE60AF"/>
    <w:rsid w:val="00BE7E9D"/>
    <w:rsid w:val="00C07A84"/>
    <w:rsid w:val="00C12730"/>
    <w:rsid w:val="00C17E1B"/>
    <w:rsid w:val="00C37288"/>
    <w:rsid w:val="00C43719"/>
    <w:rsid w:val="00C4758D"/>
    <w:rsid w:val="00C5133C"/>
    <w:rsid w:val="00C675B7"/>
    <w:rsid w:val="00C74EF3"/>
    <w:rsid w:val="00C75CBB"/>
    <w:rsid w:val="00C77B75"/>
    <w:rsid w:val="00C804D9"/>
    <w:rsid w:val="00C8313E"/>
    <w:rsid w:val="00C90F0D"/>
    <w:rsid w:val="00C93598"/>
    <w:rsid w:val="00CA0317"/>
    <w:rsid w:val="00CA0CB4"/>
    <w:rsid w:val="00CA5B55"/>
    <w:rsid w:val="00CB3A61"/>
    <w:rsid w:val="00CB67B6"/>
    <w:rsid w:val="00CC26D6"/>
    <w:rsid w:val="00CC3EDB"/>
    <w:rsid w:val="00CC7D03"/>
    <w:rsid w:val="00CC7E2D"/>
    <w:rsid w:val="00CD1B83"/>
    <w:rsid w:val="00CD3814"/>
    <w:rsid w:val="00CD7C4F"/>
    <w:rsid w:val="00CE205E"/>
    <w:rsid w:val="00CE2E22"/>
    <w:rsid w:val="00CE3831"/>
    <w:rsid w:val="00CF1129"/>
    <w:rsid w:val="00CF3C48"/>
    <w:rsid w:val="00CF5EC1"/>
    <w:rsid w:val="00D0283A"/>
    <w:rsid w:val="00D04F89"/>
    <w:rsid w:val="00D07A17"/>
    <w:rsid w:val="00D10D81"/>
    <w:rsid w:val="00D119BC"/>
    <w:rsid w:val="00D16A1C"/>
    <w:rsid w:val="00D210DA"/>
    <w:rsid w:val="00D2270B"/>
    <w:rsid w:val="00D305AA"/>
    <w:rsid w:val="00D3208B"/>
    <w:rsid w:val="00D34E9D"/>
    <w:rsid w:val="00D36FD0"/>
    <w:rsid w:val="00D4015C"/>
    <w:rsid w:val="00D40CFC"/>
    <w:rsid w:val="00D41DB2"/>
    <w:rsid w:val="00D4217C"/>
    <w:rsid w:val="00D42CAD"/>
    <w:rsid w:val="00D5361F"/>
    <w:rsid w:val="00D55728"/>
    <w:rsid w:val="00D5761B"/>
    <w:rsid w:val="00D61F3A"/>
    <w:rsid w:val="00D7167F"/>
    <w:rsid w:val="00D72DCC"/>
    <w:rsid w:val="00D74BF8"/>
    <w:rsid w:val="00D76A7D"/>
    <w:rsid w:val="00D8375A"/>
    <w:rsid w:val="00D83B42"/>
    <w:rsid w:val="00D928E0"/>
    <w:rsid w:val="00D96290"/>
    <w:rsid w:val="00DA52B3"/>
    <w:rsid w:val="00DB1642"/>
    <w:rsid w:val="00DB1BED"/>
    <w:rsid w:val="00DB7562"/>
    <w:rsid w:val="00DC1734"/>
    <w:rsid w:val="00DC2A21"/>
    <w:rsid w:val="00DC2BD7"/>
    <w:rsid w:val="00DC4754"/>
    <w:rsid w:val="00DD6BFE"/>
    <w:rsid w:val="00DF211A"/>
    <w:rsid w:val="00DF7911"/>
    <w:rsid w:val="00E01EFE"/>
    <w:rsid w:val="00E02375"/>
    <w:rsid w:val="00E07467"/>
    <w:rsid w:val="00E07A64"/>
    <w:rsid w:val="00E1100E"/>
    <w:rsid w:val="00E11A4A"/>
    <w:rsid w:val="00E20E9B"/>
    <w:rsid w:val="00E222C4"/>
    <w:rsid w:val="00E261FF"/>
    <w:rsid w:val="00E26EB0"/>
    <w:rsid w:val="00E30C08"/>
    <w:rsid w:val="00E33F0C"/>
    <w:rsid w:val="00E362FC"/>
    <w:rsid w:val="00E45CBA"/>
    <w:rsid w:val="00E45F58"/>
    <w:rsid w:val="00E52460"/>
    <w:rsid w:val="00E531B9"/>
    <w:rsid w:val="00E53F77"/>
    <w:rsid w:val="00E56EB9"/>
    <w:rsid w:val="00E57658"/>
    <w:rsid w:val="00E668BD"/>
    <w:rsid w:val="00E81401"/>
    <w:rsid w:val="00E866A1"/>
    <w:rsid w:val="00E87078"/>
    <w:rsid w:val="00E92A51"/>
    <w:rsid w:val="00EA1EAD"/>
    <w:rsid w:val="00EA6403"/>
    <w:rsid w:val="00EB2A0D"/>
    <w:rsid w:val="00EB2D21"/>
    <w:rsid w:val="00EC1C79"/>
    <w:rsid w:val="00EC5B90"/>
    <w:rsid w:val="00EC650A"/>
    <w:rsid w:val="00EC6C5B"/>
    <w:rsid w:val="00ED0FEA"/>
    <w:rsid w:val="00ED4179"/>
    <w:rsid w:val="00ED7B8B"/>
    <w:rsid w:val="00EE1841"/>
    <w:rsid w:val="00EE3C39"/>
    <w:rsid w:val="00EE4ACC"/>
    <w:rsid w:val="00EE73B0"/>
    <w:rsid w:val="00EF2219"/>
    <w:rsid w:val="00F02AD7"/>
    <w:rsid w:val="00F06F5A"/>
    <w:rsid w:val="00F155C4"/>
    <w:rsid w:val="00F168CB"/>
    <w:rsid w:val="00F219F2"/>
    <w:rsid w:val="00F24900"/>
    <w:rsid w:val="00F309A1"/>
    <w:rsid w:val="00F537D9"/>
    <w:rsid w:val="00F563E1"/>
    <w:rsid w:val="00F60587"/>
    <w:rsid w:val="00F6590C"/>
    <w:rsid w:val="00F66F09"/>
    <w:rsid w:val="00F67007"/>
    <w:rsid w:val="00F73084"/>
    <w:rsid w:val="00F77A61"/>
    <w:rsid w:val="00F84F92"/>
    <w:rsid w:val="00F85560"/>
    <w:rsid w:val="00F9482F"/>
    <w:rsid w:val="00F97CCC"/>
    <w:rsid w:val="00FA2E36"/>
    <w:rsid w:val="00FA56E7"/>
    <w:rsid w:val="00FB1513"/>
    <w:rsid w:val="00FB371E"/>
    <w:rsid w:val="00FB3E14"/>
    <w:rsid w:val="00FB5A0C"/>
    <w:rsid w:val="00FB6EA4"/>
    <w:rsid w:val="00FC2214"/>
    <w:rsid w:val="00FD0312"/>
    <w:rsid w:val="00FD396D"/>
    <w:rsid w:val="00FE48F8"/>
    <w:rsid w:val="00FE51BB"/>
    <w:rsid w:val="00FF447B"/>
    <w:rsid w:val="00FF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B37B"/>
  <w15:docId w15:val="{4E12F990-67DF-434A-86F2-F9EAD1B1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uiPriority w:val="99"/>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uiPriority w:val="99"/>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56EB9"/>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D7C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567E66"/>
    <w:rPr>
      <w:rFonts w:cs="Times New Roman"/>
      <w:b/>
      <w:bCs/>
    </w:rPr>
  </w:style>
  <w:style w:type="paragraph" w:customStyle="1" w:styleId="ti-doc-eph">
    <w:name w:val="ti-doc-eph"/>
    <w:basedOn w:val="Normal"/>
    <w:rsid w:val="00D10D81"/>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82135534">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248542115">
      <w:bodyDiv w:val="1"/>
      <w:marLeft w:val="0"/>
      <w:marRight w:val="0"/>
      <w:marTop w:val="0"/>
      <w:marBottom w:val="0"/>
      <w:divBdr>
        <w:top w:val="none" w:sz="0" w:space="0" w:color="auto"/>
        <w:left w:val="none" w:sz="0" w:space="0" w:color="auto"/>
        <w:bottom w:val="none" w:sz="0" w:space="0" w:color="auto"/>
        <w:right w:val="none" w:sz="0" w:space="0" w:color="auto"/>
      </w:divBdr>
    </w:div>
    <w:div w:id="306132588">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60933746">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417095936">
      <w:bodyDiv w:val="1"/>
      <w:marLeft w:val="0"/>
      <w:marRight w:val="0"/>
      <w:marTop w:val="0"/>
      <w:marBottom w:val="0"/>
      <w:divBdr>
        <w:top w:val="none" w:sz="0" w:space="0" w:color="auto"/>
        <w:left w:val="none" w:sz="0" w:space="0" w:color="auto"/>
        <w:bottom w:val="none" w:sz="0" w:space="0" w:color="auto"/>
        <w:right w:val="none" w:sz="0" w:space="0" w:color="auto"/>
      </w:divBdr>
    </w:div>
    <w:div w:id="682779481">
      <w:bodyDiv w:val="1"/>
      <w:marLeft w:val="0"/>
      <w:marRight w:val="0"/>
      <w:marTop w:val="0"/>
      <w:marBottom w:val="0"/>
      <w:divBdr>
        <w:top w:val="none" w:sz="0" w:space="0" w:color="auto"/>
        <w:left w:val="none" w:sz="0" w:space="0" w:color="auto"/>
        <w:bottom w:val="none" w:sz="0" w:space="0" w:color="auto"/>
        <w:right w:val="none" w:sz="0" w:space="0" w:color="auto"/>
      </w:divBdr>
    </w:div>
    <w:div w:id="687290025">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766777242">
      <w:bodyDiv w:val="1"/>
      <w:marLeft w:val="0"/>
      <w:marRight w:val="0"/>
      <w:marTop w:val="0"/>
      <w:marBottom w:val="0"/>
      <w:divBdr>
        <w:top w:val="none" w:sz="0" w:space="0" w:color="auto"/>
        <w:left w:val="none" w:sz="0" w:space="0" w:color="auto"/>
        <w:bottom w:val="none" w:sz="0" w:space="0" w:color="auto"/>
        <w:right w:val="none" w:sz="0" w:space="0" w:color="auto"/>
      </w:divBdr>
    </w:div>
    <w:div w:id="777485480">
      <w:bodyDiv w:val="1"/>
      <w:marLeft w:val="0"/>
      <w:marRight w:val="0"/>
      <w:marTop w:val="0"/>
      <w:marBottom w:val="0"/>
      <w:divBdr>
        <w:top w:val="none" w:sz="0" w:space="0" w:color="auto"/>
        <w:left w:val="none" w:sz="0" w:space="0" w:color="auto"/>
        <w:bottom w:val="none" w:sz="0" w:space="0" w:color="auto"/>
        <w:right w:val="none" w:sz="0" w:space="0" w:color="auto"/>
      </w:divBdr>
    </w:div>
    <w:div w:id="791633972">
      <w:bodyDiv w:val="1"/>
      <w:marLeft w:val="0"/>
      <w:marRight w:val="0"/>
      <w:marTop w:val="0"/>
      <w:marBottom w:val="0"/>
      <w:divBdr>
        <w:top w:val="none" w:sz="0" w:space="0" w:color="auto"/>
        <w:left w:val="none" w:sz="0" w:space="0" w:color="auto"/>
        <w:bottom w:val="none" w:sz="0" w:space="0" w:color="auto"/>
        <w:right w:val="none" w:sz="0" w:space="0" w:color="auto"/>
      </w:divBdr>
    </w:div>
    <w:div w:id="795607595">
      <w:bodyDiv w:val="1"/>
      <w:marLeft w:val="0"/>
      <w:marRight w:val="0"/>
      <w:marTop w:val="0"/>
      <w:marBottom w:val="0"/>
      <w:divBdr>
        <w:top w:val="none" w:sz="0" w:space="0" w:color="auto"/>
        <w:left w:val="none" w:sz="0" w:space="0" w:color="auto"/>
        <w:bottom w:val="none" w:sz="0" w:space="0" w:color="auto"/>
        <w:right w:val="none" w:sz="0" w:space="0" w:color="auto"/>
      </w:divBdr>
    </w:div>
    <w:div w:id="1051810417">
      <w:bodyDiv w:val="1"/>
      <w:marLeft w:val="0"/>
      <w:marRight w:val="0"/>
      <w:marTop w:val="0"/>
      <w:marBottom w:val="0"/>
      <w:divBdr>
        <w:top w:val="none" w:sz="0" w:space="0" w:color="auto"/>
        <w:left w:val="none" w:sz="0" w:space="0" w:color="auto"/>
        <w:bottom w:val="none" w:sz="0" w:space="0" w:color="auto"/>
        <w:right w:val="none" w:sz="0" w:space="0" w:color="auto"/>
      </w:divBdr>
    </w:div>
    <w:div w:id="1089160137">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262101486">
      <w:bodyDiv w:val="1"/>
      <w:marLeft w:val="0"/>
      <w:marRight w:val="0"/>
      <w:marTop w:val="0"/>
      <w:marBottom w:val="0"/>
      <w:divBdr>
        <w:top w:val="none" w:sz="0" w:space="0" w:color="auto"/>
        <w:left w:val="none" w:sz="0" w:space="0" w:color="auto"/>
        <w:bottom w:val="none" w:sz="0" w:space="0" w:color="auto"/>
        <w:right w:val="none" w:sz="0" w:space="0" w:color="auto"/>
      </w:divBdr>
    </w:div>
    <w:div w:id="1266960960">
      <w:bodyDiv w:val="1"/>
      <w:marLeft w:val="0"/>
      <w:marRight w:val="0"/>
      <w:marTop w:val="0"/>
      <w:marBottom w:val="0"/>
      <w:divBdr>
        <w:top w:val="none" w:sz="0" w:space="0" w:color="auto"/>
        <w:left w:val="none" w:sz="0" w:space="0" w:color="auto"/>
        <w:bottom w:val="none" w:sz="0" w:space="0" w:color="auto"/>
        <w:right w:val="none" w:sz="0" w:space="0" w:color="auto"/>
      </w:divBdr>
    </w:div>
    <w:div w:id="1386684998">
      <w:bodyDiv w:val="1"/>
      <w:marLeft w:val="0"/>
      <w:marRight w:val="0"/>
      <w:marTop w:val="0"/>
      <w:marBottom w:val="0"/>
      <w:divBdr>
        <w:top w:val="none" w:sz="0" w:space="0" w:color="auto"/>
        <w:left w:val="none" w:sz="0" w:space="0" w:color="auto"/>
        <w:bottom w:val="none" w:sz="0" w:space="0" w:color="auto"/>
        <w:right w:val="none" w:sz="0" w:space="0" w:color="auto"/>
      </w:divBdr>
    </w:div>
    <w:div w:id="1439252152">
      <w:bodyDiv w:val="1"/>
      <w:marLeft w:val="0"/>
      <w:marRight w:val="0"/>
      <w:marTop w:val="0"/>
      <w:marBottom w:val="0"/>
      <w:divBdr>
        <w:top w:val="none" w:sz="0" w:space="0" w:color="auto"/>
        <w:left w:val="none" w:sz="0" w:space="0" w:color="auto"/>
        <w:bottom w:val="none" w:sz="0" w:space="0" w:color="auto"/>
        <w:right w:val="none" w:sz="0" w:space="0" w:color="auto"/>
      </w:divBdr>
    </w:div>
    <w:div w:id="1485968909">
      <w:bodyDiv w:val="1"/>
      <w:marLeft w:val="0"/>
      <w:marRight w:val="0"/>
      <w:marTop w:val="0"/>
      <w:marBottom w:val="0"/>
      <w:divBdr>
        <w:top w:val="none" w:sz="0" w:space="0" w:color="auto"/>
        <w:left w:val="none" w:sz="0" w:space="0" w:color="auto"/>
        <w:bottom w:val="none" w:sz="0" w:space="0" w:color="auto"/>
        <w:right w:val="none" w:sz="0" w:space="0" w:color="auto"/>
      </w:divBdr>
    </w:div>
    <w:div w:id="1547059750">
      <w:bodyDiv w:val="1"/>
      <w:marLeft w:val="0"/>
      <w:marRight w:val="0"/>
      <w:marTop w:val="0"/>
      <w:marBottom w:val="0"/>
      <w:divBdr>
        <w:top w:val="none" w:sz="0" w:space="0" w:color="auto"/>
        <w:left w:val="none" w:sz="0" w:space="0" w:color="auto"/>
        <w:bottom w:val="none" w:sz="0" w:space="0" w:color="auto"/>
        <w:right w:val="none" w:sz="0" w:space="0" w:color="auto"/>
      </w:divBdr>
    </w:div>
    <w:div w:id="1553079769">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794323813">
      <w:bodyDiv w:val="1"/>
      <w:marLeft w:val="0"/>
      <w:marRight w:val="0"/>
      <w:marTop w:val="0"/>
      <w:marBottom w:val="0"/>
      <w:divBdr>
        <w:top w:val="none" w:sz="0" w:space="0" w:color="auto"/>
        <w:left w:val="none" w:sz="0" w:space="0" w:color="auto"/>
        <w:bottom w:val="none" w:sz="0" w:space="0" w:color="auto"/>
        <w:right w:val="none" w:sz="0" w:space="0" w:color="auto"/>
      </w:divBdr>
    </w:div>
    <w:div w:id="1846050326">
      <w:bodyDiv w:val="1"/>
      <w:marLeft w:val="0"/>
      <w:marRight w:val="0"/>
      <w:marTop w:val="0"/>
      <w:marBottom w:val="0"/>
      <w:divBdr>
        <w:top w:val="none" w:sz="0" w:space="0" w:color="auto"/>
        <w:left w:val="none" w:sz="0" w:space="0" w:color="auto"/>
        <w:bottom w:val="none" w:sz="0" w:space="0" w:color="auto"/>
        <w:right w:val="none" w:sz="0" w:space="0" w:color="auto"/>
      </w:divBdr>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4290-0714-4E64-85DB-5F78D501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16813</Words>
  <Characters>9584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„Uzņēmējdarbība un inovācijas” papildinājuma 2.3.2.2.aktivitātes „Atbalsts ieguldījumiem mikro, maziem un vidējiem komersantiem” 2.3.2.2.3.apakšaktivitāti „Atbalsts ieguldījumiem infrastruktūrā uzņēmējdarbības attīstībai”” sākotnējās ietekmes novērtējuma ziņojums (anotācija)</dc:title>
  <dc:subject>Anotācija</dc:subject>
  <dc:creator>Andrejs Zambžetskis</dc:creator>
  <dc:description>tālr. 67083944, 
Andrejs.Zambzetskis@fm.gov.lv</dc:description>
  <cp:lastModifiedBy>Liene Strēlniece</cp:lastModifiedBy>
  <cp:revision>126</cp:revision>
  <cp:lastPrinted>2014-11-22T10:37:00Z</cp:lastPrinted>
  <dcterms:created xsi:type="dcterms:W3CDTF">2014-10-28T15:31:00Z</dcterms:created>
  <dcterms:modified xsi:type="dcterms:W3CDTF">2014-11-26T06:39:00Z</dcterms:modified>
</cp:coreProperties>
</file>