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339" w:rsidRPr="00A30250" w:rsidRDefault="003F4905" w:rsidP="002E2B4C">
      <w:pPr>
        <w:spacing w:after="0"/>
        <w:ind w:left="0"/>
        <w:jc w:val="center"/>
        <w:rPr>
          <w:rFonts w:ascii="Times New Roman" w:hAnsi="Times New Roman" w:cs="Times New Roman"/>
          <w:b/>
          <w:sz w:val="28"/>
          <w:szCs w:val="28"/>
        </w:rPr>
      </w:pPr>
      <w:bookmarkStart w:id="0" w:name="OLE_LINK1"/>
      <w:bookmarkStart w:id="1" w:name="OLE_LINK2"/>
      <w:r w:rsidRPr="00A30250">
        <w:rPr>
          <w:rFonts w:ascii="Times New Roman" w:hAnsi="Times New Roman" w:cs="Times New Roman"/>
          <w:b/>
          <w:sz w:val="28"/>
          <w:szCs w:val="28"/>
        </w:rPr>
        <w:t>Noteikumu projekta</w:t>
      </w:r>
      <w:bookmarkStart w:id="2" w:name="OLE_LINK5"/>
      <w:bookmarkStart w:id="3" w:name="OLE_LINK6"/>
    </w:p>
    <w:bookmarkEnd w:id="0"/>
    <w:bookmarkEnd w:id="1"/>
    <w:bookmarkEnd w:id="2"/>
    <w:bookmarkEnd w:id="3"/>
    <w:p w:rsidR="002E2B4C" w:rsidRPr="00A30250" w:rsidRDefault="00C0468E" w:rsidP="002E2B4C">
      <w:pPr>
        <w:spacing w:after="0"/>
        <w:ind w:left="0"/>
        <w:jc w:val="center"/>
        <w:rPr>
          <w:rFonts w:ascii="Times New Roman" w:hAnsi="Times New Roman" w:cs="Times New Roman"/>
          <w:b/>
          <w:sz w:val="28"/>
          <w:szCs w:val="28"/>
        </w:rPr>
      </w:pPr>
      <w:r w:rsidRPr="00A30250">
        <w:rPr>
          <w:rFonts w:ascii="Times New Roman" w:hAnsi="Times New Roman" w:cs="Times New Roman"/>
          <w:b/>
          <w:sz w:val="28"/>
          <w:szCs w:val="28"/>
        </w:rPr>
        <w:t>“</w:t>
      </w:r>
      <w:r w:rsidR="00FE7497" w:rsidRPr="00A30250">
        <w:rPr>
          <w:rFonts w:ascii="Times New Roman" w:hAnsi="Times New Roman" w:cs="Times New Roman"/>
          <w:b/>
          <w:sz w:val="28"/>
          <w:szCs w:val="28"/>
        </w:rPr>
        <w:t>Pagaidu uzglabāšanas noteikumi</w:t>
      </w:r>
      <w:r w:rsidR="00BE0193" w:rsidRPr="00A30250">
        <w:rPr>
          <w:rFonts w:ascii="Times New Roman" w:hAnsi="Times New Roman" w:cs="Times New Roman"/>
          <w:b/>
          <w:sz w:val="28"/>
          <w:szCs w:val="28"/>
        </w:rPr>
        <w:t>”</w:t>
      </w:r>
    </w:p>
    <w:p w:rsidR="00C26070" w:rsidRPr="00A30250" w:rsidRDefault="00C26070" w:rsidP="002E2B4C">
      <w:pPr>
        <w:spacing w:after="0"/>
        <w:ind w:left="0"/>
        <w:jc w:val="center"/>
        <w:rPr>
          <w:rFonts w:ascii="Times New Roman" w:eastAsia="Times New Roman" w:hAnsi="Times New Roman" w:cs="Times New Roman"/>
          <w:b/>
          <w:bCs/>
          <w:sz w:val="28"/>
          <w:szCs w:val="28"/>
          <w:lang w:eastAsia="lv-LV"/>
        </w:rPr>
      </w:pPr>
      <w:r w:rsidRPr="00A30250">
        <w:rPr>
          <w:rFonts w:ascii="Times New Roman" w:eastAsia="Times New Roman" w:hAnsi="Times New Roman" w:cs="Times New Roman"/>
          <w:b/>
          <w:bCs/>
          <w:sz w:val="28"/>
          <w:szCs w:val="28"/>
          <w:lang w:eastAsia="lv-LV"/>
        </w:rPr>
        <w:t>sākotnējās ietekmes novērtējuma ziņojums (anotācija)</w:t>
      </w:r>
    </w:p>
    <w:p w:rsidR="00EA67A7" w:rsidRPr="000C7511" w:rsidRDefault="00EA67A7" w:rsidP="00EA67A7">
      <w:pPr>
        <w:spacing w:after="0"/>
        <w:ind w:left="0"/>
        <w:jc w:val="center"/>
        <w:rPr>
          <w:rFonts w:ascii="Times New Roman" w:eastAsia="Times New Roman" w:hAnsi="Times New Roman" w:cs="Times New Roman"/>
          <w:sz w:val="24"/>
          <w:szCs w:val="24"/>
          <w:lang w:eastAsia="lv-LV"/>
        </w:rPr>
      </w:pPr>
    </w:p>
    <w:tbl>
      <w:tblPr>
        <w:tblW w:w="908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24"/>
        <w:gridCol w:w="101"/>
        <w:gridCol w:w="41"/>
        <w:gridCol w:w="1134"/>
        <w:gridCol w:w="850"/>
        <w:gridCol w:w="136"/>
        <w:gridCol w:w="6"/>
        <w:gridCol w:w="142"/>
        <w:gridCol w:w="567"/>
        <w:gridCol w:w="283"/>
        <w:gridCol w:w="1770"/>
        <w:gridCol w:w="498"/>
        <w:gridCol w:w="2835"/>
      </w:tblGrid>
      <w:tr w:rsidR="00C26070" w:rsidRPr="000C7511" w:rsidTr="006B2B45">
        <w:trPr>
          <w:tblCellSpacing w:w="0" w:type="dxa"/>
        </w:trPr>
        <w:tc>
          <w:tcPr>
            <w:tcW w:w="9087" w:type="dxa"/>
            <w:gridSpan w:val="13"/>
            <w:tcBorders>
              <w:top w:val="outset" w:sz="6" w:space="0" w:color="auto"/>
              <w:left w:val="outset" w:sz="6" w:space="0" w:color="auto"/>
              <w:bottom w:val="outset" w:sz="6" w:space="0" w:color="auto"/>
              <w:right w:val="outset" w:sz="6" w:space="0" w:color="auto"/>
            </w:tcBorders>
            <w:vAlign w:val="center"/>
            <w:hideMark/>
          </w:tcPr>
          <w:p w:rsidR="00C26070" w:rsidRPr="000C7511" w:rsidRDefault="00C26070" w:rsidP="008F215A">
            <w:pPr>
              <w:spacing w:after="0"/>
              <w:ind w:left="0" w:firstLine="1708"/>
              <w:jc w:val="center"/>
              <w:rPr>
                <w:rFonts w:ascii="Times New Roman" w:eastAsia="Times New Roman" w:hAnsi="Times New Roman" w:cs="Times New Roman"/>
                <w:sz w:val="24"/>
                <w:szCs w:val="24"/>
                <w:lang w:eastAsia="lv-LV"/>
              </w:rPr>
            </w:pPr>
            <w:r w:rsidRPr="000C7511">
              <w:rPr>
                <w:rFonts w:ascii="Times New Roman" w:eastAsia="Times New Roman" w:hAnsi="Times New Roman" w:cs="Times New Roman"/>
                <w:b/>
                <w:bCs/>
                <w:sz w:val="24"/>
                <w:szCs w:val="24"/>
                <w:lang w:eastAsia="lv-LV"/>
              </w:rPr>
              <w:t>I. Tiesību akta projekta izstrādes nepieciešamība</w:t>
            </w:r>
          </w:p>
        </w:tc>
      </w:tr>
      <w:tr w:rsidR="006B2B45" w:rsidRPr="000C7511" w:rsidTr="006B2B45">
        <w:trPr>
          <w:trHeight w:val="428"/>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C26070" w:rsidRPr="000C7511" w:rsidRDefault="00C26070" w:rsidP="008F215A">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 1.</w:t>
            </w:r>
          </w:p>
        </w:tc>
        <w:tc>
          <w:tcPr>
            <w:tcW w:w="2161" w:type="dxa"/>
            <w:gridSpan w:val="4"/>
            <w:tcBorders>
              <w:top w:val="outset" w:sz="6" w:space="0" w:color="auto"/>
              <w:left w:val="outset" w:sz="6" w:space="0" w:color="auto"/>
              <w:bottom w:val="outset" w:sz="6" w:space="0" w:color="auto"/>
              <w:right w:val="outset" w:sz="6" w:space="0" w:color="auto"/>
            </w:tcBorders>
            <w:hideMark/>
          </w:tcPr>
          <w:p w:rsidR="00C26070" w:rsidRPr="000C7511" w:rsidRDefault="00C26070" w:rsidP="00A47322">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Pamatojums</w:t>
            </w:r>
          </w:p>
        </w:tc>
        <w:tc>
          <w:tcPr>
            <w:tcW w:w="6101" w:type="dxa"/>
            <w:gridSpan w:val="7"/>
            <w:tcBorders>
              <w:top w:val="outset" w:sz="6" w:space="0" w:color="auto"/>
              <w:left w:val="outset" w:sz="6" w:space="0" w:color="auto"/>
              <w:bottom w:val="outset" w:sz="6" w:space="0" w:color="auto"/>
              <w:right w:val="outset" w:sz="6" w:space="0" w:color="auto"/>
            </w:tcBorders>
            <w:hideMark/>
          </w:tcPr>
          <w:p w:rsidR="00253090" w:rsidRPr="000C7511" w:rsidRDefault="008D2B1D" w:rsidP="000C7511">
            <w:pPr>
              <w:pStyle w:val="NoSpacing"/>
              <w:ind w:left="133" w:right="126"/>
              <w:jc w:val="both"/>
              <w:rPr>
                <w:sz w:val="24"/>
                <w:szCs w:val="24"/>
                <w:lang w:val="lv-LV"/>
              </w:rPr>
            </w:pPr>
            <w:r w:rsidRPr="000C7511">
              <w:rPr>
                <w:sz w:val="24"/>
                <w:szCs w:val="24"/>
                <w:lang w:val="lv-LV"/>
              </w:rPr>
              <w:t xml:space="preserve">Atbilstoši </w:t>
            </w:r>
            <w:r w:rsidR="00253090" w:rsidRPr="000C7511">
              <w:rPr>
                <w:sz w:val="24"/>
                <w:szCs w:val="24"/>
                <w:lang w:val="lv-LV"/>
              </w:rPr>
              <w:t>Muitas likuma 4.panta treš</w:t>
            </w:r>
            <w:r w:rsidR="008F7EB5" w:rsidRPr="000C7511">
              <w:rPr>
                <w:sz w:val="24"/>
                <w:szCs w:val="24"/>
                <w:lang w:val="lv-LV"/>
              </w:rPr>
              <w:t>aj</w:t>
            </w:r>
            <w:r w:rsidR="00253090" w:rsidRPr="000C7511">
              <w:rPr>
                <w:sz w:val="24"/>
                <w:szCs w:val="24"/>
                <w:lang w:val="lv-LV"/>
              </w:rPr>
              <w:t>ā daļ</w:t>
            </w:r>
            <w:r w:rsidRPr="000C7511">
              <w:rPr>
                <w:sz w:val="24"/>
                <w:szCs w:val="24"/>
                <w:lang w:val="lv-LV"/>
              </w:rPr>
              <w:t>ā noteiktajam deleģējumam</w:t>
            </w:r>
            <w:r w:rsidR="00376A25" w:rsidRPr="000C7511">
              <w:rPr>
                <w:sz w:val="24"/>
                <w:szCs w:val="24"/>
                <w:lang w:val="lv-LV"/>
              </w:rPr>
              <w:t>.</w:t>
            </w:r>
          </w:p>
          <w:p w:rsidR="00E829E0" w:rsidRPr="000C7511" w:rsidRDefault="003A3B3C" w:rsidP="000C7511">
            <w:pPr>
              <w:pStyle w:val="NoSpacing"/>
              <w:ind w:left="133" w:right="126"/>
              <w:jc w:val="both"/>
              <w:rPr>
                <w:sz w:val="24"/>
                <w:szCs w:val="24"/>
                <w:lang w:val="lv-LV"/>
              </w:rPr>
            </w:pPr>
            <w:r w:rsidRPr="000C7511">
              <w:rPr>
                <w:sz w:val="24"/>
                <w:szCs w:val="24"/>
                <w:lang w:val="lv-LV"/>
              </w:rPr>
              <w:t xml:space="preserve">Saskaņā ar </w:t>
            </w:r>
            <w:r w:rsidR="00FE7497" w:rsidRPr="000C7511">
              <w:rPr>
                <w:sz w:val="24"/>
                <w:szCs w:val="24"/>
                <w:lang w:val="lv-LV"/>
              </w:rPr>
              <w:t>Padomes 1992.gada 12.oktobra Regula</w:t>
            </w:r>
            <w:r w:rsidR="008F7EB5" w:rsidRPr="000C7511">
              <w:rPr>
                <w:sz w:val="24"/>
                <w:szCs w:val="24"/>
                <w:lang w:val="lv-LV"/>
              </w:rPr>
              <w:t>s</w:t>
            </w:r>
            <w:r w:rsidR="00FE7497" w:rsidRPr="000C7511">
              <w:rPr>
                <w:sz w:val="24"/>
                <w:szCs w:val="24"/>
                <w:lang w:val="lv-LV"/>
              </w:rPr>
              <w:t xml:space="preserve"> (EEK) Nr.2913/92 par Kopienas Muitas kodeksa izveidi</w:t>
            </w:r>
            <w:r w:rsidR="00CC243A" w:rsidRPr="000C7511">
              <w:rPr>
                <w:sz w:val="24"/>
                <w:szCs w:val="24"/>
                <w:lang w:val="lv-LV"/>
              </w:rPr>
              <w:t xml:space="preserve"> (turpmāk – </w:t>
            </w:r>
            <w:r w:rsidR="0078111D" w:rsidRPr="000C7511">
              <w:rPr>
                <w:sz w:val="24"/>
                <w:szCs w:val="24"/>
                <w:lang w:val="lv-LV"/>
              </w:rPr>
              <w:t>R</w:t>
            </w:r>
            <w:r w:rsidR="00CC243A" w:rsidRPr="000C7511">
              <w:rPr>
                <w:sz w:val="24"/>
                <w:szCs w:val="24"/>
                <w:lang w:val="lv-LV"/>
              </w:rPr>
              <w:t xml:space="preserve">egula Nr.2913/92) </w:t>
            </w:r>
            <w:r w:rsidR="00FE7497" w:rsidRPr="000C7511">
              <w:rPr>
                <w:sz w:val="24"/>
                <w:szCs w:val="24"/>
                <w:lang w:val="lv-LV"/>
              </w:rPr>
              <w:t>un Komisijas 1993.gada 2.jūlija Regula</w:t>
            </w:r>
            <w:r w:rsidR="008F7EB5" w:rsidRPr="000C7511">
              <w:rPr>
                <w:sz w:val="24"/>
                <w:szCs w:val="24"/>
                <w:lang w:val="lv-LV"/>
              </w:rPr>
              <w:t>s</w:t>
            </w:r>
            <w:r w:rsidR="00FE7497" w:rsidRPr="000C7511">
              <w:rPr>
                <w:sz w:val="24"/>
                <w:szCs w:val="24"/>
                <w:lang w:val="lv-LV"/>
              </w:rPr>
              <w:t xml:space="preserve"> (EEK) Nr.2454/93, ar ko nosaka īstenošanas noteikumus Padomes Regulai Nr.2913/92 par Kopienas Muitas kodeksa izveidi</w:t>
            </w:r>
            <w:r w:rsidR="00CC243A" w:rsidRPr="000C7511">
              <w:rPr>
                <w:sz w:val="24"/>
                <w:szCs w:val="24"/>
                <w:lang w:val="lv-LV"/>
              </w:rPr>
              <w:t xml:space="preserve"> (turpmāk – </w:t>
            </w:r>
            <w:r w:rsidR="0078111D" w:rsidRPr="000C7511">
              <w:rPr>
                <w:sz w:val="24"/>
                <w:szCs w:val="24"/>
                <w:lang w:val="lv-LV"/>
              </w:rPr>
              <w:t>R</w:t>
            </w:r>
            <w:r w:rsidR="00CC243A" w:rsidRPr="000C7511">
              <w:rPr>
                <w:sz w:val="24"/>
                <w:szCs w:val="24"/>
                <w:lang w:val="lv-LV"/>
              </w:rPr>
              <w:t>egula Nr.2454/93)</w:t>
            </w:r>
            <w:r w:rsidR="00356A57" w:rsidRPr="000C7511">
              <w:rPr>
                <w:sz w:val="24"/>
                <w:szCs w:val="24"/>
                <w:lang w:val="lv-LV"/>
              </w:rPr>
              <w:t>,</w:t>
            </w:r>
            <w:r w:rsidRPr="000C7511">
              <w:rPr>
                <w:sz w:val="24"/>
                <w:szCs w:val="24"/>
                <w:lang w:val="lv-LV"/>
              </w:rPr>
              <w:t xml:space="preserve"> nosacījumiem pakāpeniski tiek ieviestas jaunas muitas deklarēšanas sistēmas, kas nodrošinās muitas normatīvajos aktos noteikto deklarāciju iesniegšanu tikai elektroniski</w:t>
            </w:r>
            <w:r w:rsidR="00161B6F" w:rsidRPr="000C7511">
              <w:rPr>
                <w:sz w:val="24"/>
                <w:szCs w:val="24"/>
                <w:lang w:val="lv-LV"/>
              </w:rPr>
              <w:t>.</w:t>
            </w:r>
          </w:p>
          <w:p w:rsidR="006B2269" w:rsidRPr="000C7511" w:rsidRDefault="003A3B3C" w:rsidP="000C7511">
            <w:pPr>
              <w:pStyle w:val="NoSpacing"/>
              <w:ind w:left="133" w:right="126"/>
              <w:jc w:val="both"/>
              <w:rPr>
                <w:sz w:val="24"/>
                <w:szCs w:val="24"/>
                <w:lang w:val="lv-LV" w:eastAsia="lv-LV"/>
              </w:rPr>
            </w:pPr>
            <w:r w:rsidRPr="000C7511">
              <w:rPr>
                <w:sz w:val="24"/>
                <w:szCs w:val="24"/>
                <w:lang w:val="lv-LV"/>
              </w:rPr>
              <w:t xml:space="preserve">Saskaņā ar Ministru kabineta 2010.gada 22.novembra rīkojuma Nr.675 “Par Elektroniskās muitas datu apstrādes sistēmas (EMDAS) darbības koncepciju” apstiprinātās Elektroniskās muitas datu apstrādes sistēmas </w:t>
            </w:r>
            <w:r w:rsidR="002760BC" w:rsidRPr="000C7511">
              <w:rPr>
                <w:sz w:val="24"/>
                <w:szCs w:val="24"/>
                <w:lang w:val="lv-LV"/>
              </w:rPr>
              <w:t xml:space="preserve">(EMDAS) </w:t>
            </w:r>
            <w:r w:rsidRPr="000C7511">
              <w:rPr>
                <w:sz w:val="24"/>
                <w:szCs w:val="24"/>
                <w:lang w:val="lv-LV"/>
              </w:rPr>
              <w:t xml:space="preserve">darbības koncepcijas kopsavilkuma 1.punkta un Ministru kabineta 2010.gada 22.novembra rīkojuma Nr.675 “Par Elektroniskās muitas datu apstrādes sistēmas (EMDAS) darbības koncepciju” 4.punkta nosacījumiem </w:t>
            </w:r>
            <w:r w:rsidRPr="000C7511">
              <w:rPr>
                <w:sz w:val="24"/>
                <w:szCs w:val="24"/>
                <w:lang w:val="lv-LV" w:eastAsia="lv-LV"/>
              </w:rPr>
              <w:t>Elektroniskā</w:t>
            </w:r>
            <w:r w:rsidR="008F7EB5" w:rsidRPr="000C7511">
              <w:rPr>
                <w:sz w:val="24"/>
                <w:szCs w:val="24"/>
                <w:lang w:val="lv-LV" w:eastAsia="lv-LV"/>
              </w:rPr>
              <w:t>s</w:t>
            </w:r>
            <w:r w:rsidRPr="000C7511">
              <w:rPr>
                <w:sz w:val="24"/>
                <w:szCs w:val="24"/>
                <w:lang w:val="lv-LV" w:eastAsia="lv-LV"/>
              </w:rPr>
              <w:t xml:space="preserve"> muitas datu apstrādes sistēmas</w:t>
            </w:r>
            <w:r w:rsidR="00356A57" w:rsidRPr="000C7511">
              <w:rPr>
                <w:sz w:val="24"/>
                <w:szCs w:val="24"/>
                <w:lang w:val="lv-LV" w:eastAsia="lv-LV"/>
              </w:rPr>
              <w:t xml:space="preserve"> (EMDAS)</w:t>
            </w:r>
            <w:r w:rsidRPr="000C7511">
              <w:rPr>
                <w:sz w:val="24"/>
                <w:szCs w:val="24"/>
                <w:lang w:val="lv-LV" w:eastAsia="lv-LV"/>
              </w:rPr>
              <w:t xml:space="preserve"> projekta ietvaros tiek izstrādāta savstarpēji integrēta elektroniskā sistēma, kas ļaus preču pagaidu uzglabāšanas datus iesniegt</w:t>
            </w:r>
            <w:r w:rsidR="004C3FB5" w:rsidRPr="000C7511">
              <w:rPr>
                <w:sz w:val="24"/>
                <w:szCs w:val="24"/>
                <w:lang w:val="lv-LV" w:eastAsia="lv-LV"/>
              </w:rPr>
              <w:t>,</w:t>
            </w:r>
            <w:r w:rsidR="00C872E0" w:rsidRPr="000C7511">
              <w:rPr>
                <w:sz w:val="24"/>
                <w:szCs w:val="24"/>
                <w:lang w:val="lv-LV" w:eastAsia="lv-LV"/>
              </w:rPr>
              <w:t xml:space="preserve"> </w:t>
            </w:r>
            <w:r w:rsidRPr="000C7511">
              <w:rPr>
                <w:sz w:val="24"/>
                <w:szCs w:val="24"/>
                <w:lang w:val="lv-LV" w:eastAsia="lv-LV"/>
              </w:rPr>
              <w:t>apstrādāt</w:t>
            </w:r>
            <w:r w:rsidR="004C3FB5" w:rsidRPr="000C7511">
              <w:rPr>
                <w:sz w:val="24"/>
                <w:szCs w:val="24"/>
                <w:lang w:val="lv-LV" w:eastAsia="lv-LV"/>
              </w:rPr>
              <w:t xml:space="preserve"> un uzskaitīt</w:t>
            </w:r>
            <w:r w:rsidRPr="000C7511">
              <w:rPr>
                <w:sz w:val="24"/>
                <w:szCs w:val="24"/>
                <w:lang w:val="lv-LV" w:eastAsia="lv-LV"/>
              </w:rPr>
              <w:t xml:space="preserve"> elektroniski Valsts ieņēmumu dienesta </w:t>
            </w:r>
            <w:r w:rsidR="008F7EB5" w:rsidRPr="000C7511">
              <w:rPr>
                <w:sz w:val="24"/>
                <w:szCs w:val="24"/>
                <w:lang w:val="lv-LV" w:eastAsia="lv-LV"/>
              </w:rPr>
              <w:t>e</w:t>
            </w:r>
            <w:r w:rsidRPr="000C7511">
              <w:rPr>
                <w:sz w:val="24"/>
                <w:szCs w:val="24"/>
                <w:lang w:val="lv-LV" w:eastAsia="lv-LV"/>
              </w:rPr>
              <w:t>lektroniskā</w:t>
            </w:r>
            <w:r w:rsidR="008F7EB5" w:rsidRPr="000C7511">
              <w:rPr>
                <w:sz w:val="24"/>
                <w:szCs w:val="24"/>
                <w:lang w:val="lv-LV" w:eastAsia="lv-LV"/>
              </w:rPr>
              <w:t>s</w:t>
            </w:r>
            <w:r w:rsidRPr="000C7511">
              <w:rPr>
                <w:sz w:val="24"/>
                <w:szCs w:val="24"/>
                <w:lang w:val="lv-LV" w:eastAsia="lv-LV"/>
              </w:rPr>
              <w:t xml:space="preserve"> deklarēšanas sistēmā (turpmāk – Elektroniskā</w:t>
            </w:r>
            <w:r w:rsidR="00356A57" w:rsidRPr="000C7511">
              <w:rPr>
                <w:sz w:val="24"/>
                <w:szCs w:val="24"/>
                <w:lang w:val="lv-LV" w:eastAsia="lv-LV"/>
              </w:rPr>
              <w:t>s</w:t>
            </w:r>
            <w:r w:rsidRPr="000C7511">
              <w:rPr>
                <w:sz w:val="24"/>
                <w:szCs w:val="24"/>
                <w:lang w:val="lv-LV" w:eastAsia="lv-LV"/>
              </w:rPr>
              <w:t xml:space="preserve"> deklarēšanas sistēm</w:t>
            </w:r>
            <w:r w:rsidR="008F7EB5" w:rsidRPr="000C7511">
              <w:rPr>
                <w:sz w:val="24"/>
                <w:szCs w:val="24"/>
                <w:lang w:val="lv-LV" w:eastAsia="lv-LV"/>
              </w:rPr>
              <w:t>a</w:t>
            </w:r>
            <w:r w:rsidRPr="000C7511">
              <w:rPr>
                <w:sz w:val="24"/>
                <w:szCs w:val="24"/>
                <w:lang w:val="lv-LV" w:eastAsia="lv-LV"/>
              </w:rPr>
              <w:t xml:space="preserve">). Tāpēc jānosaka </w:t>
            </w:r>
            <w:r w:rsidR="00F800BD" w:rsidRPr="000C7511">
              <w:rPr>
                <w:sz w:val="24"/>
                <w:szCs w:val="24"/>
                <w:lang w:val="lv-LV"/>
              </w:rPr>
              <w:t>kārtīb</w:t>
            </w:r>
            <w:r w:rsidR="002A7913" w:rsidRPr="000C7511">
              <w:rPr>
                <w:sz w:val="24"/>
                <w:szCs w:val="24"/>
                <w:lang w:val="lv-LV"/>
              </w:rPr>
              <w:t>a</w:t>
            </w:r>
            <w:r w:rsidR="00C9035C" w:rsidRPr="000C7511">
              <w:rPr>
                <w:sz w:val="24"/>
                <w:szCs w:val="24"/>
                <w:lang w:val="lv-LV"/>
              </w:rPr>
              <w:t>, kādā elektroniski veic</w:t>
            </w:r>
            <w:r w:rsidR="00F800BD" w:rsidRPr="000C7511">
              <w:rPr>
                <w:sz w:val="24"/>
                <w:szCs w:val="24"/>
                <w:lang w:val="lv-LV"/>
              </w:rPr>
              <w:t xml:space="preserve"> </w:t>
            </w:r>
            <w:r w:rsidR="00A817CA" w:rsidRPr="000C7511">
              <w:rPr>
                <w:sz w:val="24"/>
                <w:szCs w:val="24"/>
                <w:lang w:val="lv-LV"/>
              </w:rPr>
              <w:t xml:space="preserve">preču pagaidu uzglabāšanas </w:t>
            </w:r>
            <w:r w:rsidR="002A7913" w:rsidRPr="000C7511">
              <w:rPr>
                <w:sz w:val="24"/>
                <w:szCs w:val="24"/>
                <w:lang w:val="lv-LV"/>
              </w:rPr>
              <w:t xml:space="preserve">deklarēšanu, to uzskaiti, </w:t>
            </w:r>
            <w:r w:rsidR="006B2269" w:rsidRPr="000C7511">
              <w:rPr>
                <w:sz w:val="24"/>
                <w:szCs w:val="24"/>
                <w:lang w:val="lv-LV"/>
              </w:rPr>
              <w:t>kā tiks izsniegtas, grozītas, apturētas</w:t>
            </w:r>
            <w:r w:rsidR="004A28AD" w:rsidRPr="000C7511">
              <w:rPr>
                <w:sz w:val="24"/>
                <w:szCs w:val="24"/>
                <w:lang w:val="lv-LV"/>
              </w:rPr>
              <w:t>, atjaunotas</w:t>
            </w:r>
            <w:r w:rsidR="006B2269" w:rsidRPr="000C7511">
              <w:rPr>
                <w:sz w:val="24"/>
                <w:szCs w:val="24"/>
                <w:lang w:val="lv-LV"/>
              </w:rPr>
              <w:t xml:space="preserve"> un anulētas pagaidu uzglabāšanas vietas turēšanas atļaujas un kādā veidā par to tiks paziņots atļaujas turētājam.</w:t>
            </w:r>
          </w:p>
          <w:p w:rsidR="007C488A" w:rsidRPr="000C7511" w:rsidRDefault="00411B6B" w:rsidP="000C7511">
            <w:pPr>
              <w:pStyle w:val="NoSpacing"/>
              <w:ind w:left="133" w:right="126"/>
              <w:jc w:val="both"/>
              <w:rPr>
                <w:sz w:val="24"/>
                <w:szCs w:val="24"/>
                <w:lang w:val="lv-LV"/>
              </w:rPr>
            </w:pPr>
            <w:r w:rsidRPr="000C7511">
              <w:rPr>
                <w:sz w:val="24"/>
                <w:szCs w:val="24"/>
                <w:lang w:val="lv-LV"/>
              </w:rPr>
              <w:t>Saskaņā ar Padomes 2005.gada 13.aprīļa Regulas (EK) Nr.648/2005, ar ko groza Padomes Regulu (EKK) 2913/92 par Kopienas Muitas kodeksa izveidi, 1.panta 11.punktu</w:t>
            </w:r>
            <w:r w:rsidR="00F0113B" w:rsidRPr="000C7511">
              <w:rPr>
                <w:sz w:val="24"/>
                <w:szCs w:val="24"/>
                <w:lang w:val="lv-LV"/>
              </w:rPr>
              <w:t xml:space="preserve"> </w:t>
            </w:r>
            <w:r w:rsidRPr="000C7511">
              <w:rPr>
                <w:sz w:val="24"/>
                <w:szCs w:val="24"/>
                <w:lang w:val="lv-LV"/>
              </w:rPr>
              <w:t xml:space="preserve">tiek svītrots </w:t>
            </w:r>
            <w:r w:rsidR="0078111D" w:rsidRPr="000C7511">
              <w:rPr>
                <w:sz w:val="24"/>
                <w:szCs w:val="24"/>
                <w:lang w:val="lv-LV"/>
              </w:rPr>
              <w:t>R</w:t>
            </w:r>
            <w:r w:rsidR="00F0113B" w:rsidRPr="000C7511">
              <w:rPr>
                <w:sz w:val="24"/>
                <w:szCs w:val="24"/>
                <w:lang w:val="lv-LV"/>
              </w:rPr>
              <w:t>egula</w:t>
            </w:r>
            <w:r w:rsidRPr="000C7511">
              <w:rPr>
                <w:sz w:val="24"/>
                <w:szCs w:val="24"/>
                <w:lang w:val="lv-LV"/>
              </w:rPr>
              <w:t>s</w:t>
            </w:r>
            <w:r w:rsidR="00F0113B" w:rsidRPr="000C7511">
              <w:rPr>
                <w:sz w:val="24"/>
                <w:szCs w:val="24"/>
                <w:lang w:val="lv-LV"/>
              </w:rPr>
              <w:t xml:space="preserve"> Nr.2913/92</w:t>
            </w:r>
            <w:r w:rsidRPr="000C7511">
              <w:rPr>
                <w:sz w:val="24"/>
                <w:szCs w:val="24"/>
                <w:lang w:val="lv-LV"/>
              </w:rPr>
              <w:t xml:space="preserve"> 44.pants</w:t>
            </w:r>
            <w:r w:rsidR="007C3E4A" w:rsidRPr="000C7511">
              <w:rPr>
                <w:sz w:val="24"/>
                <w:szCs w:val="24"/>
                <w:lang w:val="lv-LV"/>
              </w:rPr>
              <w:t>,</w:t>
            </w:r>
            <w:r w:rsidR="00804715" w:rsidRPr="000C7511">
              <w:rPr>
                <w:sz w:val="24"/>
                <w:szCs w:val="24"/>
                <w:lang w:val="lv-LV"/>
              </w:rPr>
              <w:t xml:space="preserve"> tādējādi</w:t>
            </w:r>
            <w:r w:rsidR="007C3E4A" w:rsidRPr="000C7511">
              <w:rPr>
                <w:sz w:val="24"/>
                <w:szCs w:val="24"/>
                <w:lang w:val="lv-LV"/>
              </w:rPr>
              <w:t xml:space="preserve"> </w:t>
            </w:r>
            <w:r w:rsidR="0078111D" w:rsidRPr="000C7511">
              <w:rPr>
                <w:sz w:val="24"/>
                <w:szCs w:val="24"/>
                <w:lang w:val="lv-LV"/>
              </w:rPr>
              <w:t>R</w:t>
            </w:r>
            <w:r w:rsidR="007C488A" w:rsidRPr="000C7511">
              <w:rPr>
                <w:sz w:val="24"/>
                <w:szCs w:val="24"/>
                <w:lang w:val="lv-LV"/>
              </w:rPr>
              <w:t>egula Nr.2913/92 vairs neparedz terminus “pirmsmuitošana” un “pirmsmuitošanas dokuments”.</w:t>
            </w:r>
          </w:p>
          <w:p w:rsidR="00F41F89" w:rsidRPr="000C7511" w:rsidRDefault="00F41F89" w:rsidP="000C7511">
            <w:pPr>
              <w:pStyle w:val="NoSpacing"/>
              <w:ind w:left="133" w:right="126"/>
              <w:jc w:val="both"/>
              <w:rPr>
                <w:sz w:val="24"/>
                <w:szCs w:val="24"/>
                <w:lang w:val="lv-LV"/>
              </w:rPr>
            </w:pPr>
            <w:r w:rsidRPr="000C7511">
              <w:rPr>
                <w:sz w:val="24"/>
                <w:szCs w:val="24"/>
                <w:lang w:val="lv-LV"/>
              </w:rPr>
              <w:t>Tādēļ turpmāk Ministru kabineta 2006.gada 9.maija noteikumu Nr.370 “Pirmsmuitošanas darbību noteikumi” (turpmāk – Ministru kabineta noteikumi Nr.370) 1.punktā minētās pirmsmuitošanas dokumenta veidlapas vietā izmantos vienu</w:t>
            </w:r>
            <w:r w:rsidRPr="000C7511">
              <w:rPr>
                <w:color w:val="FF0000"/>
                <w:sz w:val="24"/>
                <w:szCs w:val="24"/>
                <w:lang w:val="lv-LV"/>
              </w:rPr>
              <w:t xml:space="preserve"> </w:t>
            </w:r>
            <w:r w:rsidRPr="000C7511">
              <w:rPr>
                <w:sz w:val="24"/>
                <w:szCs w:val="24"/>
                <w:lang w:val="lv-LV"/>
              </w:rPr>
              <w:t xml:space="preserve">no </w:t>
            </w:r>
            <w:r w:rsidR="0078111D" w:rsidRPr="000C7511">
              <w:rPr>
                <w:sz w:val="24"/>
                <w:szCs w:val="24"/>
                <w:lang w:val="lv-LV"/>
              </w:rPr>
              <w:t>R</w:t>
            </w:r>
            <w:r w:rsidRPr="000C7511">
              <w:rPr>
                <w:sz w:val="24"/>
                <w:szCs w:val="24"/>
                <w:lang w:val="lv-LV"/>
              </w:rPr>
              <w:t>egula</w:t>
            </w:r>
            <w:r w:rsidR="00E72369" w:rsidRPr="000C7511">
              <w:rPr>
                <w:sz w:val="24"/>
                <w:szCs w:val="24"/>
                <w:lang w:val="lv-LV"/>
              </w:rPr>
              <w:t>s</w:t>
            </w:r>
            <w:r w:rsidRPr="000C7511">
              <w:rPr>
                <w:sz w:val="24"/>
                <w:szCs w:val="24"/>
                <w:lang w:val="lv-LV"/>
              </w:rPr>
              <w:t xml:space="preserve"> Nr.2454/93 186.pantā minētajiem kopsavilkuma deklarācijas par pagaidu uzglabāšanu veidiem, kurus papildinās ar trūkstošajiem datiem no kopsavilkuma deklarācijas par pagaidu uzglabāšanu</w:t>
            </w:r>
            <w:r w:rsidR="00FF5CB1" w:rsidRPr="000C7511">
              <w:rPr>
                <w:sz w:val="24"/>
                <w:szCs w:val="24"/>
                <w:lang w:val="lv-LV"/>
              </w:rPr>
              <w:t xml:space="preserve"> (turpmāk – kopsavilkuma deklarācija par pagaidu uzglabāšanu)</w:t>
            </w:r>
            <w:r w:rsidRPr="000C7511">
              <w:rPr>
                <w:sz w:val="24"/>
                <w:szCs w:val="24"/>
                <w:lang w:val="lv-LV"/>
              </w:rPr>
              <w:t>.</w:t>
            </w:r>
          </w:p>
          <w:p w:rsidR="00F41F89" w:rsidRPr="000C7511" w:rsidRDefault="00F41F89" w:rsidP="000C7511">
            <w:pPr>
              <w:pStyle w:val="NoSpacing"/>
              <w:ind w:left="133" w:right="126"/>
              <w:jc w:val="both"/>
              <w:rPr>
                <w:sz w:val="24"/>
                <w:szCs w:val="24"/>
                <w:lang w:val="lv-LV"/>
              </w:rPr>
            </w:pPr>
            <w:r w:rsidRPr="000C7511">
              <w:rPr>
                <w:sz w:val="24"/>
                <w:szCs w:val="24"/>
                <w:lang w:val="lv-LV"/>
              </w:rPr>
              <w:t xml:space="preserve">Kopsavilkuma deklarācijas par pagaidu uzglabāšanu iesniegšanas tiesisko regulējumu nosaka </w:t>
            </w:r>
            <w:r w:rsidR="0078111D" w:rsidRPr="000C7511">
              <w:rPr>
                <w:sz w:val="24"/>
                <w:szCs w:val="24"/>
                <w:lang w:val="lv-LV"/>
              </w:rPr>
              <w:t>R</w:t>
            </w:r>
            <w:r w:rsidRPr="000C7511">
              <w:rPr>
                <w:sz w:val="24"/>
                <w:szCs w:val="24"/>
                <w:lang w:val="lv-LV"/>
              </w:rPr>
              <w:t xml:space="preserve">egulas Nr.2454/93 186.pants. </w:t>
            </w:r>
            <w:r w:rsidR="0078111D" w:rsidRPr="000C7511">
              <w:rPr>
                <w:sz w:val="24"/>
                <w:szCs w:val="24"/>
                <w:lang w:val="lv-LV"/>
              </w:rPr>
              <w:t>R</w:t>
            </w:r>
            <w:r w:rsidRPr="000C7511">
              <w:rPr>
                <w:sz w:val="24"/>
                <w:szCs w:val="24"/>
                <w:lang w:val="lv-LV"/>
              </w:rPr>
              <w:t>egulas Nr.2454/93 186.panta otrā daļa paredz, ka kopsavilkuma deklarāciju par pagaidu uzglabāšanu noformē vienā no šādiem veidiem, kā noteikuši muitas dienesti:</w:t>
            </w:r>
          </w:p>
          <w:p w:rsidR="00F41F89" w:rsidRPr="000C7511" w:rsidRDefault="00F41F89" w:rsidP="000C7511">
            <w:pPr>
              <w:pStyle w:val="NoSpacing"/>
              <w:ind w:left="133" w:right="126"/>
              <w:jc w:val="both"/>
              <w:rPr>
                <w:sz w:val="24"/>
                <w:szCs w:val="24"/>
                <w:lang w:val="lv-LV"/>
              </w:rPr>
            </w:pPr>
            <w:r w:rsidRPr="000C7511">
              <w:rPr>
                <w:sz w:val="24"/>
                <w:szCs w:val="24"/>
                <w:lang w:val="lv-LV"/>
              </w:rPr>
              <w:t>a) atsauce uz jebkuru ievešanas kopsavilkuma deklarāciju par attiecīgajām precēm, kas papildināta ar datiem no kopsavilkuma deklarācijas par pagaidu uzglabāšanu;</w:t>
            </w:r>
          </w:p>
          <w:p w:rsidR="00F41F89" w:rsidRPr="000C7511" w:rsidRDefault="00F41F89" w:rsidP="000C7511">
            <w:pPr>
              <w:pStyle w:val="NoSpacing"/>
              <w:ind w:left="133" w:right="126"/>
              <w:jc w:val="both"/>
              <w:rPr>
                <w:sz w:val="24"/>
                <w:szCs w:val="24"/>
                <w:lang w:val="lv-LV"/>
              </w:rPr>
            </w:pPr>
            <w:r w:rsidRPr="000C7511">
              <w:rPr>
                <w:sz w:val="24"/>
                <w:szCs w:val="24"/>
                <w:lang w:val="lv-LV"/>
              </w:rPr>
              <w:t>b) kopsavilkuma deklarācija par pagaidu uzglabāšanu, tai skaitā atsauce uz jebkuru ievešanas kopsavilkuma deklarāciju par attiecīgajām precēm;</w:t>
            </w:r>
          </w:p>
          <w:p w:rsidR="00F41F89" w:rsidRPr="000C7511" w:rsidRDefault="00F41F89" w:rsidP="000C7511">
            <w:pPr>
              <w:pStyle w:val="NoSpacing"/>
              <w:ind w:left="133" w:right="126"/>
              <w:jc w:val="both"/>
              <w:rPr>
                <w:sz w:val="24"/>
                <w:szCs w:val="24"/>
                <w:lang w:val="lv-LV"/>
              </w:rPr>
            </w:pPr>
            <w:r w:rsidRPr="000C7511">
              <w:rPr>
                <w:sz w:val="24"/>
                <w:szCs w:val="24"/>
                <w:lang w:val="lv-LV"/>
              </w:rPr>
              <w:t>c) kravas manifests vai cits pārvadājuma dokuments, ja tajā ir ietverti dati no kopsavilkuma deklarācijas par pagaidu uzglabāšanu, tai skaitā atsauce uz jebkuru ievešanas kopsavilkuma deklarāciju par attiecīgajām precēm.</w:t>
            </w:r>
          </w:p>
          <w:p w:rsidR="00F41F89" w:rsidRPr="000C7511" w:rsidRDefault="00F41F89" w:rsidP="000C7511">
            <w:pPr>
              <w:pStyle w:val="NoSpacing"/>
              <w:ind w:left="133" w:right="126"/>
              <w:jc w:val="both"/>
              <w:rPr>
                <w:sz w:val="24"/>
                <w:szCs w:val="24"/>
                <w:lang w:val="lv-LV"/>
              </w:rPr>
            </w:pPr>
            <w:r w:rsidRPr="000C7511">
              <w:rPr>
                <w:sz w:val="24"/>
                <w:szCs w:val="24"/>
                <w:lang w:val="lv-LV"/>
              </w:rPr>
              <w:t xml:space="preserve">Saskaņā ar </w:t>
            </w:r>
            <w:r w:rsidR="0078111D" w:rsidRPr="000C7511">
              <w:rPr>
                <w:sz w:val="24"/>
                <w:szCs w:val="24"/>
                <w:lang w:val="lv-LV"/>
              </w:rPr>
              <w:t>R</w:t>
            </w:r>
            <w:r w:rsidRPr="000C7511">
              <w:rPr>
                <w:sz w:val="24"/>
                <w:szCs w:val="24"/>
                <w:lang w:val="lv-LV"/>
              </w:rPr>
              <w:t xml:space="preserve">egulas Nr.2454/93 186.panta ceturto daļu kopsavilkuma deklarāciju pagaidu uzglabāšanai var izmantot arī komerciālas ostu vai transporta uzskaites sistēmas, ja muitas dienesti ir tās apstiprinājuši. Turklāt, atbilstoši </w:t>
            </w:r>
            <w:r w:rsidR="0078111D" w:rsidRPr="000C7511">
              <w:rPr>
                <w:sz w:val="24"/>
                <w:szCs w:val="24"/>
                <w:lang w:val="lv-LV"/>
              </w:rPr>
              <w:t>R</w:t>
            </w:r>
            <w:r w:rsidRPr="000C7511">
              <w:rPr>
                <w:sz w:val="24"/>
                <w:szCs w:val="24"/>
                <w:lang w:val="lv-LV"/>
              </w:rPr>
              <w:t xml:space="preserve">egulas Nr.2454/93 186.panta piektajai daļai kopsavilkuma deklarācija par pagaidu uzglabāšanu var ietvert </w:t>
            </w:r>
            <w:r w:rsidR="0078111D" w:rsidRPr="000C7511">
              <w:rPr>
                <w:sz w:val="24"/>
                <w:szCs w:val="24"/>
                <w:lang w:val="lv-LV"/>
              </w:rPr>
              <w:t>R</w:t>
            </w:r>
            <w:r w:rsidRPr="000C7511">
              <w:rPr>
                <w:sz w:val="24"/>
                <w:szCs w:val="24"/>
                <w:lang w:val="lv-LV"/>
              </w:rPr>
              <w:t>egulas Nr.2454/93 184.g pantā minēto paziņojumu par ierašanos, vai to var iesniegt kopā ar tādu paziņojumu.</w:t>
            </w:r>
          </w:p>
          <w:p w:rsidR="003611B4" w:rsidRPr="000C7511" w:rsidRDefault="00F41F89" w:rsidP="000C7511">
            <w:pPr>
              <w:pStyle w:val="NoSpacing"/>
              <w:ind w:left="133" w:right="126"/>
              <w:jc w:val="both"/>
              <w:rPr>
                <w:sz w:val="24"/>
                <w:szCs w:val="24"/>
                <w:lang w:val="lv-LV"/>
              </w:rPr>
            </w:pPr>
            <w:r w:rsidRPr="000C7511">
              <w:rPr>
                <w:sz w:val="24"/>
                <w:szCs w:val="24"/>
                <w:lang w:val="lv-LV"/>
              </w:rPr>
              <w:t xml:space="preserve"> Un saskaņā ar </w:t>
            </w:r>
            <w:r w:rsidR="0078111D" w:rsidRPr="000C7511">
              <w:rPr>
                <w:sz w:val="24"/>
                <w:szCs w:val="24"/>
                <w:lang w:val="lv-LV"/>
              </w:rPr>
              <w:t>R</w:t>
            </w:r>
            <w:r w:rsidRPr="000C7511">
              <w:rPr>
                <w:sz w:val="24"/>
                <w:szCs w:val="24"/>
                <w:lang w:val="lv-LV"/>
              </w:rPr>
              <w:t xml:space="preserve">egulas Nr.2454/93 186.panta desmito daļu, ja ārpuskopienas preces, ko pārvieto no nosūtītāja muitas iestādes, piemērojot tranzīta procedūru, uzrāda saņēmēja muitas iestādei Kopienas muitas teritorijā, tad saņēmēja iestādes muitas dienestiem paredzēto tranzīta deklarāciju uzskata par kopsavilkuma deklarāciju pagaidu uzglabāšanas vajadzībām. </w:t>
            </w:r>
          </w:p>
          <w:p w:rsidR="0044596D" w:rsidRPr="000C7511" w:rsidRDefault="0044596D" w:rsidP="000C7511">
            <w:pPr>
              <w:pStyle w:val="NoSpacing"/>
              <w:ind w:left="133" w:right="126"/>
              <w:jc w:val="both"/>
              <w:rPr>
                <w:sz w:val="24"/>
                <w:szCs w:val="24"/>
                <w:lang w:val="lv-LV"/>
              </w:rPr>
            </w:pPr>
            <w:r w:rsidRPr="000C7511">
              <w:rPr>
                <w:sz w:val="24"/>
                <w:szCs w:val="24"/>
                <w:lang w:val="lv-LV"/>
              </w:rPr>
              <w:t>Līdz ar to, ja tranzīta deklarāciju piemēro kā  kopsavilkuma deklarāciju par pagaidu uzglabāšanu, tad tā tiek papildināta ar datiem no kopsavilkuma deklarācijas par pagaidu uzglabāšanu.</w:t>
            </w:r>
          </w:p>
          <w:p w:rsidR="006C5DEE" w:rsidRPr="000C7511" w:rsidRDefault="006C5DEE" w:rsidP="000C7511">
            <w:pPr>
              <w:pStyle w:val="NoSpacing"/>
              <w:ind w:left="133" w:right="126"/>
              <w:jc w:val="both"/>
              <w:rPr>
                <w:sz w:val="24"/>
                <w:szCs w:val="24"/>
                <w:lang w:val="lv-LV"/>
              </w:rPr>
            </w:pPr>
            <w:r w:rsidRPr="000C7511">
              <w:rPr>
                <w:sz w:val="24"/>
                <w:szCs w:val="24"/>
                <w:lang w:val="lv-LV" w:eastAsia="lv-LV"/>
              </w:rPr>
              <w:t xml:space="preserve">Saskaņā ar Ministru kabineta 2011.gada 12.jūlija sēdes protokola Nr.43 30.§ (TA-1319) Informatīvo ziņojumu </w:t>
            </w:r>
            <w:r w:rsidR="00A30250" w:rsidRPr="000C7511">
              <w:rPr>
                <w:sz w:val="24"/>
                <w:szCs w:val="24"/>
                <w:lang w:val="lv-LV" w:eastAsia="lv-LV"/>
              </w:rPr>
              <w:t>“</w:t>
            </w:r>
            <w:r w:rsidRPr="000C7511">
              <w:rPr>
                <w:sz w:val="24"/>
                <w:szCs w:val="24"/>
                <w:lang w:val="lv-LV" w:eastAsia="lv-LV"/>
              </w:rPr>
              <w:t xml:space="preserve">Par turpmāko rīcību </w:t>
            </w:r>
            <w:r w:rsidR="008F3371" w:rsidRPr="000C7511">
              <w:rPr>
                <w:sz w:val="24"/>
                <w:szCs w:val="24"/>
                <w:lang w:val="lv-LV" w:eastAsia="lv-LV"/>
              </w:rPr>
              <w:t xml:space="preserve">regulējuma </w:t>
            </w:r>
            <w:r w:rsidRPr="000C7511">
              <w:rPr>
                <w:sz w:val="24"/>
                <w:szCs w:val="24"/>
                <w:lang w:val="lv-LV" w:eastAsia="lv-LV"/>
              </w:rPr>
              <w:t xml:space="preserve">par tiesību subjekta reģistrācijas apliecības izsniegšanu tikai pēc </w:t>
            </w:r>
            <w:r w:rsidR="008F3371" w:rsidRPr="000C7511">
              <w:rPr>
                <w:sz w:val="24"/>
                <w:szCs w:val="24"/>
                <w:lang w:val="lv-LV" w:eastAsia="lv-LV"/>
              </w:rPr>
              <w:t xml:space="preserve">tā </w:t>
            </w:r>
            <w:r w:rsidRPr="000C7511">
              <w:rPr>
                <w:sz w:val="24"/>
                <w:szCs w:val="24"/>
                <w:lang w:val="lv-LV" w:eastAsia="lv-LV"/>
              </w:rPr>
              <w:t>rakstveida pieprasījuma nodrošināšanai” a</w:t>
            </w:r>
            <w:r w:rsidRPr="000C7511">
              <w:rPr>
                <w:sz w:val="24"/>
                <w:szCs w:val="24"/>
                <w:lang w:val="lv-LV"/>
              </w:rPr>
              <w:t xml:space="preserve">tbildīgajām ministrijām atbilstoši kompetencei ir jāizstrādā un noteiktā kārtībā jāiesniedz izskatīšanai Ministru kabinetā normatīvo aktu projekti, neiekļaujot tajos </w:t>
            </w:r>
            <w:r w:rsidR="00804715" w:rsidRPr="000C7511">
              <w:rPr>
                <w:sz w:val="24"/>
                <w:szCs w:val="24"/>
                <w:lang w:val="lv-LV"/>
              </w:rPr>
              <w:t xml:space="preserve">Latvijas Republikas </w:t>
            </w:r>
            <w:r w:rsidRPr="000C7511">
              <w:rPr>
                <w:sz w:val="24"/>
                <w:szCs w:val="24"/>
                <w:lang w:val="lv-LV"/>
              </w:rPr>
              <w:t>Uzņēmumu reģistra izsniegtas tiesību subjekta reģistrācijas apliecības uzrādīšanu un tās kopijas iesniegšanu</w:t>
            </w:r>
          </w:p>
        </w:tc>
      </w:tr>
      <w:tr w:rsidR="006B2B45" w:rsidRPr="000C7511" w:rsidTr="006B2B45">
        <w:trPr>
          <w:trHeight w:val="472"/>
          <w:tblCellSpacing w:w="0" w:type="dxa"/>
        </w:trPr>
        <w:tc>
          <w:tcPr>
            <w:tcW w:w="866" w:type="dxa"/>
            <w:gridSpan w:val="3"/>
            <w:tcBorders>
              <w:top w:val="outset" w:sz="6" w:space="0" w:color="auto"/>
              <w:left w:val="outset" w:sz="6" w:space="0" w:color="auto"/>
              <w:bottom w:val="outset" w:sz="6" w:space="0" w:color="auto"/>
              <w:right w:val="outset" w:sz="6" w:space="0" w:color="auto"/>
            </w:tcBorders>
            <w:hideMark/>
          </w:tcPr>
          <w:p w:rsidR="002D7DCA" w:rsidRPr="000C7511" w:rsidRDefault="002D7DCA" w:rsidP="008F215A">
            <w:pPr>
              <w:spacing w:before="100" w:beforeAutospacing="1" w:after="100" w:afterAutospacing="1"/>
              <w:ind w:left="0"/>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 2.</w:t>
            </w:r>
          </w:p>
        </w:tc>
        <w:tc>
          <w:tcPr>
            <w:tcW w:w="2126" w:type="dxa"/>
            <w:gridSpan w:val="4"/>
            <w:tcBorders>
              <w:top w:val="outset" w:sz="6" w:space="0" w:color="auto"/>
              <w:left w:val="outset" w:sz="6" w:space="0" w:color="auto"/>
              <w:bottom w:val="outset" w:sz="6" w:space="0" w:color="auto"/>
              <w:right w:val="outset" w:sz="6" w:space="0" w:color="auto"/>
            </w:tcBorders>
            <w:hideMark/>
          </w:tcPr>
          <w:p w:rsidR="002D7DCA" w:rsidRPr="000C7511" w:rsidRDefault="002D7DCA" w:rsidP="00A47322">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Pašreizējā situācija un problēmas</w:t>
            </w:r>
          </w:p>
          <w:p w:rsidR="00057D5C" w:rsidRPr="000C7511" w:rsidRDefault="00057D5C" w:rsidP="00EF4D65">
            <w:pPr>
              <w:pStyle w:val="naisf"/>
              <w:spacing w:before="0" w:after="0"/>
            </w:pPr>
          </w:p>
        </w:tc>
        <w:tc>
          <w:tcPr>
            <w:tcW w:w="6095" w:type="dxa"/>
            <w:gridSpan w:val="6"/>
            <w:tcBorders>
              <w:top w:val="outset" w:sz="6" w:space="0" w:color="auto"/>
              <w:left w:val="outset" w:sz="6" w:space="0" w:color="auto"/>
              <w:bottom w:val="outset" w:sz="6" w:space="0" w:color="auto"/>
              <w:right w:val="outset" w:sz="6" w:space="0" w:color="auto"/>
            </w:tcBorders>
            <w:hideMark/>
          </w:tcPr>
          <w:p w:rsidR="00ED47FD" w:rsidRPr="000C7511" w:rsidRDefault="00ED47FD" w:rsidP="000C7511">
            <w:pPr>
              <w:pStyle w:val="NoSpacing"/>
              <w:ind w:left="127" w:right="126"/>
              <w:jc w:val="both"/>
              <w:rPr>
                <w:sz w:val="24"/>
                <w:szCs w:val="24"/>
                <w:lang w:val="lv-LV" w:eastAsia="lv-LV"/>
              </w:rPr>
            </w:pPr>
            <w:r w:rsidRPr="000C7511">
              <w:rPr>
                <w:sz w:val="24"/>
                <w:szCs w:val="24"/>
                <w:lang w:val="lv-LV"/>
              </w:rPr>
              <w:t>1.</w:t>
            </w:r>
            <w:r w:rsidR="00804715" w:rsidRPr="000C7511">
              <w:rPr>
                <w:sz w:val="24"/>
                <w:szCs w:val="24"/>
                <w:lang w:val="lv-LV"/>
              </w:rPr>
              <w:t xml:space="preserve"> </w:t>
            </w:r>
            <w:r w:rsidRPr="000C7511">
              <w:rPr>
                <w:sz w:val="24"/>
                <w:szCs w:val="24"/>
                <w:lang w:val="lv-LV"/>
              </w:rPr>
              <w:t>Saskaņā ar Ministru kabineta 2010.gada 22.novembra rīkojuma Nr.675 “Par Elektroniskās muitas datu apstrādes sistēmas (EMDAS) darbības koncepciju” apstiprinātās Elektroniskās muitas datu apstrādes sistēmas</w:t>
            </w:r>
            <w:r w:rsidR="008F3371" w:rsidRPr="000C7511">
              <w:rPr>
                <w:sz w:val="24"/>
                <w:szCs w:val="24"/>
                <w:lang w:val="lv-LV"/>
              </w:rPr>
              <w:t xml:space="preserve"> (EMDAS)</w:t>
            </w:r>
            <w:r w:rsidRPr="000C7511">
              <w:rPr>
                <w:sz w:val="24"/>
                <w:szCs w:val="24"/>
                <w:lang w:val="lv-LV"/>
              </w:rPr>
              <w:t xml:space="preserve"> darbības koncepcijas kopsavilkuma 1.punkta nosacījumiem, lai paaugstinātu muitas kontroles un riska analīzes efektivitāti, samazinātu krāpniecības iespējas un vienkāršotu muitošanas procesu, samazinot muitas formalitāšu kārtošanai nepieciešamo laiku un izmaksas gan komersantiem, gan valsts iestādēm, tādējādi veicinot ekonomikas attīstību un legālu tirdzniecību, Eiropas Komisija (turpmāk </w:t>
            </w:r>
            <w:r w:rsidRPr="000C7511">
              <w:rPr>
                <w:rFonts w:eastAsia="Times New Roman"/>
                <w:sz w:val="24"/>
                <w:szCs w:val="24"/>
                <w:lang w:val="lv-LV" w:eastAsia="lv-LV"/>
              </w:rPr>
              <w:t>–</w:t>
            </w:r>
            <w:r w:rsidRPr="000C7511">
              <w:rPr>
                <w:sz w:val="24"/>
                <w:szCs w:val="24"/>
                <w:lang w:val="lv-LV"/>
              </w:rPr>
              <w:t xml:space="preserve"> EK) un Eiropas Savienības</w:t>
            </w:r>
            <w:r w:rsidR="00470E3A" w:rsidRPr="000C7511">
              <w:rPr>
                <w:sz w:val="24"/>
                <w:szCs w:val="24"/>
                <w:lang w:val="lv-LV"/>
              </w:rPr>
              <w:t xml:space="preserve"> </w:t>
            </w:r>
            <w:r w:rsidRPr="000C7511">
              <w:rPr>
                <w:sz w:val="24"/>
                <w:szCs w:val="24"/>
                <w:lang w:val="lv-LV"/>
              </w:rPr>
              <w:t xml:space="preserve">(turpmāk </w:t>
            </w:r>
            <w:r w:rsidRPr="000C7511">
              <w:rPr>
                <w:rFonts w:eastAsia="Times New Roman"/>
                <w:sz w:val="24"/>
                <w:szCs w:val="24"/>
                <w:lang w:val="lv-LV" w:eastAsia="lv-LV"/>
              </w:rPr>
              <w:t>–</w:t>
            </w:r>
            <w:r w:rsidRPr="000C7511">
              <w:rPr>
                <w:sz w:val="24"/>
                <w:szCs w:val="24"/>
                <w:lang w:val="lv-LV"/>
              </w:rPr>
              <w:t xml:space="preserve"> ES) dalībvalstis pieņēmušas lēmumu veidot integrētu elektronisku informācijas apmaiņas sistēmu, kas pamatojas uz tirdzniecības sistēmām un šo sistēmu informācijas atkārtotu izmantošanu muitas vajadzībām. Atbilstoši EK un ES noteiktajam dalībvalstīm jāizstrādā elektroniskās sistēmas, kuras nodrošinās datu apmaiņu gan starp muitas iestādēm un komersantiem visās ES dalībvalstīs, gan starp muitas iestādēm un citām valsts institūcijām, kas iesaistītas preču muitošanas un kontroles procesā, tādējādi nodrošinot elektronisk</w:t>
            </w:r>
            <w:r w:rsidR="008F3371" w:rsidRPr="000C7511">
              <w:rPr>
                <w:sz w:val="24"/>
                <w:szCs w:val="24"/>
                <w:lang w:val="lv-LV"/>
              </w:rPr>
              <w:t>u</w:t>
            </w:r>
            <w:r w:rsidRPr="000C7511">
              <w:rPr>
                <w:sz w:val="24"/>
                <w:szCs w:val="24"/>
                <w:lang w:val="lv-LV"/>
              </w:rPr>
              <w:t xml:space="preserve"> (jeb bezpapīru) muitas vidi, un saskaņā ar Ministru kabineta 2010.gada 22.novembra rīkojuma Nr.675 “Par Elektroniskās muitas datu apstrādes sistēmas (EMDAS) darbības koncepciju” 4.punkta nosacījumiem Finanšu ministrijai (Valsts ieņēmumu dienestam) jāievieš muitas informācijas sistēmas atbilstoši ES normatīvajiem aktiem. </w:t>
            </w:r>
          </w:p>
          <w:p w:rsidR="00ED47FD" w:rsidRPr="000C7511" w:rsidRDefault="00ED47FD" w:rsidP="000C7511">
            <w:pPr>
              <w:pStyle w:val="NoSpacing"/>
              <w:ind w:left="127" w:right="126"/>
              <w:jc w:val="both"/>
              <w:rPr>
                <w:sz w:val="24"/>
                <w:szCs w:val="24"/>
                <w:lang w:val="lv-LV"/>
              </w:rPr>
            </w:pPr>
            <w:r w:rsidRPr="000C7511">
              <w:rPr>
                <w:sz w:val="24"/>
                <w:szCs w:val="24"/>
                <w:lang w:val="lv-LV" w:eastAsia="lv-LV"/>
              </w:rPr>
              <w:t xml:space="preserve">Attiecīgi </w:t>
            </w:r>
            <w:r w:rsidR="00804715" w:rsidRPr="000C7511">
              <w:rPr>
                <w:sz w:val="24"/>
                <w:szCs w:val="24"/>
                <w:lang w:val="lv-LV" w:eastAsia="lv-LV"/>
              </w:rPr>
              <w:t xml:space="preserve">EMDAS projekta ietvaros </w:t>
            </w:r>
            <w:r w:rsidRPr="000C7511">
              <w:rPr>
                <w:sz w:val="24"/>
                <w:szCs w:val="24"/>
                <w:lang w:val="lv-LV" w:eastAsia="lv-LV"/>
              </w:rPr>
              <w:t>tiek izstrādāta savstarpēji integrēta elektronisk</w:t>
            </w:r>
            <w:r w:rsidR="00804715" w:rsidRPr="000C7511">
              <w:rPr>
                <w:sz w:val="24"/>
                <w:szCs w:val="24"/>
                <w:lang w:val="lv-LV" w:eastAsia="lv-LV"/>
              </w:rPr>
              <w:t>a</w:t>
            </w:r>
            <w:r w:rsidRPr="000C7511">
              <w:rPr>
                <w:sz w:val="24"/>
                <w:szCs w:val="24"/>
                <w:lang w:val="lv-LV" w:eastAsia="lv-LV"/>
              </w:rPr>
              <w:t xml:space="preserve"> sistēma, kas ļaus preču pagaidu uzglabāšanas datus iesniegt, apstrādāt un uzskaitīt elektroniski Elektroniskā</w:t>
            </w:r>
            <w:r w:rsidR="00804715" w:rsidRPr="000C7511">
              <w:rPr>
                <w:sz w:val="24"/>
                <w:szCs w:val="24"/>
                <w:lang w:val="lv-LV" w:eastAsia="lv-LV"/>
              </w:rPr>
              <w:t>s</w:t>
            </w:r>
            <w:r w:rsidRPr="000C7511">
              <w:rPr>
                <w:sz w:val="24"/>
                <w:szCs w:val="24"/>
                <w:lang w:val="lv-LV" w:eastAsia="lv-LV"/>
              </w:rPr>
              <w:t xml:space="preserve"> deklarēšanas sistēmā. </w:t>
            </w:r>
          </w:p>
          <w:p w:rsidR="006B2269" w:rsidRPr="000C7511" w:rsidRDefault="00804715" w:rsidP="000C7511">
            <w:pPr>
              <w:pStyle w:val="NoSpacing"/>
              <w:ind w:left="127" w:right="126"/>
              <w:jc w:val="both"/>
              <w:rPr>
                <w:sz w:val="24"/>
                <w:szCs w:val="24"/>
                <w:lang w:val="lv-LV" w:eastAsia="lv-LV"/>
              </w:rPr>
            </w:pPr>
            <w:r w:rsidRPr="000C7511">
              <w:rPr>
                <w:sz w:val="24"/>
                <w:szCs w:val="24"/>
                <w:lang w:val="lv-LV" w:eastAsia="lv-LV"/>
              </w:rPr>
              <w:t>Tādējādi</w:t>
            </w:r>
            <w:r w:rsidR="00ED47FD" w:rsidRPr="000C7511">
              <w:rPr>
                <w:sz w:val="24"/>
                <w:szCs w:val="24"/>
                <w:lang w:val="lv-LV" w:eastAsia="lv-LV"/>
              </w:rPr>
              <w:t xml:space="preserve"> ir jānosaka jauna kārtība</w:t>
            </w:r>
            <w:r w:rsidR="0010543F" w:rsidRPr="000C7511">
              <w:rPr>
                <w:sz w:val="24"/>
                <w:szCs w:val="24"/>
                <w:lang w:val="lv-LV" w:eastAsia="lv-LV"/>
              </w:rPr>
              <w:t>,</w:t>
            </w:r>
            <w:r w:rsidR="00ED47FD" w:rsidRPr="000C7511">
              <w:rPr>
                <w:sz w:val="24"/>
                <w:szCs w:val="24"/>
                <w:lang w:val="lv-LV" w:eastAsia="lv-LV"/>
              </w:rPr>
              <w:t xml:space="preserve"> kādā elektroniski tiks deklarētas un uzskaitītas preces pagaidu uzglabāšanai</w:t>
            </w:r>
            <w:r w:rsidR="00E91D83" w:rsidRPr="000C7511">
              <w:rPr>
                <w:sz w:val="24"/>
                <w:szCs w:val="24"/>
                <w:lang w:val="lv-LV" w:eastAsia="lv-LV"/>
              </w:rPr>
              <w:t>,</w:t>
            </w:r>
            <w:r w:rsidR="00802222" w:rsidRPr="000C7511">
              <w:rPr>
                <w:color w:val="FF0000"/>
                <w:sz w:val="24"/>
                <w:szCs w:val="24"/>
                <w:lang w:val="lv-LV"/>
              </w:rPr>
              <w:t xml:space="preserve"> </w:t>
            </w:r>
            <w:r w:rsidR="006B2269" w:rsidRPr="000C7511">
              <w:rPr>
                <w:sz w:val="24"/>
                <w:szCs w:val="24"/>
                <w:lang w:val="lv-LV"/>
              </w:rPr>
              <w:t>kā tiks izsniegtas, grozītas, apturētas</w:t>
            </w:r>
            <w:r w:rsidR="00881FCE" w:rsidRPr="000C7511">
              <w:rPr>
                <w:sz w:val="24"/>
                <w:szCs w:val="24"/>
                <w:lang w:val="lv-LV"/>
              </w:rPr>
              <w:t>, atjaunotas</w:t>
            </w:r>
            <w:r w:rsidR="006B2269" w:rsidRPr="000C7511">
              <w:rPr>
                <w:sz w:val="24"/>
                <w:szCs w:val="24"/>
                <w:lang w:val="lv-LV"/>
              </w:rPr>
              <w:t xml:space="preserve"> un anulētas pagaidu uzglabāšanas vietas turēšanas atļaujas un kādā veidā par to tiks paziņots</w:t>
            </w:r>
            <w:r w:rsidR="005F500C" w:rsidRPr="000C7511">
              <w:rPr>
                <w:sz w:val="24"/>
                <w:szCs w:val="24"/>
                <w:lang w:val="lv-LV"/>
              </w:rPr>
              <w:t xml:space="preserve"> atļaujas turētājam</w:t>
            </w:r>
            <w:r w:rsidR="00E91D83" w:rsidRPr="000C7511">
              <w:rPr>
                <w:sz w:val="24"/>
                <w:szCs w:val="24"/>
                <w:lang w:val="lv-LV"/>
              </w:rPr>
              <w:t>.</w:t>
            </w:r>
          </w:p>
          <w:p w:rsidR="008D3A42" w:rsidRPr="000C7511" w:rsidRDefault="008D3A42" w:rsidP="000C7511">
            <w:pPr>
              <w:pStyle w:val="NoSpacing"/>
              <w:ind w:left="127" w:right="126"/>
              <w:jc w:val="both"/>
              <w:rPr>
                <w:sz w:val="24"/>
                <w:szCs w:val="24"/>
                <w:lang w:val="lv-LV"/>
              </w:rPr>
            </w:pPr>
            <w:r w:rsidRPr="000C7511">
              <w:rPr>
                <w:sz w:val="24"/>
                <w:szCs w:val="24"/>
                <w:lang w:val="lv-LV"/>
              </w:rPr>
              <w:t xml:space="preserve">2. Ministru kabineta noteikumu Nr.370 2.punktā ir noteikts, ka precei pagaidu uzglabāšanu var pieteikt tikai muitas kontroles punktos (kontroles muitas iestādē). Līdz ar to personai jānogādā prece muitas kontroles punktā un jāiesniedz papīra formātā pirmsmuitošanas dokuments. </w:t>
            </w:r>
          </w:p>
          <w:p w:rsidR="008D3A42" w:rsidRPr="000C7511" w:rsidRDefault="008D3A42" w:rsidP="000C7511">
            <w:pPr>
              <w:pStyle w:val="NoSpacing"/>
              <w:ind w:left="127" w:right="126"/>
              <w:jc w:val="both"/>
              <w:rPr>
                <w:sz w:val="24"/>
                <w:szCs w:val="24"/>
                <w:lang w:val="lv-LV"/>
              </w:rPr>
            </w:pPr>
            <w:r w:rsidRPr="000C7511">
              <w:rPr>
                <w:sz w:val="24"/>
                <w:szCs w:val="24"/>
                <w:lang w:val="lv-LV"/>
              </w:rPr>
              <w:t xml:space="preserve">Ņemot vērā to, ka </w:t>
            </w:r>
            <w:r w:rsidR="0078111D" w:rsidRPr="000C7511">
              <w:rPr>
                <w:sz w:val="24"/>
                <w:szCs w:val="24"/>
                <w:lang w:val="lv-LV"/>
              </w:rPr>
              <w:t>R</w:t>
            </w:r>
            <w:r w:rsidRPr="000C7511">
              <w:rPr>
                <w:sz w:val="24"/>
                <w:szCs w:val="24"/>
                <w:lang w:val="lv-LV"/>
              </w:rPr>
              <w:t xml:space="preserve">egula Nr.2913/92 neparedz terminus “pirmsmuitošana” un “pirmsmuitošanas dokuments”, tādēļ Ministru kabineta noteikumu Nr.370 1.punktā minētās pirmsmuitošanas dokumenta veidlapas vietā tiks izmantota </w:t>
            </w:r>
            <w:r w:rsidR="0078111D" w:rsidRPr="000C7511">
              <w:rPr>
                <w:sz w:val="24"/>
                <w:szCs w:val="24"/>
                <w:lang w:val="lv-LV"/>
              </w:rPr>
              <w:t>R</w:t>
            </w:r>
            <w:r w:rsidRPr="000C7511">
              <w:rPr>
                <w:sz w:val="24"/>
                <w:szCs w:val="24"/>
                <w:lang w:val="lv-LV"/>
              </w:rPr>
              <w:t>egulas Nr.2454/93 186.pantā minētā kopsavilkuma deklarācija par pagaidu uzglabāšanu.</w:t>
            </w:r>
          </w:p>
          <w:p w:rsidR="00A61519" w:rsidRPr="000C7511" w:rsidRDefault="00A61519" w:rsidP="000C7511">
            <w:pPr>
              <w:pStyle w:val="NoSpacing"/>
              <w:ind w:left="127" w:right="126"/>
              <w:jc w:val="both"/>
              <w:rPr>
                <w:sz w:val="24"/>
                <w:szCs w:val="24"/>
                <w:lang w:val="lv-LV"/>
              </w:rPr>
            </w:pPr>
            <w:r w:rsidRPr="000C7511">
              <w:rPr>
                <w:sz w:val="24"/>
                <w:szCs w:val="24"/>
                <w:lang w:val="lv-LV"/>
              </w:rPr>
              <w:t xml:space="preserve">Tādēļ Ministru kabineta noteikumu projektā jānosaka kad un kurā vietā tiks iesniegta personas kopsavilkuma deklarācija par pagaidu uzglabāšanu. </w:t>
            </w:r>
          </w:p>
          <w:p w:rsidR="00ED47FD" w:rsidRPr="000C7511" w:rsidRDefault="00ED47FD" w:rsidP="000C7511">
            <w:pPr>
              <w:pStyle w:val="NoSpacing"/>
              <w:ind w:left="127" w:right="126"/>
              <w:jc w:val="both"/>
              <w:rPr>
                <w:i/>
                <w:sz w:val="24"/>
                <w:szCs w:val="24"/>
                <w:lang w:val="lv-LV"/>
              </w:rPr>
            </w:pPr>
            <w:r w:rsidRPr="000C7511">
              <w:rPr>
                <w:sz w:val="24"/>
                <w:szCs w:val="24"/>
                <w:lang w:val="lv-LV"/>
              </w:rPr>
              <w:t>3.</w:t>
            </w:r>
            <w:r w:rsidR="00934EDC" w:rsidRPr="000C7511">
              <w:rPr>
                <w:sz w:val="24"/>
                <w:szCs w:val="24"/>
                <w:lang w:val="lv-LV"/>
              </w:rPr>
              <w:t xml:space="preserve"> </w:t>
            </w:r>
            <w:r w:rsidRPr="000C7511">
              <w:rPr>
                <w:sz w:val="24"/>
                <w:szCs w:val="24"/>
                <w:lang w:val="lv-LV"/>
              </w:rPr>
              <w:t>Ministru kabineta noteikumu Nr.370 7.punkt</w:t>
            </w:r>
            <w:r w:rsidR="0074686B" w:rsidRPr="000C7511">
              <w:rPr>
                <w:sz w:val="24"/>
                <w:szCs w:val="24"/>
                <w:lang w:val="lv-LV"/>
              </w:rPr>
              <w:t>ā</w:t>
            </w:r>
            <w:r w:rsidRPr="000C7511">
              <w:rPr>
                <w:sz w:val="24"/>
                <w:szCs w:val="24"/>
                <w:lang w:val="lv-LV"/>
              </w:rPr>
              <w:t xml:space="preserve"> no</w:t>
            </w:r>
            <w:r w:rsidR="0074686B" w:rsidRPr="000C7511">
              <w:rPr>
                <w:sz w:val="24"/>
                <w:szCs w:val="24"/>
                <w:lang w:val="lv-LV"/>
              </w:rPr>
              <w:t>teikts</w:t>
            </w:r>
            <w:r w:rsidRPr="000C7511">
              <w:rPr>
                <w:sz w:val="24"/>
                <w:szCs w:val="24"/>
                <w:lang w:val="lv-LV"/>
              </w:rPr>
              <w:t xml:space="preserve">, ka preču pagaidu uzglabāšanas vieta ir norobežota, atļaujas turētājs nodrošina apsardzi, bet, ja </w:t>
            </w:r>
            <w:r w:rsidR="003F7060" w:rsidRPr="000C7511">
              <w:rPr>
                <w:sz w:val="24"/>
                <w:szCs w:val="24"/>
                <w:lang w:val="lv-LV"/>
              </w:rPr>
              <w:t xml:space="preserve">Valsts ieņēmumu dienests (turpmāk – </w:t>
            </w:r>
            <w:r w:rsidRPr="000C7511">
              <w:rPr>
                <w:sz w:val="24"/>
                <w:szCs w:val="24"/>
                <w:lang w:val="lv-LV"/>
              </w:rPr>
              <w:t>VID</w:t>
            </w:r>
            <w:r w:rsidR="003F7060" w:rsidRPr="000C7511">
              <w:rPr>
                <w:sz w:val="24"/>
                <w:szCs w:val="24"/>
                <w:lang w:val="lv-LV"/>
              </w:rPr>
              <w:t>)</w:t>
            </w:r>
            <w:r w:rsidRPr="000C7511">
              <w:rPr>
                <w:sz w:val="24"/>
                <w:szCs w:val="24"/>
                <w:lang w:val="lv-LV"/>
              </w:rPr>
              <w:t xml:space="preserve"> var nodrošināt kontroli, pagaidu uzglabāšanas vietu var nenorobežot.</w:t>
            </w:r>
          </w:p>
          <w:p w:rsidR="006B706D" w:rsidRPr="000C7511" w:rsidRDefault="00ED47FD" w:rsidP="000C7511">
            <w:pPr>
              <w:pStyle w:val="NoSpacing"/>
              <w:ind w:left="127" w:right="126"/>
              <w:jc w:val="both"/>
              <w:rPr>
                <w:sz w:val="24"/>
                <w:szCs w:val="24"/>
                <w:lang w:val="lv-LV"/>
              </w:rPr>
            </w:pPr>
            <w:r w:rsidRPr="000C7511">
              <w:rPr>
                <w:sz w:val="24"/>
                <w:szCs w:val="24"/>
                <w:lang w:val="lv-LV"/>
              </w:rPr>
              <w:t xml:space="preserve">Saskaņā ar </w:t>
            </w:r>
            <w:r w:rsidR="0078111D" w:rsidRPr="000C7511">
              <w:rPr>
                <w:sz w:val="24"/>
                <w:szCs w:val="24"/>
                <w:lang w:val="lv-LV"/>
              </w:rPr>
              <w:t>R</w:t>
            </w:r>
            <w:r w:rsidRPr="000C7511">
              <w:rPr>
                <w:sz w:val="24"/>
                <w:szCs w:val="24"/>
                <w:lang w:val="lv-LV"/>
              </w:rPr>
              <w:t>egulas Nr.2913/92 51.panta 1.punkta nosacījumiem VID</w:t>
            </w:r>
            <w:r w:rsidR="0074686B" w:rsidRPr="000C7511">
              <w:rPr>
                <w:sz w:val="24"/>
                <w:szCs w:val="24"/>
                <w:lang w:val="lv-LV"/>
              </w:rPr>
              <w:t xml:space="preserve"> ir </w:t>
            </w:r>
            <w:r w:rsidRPr="000C7511">
              <w:rPr>
                <w:sz w:val="24"/>
                <w:szCs w:val="24"/>
                <w:lang w:val="lv-LV"/>
              </w:rPr>
              <w:t xml:space="preserve">pienākums nodrošināt muitas kontroles vietas, kurās atļauts glabāt preces pagaidu uzglabāšanai VID noteiktā kārtībā. </w:t>
            </w:r>
            <w:r w:rsidR="00C81617" w:rsidRPr="000C7511">
              <w:rPr>
                <w:sz w:val="24"/>
                <w:szCs w:val="24"/>
                <w:lang w:val="lv-LV"/>
              </w:rPr>
              <w:t>Turpmāk atbilstoši preču sortimentam komersants lemj, par pagaidu uzglabāšanas vietas norobežošanu.</w:t>
            </w:r>
            <w:r w:rsidRPr="000C7511">
              <w:rPr>
                <w:sz w:val="24"/>
                <w:szCs w:val="24"/>
                <w:lang w:val="lv-LV"/>
              </w:rPr>
              <w:t xml:space="preserve"> </w:t>
            </w:r>
            <w:r w:rsidR="0064198C" w:rsidRPr="000C7511">
              <w:rPr>
                <w:sz w:val="24"/>
                <w:szCs w:val="24"/>
                <w:lang w:val="lv-LV"/>
              </w:rPr>
              <w:t xml:space="preserve">Komersants veic </w:t>
            </w:r>
            <w:r w:rsidRPr="000C7511">
              <w:rPr>
                <w:sz w:val="24"/>
                <w:szCs w:val="24"/>
                <w:lang w:val="lv-LV"/>
              </w:rPr>
              <w:t xml:space="preserve">pasākumus, lai atļaujas turētājs varētu pilnībā nodrošināt preču kontroli pagaidu uzglabāšanas vietā. Tādēļ turpmāk VID varēs atļaut nenorobežot preču pagaidu uzglabāšanas vietas. </w:t>
            </w:r>
          </w:p>
          <w:p w:rsidR="001263C1" w:rsidRPr="000C7511" w:rsidRDefault="002327EA" w:rsidP="000C7511">
            <w:pPr>
              <w:pStyle w:val="NoSpacing"/>
              <w:ind w:left="127" w:right="126"/>
              <w:jc w:val="both"/>
              <w:rPr>
                <w:sz w:val="24"/>
                <w:szCs w:val="24"/>
                <w:lang w:val="lv-LV"/>
              </w:rPr>
            </w:pPr>
            <w:r w:rsidRPr="000C7511">
              <w:rPr>
                <w:sz w:val="24"/>
                <w:szCs w:val="24"/>
                <w:lang w:val="lv-LV"/>
              </w:rPr>
              <w:t>Š</w:t>
            </w:r>
            <w:r w:rsidR="00867DBD" w:rsidRPr="000C7511">
              <w:rPr>
                <w:sz w:val="24"/>
                <w:szCs w:val="24"/>
                <w:lang w:val="lv-LV"/>
              </w:rPr>
              <w:t>obrīd V</w:t>
            </w:r>
            <w:r w:rsidR="003F7060" w:rsidRPr="000C7511">
              <w:rPr>
                <w:sz w:val="24"/>
                <w:szCs w:val="24"/>
                <w:lang w:val="lv-LV"/>
              </w:rPr>
              <w:t>ID</w:t>
            </w:r>
            <w:r w:rsidR="00867DBD" w:rsidRPr="000C7511">
              <w:rPr>
                <w:sz w:val="24"/>
                <w:szCs w:val="24"/>
                <w:lang w:val="lv-LV"/>
              </w:rPr>
              <w:t xml:space="preserve"> neparedz tādu iespēju, ka </w:t>
            </w:r>
            <w:r w:rsidR="003F7060" w:rsidRPr="000C7511">
              <w:rPr>
                <w:sz w:val="24"/>
                <w:szCs w:val="24"/>
                <w:lang w:val="lv-LV"/>
              </w:rPr>
              <w:t xml:space="preserve">persona </w:t>
            </w:r>
            <w:r w:rsidR="00867DBD" w:rsidRPr="000C7511">
              <w:rPr>
                <w:sz w:val="24"/>
                <w:szCs w:val="24"/>
                <w:lang w:val="lv-LV"/>
              </w:rPr>
              <w:t>pat</w:t>
            </w:r>
            <w:r w:rsidR="003F7060" w:rsidRPr="000C7511">
              <w:rPr>
                <w:sz w:val="24"/>
                <w:szCs w:val="24"/>
                <w:lang w:val="lv-LV"/>
              </w:rPr>
              <w:t>i</w:t>
            </w:r>
            <w:r w:rsidR="00867DBD" w:rsidRPr="000C7511">
              <w:rPr>
                <w:sz w:val="24"/>
                <w:szCs w:val="24"/>
                <w:lang w:val="lv-LV"/>
              </w:rPr>
              <w:t xml:space="preserve"> varētu apsaimniekot</w:t>
            </w:r>
            <w:r w:rsidR="00E973CF" w:rsidRPr="000C7511">
              <w:rPr>
                <w:sz w:val="24"/>
                <w:szCs w:val="24"/>
                <w:lang w:val="lv-LV"/>
              </w:rPr>
              <w:t xml:space="preserve"> teritoriju, kuru paredzēts izmantot par preču pagaidu uzglabāšanas vietu.</w:t>
            </w:r>
            <w:r w:rsidRPr="000C7511">
              <w:rPr>
                <w:sz w:val="24"/>
                <w:szCs w:val="24"/>
                <w:lang w:val="lv-LV"/>
              </w:rPr>
              <w:t xml:space="preserve"> Tādēļ, saskaņā ar Regulas Nr.</w:t>
            </w:r>
            <w:hyperlink r:id="rId8" w:tgtFrame="_blank" w:tooltip="REGULA" w:history="1">
              <w:r w:rsidRPr="000C7511">
                <w:rPr>
                  <w:rStyle w:val="Hyperlink"/>
                  <w:color w:val="auto"/>
                  <w:sz w:val="24"/>
                  <w:szCs w:val="24"/>
                  <w:u w:val="none"/>
                  <w:lang w:val="lv-LV"/>
                </w:rPr>
                <w:t>2454/93</w:t>
              </w:r>
            </w:hyperlink>
            <w:r w:rsidR="0078111D" w:rsidRPr="000C7511">
              <w:rPr>
                <w:sz w:val="24"/>
                <w:szCs w:val="24"/>
                <w:lang w:val="lv-LV"/>
              </w:rPr>
              <w:t xml:space="preserve"> </w:t>
            </w:r>
            <w:r w:rsidRPr="000C7511">
              <w:rPr>
                <w:sz w:val="24"/>
                <w:szCs w:val="24"/>
                <w:lang w:val="lv-LV"/>
              </w:rPr>
              <w:t>85.pantā noteikto, lai nodrošinātu muitas noteikumu piemērošanu gadījumos, kad muitas iestādes pašas neapsaimnieko pagaidu glabāšanas vietas, muitas dienesti var prasīt, lai:</w:t>
            </w:r>
          </w:p>
          <w:p w:rsidR="001263C1" w:rsidRPr="000C7511" w:rsidRDefault="002327EA" w:rsidP="000C7511">
            <w:pPr>
              <w:pStyle w:val="NoSpacing"/>
              <w:ind w:left="127" w:right="126"/>
              <w:jc w:val="both"/>
              <w:rPr>
                <w:sz w:val="24"/>
                <w:szCs w:val="24"/>
                <w:lang w:val="lv-LV"/>
              </w:rPr>
            </w:pPr>
            <w:r w:rsidRPr="000C7511">
              <w:rPr>
                <w:sz w:val="24"/>
                <w:szCs w:val="24"/>
                <w:lang w:val="lv-LV"/>
              </w:rPr>
              <w:t>a) pagaidu glabāšanas vietas būtu ar divām atslēgām, un viena atslēga tiktu nodota minētajiem muitas dienestiem;</w:t>
            </w:r>
          </w:p>
          <w:p w:rsidR="002327EA" w:rsidRPr="000C7511" w:rsidRDefault="002327EA" w:rsidP="000C7511">
            <w:pPr>
              <w:pStyle w:val="NoSpacing"/>
              <w:ind w:left="127" w:right="126"/>
              <w:jc w:val="both"/>
              <w:rPr>
                <w:sz w:val="24"/>
                <w:szCs w:val="24"/>
                <w:lang w:val="lv-LV"/>
              </w:rPr>
            </w:pPr>
            <w:r w:rsidRPr="000C7511">
              <w:rPr>
                <w:sz w:val="24"/>
                <w:szCs w:val="24"/>
                <w:lang w:val="lv-LV"/>
              </w:rPr>
              <w:t xml:space="preserve">b) persona, kas saimnieko pagaidu glabāšanas vietā, uzskaitītu krājumus tā, lai būtu iespējams izsekot preču apritei. </w:t>
            </w:r>
          </w:p>
          <w:p w:rsidR="00A66A2F" w:rsidRPr="000C7511" w:rsidRDefault="00ED47FD" w:rsidP="000C7511">
            <w:pPr>
              <w:pStyle w:val="NoSpacing"/>
              <w:ind w:left="127" w:right="126"/>
              <w:jc w:val="both"/>
              <w:rPr>
                <w:sz w:val="24"/>
                <w:szCs w:val="24"/>
                <w:lang w:val="lv-LV"/>
              </w:rPr>
            </w:pPr>
            <w:r w:rsidRPr="000C7511">
              <w:rPr>
                <w:sz w:val="24"/>
                <w:szCs w:val="24"/>
                <w:lang w:val="lv-LV"/>
              </w:rPr>
              <w:t>4.</w:t>
            </w:r>
            <w:r w:rsidR="0064198C" w:rsidRPr="000C7511">
              <w:rPr>
                <w:sz w:val="24"/>
                <w:szCs w:val="24"/>
                <w:lang w:val="lv-LV"/>
              </w:rPr>
              <w:t xml:space="preserve"> </w:t>
            </w:r>
            <w:r w:rsidRPr="000C7511">
              <w:rPr>
                <w:sz w:val="24"/>
                <w:szCs w:val="24"/>
                <w:lang w:val="lv-LV"/>
              </w:rPr>
              <w:t>Ministru kabineta noteikumu Nr.370</w:t>
            </w:r>
            <w:r w:rsidR="000C7511">
              <w:rPr>
                <w:sz w:val="24"/>
                <w:szCs w:val="24"/>
                <w:lang w:val="lv-LV"/>
              </w:rPr>
              <w:t xml:space="preserve"> </w:t>
            </w:r>
            <w:r w:rsidRPr="000C7511">
              <w:rPr>
                <w:sz w:val="24"/>
                <w:szCs w:val="24"/>
                <w:lang w:val="lv-LV"/>
              </w:rPr>
              <w:t>11.1.apakšpunkts paredz, ka persona pagaidu uzglabāšanas vietas atļauj</w:t>
            </w:r>
            <w:r w:rsidR="0074686B" w:rsidRPr="000C7511">
              <w:rPr>
                <w:sz w:val="24"/>
                <w:szCs w:val="24"/>
                <w:lang w:val="lv-LV"/>
              </w:rPr>
              <w:t xml:space="preserve">as saņemšanai </w:t>
            </w:r>
            <w:r w:rsidRPr="000C7511">
              <w:rPr>
                <w:sz w:val="24"/>
                <w:szCs w:val="24"/>
                <w:lang w:val="lv-LV"/>
              </w:rPr>
              <w:t xml:space="preserve">iesniegumam pievieno komercsabiedrības reģistrācijas apliecības un statūtu kopiju. </w:t>
            </w:r>
            <w:r w:rsidR="00A66A2F" w:rsidRPr="000C7511">
              <w:rPr>
                <w:sz w:val="24"/>
                <w:szCs w:val="24"/>
                <w:lang w:val="lv-LV" w:eastAsia="lv-LV"/>
              </w:rPr>
              <w:t xml:space="preserve">Saskaņā ar Ministru kabineta 2011.gada 12.jūlija sēdes protokola Nr.43 30.§ (TA-1319) Informatīvo ziņojumu </w:t>
            </w:r>
            <w:r w:rsidR="00A30250" w:rsidRPr="000C7511">
              <w:rPr>
                <w:sz w:val="24"/>
                <w:szCs w:val="24"/>
                <w:lang w:val="lv-LV" w:eastAsia="lv-LV"/>
              </w:rPr>
              <w:t>“</w:t>
            </w:r>
            <w:r w:rsidR="00A66A2F" w:rsidRPr="000C7511">
              <w:rPr>
                <w:sz w:val="24"/>
                <w:szCs w:val="24"/>
                <w:lang w:val="lv-LV" w:eastAsia="lv-LV"/>
              </w:rPr>
              <w:t xml:space="preserve">Par turpmāko rīcību </w:t>
            </w:r>
            <w:r w:rsidR="004B78B6" w:rsidRPr="000C7511">
              <w:rPr>
                <w:sz w:val="24"/>
                <w:szCs w:val="24"/>
                <w:lang w:val="lv-LV" w:eastAsia="lv-LV"/>
              </w:rPr>
              <w:t xml:space="preserve">regulējuma </w:t>
            </w:r>
            <w:r w:rsidR="00A66A2F" w:rsidRPr="000C7511">
              <w:rPr>
                <w:sz w:val="24"/>
                <w:szCs w:val="24"/>
                <w:lang w:val="lv-LV" w:eastAsia="lv-LV"/>
              </w:rPr>
              <w:t xml:space="preserve">par tiesību subjekta reģistrācijas apliecības izsniegšanu tikai pēc </w:t>
            </w:r>
            <w:r w:rsidR="004B78B6" w:rsidRPr="000C7511">
              <w:rPr>
                <w:sz w:val="24"/>
                <w:szCs w:val="24"/>
                <w:lang w:val="lv-LV" w:eastAsia="lv-LV"/>
              </w:rPr>
              <w:t xml:space="preserve">tā </w:t>
            </w:r>
            <w:r w:rsidR="00A66A2F" w:rsidRPr="000C7511">
              <w:rPr>
                <w:sz w:val="24"/>
                <w:szCs w:val="24"/>
                <w:lang w:val="lv-LV" w:eastAsia="lv-LV"/>
              </w:rPr>
              <w:t xml:space="preserve">rakstveida pieprasījuma nodrošināšanai” </w:t>
            </w:r>
            <w:r w:rsidR="0064198C" w:rsidRPr="000C7511">
              <w:rPr>
                <w:sz w:val="24"/>
                <w:szCs w:val="24"/>
                <w:lang w:val="lv-LV" w:eastAsia="lv-LV"/>
              </w:rPr>
              <w:t xml:space="preserve">turpmāk </w:t>
            </w:r>
            <w:r w:rsidR="00A66A2F" w:rsidRPr="000C7511">
              <w:rPr>
                <w:sz w:val="24"/>
                <w:szCs w:val="24"/>
                <w:lang w:val="lv-LV" w:eastAsia="lv-LV"/>
              </w:rPr>
              <w:t>a</w:t>
            </w:r>
            <w:r w:rsidR="00A66A2F" w:rsidRPr="000C7511">
              <w:rPr>
                <w:sz w:val="24"/>
                <w:szCs w:val="24"/>
                <w:lang w:val="lv-LV"/>
              </w:rPr>
              <w:t xml:space="preserve">tbildīgajām ministrijām atbilstoši kompetencei jāizstrādā un noteiktā kārtībā jāiesniedz izskatīšanai Ministru kabinetā normatīvo aktu projekti, neiekļaujot tajos </w:t>
            </w:r>
            <w:r w:rsidR="0074686B" w:rsidRPr="000C7511">
              <w:rPr>
                <w:sz w:val="24"/>
                <w:szCs w:val="24"/>
                <w:lang w:val="lv-LV"/>
              </w:rPr>
              <w:t xml:space="preserve">Latvijas Republikas </w:t>
            </w:r>
            <w:r w:rsidR="00A66A2F" w:rsidRPr="000C7511">
              <w:rPr>
                <w:sz w:val="24"/>
                <w:szCs w:val="24"/>
                <w:lang w:val="lv-LV"/>
              </w:rPr>
              <w:t>Uzņēmumu reģistra izsniegtas tiesību subjekta reģistrācijas apliecības uzrādīšanu un tās kopijas iesniegšanu.</w:t>
            </w:r>
          </w:p>
          <w:p w:rsidR="00ED47FD" w:rsidRPr="000C7511" w:rsidRDefault="00ED47FD" w:rsidP="000C7511">
            <w:pPr>
              <w:pStyle w:val="NoSpacing"/>
              <w:ind w:left="127" w:right="126"/>
              <w:jc w:val="both"/>
              <w:rPr>
                <w:sz w:val="24"/>
                <w:szCs w:val="24"/>
                <w:lang w:val="lv-LV"/>
              </w:rPr>
            </w:pPr>
            <w:r w:rsidRPr="000C7511">
              <w:rPr>
                <w:sz w:val="24"/>
                <w:szCs w:val="24"/>
                <w:lang w:val="lv-LV"/>
              </w:rPr>
              <w:t>Nepieciešams atcelt prasību iesniegt minētās apliecības kopiju.</w:t>
            </w:r>
          </w:p>
          <w:p w:rsidR="00ED47FD" w:rsidRPr="000C7511" w:rsidRDefault="00ED47FD" w:rsidP="000C7511">
            <w:pPr>
              <w:pStyle w:val="NoSpacing"/>
              <w:ind w:left="127" w:right="126"/>
              <w:jc w:val="both"/>
              <w:rPr>
                <w:sz w:val="24"/>
                <w:szCs w:val="24"/>
                <w:lang w:val="lv-LV"/>
              </w:rPr>
            </w:pPr>
            <w:r w:rsidRPr="000C7511">
              <w:rPr>
                <w:sz w:val="24"/>
                <w:szCs w:val="24"/>
                <w:lang w:val="lv-LV"/>
              </w:rPr>
              <w:t>5.</w:t>
            </w:r>
            <w:r w:rsidR="00463E19" w:rsidRPr="000C7511">
              <w:rPr>
                <w:sz w:val="24"/>
                <w:szCs w:val="24"/>
                <w:lang w:val="lv-LV"/>
              </w:rPr>
              <w:t xml:space="preserve"> </w:t>
            </w:r>
            <w:r w:rsidRPr="000C7511">
              <w:rPr>
                <w:sz w:val="24"/>
                <w:szCs w:val="24"/>
                <w:lang w:val="lv-LV"/>
              </w:rPr>
              <w:t>Piemērojot Ministru kabineta noteikumu Nr.370</w:t>
            </w:r>
            <w:r w:rsidRPr="000C7511">
              <w:rPr>
                <w:i/>
                <w:sz w:val="24"/>
                <w:szCs w:val="24"/>
                <w:lang w:val="lv-LV"/>
              </w:rPr>
              <w:t xml:space="preserve"> </w:t>
            </w:r>
            <w:r w:rsidRPr="000C7511">
              <w:rPr>
                <w:sz w:val="24"/>
                <w:szCs w:val="24"/>
                <w:lang w:val="lv-LV"/>
              </w:rPr>
              <w:t>13.2.apakšpunktu</w:t>
            </w:r>
            <w:r w:rsidR="0074686B" w:rsidRPr="000C7511">
              <w:rPr>
                <w:sz w:val="24"/>
                <w:szCs w:val="24"/>
                <w:lang w:val="lv-LV"/>
              </w:rPr>
              <w:t>,</w:t>
            </w:r>
            <w:r w:rsidRPr="000C7511">
              <w:rPr>
                <w:i/>
                <w:sz w:val="24"/>
                <w:szCs w:val="24"/>
                <w:lang w:val="lv-LV"/>
              </w:rPr>
              <w:t xml:space="preserve"> </w:t>
            </w:r>
            <w:r w:rsidRPr="000C7511">
              <w:rPr>
                <w:sz w:val="24"/>
                <w:szCs w:val="24"/>
                <w:lang w:val="lv-LV"/>
              </w:rPr>
              <w:t>nav saprotams</w:t>
            </w:r>
            <w:r w:rsidR="0074686B" w:rsidRPr="000C7511">
              <w:rPr>
                <w:sz w:val="24"/>
                <w:szCs w:val="24"/>
                <w:lang w:val="lv-LV"/>
              </w:rPr>
              <w:t>,</w:t>
            </w:r>
            <w:r w:rsidRPr="000C7511">
              <w:rPr>
                <w:sz w:val="24"/>
                <w:szCs w:val="24"/>
                <w:lang w:val="lv-LV"/>
              </w:rPr>
              <w:t xml:space="preserve"> vai gadījumā, ja personai saskaņā </w:t>
            </w:r>
            <w:r w:rsidR="0074686B" w:rsidRPr="000C7511">
              <w:rPr>
                <w:sz w:val="24"/>
                <w:szCs w:val="24"/>
                <w:lang w:val="lv-LV"/>
              </w:rPr>
              <w:t xml:space="preserve">ar </w:t>
            </w:r>
            <w:r w:rsidRPr="000C7511">
              <w:rPr>
                <w:sz w:val="24"/>
                <w:szCs w:val="24"/>
                <w:lang w:val="lv-LV"/>
              </w:rPr>
              <w:t>VID lēmumu ir papildus uzrēķināti nodokļi, nodevas, soda nauda un nokavējuma nauda, bet lēmums ir apstrīdēts, šīs summas ir uzskatāmas par parādu budžetā. Saskaņā ar likuma “Par nodokļiem u</w:t>
            </w:r>
            <w:bookmarkStart w:id="4" w:name="_GoBack"/>
            <w:bookmarkEnd w:id="4"/>
            <w:r w:rsidRPr="000C7511">
              <w:rPr>
                <w:sz w:val="24"/>
                <w:szCs w:val="24"/>
                <w:lang w:val="lv-LV"/>
              </w:rPr>
              <w:t xml:space="preserve">n nodevām” 40.panta 1.punktu, ja </w:t>
            </w:r>
            <w:bookmarkStart w:id="5" w:name="bkm289"/>
            <w:r w:rsidRPr="000C7511">
              <w:rPr>
                <w:sz w:val="24"/>
                <w:szCs w:val="24"/>
                <w:lang w:val="lv-LV"/>
              </w:rPr>
              <w:t>nodokļu administrācijas kontroles (pārbaudes, revīzijas) rezultātā pieņemtais lēmums tiek apstrīdēts,  nodokļu administrācijas amatpersonas lēmuma izpilde tiek apturēta uz pirmstiesas izskatīšanas laiku.</w:t>
            </w:r>
            <w:bookmarkEnd w:id="5"/>
            <w:r w:rsidRPr="000C7511">
              <w:rPr>
                <w:sz w:val="24"/>
                <w:szCs w:val="24"/>
                <w:lang w:val="lv-LV"/>
              </w:rPr>
              <w:t xml:space="preserve"> Pēc analoģijas, kā arī skaidrības </w:t>
            </w:r>
            <w:r w:rsidR="0074686B" w:rsidRPr="000C7511">
              <w:rPr>
                <w:sz w:val="24"/>
                <w:szCs w:val="24"/>
                <w:lang w:val="lv-LV"/>
              </w:rPr>
              <w:t>labad</w:t>
            </w:r>
            <w:r w:rsidR="00463E19" w:rsidRPr="000C7511">
              <w:rPr>
                <w:sz w:val="24"/>
                <w:szCs w:val="24"/>
                <w:lang w:val="lv-LV"/>
              </w:rPr>
              <w:t xml:space="preserve"> </w:t>
            </w:r>
            <w:r w:rsidRPr="000C7511">
              <w:rPr>
                <w:sz w:val="24"/>
                <w:szCs w:val="24"/>
                <w:lang w:val="lv-LV"/>
              </w:rPr>
              <w:t>ir jānosaka, ka papildus uzrēķinātie nodokļi, nodevas un citi budžetā ieskaitāmie maksājumi nav uzskatāmi par parādu, ja nodokļu administrācijas lēmums ir apturēts uz pirmstiesas izskatīšanas laiku.</w:t>
            </w:r>
          </w:p>
          <w:p w:rsidR="0062545E" w:rsidRPr="000C7511" w:rsidRDefault="00ED47FD" w:rsidP="000C7511">
            <w:pPr>
              <w:pStyle w:val="NoSpacing"/>
              <w:ind w:left="127" w:right="126"/>
              <w:jc w:val="both"/>
              <w:rPr>
                <w:sz w:val="24"/>
                <w:szCs w:val="24"/>
                <w:lang w:val="lv-LV"/>
              </w:rPr>
            </w:pPr>
            <w:r w:rsidRPr="000C7511">
              <w:rPr>
                <w:sz w:val="24"/>
                <w:szCs w:val="24"/>
                <w:lang w:val="lv-LV"/>
              </w:rPr>
              <w:t>6.</w:t>
            </w:r>
            <w:r w:rsidR="0074686B" w:rsidRPr="000C7511">
              <w:rPr>
                <w:sz w:val="24"/>
                <w:szCs w:val="24"/>
                <w:lang w:val="lv-LV"/>
              </w:rPr>
              <w:t xml:space="preserve"> </w:t>
            </w:r>
            <w:r w:rsidR="0062545E" w:rsidRPr="000C7511">
              <w:rPr>
                <w:sz w:val="24"/>
                <w:szCs w:val="24"/>
                <w:lang w:val="lv-LV"/>
              </w:rPr>
              <w:t xml:space="preserve">Ministru kabineta noteikumi Nr.370 neparedz gadījumus, kad </w:t>
            </w:r>
            <w:r w:rsidR="0062545E" w:rsidRPr="000C7511">
              <w:rPr>
                <w:color w:val="000000" w:themeColor="text1"/>
                <w:sz w:val="24"/>
                <w:szCs w:val="24"/>
                <w:lang w:val="lv-LV"/>
              </w:rPr>
              <w:t>atļaujas turētājs nav ievērojis kārtību</w:t>
            </w:r>
            <w:r w:rsidR="001F2957" w:rsidRPr="000C7511">
              <w:rPr>
                <w:color w:val="000000" w:themeColor="text1"/>
                <w:sz w:val="24"/>
                <w:szCs w:val="24"/>
                <w:lang w:val="lv-LV"/>
              </w:rPr>
              <w:t>,</w:t>
            </w:r>
            <w:r w:rsidR="0062545E" w:rsidRPr="000C7511">
              <w:rPr>
                <w:color w:val="000000" w:themeColor="text1"/>
                <w:sz w:val="24"/>
                <w:szCs w:val="24"/>
                <w:lang w:val="lv-LV"/>
              </w:rPr>
              <w:t xml:space="preserve"> kāda noteikta šajos noteikumos un citos muitas lietas reglamentējošajos </w:t>
            </w:r>
            <w:r w:rsidR="001F2957" w:rsidRPr="000C7511">
              <w:rPr>
                <w:color w:val="000000" w:themeColor="text1"/>
                <w:sz w:val="24"/>
                <w:szCs w:val="24"/>
                <w:lang w:val="lv-LV"/>
              </w:rPr>
              <w:t xml:space="preserve">tiesību </w:t>
            </w:r>
            <w:r w:rsidR="0062545E" w:rsidRPr="000C7511">
              <w:rPr>
                <w:color w:val="000000" w:themeColor="text1"/>
                <w:sz w:val="24"/>
                <w:szCs w:val="24"/>
                <w:lang w:val="lv-LV"/>
              </w:rPr>
              <w:t xml:space="preserve">aktos, un </w:t>
            </w:r>
            <w:r w:rsidR="0062545E" w:rsidRPr="000C7511">
              <w:rPr>
                <w:sz w:val="24"/>
                <w:szCs w:val="24"/>
                <w:lang w:val="lv-LV"/>
              </w:rPr>
              <w:t xml:space="preserve">atļauju nepieciešams apturēt. </w:t>
            </w:r>
            <w:r w:rsidR="008F215A" w:rsidRPr="000C7511">
              <w:rPr>
                <w:sz w:val="24"/>
                <w:szCs w:val="24"/>
                <w:lang w:val="lv-LV"/>
              </w:rPr>
              <w:t>Tādēļ</w:t>
            </w:r>
            <w:r w:rsidR="001F2957" w:rsidRPr="000C7511">
              <w:rPr>
                <w:sz w:val="24"/>
                <w:szCs w:val="24"/>
                <w:lang w:val="lv-LV"/>
              </w:rPr>
              <w:t xml:space="preserve"> </w:t>
            </w:r>
            <w:r w:rsidR="0062545E" w:rsidRPr="000C7511">
              <w:rPr>
                <w:sz w:val="24"/>
                <w:szCs w:val="24"/>
                <w:lang w:val="lv-LV"/>
              </w:rPr>
              <w:t>Ministru kabineta noteikumu projektā jānosaka VID rīcība šād</w:t>
            </w:r>
            <w:r w:rsidR="001F2957" w:rsidRPr="000C7511">
              <w:rPr>
                <w:sz w:val="24"/>
                <w:szCs w:val="24"/>
                <w:lang w:val="lv-LV"/>
              </w:rPr>
              <w:t>os</w:t>
            </w:r>
            <w:r w:rsidR="0062545E" w:rsidRPr="000C7511">
              <w:rPr>
                <w:sz w:val="24"/>
                <w:szCs w:val="24"/>
                <w:lang w:val="lv-LV"/>
              </w:rPr>
              <w:t xml:space="preserve"> gadījum</w:t>
            </w:r>
            <w:r w:rsidR="001F2957" w:rsidRPr="000C7511">
              <w:rPr>
                <w:sz w:val="24"/>
                <w:szCs w:val="24"/>
                <w:lang w:val="lv-LV"/>
              </w:rPr>
              <w:t>os</w:t>
            </w:r>
            <w:r w:rsidR="0062545E" w:rsidRPr="000C7511">
              <w:rPr>
                <w:sz w:val="24"/>
                <w:szCs w:val="24"/>
                <w:lang w:val="lv-LV"/>
              </w:rPr>
              <w:t xml:space="preserve"> un jāprecizē situācija, kad atļauja tiek anulēta.</w:t>
            </w:r>
          </w:p>
          <w:p w:rsidR="00ED47FD" w:rsidRPr="000C7511" w:rsidRDefault="00ED47FD" w:rsidP="000C7511">
            <w:pPr>
              <w:pStyle w:val="NoSpacing"/>
              <w:ind w:left="127" w:right="126"/>
              <w:jc w:val="both"/>
              <w:rPr>
                <w:sz w:val="24"/>
                <w:szCs w:val="24"/>
                <w:lang w:val="lv-LV"/>
              </w:rPr>
            </w:pPr>
            <w:r w:rsidRPr="000C7511">
              <w:rPr>
                <w:sz w:val="24"/>
                <w:szCs w:val="24"/>
                <w:lang w:val="lv-LV" w:eastAsia="lv-LV"/>
              </w:rPr>
              <w:t>7.</w:t>
            </w:r>
            <w:r w:rsidR="001F2957" w:rsidRPr="000C7511">
              <w:rPr>
                <w:sz w:val="24"/>
                <w:szCs w:val="24"/>
                <w:lang w:val="lv-LV" w:eastAsia="lv-LV"/>
              </w:rPr>
              <w:t xml:space="preserve"> </w:t>
            </w:r>
            <w:r w:rsidR="0078111D" w:rsidRPr="000C7511">
              <w:rPr>
                <w:sz w:val="24"/>
                <w:szCs w:val="24"/>
                <w:lang w:val="lv-LV"/>
              </w:rPr>
              <w:t>R</w:t>
            </w:r>
            <w:r w:rsidRPr="000C7511">
              <w:rPr>
                <w:sz w:val="24"/>
                <w:szCs w:val="24"/>
                <w:lang w:val="lv-LV"/>
              </w:rPr>
              <w:t xml:space="preserve">egula Nr.2913/92 neparedz terminus </w:t>
            </w:r>
            <w:r w:rsidR="001F2957" w:rsidRPr="000C7511">
              <w:rPr>
                <w:sz w:val="24"/>
                <w:szCs w:val="24"/>
                <w:lang w:val="lv-LV"/>
              </w:rPr>
              <w:t>“</w:t>
            </w:r>
            <w:r w:rsidRPr="000C7511">
              <w:rPr>
                <w:sz w:val="24"/>
                <w:szCs w:val="24"/>
                <w:lang w:val="lv-LV"/>
              </w:rPr>
              <w:t>pirmsmuitošana</w:t>
            </w:r>
            <w:r w:rsidR="001F2957" w:rsidRPr="000C7511">
              <w:rPr>
                <w:sz w:val="24"/>
                <w:szCs w:val="24"/>
                <w:lang w:val="lv-LV"/>
              </w:rPr>
              <w:t>”</w:t>
            </w:r>
            <w:r w:rsidRPr="000C7511">
              <w:rPr>
                <w:sz w:val="24"/>
                <w:szCs w:val="24"/>
                <w:lang w:val="lv-LV"/>
              </w:rPr>
              <w:t xml:space="preserve"> un </w:t>
            </w:r>
            <w:r w:rsidR="001F2957" w:rsidRPr="000C7511">
              <w:rPr>
                <w:sz w:val="24"/>
                <w:szCs w:val="24"/>
                <w:lang w:val="lv-LV"/>
              </w:rPr>
              <w:t>“</w:t>
            </w:r>
            <w:r w:rsidRPr="000C7511">
              <w:rPr>
                <w:sz w:val="24"/>
                <w:szCs w:val="24"/>
                <w:lang w:val="lv-LV"/>
              </w:rPr>
              <w:t>pirmsmuitošanas dokuments</w:t>
            </w:r>
            <w:r w:rsidR="001F2957" w:rsidRPr="000C7511">
              <w:rPr>
                <w:sz w:val="24"/>
                <w:szCs w:val="24"/>
                <w:lang w:val="lv-LV"/>
              </w:rPr>
              <w:t>”</w:t>
            </w:r>
            <w:r w:rsidRPr="000C7511">
              <w:rPr>
                <w:sz w:val="24"/>
                <w:szCs w:val="24"/>
                <w:lang w:val="lv-LV"/>
              </w:rPr>
              <w:t xml:space="preserve">, </w:t>
            </w:r>
            <w:r w:rsidR="00EF5AD9" w:rsidRPr="000C7511">
              <w:rPr>
                <w:sz w:val="24"/>
                <w:szCs w:val="24"/>
                <w:lang w:val="lv-LV"/>
              </w:rPr>
              <w:t xml:space="preserve">tādēļ turpmāk Ministru kabineta noteikumu Nr.370 1.punktā minētās pirmsmuitošanas dokumenta veidlapas vietā izmantos </w:t>
            </w:r>
            <w:r w:rsidR="002B1476" w:rsidRPr="000C7511">
              <w:rPr>
                <w:sz w:val="24"/>
                <w:szCs w:val="24"/>
                <w:lang w:val="lv-LV"/>
              </w:rPr>
              <w:t>R</w:t>
            </w:r>
            <w:r w:rsidR="00EF5AD9" w:rsidRPr="000C7511">
              <w:rPr>
                <w:sz w:val="24"/>
                <w:szCs w:val="24"/>
                <w:lang w:val="lv-LV"/>
              </w:rPr>
              <w:t>egula</w:t>
            </w:r>
            <w:r w:rsidR="00EF4015" w:rsidRPr="000C7511">
              <w:rPr>
                <w:sz w:val="24"/>
                <w:szCs w:val="24"/>
                <w:lang w:val="lv-LV"/>
              </w:rPr>
              <w:t>s</w:t>
            </w:r>
            <w:r w:rsidR="00EF5AD9" w:rsidRPr="000C7511">
              <w:rPr>
                <w:sz w:val="24"/>
                <w:szCs w:val="24"/>
                <w:lang w:val="lv-LV"/>
              </w:rPr>
              <w:t xml:space="preserve"> Nr.2454/93 186.pantā</w:t>
            </w:r>
            <w:r w:rsidR="00EF4015" w:rsidRPr="000C7511">
              <w:rPr>
                <w:sz w:val="24"/>
                <w:szCs w:val="24"/>
                <w:lang w:val="lv-LV"/>
              </w:rPr>
              <w:t xml:space="preserve"> minēto</w:t>
            </w:r>
            <w:r w:rsidR="00EF5AD9" w:rsidRPr="000C7511">
              <w:rPr>
                <w:sz w:val="24"/>
                <w:szCs w:val="24"/>
                <w:lang w:val="lv-LV"/>
              </w:rPr>
              <w:t xml:space="preserve"> kopsavilkuma </w:t>
            </w:r>
            <w:r w:rsidR="003C7C16" w:rsidRPr="000C7511">
              <w:rPr>
                <w:sz w:val="24"/>
                <w:szCs w:val="24"/>
                <w:lang w:val="lv-LV"/>
              </w:rPr>
              <w:t xml:space="preserve">deklarāciju </w:t>
            </w:r>
            <w:r w:rsidR="00EF5AD9" w:rsidRPr="000C7511">
              <w:rPr>
                <w:sz w:val="24"/>
                <w:szCs w:val="24"/>
                <w:lang w:val="lv-LV"/>
              </w:rPr>
              <w:t>par pagaidu uzglabāšanu</w:t>
            </w:r>
            <w:r w:rsidR="00EF4015" w:rsidRPr="000C7511">
              <w:rPr>
                <w:sz w:val="24"/>
                <w:szCs w:val="24"/>
                <w:lang w:val="lv-LV"/>
              </w:rPr>
              <w:t>.</w:t>
            </w:r>
          </w:p>
          <w:p w:rsidR="00ED47FD" w:rsidRPr="000C7511" w:rsidRDefault="00ED47FD" w:rsidP="000C7511">
            <w:pPr>
              <w:pStyle w:val="NoSpacing"/>
              <w:ind w:left="127" w:right="126"/>
              <w:jc w:val="both"/>
              <w:rPr>
                <w:sz w:val="24"/>
                <w:szCs w:val="24"/>
                <w:lang w:val="lv-LV" w:eastAsia="lv-LV"/>
              </w:rPr>
            </w:pPr>
            <w:r w:rsidRPr="000C7511">
              <w:rPr>
                <w:sz w:val="24"/>
                <w:szCs w:val="24"/>
                <w:lang w:val="lv-LV"/>
              </w:rPr>
              <w:t>8.</w:t>
            </w:r>
            <w:r w:rsidR="001F2957" w:rsidRPr="000C7511">
              <w:rPr>
                <w:sz w:val="24"/>
                <w:szCs w:val="24"/>
                <w:lang w:val="lv-LV"/>
              </w:rPr>
              <w:t xml:space="preserve"> </w:t>
            </w:r>
            <w:r w:rsidRPr="000C7511">
              <w:rPr>
                <w:sz w:val="24"/>
                <w:szCs w:val="24"/>
                <w:lang w:val="lv-LV"/>
              </w:rPr>
              <w:t>Ministru kabineta</w:t>
            </w:r>
            <w:r w:rsidRPr="000C7511">
              <w:rPr>
                <w:sz w:val="24"/>
                <w:szCs w:val="24"/>
                <w:lang w:val="lv-LV" w:eastAsia="lv-LV"/>
              </w:rPr>
              <w:t xml:space="preserve"> noteikumu Nr.370 17.punkts nosaka pagaidu glabāšanā novietoto preču uzskaiti. Taču, lai vienveidīgi piemērotu pagaidu uzglabāšanā novietoto preču uzskaiti, nodrošinot kontroles pasākumu veikšanu, kravas plūsmas caurskatāmību, kā arī bilances uzturēšanu, </w:t>
            </w:r>
            <w:r w:rsidRPr="000C7511">
              <w:rPr>
                <w:sz w:val="24"/>
                <w:szCs w:val="24"/>
                <w:lang w:val="lv-LV"/>
              </w:rPr>
              <w:t xml:space="preserve">Ministra </w:t>
            </w:r>
            <w:r w:rsidR="00406F46" w:rsidRPr="000C7511">
              <w:rPr>
                <w:sz w:val="24"/>
                <w:szCs w:val="24"/>
                <w:lang w:val="lv-LV"/>
              </w:rPr>
              <w:t>kabineta</w:t>
            </w:r>
            <w:r w:rsidR="00406F46" w:rsidRPr="000C7511">
              <w:rPr>
                <w:sz w:val="24"/>
                <w:szCs w:val="24"/>
                <w:lang w:val="lv-LV" w:eastAsia="lv-LV"/>
              </w:rPr>
              <w:t xml:space="preserve"> </w:t>
            </w:r>
            <w:r w:rsidRPr="000C7511">
              <w:rPr>
                <w:sz w:val="24"/>
                <w:szCs w:val="24"/>
                <w:lang w:val="lv-LV" w:eastAsia="lv-LV"/>
              </w:rPr>
              <w:t xml:space="preserve">noteikumu projektā jāprecizē informācija, kura ir nepieciešama </w:t>
            </w:r>
            <w:r w:rsidR="00406F46" w:rsidRPr="000C7511">
              <w:rPr>
                <w:sz w:val="24"/>
                <w:szCs w:val="24"/>
                <w:lang w:val="lv-LV" w:eastAsia="lv-LV"/>
              </w:rPr>
              <w:t xml:space="preserve">preču </w:t>
            </w:r>
            <w:r w:rsidRPr="000C7511">
              <w:rPr>
                <w:sz w:val="24"/>
                <w:szCs w:val="24"/>
                <w:lang w:val="lv-LV" w:eastAsia="lv-LV"/>
              </w:rPr>
              <w:t xml:space="preserve">uzskaitei. </w:t>
            </w:r>
          </w:p>
          <w:p w:rsidR="009140F5" w:rsidRPr="000C7511" w:rsidRDefault="00ED47FD" w:rsidP="000C7511">
            <w:pPr>
              <w:pStyle w:val="NoSpacing"/>
              <w:ind w:left="127" w:right="126"/>
              <w:jc w:val="both"/>
              <w:rPr>
                <w:sz w:val="24"/>
                <w:szCs w:val="24"/>
                <w:lang w:val="lv-LV"/>
              </w:rPr>
            </w:pPr>
            <w:r w:rsidRPr="000C7511">
              <w:rPr>
                <w:sz w:val="24"/>
                <w:szCs w:val="24"/>
                <w:lang w:val="lv-LV"/>
              </w:rPr>
              <w:t>9.</w:t>
            </w:r>
            <w:r w:rsidR="005F60E8" w:rsidRPr="000C7511">
              <w:rPr>
                <w:sz w:val="24"/>
                <w:szCs w:val="24"/>
                <w:lang w:val="lv-LV"/>
              </w:rPr>
              <w:t xml:space="preserve"> </w:t>
            </w:r>
            <w:r w:rsidRPr="000C7511">
              <w:rPr>
                <w:sz w:val="24"/>
                <w:szCs w:val="24"/>
                <w:lang w:val="lv-LV"/>
              </w:rPr>
              <w:t>Ministru kabineta noteikum</w:t>
            </w:r>
            <w:r w:rsidR="001F2957" w:rsidRPr="000C7511">
              <w:rPr>
                <w:sz w:val="24"/>
                <w:szCs w:val="24"/>
                <w:lang w:val="lv-LV"/>
              </w:rPr>
              <w:t>os</w:t>
            </w:r>
            <w:r w:rsidRPr="000C7511">
              <w:rPr>
                <w:sz w:val="24"/>
                <w:szCs w:val="24"/>
                <w:lang w:val="lv-LV"/>
              </w:rPr>
              <w:t xml:space="preserve"> Nr.370 no</w:t>
            </w:r>
            <w:r w:rsidR="001F2957" w:rsidRPr="000C7511">
              <w:rPr>
                <w:sz w:val="24"/>
                <w:szCs w:val="24"/>
                <w:lang w:val="lv-LV"/>
              </w:rPr>
              <w:t>tei</w:t>
            </w:r>
            <w:r w:rsidRPr="000C7511">
              <w:rPr>
                <w:sz w:val="24"/>
                <w:szCs w:val="24"/>
                <w:lang w:val="lv-LV"/>
              </w:rPr>
              <w:t>k</w:t>
            </w:r>
            <w:r w:rsidR="001F2957" w:rsidRPr="000C7511">
              <w:rPr>
                <w:sz w:val="24"/>
                <w:szCs w:val="24"/>
                <w:lang w:val="lv-LV"/>
              </w:rPr>
              <w:t>ts</w:t>
            </w:r>
            <w:r w:rsidRPr="000C7511">
              <w:rPr>
                <w:sz w:val="24"/>
                <w:szCs w:val="24"/>
                <w:lang w:val="lv-LV"/>
              </w:rPr>
              <w:t>, ka atļauju izsniedz V</w:t>
            </w:r>
            <w:r w:rsidR="001F2957" w:rsidRPr="000C7511">
              <w:rPr>
                <w:sz w:val="24"/>
                <w:szCs w:val="24"/>
                <w:lang w:val="lv-LV"/>
              </w:rPr>
              <w:t>ID</w:t>
            </w:r>
            <w:r w:rsidRPr="000C7511">
              <w:rPr>
                <w:sz w:val="24"/>
                <w:szCs w:val="24"/>
                <w:lang w:val="lv-LV"/>
              </w:rPr>
              <w:t xml:space="preserve"> Galvenā </w:t>
            </w:r>
            <w:r w:rsidR="004B78B6" w:rsidRPr="000C7511">
              <w:rPr>
                <w:sz w:val="24"/>
                <w:szCs w:val="24"/>
                <w:lang w:val="lv-LV"/>
              </w:rPr>
              <w:t>m</w:t>
            </w:r>
            <w:r w:rsidRPr="000C7511">
              <w:rPr>
                <w:sz w:val="24"/>
                <w:szCs w:val="24"/>
                <w:lang w:val="lv-LV"/>
              </w:rPr>
              <w:t>uitas pārvalde. Saskaņā ar 2009.gada 12.jūnijā pieņemtajiem grozījumiem likumā “Par Valsts ieņēmumu dienestu” (spēkā no 2009.gada 1.jūlija) ir mainīta V</w:t>
            </w:r>
            <w:r w:rsidR="001F2957" w:rsidRPr="000C7511">
              <w:rPr>
                <w:sz w:val="24"/>
                <w:szCs w:val="24"/>
                <w:lang w:val="lv-LV"/>
              </w:rPr>
              <w:t>ID</w:t>
            </w:r>
            <w:r w:rsidRPr="000C7511">
              <w:rPr>
                <w:sz w:val="24"/>
                <w:szCs w:val="24"/>
                <w:lang w:val="lv-LV"/>
              </w:rPr>
              <w:t xml:space="preserve"> struktūra, un </w:t>
            </w:r>
            <w:r w:rsidR="008821B1" w:rsidRPr="000C7511">
              <w:rPr>
                <w:sz w:val="24"/>
                <w:szCs w:val="24"/>
                <w:lang w:val="lv-LV"/>
              </w:rPr>
              <w:t xml:space="preserve">turpmāk </w:t>
            </w:r>
            <w:r w:rsidRPr="000C7511">
              <w:rPr>
                <w:sz w:val="24"/>
                <w:szCs w:val="24"/>
                <w:lang w:val="lv-LV"/>
              </w:rPr>
              <w:t>atļauju pagaidu uzglabāšanas vietas darbībai izsniedz V</w:t>
            </w:r>
            <w:r w:rsidR="001F2957" w:rsidRPr="000C7511">
              <w:rPr>
                <w:sz w:val="24"/>
                <w:szCs w:val="24"/>
                <w:lang w:val="lv-LV"/>
              </w:rPr>
              <w:t>ID</w:t>
            </w:r>
            <w:r w:rsidRPr="000C7511">
              <w:rPr>
                <w:sz w:val="24"/>
                <w:szCs w:val="24"/>
                <w:lang w:val="lv-LV"/>
              </w:rPr>
              <w:t>.</w:t>
            </w:r>
          </w:p>
          <w:p w:rsidR="00F870D5" w:rsidRPr="000C7511" w:rsidRDefault="006111B8" w:rsidP="000C7511">
            <w:pPr>
              <w:pStyle w:val="NoSpacing"/>
              <w:ind w:left="127" w:right="126"/>
              <w:jc w:val="both"/>
              <w:rPr>
                <w:sz w:val="24"/>
                <w:szCs w:val="24"/>
                <w:lang w:val="lv-LV"/>
              </w:rPr>
            </w:pPr>
            <w:r w:rsidRPr="000C7511">
              <w:rPr>
                <w:sz w:val="24"/>
                <w:szCs w:val="24"/>
                <w:lang w:val="lv-LV"/>
              </w:rPr>
              <w:t xml:space="preserve">10. </w:t>
            </w:r>
            <w:r w:rsidR="00B67E7E" w:rsidRPr="000C7511">
              <w:rPr>
                <w:sz w:val="24"/>
                <w:szCs w:val="24"/>
                <w:lang w:val="lv-LV"/>
              </w:rPr>
              <w:t>Ministru kabineta 2009.gada 3.februāra noteikumu Nr.108 “</w:t>
            </w:r>
            <w:r w:rsidR="00B67E7E" w:rsidRPr="000C7511">
              <w:rPr>
                <w:bCs/>
                <w:sz w:val="24"/>
                <w:szCs w:val="24"/>
                <w:lang w:val="lv-LV"/>
              </w:rPr>
              <w:t>Normatīvo aktu projektu sagatavošanas noteikumi</w:t>
            </w:r>
            <w:r w:rsidR="00B67E7E" w:rsidRPr="000C7511">
              <w:rPr>
                <w:sz w:val="24"/>
                <w:szCs w:val="24"/>
                <w:lang w:val="lv-LV"/>
              </w:rPr>
              <w:t xml:space="preserve">” 140.punktā noteikts, ka grozījumu noteikumu projektu nesagatavo, ja tā normu apjoms pārsniegtu pusi no spēkā esošo noteikumu normu apjoma. Šādā gadījumā sagatavo jaunu noteikumu projektu. </w:t>
            </w:r>
            <w:r w:rsidRPr="000C7511">
              <w:rPr>
                <w:sz w:val="24"/>
                <w:szCs w:val="24"/>
                <w:lang w:val="lv-LV"/>
              </w:rPr>
              <w:t>Ņemot vērā, ka grozāmo normu apjoms pārsnie</w:t>
            </w:r>
            <w:r w:rsidR="00546F17" w:rsidRPr="000C7511">
              <w:rPr>
                <w:sz w:val="24"/>
                <w:szCs w:val="24"/>
                <w:lang w:val="lv-LV"/>
              </w:rPr>
              <w:t>gs</w:t>
            </w:r>
            <w:r w:rsidRPr="000C7511">
              <w:rPr>
                <w:sz w:val="24"/>
                <w:szCs w:val="24"/>
                <w:lang w:val="lv-LV"/>
              </w:rPr>
              <w:t xml:space="preserve"> pusi no Ministru kabineta noteikumu Nr.370 normu apjoma, nepieciešams izstrādāt jaunus Ministru kabineta noteikumus</w:t>
            </w:r>
            <w:r w:rsidR="000C7511" w:rsidRPr="000C7511">
              <w:rPr>
                <w:sz w:val="24"/>
                <w:szCs w:val="24"/>
                <w:lang w:val="lv-LV"/>
              </w:rPr>
              <w:t>.</w:t>
            </w:r>
          </w:p>
        </w:tc>
      </w:tr>
      <w:tr w:rsidR="006B2B45" w:rsidRPr="000C7511" w:rsidTr="006B2B45">
        <w:trPr>
          <w:trHeight w:val="651"/>
          <w:tblCellSpacing w:w="0" w:type="dxa"/>
        </w:trPr>
        <w:tc>
          <w:tcPr>
            <w:tcW w:w="866" w:type="dxa"/>
            <w:gridSpan w:val="3"/>
            <w:tcBorders>
              <w:top w:val="outset" w:sz="6" w:space="0" w:color="auto"/>
              <w:left w:val="outset" w:sz="6" w:space="0" w:color="auto"/>
              <w:bottom w:val="outset" w:sz="6" w:space="0" w:color="auto"/>
              <w:right w:val="outset" w:sz="6" w:space="0" w:color="auto"/>
            </w:tcBorders>
            <w:hideMark/>
          </w:tcPr>
          <w:p w:rsidR="002D7DCA" w:rsidRPr="000C7511" w:rsidRDefault="002D7DCA" w:rsidP="008F215A">
            <w:pPr>
              <w:spacing w:after="0"/>
              <w:ind w:left="0"/>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 3.</w:t>
            </w:r>
          </w:p>
        </w:tc>
        <w:tc>
          <w:tcPr>
            <w:tcW w:w="2126" w:type="dxa"/>
            <w:gridSpan w:val="4"/>
            <w:tcBorders>
              <w:top w:val="outset" w:sz="6" w:space="0" w:color="auto"/>
              <w:left w:val="outset" w:sz="6" w:space="0" w:color="auto"/>
              <w:bottom w:val="outset" w:sz="6" w:space="0" w:color="auto"/>
              <w:right w:val="outset" w:sz="6" w:space="0" w:color="auto"/>
            </w:tcBorders>
            <w:hideMark/>
          </w:tcPr>
          <w:p w:rsidR="002D7DCA" w:rsidRPr="000C7511" w:rsidRDefault="002D7DCA" w:rsidP="00ED585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Saistītie politikas ietekmes novērtējumi un pētījumi</w:t>
            </w:r>
          </w:p>
        </w:tc>
        <w:tc>
          <w:tcPr>
            <w:tcW w:w="6095" w:type="dxa"/>
            <w:gridSpan w:val="6"/>
            <w:tcBorders>
              <w:top w:val="outset" w:sz="6" w:space="0" w:color="auto"/>
              <w:left w:val="outset" w:sz="6" w:space="0" w:color="auto"/>
              <w:bottom w:val="outset" w:sz="6" w:space="0" w:color="auto"/>
              <w:right w:val="outset" w:sz="6" w:space="0" w:color="auto"/>
            </w:tcBorders>
            <w:hideMark/>
          </w:tcPr>
          <w:p w:rsidR="001B0E49" w:rsidRPr="000C7511" w:rsidRDefault="00ED47FD" w:rsidP="000C7511">
            <w:pPr>
              <w:spacing w:before="100" w:beforeAutospacing="1" w:after="100" w:afterAutospacing="1" w:line="40" w:lineRule="atLeast"/>
              <w:ind w:left="127" w:right="126"/>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Projekts šo jomu neskar</w:t>
            </w:r>
          </w:p>
        </w:tc>
      </w:tr>
      <w:tr w:rsidR="006B2B45" w:rsidRPr="000C7511" w:rsidTr="006B2B45">
        <w:trPr>
          <w:trHeight w:val="384"/>
          <w:tblCellSpacing w:w="0" w:type="dxa"/>
        </w:trPr>
        <w:tc>
          <w:tcPr>
            <w:tcW w:w="866" w:type="dxa"/>
            <w:gridSpan w:val="3"/>
            <w:tcBorders>
              <w:top w:val="outset" w:sz="6" w:space="0" w:color="auto"/>
              <w:left w:val="outset" w:sz="6" w:space="0" w:color="auto"/>
              <w:bottom w:val="outset" w:sz="6" w:space="0" w:color="auto"/>
              <w:right w:val="outset" w:sz="6" w:space="0" w:color="auto"/>
            </w:tcBorders>
            <w:hideMark/>
          </w:tcPr>
          <w:p w:rsidR="002D7DCA" w:rsidRPr="000C7511" w:rsidRDefault="002D7DCA" w:rsidP="008F215A">
            <w:pPr>
              <w:spacing w:after="0"/>
              <w:ind w:left="0"/>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 4.</w:t>
            </w:r>
          </w:p>
        </w:tc>
        <w:tc>
          <w:tcPr>
            <w:tcW w:w="2126" w:type="dxa"/>
            <w:gridSpan w:val="4"/>
            <w:tcBorders>
              <w:top w:val="outset" w:sz="6" w:space="0" w:color="auto"/>
              <w:left w:val="outset" w:sz="6" w:space="0" w:color="auto"/>
              <w:bottom w:val="outset" w:sz="6" w:space="0" w:color="auto"/>
              <w:right w:val="outset" w:sz="6" w:space="0" w:color="auto"/>
            </w:tcBorders>
            <w:hideMark/>
          </w:tcPr>
          <w:p w:rsidR="00BE725F" w:rsidRPr="000C7511" w:rsidRDefault="002D7DCA" w:rsidP="008F215A">
            <w:pPr>
              <w:spacing w:after="0"/>
              <w:ind w:left="45"/>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Tiesiskā regulējuma mērķis un būtība</w:t>
            </w:r>
          </w:p>
          <w:p w:rsidR="002D7DCA" w:rsidRPr="000C7511" w:rsidRDefault="002D7DCA" w:rsidP="00085163">
            <w:pPr>
              <w:spacing w:after="0"/>
              <w:ind w:left="45" w:firstLine="223"/>
              <w:rPr>
                <w:rFonts w:ascii="Times New Roman" w:eastAsia="Times New Roman" w:hAnsi="Times New Roman" w:cs="Times New Roman"/>
                <w:sz w:val="24"/>
                <w:szCs w:val="24"/>
                <w:lang w:eastAsia="lv-LV"/>
              </w:rPr>
            </w:pPr>
          </w:p>
        </w:tc>
        <w:tc>
          <w:tcPr>
            <w:tcW w:w="6095" w:type="dxa"/>
            <w:gridSpan w:val="6"/>
            <w:tcBorders>
              <w:top w:val="outset" w:sz="6" w:space="0" w:color="auto"/>
              <w:left w:val="outset" w:sz="6" w:space="0" w:color="auto"/>
              <w:bottom w:val="outset" w:sz="6" w:space="0" w:color="auto"/>
              <w:right w:val="outset" w:sz="6" w:space="0" w:color="auto"/>
            </w:tcBorders>
            <w:hideMark/>
          </w:tcPr>
          <w:p w:rsidR="00832470" w:rsidRPr="000C7511" w:rsidRDefault="00E21176" w:rsidP="000C7511">
            <w:pPr>
              <w:pStyle w:val="NoSpacing"/>
              <w:ind w:left="127" w:right="126"/>
              <w:jc w:val="both"/>
              <w:rPr>
                <w:sz w:val="24"/>
                <w:szCs w:val="24"/>
                <w:lang w:val="lv-LV"/>
              </w:rPr>
            </w:pPr>
            <w:r w:rsidRPr="000C7511">
              <w:rPr>
                <w:sz w:val="24"/>
                <w:szCs w:val="24"/>
                <w:lang w:val="lv-LV"/>
              </w:rPr>
              <w:t>1.</w:t>
            </w:r>
            <w:r w:rsidR="00832470" w:rsidRPr="000C7511">
              <w:rPr>
                <w:sz w:val="24"/>
                <w:szCs w:val="24"/>
                <w:lang w:val="lv-LV"/>
              </w:rPr>
              <w:t>Ministru kabineta 2009.gada 3.februāra noteikumu Nr.108 “</w:t>
            </w:r>
            <w:r w:rsidR="00832470" w:rsidRPr="000C7511">
              <w:rPr>
                <w:bCs/>
                <w:sz w:val="24"/>
                <w:szCs w:val="24"/>
                <w:lang w:val="lv-LV"/>
              </w:rPr>
              <w:t>Normatīvo aktu projektu sagatavošanas noteikumi</w:t>
            </w:r>
            <w:r w:rsidR="00832470" w:rsidRPr="000C7511">
              <w:rPr>
                <w:sz w:val="24"/>
                <w:szCs w:val="24"/>
                <w:lang w:val="lv-LV"/>
              </w:rPr>
              <w:t xml:space="preserve">” 140.punktā noteikts, ka grozījumu noteikumu projektu nesagatavo, ja tā normu apjoms </w:t>
            </w:r>
            <w:r w:rsidR="00C9491C" w:rsidRPr="000C7511">
              <w:rPr>
                <w:sz w:val="24"/>
                <w:szCs w:val="24"/>
                <w:lang w:val="lv-LV"/>
              </w:rPr>
              <w:t xml:space="preserve">pārsniedz </w:t>
            </w:r>
            <w:r w:rsidR="00832470" w:rsidRPr="000C7511">
              <w:rPr>
                <w:sz w:val="24"/>
                <w:szCs w:val="24"/>
                <w:lang w:val="lv-LV"/>
              </w:rPr>
              <w:t xml:space="preserve">pusi no spēkā esošo noteikumu normu apjoma. Šādā gadījumā sagatavo jaunu noteikumu projektu. Tā kā </w:t>
            </w:r>
            <w:r w:rsidR="00C9491C" w:rsidRPr="000C7511">
              <w:rPr>
                <w:sz w:val="24"/>
                <w:szCs w:val="24"/>
                <w:lang w:val="lv-LV"/>
              </w:rPr>
              <w:t>Ministru kabineta noteikum</w:t>
            </w:r>
            <w:r w:rsidR="001172C7" w:rsidRPr="000C7511">
              <w:rPr>
                <w:sz w:val="24"/>
                <w:szCs w:val="24"/>
                <w:lang w:val="lv-LV"/>
              </w:rPr>
              <w:t>os</w:t>
            </w:r>
            <w:r w:rsidR="00C9491C" w:rsidRPr="000C7511">
              <w:rPr>
                <w:sz w:val="24"/>
                <w:szCs w:val="24"/>
                <w:lang w:val="lv-LV"/>
              </w:rPr>
              <w:t xml:space="preserve"> Nr.370</w:t>
            </w:r>
            <w:r w:rsidR="001F2957" w:rsidRPr="000C7511">
              <w:rPr>
                <w:sz w:val="24"/>
                <w:szCs w:val="24"/>
                <w:lang w:val="lv-LV"/>
              </w:rPr>
              <w:t xml:space="preserve"> </w:t>
            </w:r>
            <w:r w:rsidR="001172C7" w:rsidRPr="000C7511">
              <w:rPr>
                <w:sz w:val="24"/>
                <w:szCs w:val="24"/>
                <w:lang w:val="lv-LV"/>
              </w:rPr>
              <w:t xml:space="preserve">jāizdara grozījumi vairāk nekā 50 procentos </w:t>
            </w:r>
            <w:r w:rsidR="008F5A76" w:rsidRPr="000C7511">
              <w:rPr>
                <w:sz w:val="24"/>
                <w:szCs w:val="24"/>
                <w:lang w:val="lv-LV"/>
              </w:rPr>
              <w:t xml:space="preserve">no </w:t>
            </w:r>
            <w:r w:rsidR="001172C7" w:rsidRPr="000C7511">
              <w:rPr>
                <w:sz w:val="24"/>
                <w:szCs w:val="24"/>
                <w:lang w:val="lv-LV"/>
              </w:rPr>
              <w:t>spēkā esošo noteikumu normu apjoma</w:t>
            </w:r>
            <w:r w:rsidR="001F2957" w:rsidRPr="000C7511">
              <w:rPr>
                <w:sz w:val="24"/>
                <w:szCs w:val="24"/>
                <w:lang w:val="lv-LV"/>
              </w:rPr>
              <w:t>,</w:t>
            </w:r>
            <w:r w:rsidR="00832470" w:rsidRPr="000C7511">
              <w:rPr>
                <w:sz w:val="24"/>
                <w:szCs w:val="24"/>
                <w:lang w:val="lv-LV"/>
              </w:rPr>
              <w:t xml:space="preserve"> tiks izdoti jauni Ministru kabineta noteikumi “Pagaidu uzglabāšanas noteikumi”</w:t>
            </w:r>
            <w:r w:rsidR="00655D50" w:rsidRPr="000C7511">
              <w:rPr>
                <w:sz w:val="24"/>
                <w:szCs w:val="24"/>
                <w:lang w:val="lv-LV"/>
              </w:rPr>
              <w:t xml:space="preserve"> (turpmāk – Ministru kabineta noteikumu projekts)</w:t>
            </w:r>
            <w:r w:rsidR="00832470" w:rsidRPr="000C7511">
              <w:rPr>
                <w:sz w:val="24"/>
                <w:szCs w:val="24"/>
                <w:lang w:val="lv-LV"/>
              </w:rPr>
              <w:t>.</w:t>
            </w:r>
          </w:p>
          <w:p w:rsidR="0076213C" w:rsidRPr="000C7511" w:rsidRDefault="0076213C" w:rsidP="000C7511">
            <w:pPr>
              <w:pStyle w:val="NoSpacing"/>
              <w:ind w:left="127" w:right="126"/>
              <w:jc w:val="both"/>
              <w:rPr>
                <w:sz w:val="24"/>
                <w:szCs w:val="24"/>
                <w:lang w:val="lv-LV"/>
              </w:rPr>
            </w:pPr>
            <w:r w:rsidRPr="000C7511">
              <w:rPr>
                <w:sz w:val="24"/>
                <w:szCs w:val="24"/>
                <w:lang w:val="lv-LV"/>
              </w:rPr>
              <w:t>Ministru kabineta noteikumu projekts paredz noteikt kārtību par pagaidu uzglabāšanas vietas turēšanas atļauju izsniegšanu,</w:t>
            </w:r>
            <w:r w:rsidR="00A817CA" w:rsidRPr="000C7511">
              <w:rPr>
                <w:sz w:val="24"/>
                <w:szCs w:val="24"/>
                <w:lang w:val="lv-LV"/>
              </w:rPr>
              <w:t xml:space="preserve"> apturēšanu</w:t>
            </w:r>
            <w:r w:rsidR="00881FCE" w:rsidRPr="000C7511">
              <w:rPr>
                <w:b/>
                <w:sz w:val="24"/>
                <w:szCs w:val="24"/>
                <w:lang w:val="lv-LV"/>
              </w:rPr>
              <w:t xml:space="preserve">, </w:t>
            </w:r>
            <w:r w:rsidR="00881FCE" w:rsidRPr="000C7511">
              <w:rPr>
                <w:sz w:val="24"/>
                <w:szCs w:val="24"/>
                <w:lang w:val="lv-LV"/>
              </w:rPr>
              <w:t>atjaunošanu</w:t>
            </w:r>
            <w:r w:rsidR="00A817CA" w:rsidRPr="000C7511">
              <w:rPr>
                <w:sz w:val="24"/>
                <w:szCs w:val="24"/>
                <w:lang w:val="lv-LV"/>
              </w:rPr>
              <w:t xml:space="preserve"> un anulēšanu</w:t>
            </w:r>
            <w:r w:rsidR="00B10E38" w:rsidRPr="000C7511">
              <w:rPr>
                <w:sz w:val="24"/>
                <w:szCs w:val="24"/>
                <w:lang w:val="lv-LV"/>
              </w:rPr>
              <w:t>, kā arī</w:t>
            </w:r>
            <w:r w:rsidRPr="000C7511">
              <w:rPr>
                <w:sz w:val="24"/>
                <w:szCs w:val="24"/>
                <w:lang w:val="lv-LV"/>
              </w:rPr>
              <w:t xml:space="preserve"> preču </w:t>
            </w:r>
            <w:r w:rsidR="00A817CA" w:rsidRPr="000C7511">
              <w:rPr>
                <w:sz w:val="24"/>
                <w:szCs w:val="24"/>
                <w:lang w:val="lv-LV"/>
              </w:rPr>
              <w:t xml:space="preserve">pagaidu uzglabāšanas </w:t>
            </w:r>
            <w:r w:rsidRPr="000C7511">
              <w:rPr>
                <w:sz w:val="24"/>
                <w:szCs w:val="24"/>
                <w:lang w:val="lv-LV"/>
              </w:rPr>
              <w:t xml:space="preserve">deklarēšanu un </w:t>
            </w:r>
            <w:r w:rsidR="00A817CA" w:rsidRPr="000C7511">
              <w:rPr>
                <w:sz w:val="24"/>
                <w:szCs w:val="24"/>
                <w:lang w:val="lv-LV"/>
              </w:rPr>
              <w:t xml:space="preserve">to </w:t>
            </w:r>
            <w:r w:rsidRPr="000C7511">
              <w:rPr>
                <w:sz w:val="24"/>
                <w:szCs w:val="24"/>
                <w:lang w:val="lv-LV"/>
              </w:rPr>
              <w:t>uzskaiti.</w:t>
            </w:r>
          </w:p>
          <w:p w:rsidR="00400236" w:rsidRPr="000C7511" w:rsidRDefault="00ED47FD" w:rsidP="000C7511">
            <w:pPr>
              <w:pStyle w:val="NoSpacing"/>
              <w:ind w:left="127" w:right="126"/>
              <w:jc w:val="both"/>
              <w:rPr>
                <w:sz w:val="24"/>
                <w:szCs w:val="24"/>
                <w:lang w:val="lv-LV"/>
              </w:rPr>
            </w:pPr>
            <w:r w:rsidRPr="000C7511">
              <w:rPr>
                <w:sz w:val="24"/>
                <w:szCs w:val="24"/>
                <w:lang w:val="lv-LV"/>
              </w:rPr>
              <w:t>Ministru kabineta noteikumu projekt</w:t>
            </w:r>
            <w:r w:rsidR="0076213C" w:rsidRPr="000C7511">
              <w:rPr>
                <w:sz w:val="24"/>
                <w:szCs w:val="24"/>
                <w:lang w:val="lv-LV"/>
              </w:rPr>
              <w:t>s</w:t>
            </w:r>
            <w:r w:rsidRPr="000C7511">
              <w:rPr>
                <w:sz w:val="24"/>
                <w:szCs w:val="24"/>
                <w:lang w:val="lv-LV"/>
              </w:rPr>
              <w:t xml:space="preserve"> papildus Ministru kabineta noteikumu Nr.370 normām </w:t>
            </w:r>
            <w:r w:rsidR="0076213C" w:rsidRPr="000C7511">
              <w:rPr>
                <w:sz w:val="24"/>
                <w:szCs w:val="24"/>
                <w:lang w:val="lv-LV"/>
              </w:rPr>
              <w:t>paredz</w:t>
            </w:r>
            <w:r w:rsidR="0076213C" w:rsidRPr="000C7511" w:rsidDel="0076213C">
              <w:rPr>
                <w:sz w:val="24"/>
                <w:szCs w:val="24"/>
                <w:lang w:val="lv-LV"/>
              </w:rPr>
              <w:t xml:space="preserve"> </w:t>
            </w:r>
            <w:r w:rsidRPr="000C7511">
              <w:rPr>
                <w:sz w:val="24"/>
                <w:szCs w:val="24"/>
                <w:lang w:val="lv-LV"/>
              </w:rPr>
              <w:t>iekļaut jaun</w:t>
            </w:r>
            <w:r w:rsidR="0076213C" w:rsidRPr="000C7511">
              <w:rPr>
                <w:sz w:val="24"/>
                <w:szCs w:val="24"/>
                <w:lang w:val="lv-LV"/>
              </w:rPr>
              <w:t>u</w:t>
            </w:r>
            <w:r w:rsidRPr="000C7511">
              <w:rPr>
                <w:sz w:val="24"/>
                <w:szCs w:val="24"/>
                <w:lang w:val="lv-LV"/>
              </w:rPr>
              <w:t xml:space="preserve"> III nodaļ</w:t>
            </w:r>
            <w:r w:rsidR="0076213C" w:rsidRPr="000C7511">
              <w:rPr>
                <w:sz w:val="24"/>
                <w:szCs w:val="24"/>
                <w:lang w:val="lv-LV"/>
              </w:rPr>
              <w:t>u</w:t>
            </w:r>
            <w:r w:rsidRPr="000C7511">
              <w:rPr>
                <w:b/>
                <w:sz w:val="24"/>
                <w:szCs w:val="24"/>
                <w:lang w:val="lv-LV"/>
              </w:rPr>
              <w:t xml:space="preserve"> </w:t>
            </w:r>
            <w:r w:rsidRPr="000C7511">
              <w:rPr>
                <w:sz w:val="24"/>
                <w:szCs w:val="24"/>
                <w:lang w:val="lv-LV"/>
              </w:rPr>
              <w:t>“</w:t>
            </w:r>
            <w:r w:rsidR="00866ACB" w:rsidRPr="000C7511">
              <w:rPr>
                <w:sz w:val="24"/>
                <w:szCs w:val="24"/>
                <w:lang w:val="lv-LV"/>
              </w:rPr>
              <w:t xml:space="preserve">Kopsavilkuma deklarācijas </w:t>
            </w:r>
            <w:r w:rsidR="006E5D36" w:rsidRPr="000C7511">
              <w:rPr>
                <w:sz w:val="24"/>
                <w:szCs w:val="24"/>
                <w:lang w:val="lv-LV"/>
              </w:rPr>
              <w:t>par pagaidu uzglabāšanu iesniegšana</w:t>
            </w:r>
            <w:r w:rsidRPr="000C7511">
              <w:rPr>
                <w:sz w:val="24"/>
                <w:szCs w:val="24"/>
                <w:lang w:val="lv-LV"/>
              </w:rPr>
              <w:t>”, kurā ir noteikts</w:t>
            </w:r>
            <w:r w:rsidR="00C9491C" w:rsidRPr="000C7511">
              <w:rPr>
                <w:sz w:val="24"/>
                <w:szCs w:val="24"/>
                <w:lang w:val="lv-LV"/>
              </w:rPr>
              <w:t>,</w:t>
            </w:r>
            <w:r w:rsidRPr="000C7511">
              <w:rPr>
                <w:sz w:val="24"/>
                <w:szCs w:val="24"/>
                <w:lang w:val="lv-LV"/>
              </w:rPr>
              <w:t xml:space="preserve"> kādus datus norāda, iesniedzot </w:t>
            </w:r>
            <w:r w:rsidR="00904E1F" w:rsidRPr="000C7511">
              <w:rPr>
                <w:sz w:val="24"/>
                <w:szCs w:val="24"/>
                <w:lang w:val="lv-LV"/>
              </w:rPr>
              <w:t xml:space="preserve">kopsavilkuma </w:t>
            </w:r>
            <w:r w:rsidR="006E5D36" w:rsidRPr="000C7511">
              <w:rPr>
                <w:sz w:val="24"/>
                <w:szCs w:val="24"/>
                <w:lang w:val="lv-LV"/>
              </w:rPr>
              <w:t xml:space="preserve">deklarāciju par </w:t>
            </w:r>
            <w:r w:rsidRPr="000C7511">
              <w:rPr>
                <w:sz w:val="24"/>
                <w:szCs w:val="24"/>
                <w:lang w:val="lv-LV"/>
              </w:rPr>
              <w:t>pagaidu uzglabāšan</w:t>
            </w:r>
            <w:r w:rsidR="006E5D36" w:rsidRPr="000C7511">
              <w:rPr>
                <w:sz w:val="24"/>
                <w:szCs w:val="24"/>
                <w:lang w:val="lv-LV"/>
              </w:rPr>
              <w:t>u</w:t>
            </w:r>
            <w:r w:rsidRPr="000C7511">
              <w:rPr>
                <w:sz w:val="24"/>
                <w:szCs w:val="24"/>
                <w:lang w:val="lv-LV"/>
              </w:rPr>
              <w:t xml:space="preserve">. </w:t>
            </w:r>
            <w:r w:rsidR="00400236" w:rsidRPr="000C7511">
              <w:rPr>
                <w:sz w:val="24"/>
                <w:szCs w:val="24"/>
                <w:lang w:val="lv-LV"/>
              </w:rPr>
              <w:t>Tāpat ir iekļauts punkts (16.punkts), kurš noteiks, kāda ir personas rīcība gadījumos, ja deklarāciju iesniedz persona, kura nav pagaidu uzglabāšanas vietas atļaujas turētājs. Persona pirms novieto preci pagaidu uzglabāšanas vietā saskaņo to ar pagaidu uzglabāšanas vietas atļaujas turētāju</w:t>
            </w:r>
            <w:r w:rsidR="00B15D57" w:rsidRPr="000C7511">
              <w:rPr>
                <w:sz w:val="24"/>
                <w:szCs w:val="24"/>
                <w:lang w:val="lv-LV"/>
              </w:rPr>
              <w:t xml:space="preserve"> (turpmāk – atļaujas turētājs)</w:t>
            </w:r>
            <w:r w:rsidR="00400236" w:rsidRPr="000C7511">
              <w:rPr>
                <w:sz w:val="24"/>
                <w:szCs w:val="24"/>
                <w:lang w:val="lv-LV"/>
              </w:rPr>
              <w:t xml:space="preserve">. </w:t>
            </w:r>
            <w:r w:rsidR="00B15D57" w:rsidRPr="000C7511">
              <w:rPr>
                <w:sz w:val="24"/>
                <w:szCs w:val="24"/>
                <w:lang w:val="lv-LV"/>
              </w:rPr>
              <w:t xml:space="preserve">Tiklīdz atļaujas turētājs piekrīt paredzētajai preču novietošanai attiecīgajā pagaidu uzglabāšanas vietā, </w:t>
            </w:r>
            <w:r w:rsidR="00400236" w:rsidRPr="000C7511">
              <w:rPr>
                <w:sz w:val="24"/>
                <w:szCs w:val="24"/>
                <w:lang w:val="lv-LV"/>
              </w:rPr>
              <w:t xml:space="preserve"> </w:t>
            </w:r>
            <w:r w:rsidR="00B15D57" w:rsidRPr="000C7511">
              <w:rPr>
                <w:sz w:val="24"/>
                <w:szCs w:val="24"/>
                <w:lang w:val="lv-LV"/>
              </w:rPr>
              <w:t xml:space="preserve">atļaujas turētājs </w:t>
            </w:r>
            <w:r w:rsidR="008C48B5" w:rsidRPr="000C7511">
              <w:rPr>
                <w:sz w:val="24"/>
                <w:szCs w:val="24"/>
                <w:lang w:val="lv-LV"/>
              </w:rPr>
              <w:t xml:space="preserve">saskaņā ar </w:t>
            </w:r>
            <w:r w:rsidR="0078111D" w:rsidRPr="000C7511">
              <w:rPr>
                <w:sz w:val="24"/>
                <w:szCs w:val="24"/>
                <w:lang w:val="lv-LV"/>
              </w:rPr>
              <w:t>R</w:t>
            </w:r>
            <w:r w:rsidR="008C48B5" w:rsidRPr="000C7511">
              <w:rPr>
                <w:sz w:val="24"/>
                <w:szCs w:val="24"/>
                <w:lang w:val="lv-LV"/>
              </w:rPr>
              <w:t xml:space="preserve">egulas Nr.2454/93 185.panta 2.punkta b) apakšpunkta nosacījumiem </w:t>
            </w:r>
            <w:r w:rsidR="00B15D57" w:rsidRPr="000C7511">
              <w:rPr>
                <w:sz w:val="24"/>
                <w:szCs w:val="24"/>
                <w:lang w:val="lv-LV"/>
              </w:rPr>
              <w:t>uzņemas visas saistības attiecībā uz pagaidu uzglabāšanas piemērošanu.</w:t>
            </w:r>
          </w:p>
          <w:p w:rsidR="002438F4" w:rsidRPr="000C7511" w:rsidRDefault="00516DF6" w:rsidP="000C7511">
            <w:pPr>
              <w:pStyle w:val="NoSpacing"/>
              <w:ind w:left="127" w:right="126"/>
              <w:jc w:val="both"/>
              <w:rPr>
                <w:sz w:val="24"/>
                <w:szCs w:val="24"/>
                <w:lang w:val="lv-LV"/>
              </w:rPr>
            </w:pPr>
            <w:r w:rsidRPr="000C7511">
              <w:rPr>
                <w:sz w:val="24"/>
                <w:szCs w:val="24"/>
                <w:lang w:val="lv-LV"/>
              </w:rPr>
              <w:t>T</w:t>
            </w:r>
            <w:r w:rsidR="00481672" w:rsidRPr="000C7511">
              <w:rPr>
                <w:sz w:val="24"/>
                <w:szCs w:val="24"/>
                <w:lang w:val="lv-LV"/>
              </w:rPr>
              <w:t xml:space="preserve">iek precizēts arī šīs nodaļas 14.punkts. </w:t>
            </w:r>
            <w:r w:rsidR="002438F4" w:rsidRPr="000C7511">
              <w:rPr>
                <w:sz w:val="24"/>
                <w:szCs w:val="24"/>
                <w:lang w:val="lv-LV"/>
              </w:rPr>
              <w:t>Iesniedzot deklarāciju Elektroniskās deklarēšanas sistēmā jānorāda 14.punktā minētā informācija. M</w:t>
            </w:r>
            <w:r w:rsidR="002B1476" w:rsidRPr="000C7511">
              <w:rPr>
                <w:sz w:val="24"/>
                <w:szCs w:val="24"/>
                <w:lang w:val="lv-LV"/>
              </w:rPr>
              <w:t>inistru kabineta</w:t>
            </w:r>
            <w:r w:rsidR="002438F4" w:rsidRPr="000C7511">
              <w:rPr>
                <w:sz w:val="24"/>
                <w:szCs w:val="24"/>
                <w:lang w:val="lv-LV"/>
              </w:rPr>
              <w:t xml:space="preserve"> noteikumu projekta 14.10.apakšunktā ir prasība norādīt dokumenta numuru un veidu par iepriekšējo procedūru.  Un saskaņā ar </w:t>
            </w:r>
            <w:r w:rsidR="0078111D" w:rsidRPr="000C7511">
              <w:rPr>
                <w:sz w:val="24"/>
                <w:szCs w:val="24"/>
                <w:lang w:val="lv-LV"/>
              </w:rPr>
              <w:t>R</w:t>
            </w:r>
            <w:r w:rsidR="002438F4" w:rsidRPr="000C7511">
              <w:rPr>
                <w:sz w:val="24"/>
                <w:szCs w:val="24"/>
                <w:lang w:val="lv-LV"/>
              </w:rPr>
              <w:t xml:space="preserve">egulas Nr.2913/92 4.panta 15.punktu, kā vienu no iepriekš norādāmajiem dokumentiem var norādīt </w:t>
            </w:r>
            <w:r w:rsidR="0088408A" w:rsidRPr="000C7511">
              <w:rPr>
                <w:sz w:val="24"/>
                <w:szCs w:val="24"/>
                <w:lang w:val="lv-LV"/>
              </w:rPr>
              <w:t>dokumentu</w:t>
            </w:r>
            <w:r w:rsidR="00BC78C6" w:rsidRPr="000C7511">
              <w:rPr>
                <w:sz w:val="24"/>
                <w:szCs w:val="24"/>
                <w:lang w:val="lv-LV"/>
              </w:rPr>
              <w:t>,</w:t>
            </w:r>
            <w:r w:rsidR="0088408A" w:rsidRPr="000C7511">
              <w:rPr>
                <w:sz w:val="24"/>
                <w:szCs w:val="24"/>
                <w:lang w:val="lv-LV"/>
              </w:rPr>
              <w:t xml:space="preserve"> ar kuru piemērota </w:t>
            </w:r>
            <w:r w:rsidR="002438F4" w:rsidRPr="000C7511">
              <w:rPr>
                <w:sz w:val="24"/>
                <w:szCs w:val="24"/>
                <w:lang w:val="lv-LV"/>
              </w:rPr>
              <w:t xml:space="preserve">muitas noteikumos atzīta preču izmantošana. </w:t>
            </w:r>
          </w:p>
          <w:p w:rsidR="00ED47FD" w:rsidRPr="000C7511" w:rsidRDefault="00ED47FD" w:rsidP="000C7511">
            <w:pPr>
              <w:pStyle w:val="NoSpacing"/>
              <w:ind w:left="127" w:right="126"/>
              <w:jc w:val="both"/>
              <w:rPr>
                <w:sz w:val="24"/>
                <w:szCs w:val="24"/>
                <w:lang w:val="lv-LV"/>
              </w:rPr>
            </w:pPr>
            <w:r w:rsidRPr="000C7511">
              <w:rPr>
                <w:sz w:val="24"/>
                <w:szCs w:val="24"/>
                <w:lang w:val="lv-LV"/>
              </w:rPr>
              <w:t>Tāpat ir no</w:t>
            </w:r>
            <w:r w:rsidR="00B063D0" w:rsidRPr="000C7511">
              <w:rPr>
                <w:sz w:val="24"/>
                <w:szCs w:val="24"/>
                <w:lang w:val="lv-LV"/>
              </w:rPr>
              <w:t>teik</w:t>
            </w:r>
            <w:r w:rsidRPr="000C7511">
              <w:rPr>
                <w:sz w:val="24"/>
                <w:szCs w:val="24"/>
                <w:lang w:val="lv-LV"/>
              </w:rPr>
              <w:t>ts</w:t>
            </w:r>
            <w:r w:rsidR="00B063D0" w:rsidRPr="000C7511">
              <w:rPr>
                <w:sz w:val="24"/>
                <w:szCs w:val="24"/>
                <w:lang w:val="lv-LV"/>
              </w:rPr>
              <w:t>,</w:t>
            </w:r>
            <w:r w:rsidRPr="000C7511">
              <w:rPr>
                <w:sz w:val="24"/>
                <w:szCs w:val="24"/>
                <w:lang w:val="lv-LV"/>
              </w:rPr>
              <w:t xml:space="preserve"> kā </w:t>
            </w:r>
            <w:r w:rsidR="0076213C" w:rsidRPr="000C7511">
              <w:rPr>
                <w:sz w:val="24"/>
                <w:szCs w:val="24"/>
                <w:lang w:val="lv-LV"/>
              </w:rPr>
              <w:t xml:space="preserve">minēto </w:t>
            </w:r>
            <w:r w:rsidR="00904E1F" w:rsidRPr="000C7511">
              <w:rPr>
                <w:sz w:val="24"/>
                <w:szCs w:val="24"/>
                <w:lang w:val="lv-LV"/>
              </w:rPr>
              <w:t xml:space="preserve">kopsavilkuma </w:t>
            </w:r>
            <w:r w:rsidRPr="000C7511">
              <w:rPr>
                <w:sz w:val="24"/>
                <w:szCs w:val="24"/>
                <w:lang w:val="lv-LV"/>
              </w:rPr>
              <w:t xml:space="preserve">deklarāciju </w:t>
            </w:r>
            <w:r w:rsidR="006E5D36" w:rsidRPr="000C7511">
              <w:rPr>
                <w:sz w:val="24"/>
                <w:szCs w:val="24"/>
                <w:lang w:val="lv-LV"/>
              </w:rPr>
              <w:t xml:space="preserve">par pagaidu uzglabāšanu </w:t>
            </w:r>
            <w:r w:rsidRPr="000C7511">
              <w:rPr>
                <w:sz w:val="24"/>
                <w:szCs w:val="24"/>
                <w:lang w:val="lv-LV"/>
              </w:rPr>
              <w:t xml:space="preserve">iesniedz, ja </w:t>
            </w:r>
            <w:r w:rsidR="002660ED" w:rsidRPr="000C7511">
              <w:rPr>
                <w:sz w:val="24"/>
                <w:szCs w:val="24"/>
                <w:lang w:val="lv-LV"/>
              </w:rPr>
              <w:t xml:space="preserve">nedarbojas </w:t>
            </w:r>
            <w:r w:rsidR="00972334" w:rsidRPr="000C7511">
              <w:rPr>
                <w:sz w:val="24"/>
                <w:szCs w:val="24"/>
                <w:lang w:val="lv-LV"/>
              </w:rPr>
              <w:t xml:space="preserve">elektroniskā </w:t>
            </w:r>
            <w:r w:rsidRPr="000C7511">
              <w:rPr>
                <w:sz w:val="24"/>
                <w:szCs w:val="24"/>
                <w:lang w:val="lv-LV"/>
              </w:rPr>
              <w:t>deklarēšanas sistēma</w:t>
            </w:r>
            <w:r w:rsidR="00F863E6" w:rsidRPr="000C7511">
              <w:rPr>
                <w:sz w:val="24"/>
                <w:szCs w:val="24"/>
                <w:lang w:val="lv-LV"/>
              </w:rPr>
              <w:t xml:space="preserve"> (</w:t>
            </w:r>
            <w:r w:rsidR="00D852DE" w:rsidRPr="000C7511">
              <w:rPr>
                <w:sz w:val="24"/>
                <w:szCs w:val="24"/>
                <w:lang w:val="lv-LV"/>
              </w:rPr>
              <w:t xml:space="preserve">Ministru kabineta noteikumu projekta </w:t>
            </w:r>
            <w:r w:rsidR="00F863E6" w:rsidRPr="000C7511">
              <w:rPr>
                <w:sz w:val="24"/>
                <w:szCs w:val="24"/>
                <w:lang w:val="lv-LV"/>
              </w:rPr>
              <w:t>17.un 18.punkts)</w:t>
            </w:r>
            <w:r w:rsidRPr="000C7511">
              <w:rPr>
                <w:sz w:val="24"/>
                <w:szCs w:val="24"/>
                <w:lang w:val="lv-LV"/>
              </w:rPr>
              <w:t>.</w:t>
            </w:r>
          </w:p>
          <w:p w:rsidR="00F5694F" w:rsidRPr="000C7511" w:rsidRDefault="008D3A42" w:rsidP="000C7511">
            <w:pPr>
              <w:pStyle w:val="NoSpacing"/>
              <w:ind w:left="127" w:right="126"/>
              <w:jc w:val="both"/>
              <w:rPr>
                <w:sz w:val="24"/>
                <w:szCs w:val="24"/>
                <w:lang w:val="lv-LV"/>
              </w:rPr>
            </w:pPr>
            <w:r w:rsidRPr="000C7511">
              <w:rPr>
                <w:sz w:val="24"/>
                <w:szCs w:val="24"/>
                <w:lang w:val="lv-LV"/>
              </w:rPr>
              <w:t>2.</w:t>
            </w:r>
            <w:r w:rsidR="00311269" w:rsidRPr="000C7511">
              <w:rPr>
                <w:sz w:val="24"/>
                <w:szCs w:val="24"/>
                <w:lang w:val="lv-LV"/>
              </w:rPr>
              <w:t xml:space="preserve"> </w:t>
            </w:r>
            <w:r w:rsidR="00F5694F" w:rsidRPr="000C7511">
              <w:rPr>
                <w:sz w:val="24"/>
                <w:szCs w:val="24"/>
                <w:lang w:val="lv-LV"/>
              </w:rPr>
              <w:t xml:space="preserve">Ministru kabineta noteikumu projekta 2.punkts turpmāk noteiks, ka jebkura persona kopsavilkuma deklarāciju par pagaidu uzglabāšanu varēs iesniegt muitas iestādē, kurā preces tiek uzrādītas, vai </w:t>
            </w:r>
            <w:r w:rsidR="00F5694F" w:rsidRPr="000C7511" w:rsidDel="00424479">
              <w:rPr>
                <w:sz w:val="24"/>
                <w:szCs w:val="24"/>
                <w:lang w:val="lv-LV"/>
              </w:rPr>
              <w:t xml:space="preserve"> </w:t>
            </w:r>
            <w:r w:rsidR="00F5694F" w:rsidRPr="000C7511">
              <w:rPr>
                <w:sz w:val="24"/>
                <w:szCs w:val="24"/>
                <w:lang w:val="lv-LV"/>
              </w:rPr>
              <w:t>uzraudzības muitas iestādē, precēm  jau atrodoties pagaidu uzglabāšanas vietā.</w:t>
            </w:r>
          </w:p>
          <w:p w:rsidR="00C67A2D" w:rsidRPr="000C7511" w:rsidRDefault="00ED47FD" w:rsidP="000C7511">
            <w:pPr>
              <w:pStyle w:val="NoSpacing"/>
              <w:ind w:left="127" w:right="126"/>
              <w:jc w:val="both"/>
              <w:rPr>
                <w:sz w:val="24"/>
                <w:szCs w:val="24"/>
                <w:lang w:val="lv-LV"/>
              </w:rPr>
            </w:pPr>
            <w:r w:rsidRPr="000C7511">
              <w:rPr>
                <w:sz w:val="24"/>
                <w:szCs w:val="24"/>
                <w:lang w:val="lv-LV"/>
              </w:rPr>
              <w:t>3. Ministru kabineta noteikumu projekts nenosaka</w:t>
            </w:r>
            <w:r w:rsidR="00037C26" w:rsidRPr="000C7511">
              <w:rPr>
                <w:sz w:val="24"/>
                <w:szCs w:val="24"/>
                <w:lang w:val="lv-LV"/>
              </w:rPr>
              <w:t xml:space="preserve"> prasību</w:t>
            </w:r>
            <w:r w:rsidRPr="000C7511">
              <w:rPr>
                <w:sz w:val="24"/>
                <w:szCs w:val="24"/>
                <w:lang w:val="lv-LV"/>
              </w:rPr>
              <w:t>, ka preču pagaidu uzglabāšanas vieta ir norobežota</w:t>
            </w:r>
            <w:r w:rsidR="0042549B" w:rsidRPr="000C7511">
              <w:rPr>
                <w:sz w:val="24"/>
                <w:szCs w:val="24"/>
                <w:lang w:val="lv-LV"/>
              </w:rPr>
              <w:t xml:space="preserve"> un </w:t>
            </w:r>
            <w:r w:rsidRPr="000C7511">
              <w:rPr>
                <w:sz w:val="24"/>
                <w:szCs w:val="24"/>
                <w:lang w:val="lv-LV"/>
              </w:rPr>
              <w:t>ka atļaujas turētājs nodrošina apsardzi</w:t>
            </w:r>
            <w:r w:rsidR="0042549B" w:rsidRPr="000C7511">
              <w:rPr>
                <w:sz w:val="24"/>
                <w:szCs w:val="24"/>
                <w:lang w:val="lv-LV"/>
              </w:rPr>
              <w:t>.</w:t>
            </w:r>
            <w:r w:rsidR="00B063D0" w:rsidRPr="000C7511">
              <w:rPr>
                <w:sz w:val="24"/>
                <w:szCs w:val="24"/>
                <w:lang w:val="lv-LV"/>
              </w:rPr>
              <w:t xml:space="preserve"> </w:t>
            </w:r>
            <w:r w:rsidR="00226F01" w:rsidRPr="000C7511">
              <w:rPr>
                <w:sz w:val="24"/>
                <w:szCs w:val="24"/>
                <w:lang w:val="lv-LV"/>
              </w:rPr>
              <w:t>Turpmāk atbilstoši preču sortimentam komersants lemj, par pagaidu uzglabāšanas vietas norobežošanu.</w:t>
            </w:r>
            <w:r w:rsidR="0042549B" w:rsidRPr="000C7511">
              <w:rPr>
                <w:sz w:val="24"/>
                <w:szCs w:val="24"/>
                <w:lang w:val="lv-LV"/>
              </w:rPr>
              <w:t xml:space="preserve"> Komersanta </w:t>
            </w:r>
            <w:r w:rsidRPr="000C7511">
              <w:rPr>
                <w:sz w:val="24"/>
                <w:szCs w:val="24"/>
                <w:lang w:val="lv-LV"/>
              </w:rPr>
              <w:t xml:space="preserve">pienākums ir veikt </w:t>
            </w:r>
            <w:r w:rsidR="0042549B" w:rsidRPr="000C7511">
              <w:rPr>
                <w:sz w:val="24"/>
                <w:szCs w:val="24"/>
                <w:lang w:val="lv-LV"/>
              </w:rPr>
              <w:t xml:space="preserve">tādus </w:t>
            </w:r>
            <w:r w:rsidRPr="000C7511">
              <w:rPr>
                <w:sz w:val="24"/>
                <w:szCs w:val="24"/>
                <w:lang w:val="lv-LV"/>
              </w:rPr>
              <w:t xml:space="preserve">pasākumus, lai atļaujas turētājs varētu nodrošināt preču kontroli pagaidu uzglabāšanas vietā. Savukārt VID pienākums saskaņā ar </w:t>
            </w:r>
            <w:r w:rsidR="00D852DE" w:rsidRPr="000C7511">
              <w:rPr>
                <w:sz w:val="24"/>
                <w:szCs w:val="24"/>
                <w:lang w:val="lv-LV"/>
              </w:rPr>
              <w:t>R</w:t>
            </w:r>
            <w:r w:rsidRPr="000C7511">
              <w:rPr>
                <w:sz w:val="24"/>
                <w:szCs w:val="24"/>
                <w:lang w:val="lv-LV"/>
              </w:rPr>
              <w:t xml:space="preserve">egulas Nr.2913/92 51.panta 1.punkta nosacījumiem ir nodrošināt muitas kontroles vietas, kurās atļauts glabāt preces pagaidu uzglabāšanā. Tādēļ turpmāk VID nav nepieciešamība speciāli prasīt preču pagaidu uzglabāšanas vietas norobežošanu. </w:t>
            </w:r>
          </w:p>
          <w:p w:rsidR="002327EA" w:rsidRPr="000C7511" w:rsidRDefault="002327EA" w:rsidP="000C7511">
            <w:pPr>
              <w:pStyle w:val="NoSpacing"/>
              <w:ind w:left="127" w:right="126"/>
              <w:jc w:val="both"/>
              <w:rPr>
                <w:sz w:val="24"/>
                <w:szCs w:val="24"/>
                <w:lang w:val="lv-LV"/>
              </w:rPr>
            </w:pPr>
            <w:r w:rsidRPr="000C7511">
              <w:rPr>
                <w:sz w:val="24"/>
                <w:szCs w:val="24"/>
                <w:lang w:val="lv-LV"/>
              </w:rPr>
              <w:t xml:space="preserve">Šobrīd Valsts ieņēmumu dienests neparedz tādu iespēju, ka pats varētu apsaimniekot teritoriju, kuru paredzēts izmantot par preču pagaidu uzglabāšanas vietu. Tādēļ, saskaņā ar </w:t>
            </w:r>
            <w:r w:rsidR="0078111D" w:rsidRPr="000C7511">
              <w:rPr>
                <w:sz w:val="24"/>
                <w:szCs w:val="24"/>
                <w:lang w:val="lv-LV"/>
              </w:rPr>
              <w:t>R</w:t>
            </w:r>
            <w:r w:rsidRPr="000C7511">
              <w:rPr>
                <w:sz w:val="24"/>
                <w:szCs w:val="24"/>
                <w:lang w:val="lv-LV"/>
              </w:rPr>
              <w:t>egulas Nr.</w:t>
            </w:r>
            <w:r w:rsidR="0078111D" w:rsidRPr="000C7511">
              <w:rPr>
                <w:sz w:val="24"/>
                <w:szCs w:val="24"/>
                <w:lang w:val="lv-LV"/>
              </w:rPr>
              <w:t>2454/93</w:t>
            </w:r>
            <w:r w:rsidRPr="000C7511">
              <w:rPr>
                <w:sz w:val="24"/>
                <w:szCs w:val="24"/>
                <w:lang w:val="lv-LV"/>
              </w:rPr>
              <w:t xml:space="preserve"> 185.pantā noteikto, lai nodrošinātu muitas noteikumu piemērošanu gadījumos, kad muitas iestādes pašas neapsaimnieko pagaidu glabāšanas vietas, muitas dienesti var prasīt, lai:</w:t>
            </w:r>
          </w:p>
          <w:p w:rsidR="002327EA" w:rsidRPr="000C7511" w:rsidRDefault="002327EA" w:rsidP="000C7511">
            <w:pPr>
              <w:pStyle w:val="NoSpacing"/>
              <w:ind w:left="127" w:right="126"/>
              <w:jc w:val="both"/>
              <w:rPr>
                <w:sz w:val="24"/>
                <w:szCs w:val="24"/>
                <w:lang w:val="lv-LV"/>
              </w:rPr>
            </w:pPr>
            <w:r w:rsidRPr="000C7511">
              <w:rPr>
                <w:sz w:val="24"/>
                <w:szCs w:val="24"/>
                <w:lang w:val="lv-LV"/>
              </w:rPr>
              <w:t>a) pagaidu glabāšanas vietas būtu ar divām atslēgām, un viena atslēga tiktu nodota minētajiem muitas dienestiem;</w:t>
            </w:r>
          </w:p>
          <w:p w:rsidR="002327EA" w:rsidRPr="000C7511" w:rsidRDefault="002327EA" w:rsidP="000C7511">
            <w:pPr>
              <w:pStyle w:val="NoSpacing"/>
              <w:ind w:left="127" w:right="126"/>
              <w:jc w:val="both"/>
              <w:rPr>
                <w:sz w:val="24"/>
                <w:szCs w:val="24"/>
                <w:lang w:val="lv-LV"/>
              </w:rPr>
            </w:pPr>
            <w:r w:rsidRPr="000C7511">
              <w:rPr>
                <w:sz w:val="24"/>
                <w:szCs w:val="24"/>
                <w:lang w:val="lv-LV"/>
              </w:rPr>
              <w:t xml:space="preserve">b) </w:t>
            </w:r>
            <w:r w:rsidR="002660ED" w:rsidRPr="000C7511">
              <w:rPr>
                <w:sz w:val="24"/>
                <w:szCs w:val="24"/>
                <w:lang w:val="lv-LV"/>
              </w:rPr>
              <w:t>persona</w:t>
            </w:r>
            <w:r w:rsidRPr="000C7511">
              <w:rPr>
                <w:sz w:val="24"/>
                <w:szCs w:val="24"/>
                <w:lang w:val="lv-LV"/>
              </w:rPr>
              <w:t xml:space="preserve">, kas saimnieko pagaidu glabāšanas vietā, uzskaitītu krājumus tā, lai būtu iespējams izsekot preču apritei. </w:t>
            </w:r>
          </w:p>
          <w:p w:rsidR="00ED47FD" w:rsidRPr="000C7511" w:rsidRDefault="00ED47FD" w:rsidP="000C7511">
            <w:pPr>
              <w:pStyle w:val="NoSpacing"/>
              <w:ind w:left="127" w:right="126"/>
              <w:jc w:val="both"/>
              <w:rPr>
                <w:sz w:val="24"/>
                <w:szCs w:val="24"/>
                <w:lang w:val="lv-LV"/>
              </w:rPr>
            </w:pPr>
            <w:r w:rsidRPr="000C7511">
              <w:rPr>
                <w:sz w:val="24"/>
                <w:szCs w:val="24"/>
                <w:lang w:val="lv-LV"/>
              </w:rPr>
              <w:t xml:space="preserve">4. Ministru kabineta noteikumu projekts neparedz prasību iesniegumam par pagaidu uzglabāšanas vietas </w:t>
            </w:r>
            <w:r w:rsidR="006E5D36" w:rsidRPr="000C7511">
              <w:rPr>
                <w:sz w:val="24"/>
                <w:szCs w:val="24"/>
                <w:lang w:val="lv-LV"/>
              </w:rPr>
              <w:t xml:space="preserve">turēšanas </w:t>
            </w:r>
            <w:r w:rsidRPr="000C7511">
              <w:rPr>
                <w:sz w:val="24"/>
                <w:szCs w:val="24"/>
                <w:lang w:val="lv-LV"/>
              </w:rPr>
              <w:t xml:space="preserve">piešķiršanu pievienot komercsabiedrības reģistrācijas apliecības un statūtu kopiju. </w:t>
            </w:r>
          </w:p>
          <w:p w:rsidR="00ED47FD" w:rsidRPr="000C7511" w:rsidRDefault="00ED47FD" w:rsidP="000C7511">
            <w:pPr>
              <w:pStyle w:val="NoSpacing"/>
              <w:ind w:left="127" w:right="126"/>
              <w:jc w:val="both"/>
              <w:rPr>
                <w:sz w:val="24"/>
                <w:szCs w:val="24"/>
                <w:lang w:val="lv-LV"/>
              </w:rPr>
            </w:pPr>
            <w:r w:rsidRPr="000C7511">
              <w:rPr>
                <w:sz w:val="24"/>
                <w:szCs w:val="24"/>
                <w:lang w:val="lv-LV"/>
              </w:rPr>
              <w:t xml:space="preserve">5. Ministru kabineta noteikumu </w:t>
            </w:r>
            <w:r w:rsidR="005F500C" w:rsidRPr="000C7511">
              <w:rPr>
                <w:sz w:val="24"/>
                <w:szCs w:val="24"/>
                <w:lang w:val="lv-LV"/>
              </w:rPr>
              <w:t>projekta II</w:t>
            </w:r>
            <w:r w:rsidR="00A514B3" w:rsidRPr="000C7511">
              <w:rPr>
                <w:sz w:val="24"/>
                <w:szCs w:val="24"/>
                <w:lang w:val="lv-LV"/>
              </w:rPr>
              <w:t xml:space="preserve"> no</w:t>
            </w:r>
            <w:r w:rsidR="005F500C" w:rsidRPr="000C7511">
              <w:rPr>
                <w:sz w:val="24"/>
                <w:szCs w:val="24"/>
                <w:lang w:val="lv-LV"/>
              </w:rPr>
              <w:t>daļā “Pagaidu uzglabāšanas vietas turēšanas atļaujas izsniegšana, grozīšana, apturēšana</w:t>
            </w:r>
            <w:r w:rsidR="00AA795E" w:rsidRPr="000C7511">
              <w:rPr>
                <w:sz w:val="24"/>
                <w:szCs w:val="24"/>
                <w:lang w:val="lv-LV"/>
              </w:rPr>
              <w:t>, atjaunošana</w:t>
            </w:r>
            <w:r w:rsidR="005F500C" w:rsidRPr="000C7511">
              <w:rPr>
                <w:sz w:val="24"/>
                <w:szCs w:val="24"/>
                <w:lang w:val="lv-LV"/>
              </w:rPr>
              <w:t xml:space="preserve"> un anulēšana”</w:t>
            </w:r>
            <w:r w:rsidR="00B50AE8" w:rsidRPr="000C7511">
              <w:rPr>
                <w:sz w:val="24"/>
                <w:szCs w:val="24"/>
                <w:lang w:val="lv-LV"/>
              </w:rPr>
              <w:t xml:space="preserve"> (turpmāk – II nodaļa)</w:t>
            </w:r>
            <w:r w:rsidR="005F500C" w:rsidRPr="000C7511">
              <w:rPr>
                <w:sz w:val="24"/>
                <w:szCs w:val="24"/>
                <w:lang w:val="lv-LV"/>
              </w:rPr>
              <w:t xml:space="preserve"> </w:t>
            </w:r>
            <w:r w:rsidRPr="000C7511">
              <w:rPr>
                <w:sz w:val="24"/>
                <w:szCs w:val="24"/>
                <w:lang w:val="lv-LV"/>
              </w:rPr>
              <w:t>ir iekļauts jauns punkts (</w:t>
            </w:r>
            <w:r w:rsidR="00504C9C" w:rsidRPr="000C7511">
              <w:rPr>
                <w:sz w:val="24"/>
                <w:szCs w:val="24"/>
                <w:lang w:val="lv-LV"/>
              </w:rPr>
              <w:t>6.punkts</w:t>
            </w:r>
            <w:r w:rsidRPr="000C7511">
              <w:rPr>
                <w:sz w:val="24"/>
                <w:szCs w:val="24"/>
                <w:lang w:val="lv-LV"/>
              </w:rPr>
              <w:t xml:space="preserve">), </w:t>
            </w:r>
            <w:r w:rsidR="009903EF" w:rsidRPr="000C7511">
              <w:rPr>
                <w:sz w:val="24"/>
                <w:szCs w:val="24"/>
                <w:lang w:val="lv-LV"/>
              </w:rPr>
              <w:t>kurā ir noteikti nosacījumi, pēc kuriem V</w:t>
            </w:r>
            <w:r w:rsidR="00796116" w:rsidRPr="000C7511">
              <w:rPr>
                <w:sz w:val="24"/>
                <w:szCs w:val="24"/>
                <w:lang w:val="lv-LV"/>
              </w:rPr>
              <w:t>ID</w:t>
            </w:r>
            <w:r w:rsidR="009903EF" w:rsidRPr="000C7511">
              <w:rPr>
                <w:sz w:val="24"/>
                <w:szCs w:val="24"/>
                <w:lang w:val="lv-LV"/>
              </w:rPr>
              <w:t xml:space="preserve"> izsnie</w:t>
            </w:r>
            <w:r w:rsidR="00A63848" w:rsidRPr="000C7511">
              <w:rPr>
                <w:sz w:val="24"/>
                <w:szCs w:val="24"/>
                <w:lang w:val="lv-LV"/>
              </w:rPr>
              <w:t>gs</w:t>
            </w:r>
            <w:r w:rsidR="004C4FE4" w:rsidRPr="000C7511">
              <w:rPr>
                <w:sz w:val="24"/>
                <w:szCs w:val="24"/>
                <w:lang w:val="lv-LV"/>
              </w:rPr>
              <w:t xml:space="preserve"> </w:t>
            </w:r>
            <w:r w:rsidR="009903EF" w:rsidRPr="000C7511">
              <w:rPr>
                <w:sz w:val="24"/>
                <w:szCs w:val="24"/>
                <w:lang w:val="lv-LV"/>
              </w:rPr>
              <w:t>atļauju. Tāpat š</w:t>
            </w:r>
            <w:r w:rsidR="00426CFA" w:rsidRPr="000C7511">
              <w:rPr>
                <w:sz w:val="24"/>
                <w:szCs w:val="24"/>
                <w:lang w:val="lv-LV"/>
              </w:rPr>
              <w:t>ajā</w:t>
            </w:r>
            <w:r w:rsidR="009903EF" w:rsidRPr="000C7511">
              <w:rPr>
                <w:sz w:val="24"/>
                <w:szCs w:val="24"/>
                <w:lang w:val="lv-LV"/>
              </w:rPr>
              <w:t xml:space="preserve"> punkt</w:t>
            </w:r>
            <w:r w:rsidR="00426CFA" w:rsidRPr="000C7511">
              <w:rPr>
                <w:sz w:val="24"/>
                <w:szCs w:val="24"/>
                <w:lang w:val="lv-LV"/>
              </w:rPr>
              <w:t>ā</w:t>
            </w:r>
            <w:r w:rsidR="009903EF" w:rsidRPr="000C7511">
              <w:rPr>
                <w:sz w:val="24"/>
                <w:szCs w:val="24"/>
                <w:lang w:val="lv-LV"/>
              </w:rPr>
              <w:t xml:space="preserve"> </w:t>
            </w:r>
            <w:r w:rsidR="00426CFA" w:rsidRPr="000C7511">
              <w:rPr>
                <w:sz w:val="24"/>
                <w:szCs w:val="24"/>
                <w:lang w:val="lv-LV"/>
              </w:rPr>
              <w:t xml:space="preserve">ir </w:t>
            </w:r>
            <w:r w:rsidR="009903EF" w:rsidRPr="000C7511">
              <w:rPr>
                <w:sz w:val="24"/>
                <w:szCs w:val="24"/>
                <w:lang w:val="lv-LV"/>
              </w:rPr>
              <w:t>no</w:t>
            </w:r>
            <w:r w:rsidR="00426CFA" w:rsidRPr="000C7511">
              <w:rPr>
                <w:sz w:val="24"/>
                <w:szCs w:val="24"/>
                <w:lang w:val="lv-LV"/>
              </w:rPr>
              <w:t>teikts</w:t>
            </w:r>
            <w:r w:rsidR="009903EF" w:rsidRPr="000C7511">
              <w:rPr>
                <w:sz w:val="24"/>
                <w:szCs w:val="24"/>
                <w:lang w:val="lv-LV"/>
              </w:rPr>
              <w:t xml:space="preserve">, </w:t>
            </w:r>
            <w:r w:rsidRPr="000C7511">
              <w:rPr>
                <w:sz w:val="24"/>
                <w:szCs w:val="24"/>
                <w:lang w:val="lv-LV"/>
              </w:rPr>
              <w:t xml:space="preserve">ja personai saskaņā ar VID lēmumu ir papildus uzrēķināti nodokļi, nodevas, soda nauda un nokavējuma nauda, bet lēmums ir apstrīdēts, šīs summas nav uzskatāmas par parādu budžetā. </w:t>
            </w:r>
          </w:p>
          <w:p w:rsidR="00B50AE8" w:rsidRPr="000C7511" w:rsidRDefault="00ED47FD" w:rsidP="000C7511">
            <w:pPr>
              <w:pStyle w:val="NoSpacing"/>
              <w:ind w:left="127" w:right="126"/>
              <w:jc w:val="both"/>
              <w:rPr>
                <w:sz w:val="24"/>
                <w:szCs w:val="24"/>
                <w:lang w:val="lv-LV"/>
              </w:rPr>
            </w:pPr>
            <w:r w:rsidRPr="000C7511">
              <w:rPr>
                <w:sz w:val="24"/>
                <w:szCs w:val="24"/>
                <w:lang w:val="lv-LV"/>
              </w:rPr>
              <w:t xml:space="preserve">6. Ministru kabineta noteikumu </w:t>
            </w:r>
            <w:r w:rsidR="00472C1E" w:rsidRPr="000C7511">
              <w:rPr>
                <w:sz w:val="24"/>
                <w:szCs w:val="24"/>
                <w:lang w:val="lv-LV"/>
              </w:rPr>
              <w:t>projekta II</w:t>
            </w:r>
            <w:r w:rsidR="00A514B3" w:rsidRPr="000C7511">
              <w:rPr>
                <w:sz w:val="24"/>
                <w:szCs w:val="24"/>
                <w:lang w:val="lv-LV"/>
              </w:rPr>
              <w:t xml:space="preserve"> no</w:t>
            </w:r>
            <w:r w:rsidR="00371D1E" w:rsidRPr="000C7511">
              <w:rPr>
                <w:sz w:val="24"/>
                <w:szCs w:val="24"/>
                <w:lang w:val="lv-LV"/>
              </w:rPr>
              <w:t xml:space="preserve">daļā </w:t>
            </w:r>
            <w:r w:rsidRPr="000C7511">
              <w:rPr>
                <w:sz w:val="24"/>
                <w:szCs w:val="24"/>
                <w:lang w:val="lv-LV"/>
              </w:rPr>
              <w:t xml:space="preserve">ir noteikti </w:t>
            </w:r>
            <w:r w:rsidR="00796116" w:rsidRPr="000C7511">
              <w:rPr>
                <w:sz w:val="24"/>
                <w:szCs w:val="24"/>
                <w:lang w:val="lv-LV"/>
              </w:rPr>
              <w:t xml:space="preserve">arī </w:t>
            </w:r>
            <w:r w:rsidR="004C4FE4" w:rsidRPr="000C7511">
              <w:rPr>
                <w:sz w:val="24"/>
                <w:szCs w:val="24"/>
                <w:lang w:val="lv-LV"/>
              </w:rPr>
              <w:t>nosacījumi</w:t>
            </w:r>
            <w:r w:rsidRPr="000C7511">
              <w:rPr>
                <w:sz w:val="24"/>
                <w:szCs w:val="24"/>
                <w:lang w:val="lv-LV"/>
              </w:rPr>
              <w:t xml:space="preserve">, </w:t>
            </w:r>
            <w:r w:rsidR="004C4FE4" w:rsidRPr="000C7511">
              <w:rPr>
                <w:sz w:val="24"/>
                <w:szCs w:val="24"/>
                <w:lang w:val="lv-LV"/>
              </w:rPr>
              <w:t>kurus neievērojot,</w:t>
            </w:r>
            <w:r w:rsidR="00FF3785" w:rsidRPr="000C7511">
              <w:rPr>
                <w:sz w:val="24"/>
                <w:szCs w:val="24"/>
                <w:lang w:val="lv-LV"/>
              </w:rPr>
              <w:t xml:space="preserve"> </w:t>
            </w:r>
            <w:r w:rsidRPr="000C7511">
              <w:rPr>
                <w:sz w:val="24"/>
                <w:szCs w:val="24"/>
                <w:lang w:val="lv-LV"/>
              </w:rPr>
              <w:t>VID aptur</w:t>
            </w:r>
            <w:r w:rsidR="00A63848" w:rsidRPr="000C7511">
              <w:rPr>
                <w:sz w:val="24"/>
                <w:szCs w:val="24"/>
                <w:lang w:val="lv-LV"/>
              </w:rPr>
              <w:t>ēs</w:t>
            </w:r>
            <w:r w:rsidRPr="000C7511">
              <w:rPr>
                <w:sz w:val="24"/>
                <w:szCs w:val="24"/>
                <w:lang w:val="lv-LV"/>
              </w:rPr>
              <w:t xml:space="preserve"> atļaujas darbību (</w:t>
            </w:r>
            <w:r w:rsidR="00C4001B" w:rsidRPr="000C7511">
              <w:rPr>
                <w:sz w:val="24"/>
                <w:szCs w:val="24"/>
                <w:lang w:val="lv-LV"/>
              </w:rPr>
              <w:t>9</w:t>
            </w:r>
            <w:r w:rsidRPr="000C7511">
              <w:rPr>
                <w:sz w:val="24"/>
                <w:szCs w:val="24"/>
                <w:lang w:val="lv-LV"/>
              </w:rPr>
              <w:t>.punkts)</w:t>
            </w:r>
            <w:r w:rsidR="00B50AE8" w:rsidRPr="000C7511">
              <w:rPr>
                <w:sz w:val="24"/>
                <w:szCs w:val="24"/>
                <w:lang w:val="lv-LV"/>
              </w:rPr>
              <w:t>:</w:t>
            </w:r>
            <w:r w:rsidR="00946B94" w:rsidRPr="000C7511">
              <w:rPr>
                <w:sz w:val="24"/>
                <w:szCs w:val="24"/>
                <w:lang w:val="lv-LV"/>
              </w:rPr>
              <w:t xml:space="preserve"> </w:t>
            </w:r>
          </w:p>
          <w:p w:rsidR="00946B94" w:rsidRPr="000C7511" w:rsidRDefault="00B50AE8" w:rsidP="000C7511">
            <w:pPr>
              <w:pStyle w:val="NoSpacing"/>
              <w:ind w:left="127" w:right="126"/>
              <w:jc w:val="both"/>
              <w:rPr>
                <w:sz w:val="24"/>
                <w:szCs w:val="24"/>
                <w:lang w:val="lv-LV"/>
              </w:rPr>
            </w:pPr>
            <w:r w:rsidRPr="000C7511">
              <w:rPr>
                <w:sz w:val="24"/>
                <w:szCs w:val="24"/>
                <w:lang w:val="lv-LV"/>
              </w:rPr>
              <w:t xml:space="preserve">- </w:t>
            </w:r>
            <w:r w:rsidR="00946B94" w:rsidRPr="000C7511">
              <w:rPr>
                <w:sz w:val="24"/>
                <w:szCs w:val="24"/>
                <w:lang w:val="lv-LV"/>
              </w:rPr>
              <w:t>turētājs apzināti ir sniedzis nepilnīgas vai nepatiesas ziņas, kurām ir bijusi nozīme, izsniedzot vai izdarot grozījumus atļaujā;</w:t>
            </w:r>
          </w:p>
          <w:p w:rsidR="00B50AE8" w:rsidRPr="000C7511" w:rsidRDefault="00B50AE8" w:rsidP="000C7511">
            <w:pPr>
              <w:pStyle w:val="NoSpacing"/>
              <w:ind w:left="127" w:right="126"/>
              <w:jc w:val="both"/>
              <w:rPr>
                <w:sz w:val="24"/>
                <w:szCs w:val="24"/>
                <w:lang w:val="lv-LV"/>
              </w:rPr>
            </w:pPr>
            <w:r w:rsidRPr="000C7511">
              <w:rPr>
                <w:sz w:val="24"/>
                <w:szCs w:val="24"/>
                <w:lang w:val="lv-LV"/>
              </w:rPr>
              <w:t>-</w:t>
            </w:r>
            <w:r w:rsidR="00946B94" w:rsidRPr="000C7511">
              <w:rPr>
                <w:sz w:val="24"/>
                <w:szCs w:val="24"/>
                <w:lang w:val="lv-LV"/>
              </w:rPr>
              <w:t xml:space="preserve"> atļaujas turētājs </w:t>
            </w:r>
            <w:r w:rsidR="007C2BA3" w:rsidRPr="000C7511">
              <w:rPr>
                <w:sz w:val="24"/>
                <w:szCs w:val="24"/>
                <w:lang w:val="lv-LV"/>
              </w:rPr>
              <w:t xml:space="preserve">ziņas par to, ka mainījušies nosacījumi, saskaņā ar kuriem izsniegta atļauja, </w:t>
            </w:r>
            <w:r w:rsidR="00946B94" w:rsidRPr="000C7511">
              <w:rPr>
                <w:sz w:val="24"/>
                <w:szCs w:val="24"/>
                <w:lang w:val="lv-LV"/>
              </w:rPr>
              <w:t xml:space="preserve">Valsts ieņēmumu dienestam nav </w:t>
            </w:r>
            <w:r w:rsidR="007C2BA3" w:rsidRPr="000C7511">
              <w:rPr>
                <w:sz w:val="24"/>
                <w:szCs w:val="24"/>
                <w:lang w:val="lv-LV"/>
              </w:rPr>
              <w:t>ie</w:t>
            </w:r>
            <w:r w:rsidR="00946B94" w:rsidRPr="000C7511">
              <w:rPr>
                <w:sz w:val="24"/>
                <w:szCs w:val="24"/>
                <w:lang w:val="lv-LV"/>
              </w:rPr>
              <w:t xml:space="preserve">sniedzis </w:t>
            </w:r>
            <w:r w:rsidR="007C2BA3" w:rsidRPr="000C7511">
              <w:rPr>
                <w:sz w:val="24"/>
                <w:szCs w:val="24"/>
                <w:lang w:val="lv-LV"/>
              </w:rPr>
              <w:t>ne vēlāk kā 5 darba dienu laikā pēc attiecīgo nosacījumu maiņas iestāšanās</w:t>
            </w:r>
            <w:r w:rsidR="00946B94" w:rsidRPr="000C7511">
              <w:rPr>
                <w:sz w:val="24"/>
                <w:szCs w:val="24"/>
                <w:lang w:val="lv-LV"/>
              </w:rPr>
              <w:t>;</w:t>
            </w:r>
          </w:p>
          <w:p w:rsidR="00946B94" w:rsidRPr="000C7511" w:rsidRDefault="00B50AE8" w:rsidP="000C7511">
            <w:pPr>
              <w:pStyle w:val="NoSpacing"/>
              <w:ind w:left="127" w:right="126"/>
              <w:jc w:val="both"/>
              <w:rPr>
                <w:sz w:val="24"/>
                <w:szCs w:val="24"/>
                <w:lang w:val="lv-LV"/>
              </w:rPr>
            </w:pPr>
            <w:r w:rsidRPr="000C7511">
              <w:rPr>
                <w:sz w:val="24"/>
                <w:szCs w:val="24"/>
                <w:lang w:val="lv-LV"/>
              </w:rPr>
              <w:t xml:space="preserve">- </w:t>
            </w:r>
            <w:r w:rsidR="00946B94" w:rsidRPr="000C7511">
              <w:rPr>
                <w:sz w:val="24"/>
                <w:szCs w:val="24"/>
                <w:lang w:val="lv-LV"/>
              </w:rPr>
              <w:t xml:space="preserve">atļaujas turētājs  neatbilst šo noteikumu 6.punktā noteiktajiem nosacījumiem; </w:t>
            </w:r>
          </w:p>
          <w:p w:rsidR="00946B94" w:rsidRPr="000C7511" w:rsidRDefault="00B50AE8" w:rsidP="000C7511">
            <w:pPr>
              <w:pStyle w:val="NoSpacing"/>
              <w:ind w:left="127" w:right="126"/>
              <w:jc w:val="both"/>
              <w:rPr>
                <w:sz w:val="24"/>
                <w:szCs w:val="24"/>
                <w:lang w:val="lv-LV"/>
              </w:rPr>
            </w:pPr>
            <w:r w:rsidRPr="000C7511">
              <w:rPr>
                <w:sz w:val="24"/>
                <w:szCs w:val="24"/>
                <w:lang w:val="lv-LV"/>
              </w:rPr>
              <w:t xml:space="preserve">- </w:t>
            </w:r>
            <w:r w:rsidR="00946B94" w:rsidRPr="000C7511">
              <w:rPr>
                <w:sz w:val="24"/>
                <w:szCs w:val="24"/>
                <w:lang w:val="lv-LV"/>
              </w:rPr>
              <w:t>atļaujas turētājs nenodrošina preču uzskaiti un identificēšanu;</w:t>
            </w:r>
          </w:p>
          <w:p w:rsidR="00DA57C1" w:rsidRPr="000C7511" w:rsidRDefault="00B50AE8" w:rsidP="000C7511">
            <w:pPr>
              <w:pStyle w:val="NoSpacing"/>
              <w:ind w:left="127" w:right="126"/>
              <w:jc w:val="both"/>
              <w:rPr>
                <w:sz w:val="24"/>
                <w:szCs w:val="24"/>
                <w:lang w:val="lv-LV"/>
              </w:rPr>
            </w:pPr>
            <w:r w:rsidRPr="000C7511">
              <w:rPr>
                <w:sz w:val="24"/>
                <w:szCs w:val="24"/>
                <w:lang w:val="lv-LV"/>
              </w:rPr>
              <w:t xml:space="preserve">- </w:t>
            </w:r>
            <w:r w:rsidR="00946B94" w:rsidRPr="000C7511">
              <w:rPr>
                <w:sz w:val="24"/>
                <w:szCs w:val="24"/>
                <w:lang w:val="lv-LV"/>
              </w:rPr>
              <w:t>atļaujas turētājs nav ievērojis preču pagaidu uzglabāšanu reglamentējošajos tiesību aktos noteikto kārtību.</w:t>
            </w:r>
            <w:r w:rsidR="00DA57C1" w:rsidRPr="000C7511">
              <w:rPr>
                <w:sz w:val="24"/>
                <w:szCs w:val="24"/>
                <w:lang w:val="lv-LV"/>
              </w:rPr>
              <w:t xml:space="preserve"> </w:t>
            </w:r>
          </w:p>
          <w:p w:rsidR="00946B94" w:rsidRPr="000C7511" w:rsidRDefault="002B629E" w:rsidP="000C7511">
            <w:pPr>
              <w:pStyle w:val="NoSpacing"/>
              <w:ind w:left="127" w:right="126"/>
              <w:jc w:val="both"/>
              <w:rPr>
                <w:sz w:val="24"/>
                <w:szCs w:val="24"/>
                <w:lang w:val="lv-LV"/>
              </w:rPr>
            </w:pPr>
            <w:r w:rsidRPr="000C7511">
              <w:rPr>
                <w:sz w:val="24"/>
                <w:szCs w:val="24"/>
                <w:lang w:val="lv-LV"/>
              </w:rPr>
              <w:t>Savukārt, M</w:t>
            </w:r>
            <w:r w:rsidR="002B1476" w:rsidRPr="000C7511">
              <w:rPr>
                <w:sz w:val="24"/>
                <w:szCs w:val="24"/>
                <w:lang w:val="lv-LV"/>
              </w:rPr>
              <w:t xml:space="preserve">inistru kabineta </w:t>
            </w:r>
            <w:r w:rsidRPr="000C7511">
              <w:rPr>
                <w:sz w:val="24"/>
                <w:szCs w:val="24"/>
                <w:lang w:val="lv-LV"/>
              </w:rPr>
              <w:t>noteikumu</w:t>
            </w:r>
            <w:r w:rsidR="002B1476" w:rsidRPr="000C7511">
              <w:rPr>
                <w:sz w:val="24"/>
                <w:szCs w:val="24"/>
                <w:lang w:val="lv-LV"/>
              </w:rPr>
              <w:t xml:space="preserve"> projekta </w:t>
            </w:r>
            <w:r w:rsidRPr="000C7511">
              <w:rPr>
                <w:sz w:val="24"/>
                <w:szCs w:val="24"/>
                <w:lang w:val="lv-LV"/>
              </w:rPr>
              <w:t xml:space="preserve">11.punkts </w:t>
            </w:r>
            <w:r w:rsidR="002B1476" w:rsidRPr="000C7511">
              <w:rPr>
                <w:sz w:val="24"/>
                <w:szCs w:val="24"/>
                <w:lang w:val="lv-LV"/>
              </w:rPr>
              <w:t>nosaka</w:t>
            </w:r>
            <w:r w:rsidR="00A27CD8" w:rsidRPr="000C7511">
              <w:rPr>
                <w:sz w:val="24"/>
                <w:szCs w:val="24"/>
                <w:lang w:val="lv-LV"/>
              </w:rPr>
              <w:t xml:space="preserve">, kā atļaujas turētājam </w:t>
            </w:r>
            <w:r w:rsidR="007D0A7C" w:rsidRPr="000C7511">
              <w:rPr>
                <w:sz w:val="24"/>
                <w:szCs w:val="24"/>
                <w:lang w:val="lv-LV"/>
              </w:rPr>
              <w:t xml:space="preserve">jārīkojas, lai </w:t>
            </w:r>
            <w:r w:rsidRPr="000C7511">
              <w:rPr>
                <w:sz w:val="24"/>
                <w:szCs w:val="24"/>
                <w:lang w:val="lv-LV"/>
              </w:rPr>
              <w:t>tik</w:t>
            </w:r>
            <w:r w:rsidR="007D0A7C" w:rsidRPr="000C7511">
              <w:rPr>
                <w:sz w:val="24"/>
                <w:szCs w:val="24"/>
                <w:lang w:val="lv-LV"/>
              </w:rPr>
              <w:t>tu</w:t>
            </w:r>
            <w:r w:rsidRPr="000C7511">
              <w:rPr>
                <w:sz w:val="24"/>
                <w:szCs w:val="24"/>
                <w:lang w:val="lv-LV"/>
              </w:rPr>
              <w:t xml:space="preserve"> atjaunota apturētā atļauja.</w:t>
            </w:r>
          </w:p>
          <w:p w:rsidR="00ED47FD" w:rsidRPr="000C7511" w:rsidRDefault="00D852DE" w:rsidP="000C7511">
            <w:pPr>
              <w:pStyle w:val="NoSpacing"/>
              <w:ind w:left="127" w:right="126"/>
              <w:jc w:val="both"/>
              <w:rPr>
                <w:sz w:val="24"/>
                <w:szCs w:val="24"/>
                <w:lang w:val="lv-LV"/>
              </w:rPr>
            </w:pPr>
            <w:r w:rsidRPr="000C7511">
              <w:rPr>
                <w:sz w:val="24"/>
                <w:szCs w:val="24"/>
                <w:lang w:val="lv-LV"/>
              </w:rPr>
              <w:t xml:space="preserve">Turklāt </w:t>
            </w:r>
            <w:r w:rsidR="002B1476" w:rsidRPr="000C7511">
              <w:rPr>
                <w:sz w:val="24"/>
                <w:szCs w:val="24"/>
                <w:lang w:val="lv-LV"/>
              </w:rPr>
              <w:t>Ministru kabineta noteikumu projekta</w:t>
            </w:r>
            <w:r w:rsidR="00D86252" w:rsidRPr="000C7511">
              <w:rPr>
                <w:sz w:val="24"/>
                <w:szCs w:val="24"/>
                <w:lang w:val="lv-LV"/>
              </w:rPr>
              <w:t xml:space="preserve"> 13.punkt</w:t>
            </w:r>
            <w:r w:rsidR="002B1476" w:rsidRPr="000C7511">
              <w:rPr>
                <w:sz w:val="24"/>
                <w:szCs w:val="24"/>
                <w:lang w:val="lv-LV"/>
              </w:rPr>
              <w:t xml:space="preserve">ā </w:t>
            </w:r>
            <w:r w:rsidR="00472C1E" w:rsidRPr="000C7511">
              <w:rPr>
                <w:sz w:val="24"/>
                <w:szCs w:val="24"/>
                <w:lang w:val="lv-LV"/>
              </w:rPr>
              <w:t>noteiks, ka lēmumus par atļaujas izsniegšanu, grozīšanu, apturēšanu</w:t>
            </w:r>
            <w:r w:rsidR="006B1BCF" w:rsidRPr="000C7511">
              <w:rPr>
                <w:sz w:val="24"/>
                <w:szCs w:val="24"/>
                <w:lang w:val="lv-LV"/>
              </w:rPr>
              <w:t>, atjaunošanu</w:t>
            </w:r>
            <w:r w:rsidR="00472C1E" w:rsidRPr="000C7511">
              <w:rPr>
                <w:sz w:val="24"/>
                <w:szCs w:val="24"/>
                <w:lang w:val="lv-LV"/>
              </w:rPr>
              <w:t xml:space="preserve"> un anulēšanu </w:t>
            </w:r>
            <w:r w:rsidR="006B1BCF" w:rsidRPr="000C7511">
              <w:rPr>
                <w:sz w:val="24"/>
                <w:szCs w:val="24"/>
                <w:lang w:val="lv-LV"/>
              </w:rPr>
              <w:t xml:space="preserve">tiks </w:t>
            </w:r>
            <w:r w:rsidR="003E1072" w:rsidRPr="000C7511">
              <w:rPr>
                <w:sz w:val="24"/>
                <w:szCs w:val="24"/>
                <w:lang w:val="lv-LV"/>
              </w:rPr>
              <w:t xml:space="preserve">paziņots </w:t>
            </w:r>
            <w:r w:rsidR="0001683D" w:rsidRPr="000C7511">
              <w:rPr>
                <w:sz w:val="24"/>
                <w:szCs w:val="24"/>
                <w:lang w:val="lv-LV"/>
              </w:rPr>
              <w:t xml:space="preserve">VID Elektroniskajā deklarēšanas sistēmā, </w:t>
            </w:r>
            <w:r w:rsidR="004B1CC8" w:rsidRPr="000C7511">
              <w:rPr>
                <w:sz w:val="24"/>
                <w:szCs w:val="24"/>
                <w:lang w:val="lv-LV" w:eastAsia="lv-LV"/>
              </w:rPr>
              <w:t>likuma “Par nodokļiem un nodevām” 7.</w:t>
            </w:r>
            <w:r w:rsidR="004B1CC8" w:rsidRPr="000C7511">
              <w:rPr>
                <w:sz w:val="24"/>
                <w:szCs w:val="24"/>
                <w:vertAlign w:val="superscript"/>
                <w:lang w:val="lv-LV" w:eastAsia="lv-LV"/>
              </w:rPr>
              <w:t>2</w:t>
            </w:r>
            <w:r w:rsidR="004B1CC8" w:rsidRPr="000C7511">
              <w:rPr>
                <w:sz w:val="24"/>
                <w:szCs w:val="24"/>
                <w:lang w:val="lv-LV" w:eastAsia="lv-LV"/>
              </w:rPr>
              <w:t xml:space="preserve">panta </w:t>
            </w:r>
            <w:r w:rsidR="00F0553C" w:rsidRPr="000C7511">
              <w:rPr>
                <w:sz w:val="24"/>
                <w:szCs w:val="24"/>
                <w:lang w:val="lv-LV" w:eastAsia="lv-LV"/>
              </w:rPr>
              <w:t xml:space="preserve">1.punkta </w:t>
            </w:r>
            <w:r w:rsidR="004B1CC8" w:rsidRPr="000C7511">
              <w:rPr>
                <w:sz w:val="24"/>
                <w:szCs w:val="24"/>
                <w:lang w:val="lv-LV" w:eastAsia="lv-LV"/>
              </w:rPr>
              <w:t>noteiktajā kārtībā</w:t>
            </w:r>
            <w:r w:rsidR="00371D1E" w:rsidRPr="000C7511">
              <w:rPr>
                <w:sz w:val="24"/>
                <w:szCs w:val="24"/>
                <w:lang w:val="lv-LV" w:eastAsia="lv-LV"/>
              </w:rPr>
              <w:t>.</w:t>
            </w:r>
          </w:p>
          <w:p w:rsidR="003C7C16" w:rsidRPr="000C7511" w:rsidRDefault="00ED47FD" w:rsidP="000C7511">
            <w:pPr>
              <w:pStyle w:val="NoSpacing"/>
              <w:ind w:left="127" w:right="126"/>
              <w:jc w:val="both"/>
              <w:rPr>
                <w:sz w:val="24"/>
                <w:szCs w:val="24"/>
                <w:lang w:val="lv-LV"/>
              </w:rPr>
            </w:pPr>
            <w:r w:rsidRPr="000C7511">
              <w:rPr>
                <w:sz w:val="24"/>
                <w:szCs w:val="24"/>
                <w:lang w:val="lv-LV"/>
              </w:rPr>
              <w:t xml:space="preserve">7 Sakarā ar to, ka </w:t>
            </w:r>
            <w:r w:rsidR="00D852DE" w:rsidRPr="000C7511">
              <w:rPr>
                <w:sz w:val="24"/>
                <w:szCs w:val="24"/>
                <w:lang w:val="lv-LV"/>
              </w:rPr>
              <w:t>R</w:t>
            </w:r>
            <w:r w:rsidRPr="000C7511">
              <w:rPr>
                <w:sz w:val="24"/>
                <w:szCs w:val="24"/>
                <w:lang w:val="lv-LV"/>
              </w:rPr>
              <w:t xml:space="preserve">egula Nr.2913/92 neparedz terminus </w:t>
            </w:r>
            <w:r w:rsidR="00006635" w:rsidRPr="000C7511">
              <w:rPr>
                <w:sz w:val="24"/>
                <w:szCs w:val="24"/>
                <w:lang w:val="lv-LV"/>
              </w:rPr>
              <w:t>“</w:t>
            </w:r>
            <w:r w:rsidRPr="000C7511">
              <w:rPr>
                <w:sz w:val="24"/>
                <w:szCs w:val="24"/>
                <w:lang w:val="lv-LV"/>
              </w:rPr>
              <w:t>pirmsmuitošana</w:t>
            </w:r>
            <w:r w:rsidR="00006635" w:rsidRPr="000C7511">
              <w:rPr>
                <w:sz w:val="24"/>
                <w:szCs w:val="24"/>
                <w:lang w:val="lv-LV"/>
              </w:rPr>
              <w:t>”</w:t>
            </w:r>
            <w:r w:rsidRPr="000C7511">
              <w:rPr>
                <w:sz w:val="24"/>
                <w:szCs w:val="24"/>
                <w:lang w:val="lv-LV"/>
              </w:rPr>
              <w:t xml:space="preserve"> un </w:t>
            </w:r>
            <w:r w:rsidR="00006635" w:rsidRPr="000C7511">
              <w:rPr>
                <w:sz w:val="24"/>
                <w:szCs w:val="24"/>
                <w:lang w:val="lv-LV"/>
              </w:rPr>
              <w:t>“</w:t>
            </w:r>
            <w:r w:rsidRPr="000C7511">
              <w:rPr>
                <w:sz w:val="24"/>
                <w:szCs w:val="24"/>
                <w:lang w:val="lv-LV"/>
              </w:rPr>
              <w:t>pirmsmuitošanas dokuments</w:t>
            </w:r>
            <w:r w:rsidR="00006635" w:rsidRPr="000C7511">
              <w:rPr>
                <w:sz w:val="24"/>
                <w:szCs w:val="24"/>
                <w:lang w:val="lv-LV"/>
              </w:rPr>
              <w:t>”</w:t>
            </w:r>
            <w:r w:rsidRPr="000C7511">
              <w:rPr>
                <w:sz w:val="24"/>
                <w:szCs w:val="24"/>
                <w:lang w:val="lv-LV"/>
              </w:rPr>
              <w:t xml:space="preserve">, Ministru kabineta noteikumu Nr.370 1.punktā </w:t>
            </w:r>
            <w:r w:rsidR="00370CB2" w:rsidRPr="000C7511">
              <w:rPr>
                <w:sz w:val="24"/>
                <w:szCs w:val="24"/>
                <w:lang w:val="lv-LV"/>
              </w:rPr>
              <w:t xml:space="preserve">minētās </w:t>
            </w:r>
            <w:r w:rsidRPr="000C7511">
              <w:rPr>
                <w:sz w:val="24"/>
                <w:szCs w:val="24"/>
                <w:lang w:val="lv-LV"/>
              </w:rPr>
              <w:t xml:space="preserve">pirmsmuitošanas dokumenta </w:t>
            </w:r>
            <w:r w:rsidR="00370CB2" w:rsidRPr="000C7511">
              <w:rPr>
                <w:sz w:val="24"/>
                <w:szCs w:val="24"/>
                <w:lang w:val="lv-LV"/>
              </w:rPr>
              <w:t xml:space="preserve">veidlapas vietā izmantos </w:t>
            </w:r>
            <w:r w:rsidR="0078111D" w:rsidRPr="000C7511">
              <w:rPr>
                <w:sz w:val="24"/>
                <w:szCs w:val="24"/>
                <w:lang w:val="lv-LV"/>
              </w:rPr>
              <w:t>R</w:t>
            </w:r>
            <w:r w:rsidR="00370CB2" w:rsidRPr="000C7511">
              <w:rPr>
                <w:sz w:val="24"/>
                <w:szCs w:val="24"/>
                <w:lang w:val="lv-LV"/>
              </w:rPr>
              <w:t>egula</w:t>
            </w:r>
            <w:r w:rsidR="003C7C16" w:rsidRPr="000C7511">
              <w:rPr>
                <w:sz w:val="24"/>
                <w:szCs w:val="24"/>
                <w:lang w:val="lv-LV"/>
              </w:rPr>
              <w:t>s</w:t>
            </w:r>
            <w:r w:rsidR="00370CB2" w:rsidRPr="000C7511">
              <w:rPr>
                <w:sz w:val="24"/>
                <w:szCs w:val="24"/>
                <w:lang w:val="lv-LV"/>
              </w:rPr>
              <w:t xml:space="preserve"> Nr.2454/93 186.pantā </w:t>
            </w:r>
            <w:r w:rsidR="003C7C16" w:rsidRPr="000C7511">
              <w:rPr>
                <w:sz w:val="24"/>
                <w:szCs w:val="24"/>
                <w:lang w:val="lv-LV"/>
              </w:rPr>
              <w:t xml:space="preserve">minēto </w:t>
            </w:r>
            <w:r w:rsidR="00370CB2" w:rsidRPr="000C7511">
              <w:rPr>
                <w:sz w:val="24"/>
                <w:szCs w:val="24"/>
                <w:lang w:val="lv-LV"/>
              </w:rPr>
              <w:t>kopsavilkuma deklarācij</w:t>
            </w:r>
            <w:r w:rsidR="003C7C16" w:rsidRPr="000C7511">
              <w:rPr>
                <w:sz w:val="24"/>
                <w:szCs w:val="24"/>
                <w:lang w:val="lv-LV"/>
              </w:rPr>
              <w:t>u</w:t>
            </w:r>
            <w:r w:rsidR="00370CB2" w:rsidRPr="000C7511">
              <w:rPr>
                <w:sz w:val="24"/>
                <w:szCs w:val="24"/>
                <w:lang w:val="lv-LV"/>
              </w:rPr>
              <w:t xml:space="preserve"> par pagaidu uzglabāšanu</w:t>
            </w:r>
            <w:r w:rsidR="003C7C16" w:rsidRPr="000C7511">
              <w:rPr>
                <w:sz w:val="24"/>
                <w:szCs w:val="24"/>
                <w:lang w:val="lv-LV"/>
              </w:rPr>
              <w:t>.</w:t>
            </w:r>
          </w:p>
          <w:p w:rsidR="00ED47FD" w:rsidRPr="000C7511" w:rsidRDefault="00ED47FD" w:rsidP="000C7511">
            <w:pPr>
              <w:pStyle w:val="NoSpacing"/>
              <w:ind w:left="127" w:right="126"/>
              <w:jc w:val="both"/>
              <w:rPr>
                <w:sz w:val="24"/>
                <w:szCs w:val="24"/>
                <w:lang w:val="lv-LV"/>
              </w:rPr>
            </w:pPr>
            <w:r w:rsidRPr="000C7511">
              <w:rPr>
                <w:sz w:val="24"/>
                <w:szCs w:val="24"/>
                <w:lang w:val="lv-LV"/>
              </w:rPr>
              <w:t xml:space="preserve">8. Ministru kabineta noteikumu Nr.370 17.punkts nosaka pagaidu glabāšanā novietoto preču uzskaiti. Taču, lai vienveidīgi piemērotu pagaidu uzglabāšanā novietoto preču uzskaiti, nodrošinot kontroles pasākumu veikšanu, kravas plūsmas caurskatāmību, kā arī bilances uzturēšanu, </w:t>
            </w:r>
            <w:r w:rsidR="0036629C" w:rsidRPr="000C7511">
              <w:rPr>
                <w:sz w:val="24"/>
                <w:szCs w:val="24"/>
                <w:lang w:val="lv-LV"/>
              </w:rPr>
              <w:t xml:space="preserve">Ministru kabineta </w:t>
            </w:r>
            <w:r w:rsidRPr="000C7511">
              <w:rPr>
                <w:sz w:val="24"/>
                <w:szCs w:val="24"/>
                <w:lang w:val="lv-LV"/>
              </w:rPr>
              <w:t>noteikumu projektā precizē</w:t>
            </w:r>
            <w:r w:rsidR="00006635" w:rsidRPr="000C7511">
              <w:rPr>
                <w:sz w:val="24"/>
                <w:szCs w:val="24"/>
                <w:lang w:val="lv-LV"/>
              </w:rPr>
              <w:t>jama</w:t>
            </w:r>
            <w:r w:rsidRPr="000C7511">
              <w:rPr>
                <w:sz w:val="24"/>
                <w:szCs w:val="24"/>
                <w:lang w:val="lv-LV"/>
              </w:rPr>
              <w:t xml:space="preserve"> informācija, kura ir nepieciešama </w:t>
            </w:r>
            <w:r w:rsidR="0036629C" w:rsidRPr="000C7511">
              <w:rPr>
                <w:sz w:val="24"/>
                <w:szCs w:val="24"/>
                <w:lang w:val="lv-LV"/>
              </w:rPr>
              <w:t xml:space="preserve">preču </w:t>
            </w:r>
            <w:r w:rsidRPr="000C7511">
              <w:rPr>
                <w:sz w:val="24"/>
                <w:szCs w:val="24"/>
                <w:lang w:val="lv-LV"/>
              </w:rPr>
              <w:t xml:space="preserve">uzskaitei. </w:t>
            </w:r>
          </w:p>
          <w:p w:rsidR="000C1D23" w:rsidRPr="000C7511" w:rsidRDefault="000C1D23" w:rsidP="000C7511">
            <w:pPr>
              <w:pStyle w:val="NoSpacing"/>
              <w:ind w:left="127" w:right="126"/>
              <w:jc w:val="both"/>
              <w:rPr>
                <w:sz w:val="24"/>
                <w:szCs w:val="24"/>
                <w:lang w:val="lv-LV"/>
              </w:rPr>
            </w:pPr>
            <w:r w:rsidRPr="000C7511">
              <w:rPr>
                <w:sz w:val="24"/>
                <w:szCs w:val="24"/>
                <w:lang w:val="lv-LV"/>
              </w:rPr>
              <w:t xml:space="preserve">Ministru kabineta noteikumu </w:t>
            </w:r>
            <w:r w:rsidR="0006547A" w:rsidRPr="000C7511">
              <w:rPr>
                <w:sz w:val="24"/>
                <w:szCs w:val="24"/>
                <w:lang w:val="lv-LV"/>
              </w:rPr>
              <w:t>projekta IV</w:t>
            </w:r>
            <w:r w:rsidR="00650D22" w:rsidRPr="000C7511">
              <w:rPr>
                <w:sz w:val="24"/>
                <w:szCs w:val="24"/>
                <w:lang w:val="lv-LV"/>
              </w:rPr>
              <w:t xml:space="preserve"> </w:t>
            </w:r>
            <w:r w:rsidR="00A514B3" w:rsidRPr="000C7511">
              <w:rPr>
                <w:sz w:val="24"/>
                <w:szCs w:val="24"/>
                <w:lang w:val="lv-LV"/>
              </w:rPr>
              <w:t>no</w:t>
            </w:r>
            <w:r w:rsidR="0006547A" w:rsidRPr="000C7511">
              <w:rPr>
                <w:sz w:val="24"/>
                <w:szCs w:val="24"/>
                <w:lang w:val="lv-LV"/>
              </w:rPr>
              <w:t xml:space="preserve">daļā “Pagaidu uzglabāšanai deklarēto preču uzskaite” </w:t>
            </w:r>
            <w:r w:rsidRPr="000C7511">
              <w:rPr>
                <w:sz w:val="24"/>
                <w:szCs w:val="24"/>
                <w:lang w:val="lv-LV"/>
              </w:rPr>
              <w:t>ir iekļaut</w:t>
            </w:r>
            <w:r w:rsidR="00D728A0" w:rsidRPr="000C7511">
              <w:rPr>
                <w:sz w:val="24"/>
                <w:szCs w:val="24"/>
                <w:lang w:val="lv-LV"/>
              </w:rPr>
              <w:t>i</w:t>
            </w:r>
            <w:r w:rsidRPr="000C7511">
              <w:rPr>
                <w:sz w:val="24"/>
                <w:szCs w:val="24"/>
                <w:lang w:val="lv-LV"/>
              </w:rPr>
              <w:t xml:space="preserve"> jaun</w:t>
            </w:r>
            <w:r w:rsidR="00D728A0" w:rsidRPr="000C7511">
              <w:rPr>
                <w:sz w:val="24"/>
                <w:szCs w:val="24"/>
                <w:lang w:val="lv-LV"/>
              </w:rPr>
              <w:t>i</w:t>
            </w:r>
            <w:r w:rsidRPr="000C7511">
              <w:rPr>
                <w:sz w:val="24"/>
                <w:szCs w:val="24"/>
                <w:lang w:val="lv-LV"/>
              </w:rPr>
              <w:t xml:space="preserve"> punkt</w:t>
            </w:r>
            <w:r w:rsidR="00D728A0" w:rsidRPr="000C7511">
              <w:rPr>
                <w:sz w:val="24"/>
                <w:szCs w:val="24"/>
                <w:lang w:val="lv-LV"/>
              </w:rPr>
              <w:t>i</w:t>
            </w:r>
            <w:r w:rsidRPr="000C7511">
              <w:rPr>
                <w:sz w:val="24"/>
                <w:szCs w:val="24"/>
                <w:lang w:val="lv-LV"/>
              </w:rPr>
              <w:t xml:space="preserve"> (21.</w:t>
            </w:r>
            <w:r w:rsidR="00650D22" w:rsidRPr="000C7511">
              <w:rPr>
                <w:sz w:val="24"/>
                <w:szCs w:val="24"/>
                <w:lang w:val="lv-LV"/>
              </w:rPr>
              <w:t xml:space="preserve"> </w:t>
            </w:r>
            <w:r w:rsidR="0036181C" w:rsidRPr="000C7511">
              <w:rPr>
                <w:sz w:val="24"/>
                <w:szCs w:val="24"/>
                <w:lang w:val="lv-LV"/>
              </w:rPr>
              <w:t xml:space="preserve">un </w:t>
            </w:r>
            <w:r w:rsidR="007A2CEF" w:rsidRPr="000C7511">
              <w:rPr>
                <w:sz w:val="24"/>
                <w:szCs w:val="24"/>
                <w:lang w:val="lv-LV"/>
              </w:rPr>
              <w:t>2</w:t>
            </w:r>
            <w:r w:rsidR="0006547A" w:rsidRPr="000C7511">
              <w:rPr>
                <w:sz w:val="24"/>
                <w:szCs w:val="24"/>
                <w:lang w:val="lv-LV"/>
              </w:rPr>
              <w:t>2.punkts</w:t>
            </w:r>
            <w:r w:rsidR="00D728A0" w:rsidRPr="000C7511">
              <w:rPr>
                <w:sz w:val="24"/>
                <w:szCs w:val="24"/>
                <w:lang w:val="lv-LV"/>
              </w:rPr>
              <w:t>), kuri nos</w:t>
            </w:r>
            <w:r w:rsidR="0036181C" w:rsidRPr="000C7511">
              <w:rPr>
                <w:sz w:val="24"/>
                <w:szCs w:val="24"/>
                <w:lang w:val="lv-LV"/>
              </w:rPr>
              <w:t>aka</w:t>
            </w:r>
            <w:r w:rsidR="00D728A0" w:rsidRPr="000C7511">
              <w:rPr>
                <w:sz w:val="24"/>
                <w:szCs w:val="24"/>
                <w:lang w:val="lv-LV"/>
              </w:rPr>
              <w:t xml:space="preserve">, kā rīkoties gadījumos, ja </w:t>
            </w:r>
            <w:r w:rsidR="007C2BA3" w:rsidRPr="000C7511">
              <w:rPr>
                <w:sz w:val="24"/>
                <w:szCs w:val="24"/>
                <w:lang w:val="lv-LV"/>
              </w:rPr>
              <w:t xml:space="preserve">novietojot preces pagaidu uzglabāšanas vietā </w:t>
            </w:r>
            <w:r w:rsidR="00D728A0" w:rsidRPr="000C7511">
              <w:rPr>
                <w:sz w:val="24"/>
                <w:szCs w:val="24"/>
                <w:lang w:val="lv-LV"/>
              </w:rPr>
              <w:t>tiek konstatētas neatbilstības starp kopsavilkuma deklarācijā par pagaidu uzglabāšanu norādīto un faktisko preču daudzumu</w:t>
            </w:r>
            <w:r w:rsidR="007C2BA3" w:rsidRPr="000C7511">
              <w:rPr>
                <w:sz w:val="24"/>
                <w:szCs w:val="24"/>
                <w:lang w:val="lv-LV"/>
              </w:rPr>
              <w:t xml:space="preserve"> vai arī cita veida atšķirīb</w:t>
            </w:r>
            <w:r w:rsidR="007E3E3C" w:rsidRPr="000C7511">
              <w:rPr>
                <w:sz w:val="24"/>
                <w:szCs w:val="24"/>
                <w:lang w:val="lv-LV"/>
              </w:rPr>
              <w:t>ām</w:t>
            </w:r>
            <w:r w:rsidR="00D728A0" w:rsidRPr="000C7511">
              <w:rPr>
                <w:sz w:val="24"/>
                <w:szCs w:val="24"/>
                <w:lang w:val="lv-LV"/>
              </w:rPr>
              <w:t>.</w:t>
            </w:r>
            <w:r w:rsidR="007E3E3C" w:rsidRPr="000C7511">
              <w:rPr>
                <w:sz w:val="24"/>
                <w:szCs w:val="24"/>
                <w:lang w:val="lv-LV"/>
              </w:rPr>
              <w:t xml:space="preserve"> Priekšlikumu noteikt rīcību augstāk minētajos gadījumos ierosināja nozares asociācijas, ņemot vērā, ka citi spēkā esošie normatīvie akti to skaidri nenosaka. </w:t>
            </w:r>
            <w:r w:rsidR="00E23A53" w:rsidRPr="000C7511">
              <w:rPr>
                <w:sz w:val="24"/>
                <w:szCs w:val="24"/>
                <w:lang w:val="lv-LV"/>
              </w:rPr>
              <w:t xml:space="preserve">Nozaru asociācijas </w:t>
            </w:r>
            <w:r w:rsidR="00382C9B" w:rsidRPr="000C7511">
              <w:rPr>
                <w:sz w:val="24"/>
                <w:szCs w:val="24"/>
                <w:lang w:val="lv-LV"/>
              </w:rPr>
              <w:t>norāda</w:t>
            </w:r>
            <w:r w:rsidR="00E23A53" w:rsidRPr="000C7511">
              <w:rPr>
                <w:sz w:val="24"/>
                <w:szCs w:val="24"/>
                <w:lang w:val="lv-LV"/>
              </w:rPr>
              <w:t>, ka muitas deklarācija tiek noformēta balstoties uz preču pavaddokumentos norādītajām ziņām</w:t>
            </w:r>
            <w:r w:rsidR="00382C9B" w:rsidRPr="000C7511">
              <w:rPr>
                <w:sz w:val="24"/>
                <w:szCs w:val="24"/>
                <w:lang w:val="lv-LV"/>
              </w:rPr>
              <w:t xml:space="preserve">. Līdz ar to </w:t>
            </w:r>
            <w:r w:rsidR="00E23A53" w:rsidRPr="000C7511">
              <w:rPr>
                <w:sz w:val="24"/>
                <w:szCs w:val="24"/>
                <w:lang w:val="lv-LV"/>
              </w:rPr>
              <w:t>gadījumos</w:t>
            </w:r>
            <w:r w:rsidR="00382C9B" w:rsidRPr="000C7511">
              <w:rPr>
                <w:sz w:val="24"/>
                <w:szCs w:val="24"/>
                <w:lang w:val="lv-LV"/>
              </w:rPr>
              <w:t>, kad faktiskais preču daudzums vai saturs neatbilst deklarētajam, komersants var tikt sodīts.</w:t>
            </w:r>
            <w:r w:rsidR="00186B74" w:rsidRPr="000C7511">
              <w:rPr>
                <w:sz w:val="24"/>
                <w:szCs w:val="24"/>
                <w:lang w:val="lv-LV"/>
              </w:rPr>
              <w:t xml:space="preserve"> Ministru kabineta noteikumu projekts turpmāk noteiks, ka atļaujas turētājs nekavējoties, tajā pat dienā, par konstatētajām atšķirībām</w:t>
            </w:r>
            <w:r w:rsidR="000462BB" w:rsidRPr="000C7511">
              <w:rPr>
                <w:sz w:val="24"/>
                <w:szCs w:val="24"/>
                <w:lang w:val="lv-LV"/>
              </w:rPr>
              <w:t xml:space="preserve"> elektroniski informē uzraudzības muitas iestādi elektroniskās deklarēšanas sistēmā un 14 dienu laikā iesniedz dokumentāri apstiprinātu informāciju no kravas īpašnieka, nosūtītāja vai valdītāja par neatbilstības iemesliem. Tas nozīmē, ka noteiktajā laika periodā atļaujas turētājs nevar tikt sodīts par datu un preču neatbilstību. </w:t>
            </w:r>
            <w:r w:rsidR="00F5694F" w:rsidRPr="000C7511">
              <w:rPr>
                <w:sz w:val="24"/>
                <w:szCs w:val="24"/>
                <w:lang w:val="lv-LV"/>
              </w:rPr>
              <w:t xml:space="preserve">Tādā </w:t>
            </w:r>
            <w:r w:rsidR="000462BB" w:rsidRPr="000C7511">
              <w:rPr>
                <w:sz w:val="24"/>
                <w:szCs w:val="24"/>
                <w:lang w:val="lv-LV"/>
              </w:rPr>
              <w:t xml:space="preserve">veidā tiek novērsts risks, ka atļaujas turētājs neizpilda atļaujas nosacījumus, kā rezultātā </w:t>
            </w:r>
            <w:r w:rsidR="00887B1D" w:rsidRPr="000C7511">
              <w:rPr>
                <w:sz w:val="24"/>
                <w:szCs w:val="24"/>
                <w:lang w:val="lv-LV"/>
              </w:rPr>
              <w:t>VID varētu pieņemt lēmumu par atļaujas apturēšanu.</w:t>
            </w:r>
          </w:p>
          <w:p w:rsidR="00E67253" w:rsidRPr="000C7511" w:rsidRDefault="00ED47FD" w:rsidP="000C7511">
            <w:pPr>
              <w:pStyle w:val="NoSpacing"/>
              <w:ind w:left="127" w:right="126"/>
              <w:jc w:val="both"/>
              <w:rPr>
                <w:sz w:val="24"/>
                <w:szCs w:val="24"/>
                <w:lang w:val="lv-LV"/>
              </w:rPr>
            </w:pPr>
            <w:r w:rsidRPr="000C7511">
              <w:rPr>
                <w:sz w:val="24"/>
                <w:szCs w:val="24"/>
                <w:lang w:val="lv-LV"/>
              </w:rPr>
              <w:t>9. Saskaņā ar 2009.gada 12.jūnijā pieņemtajiem grozījumiem likumā “Par Valsts ieņēmumu dienestu” (likums spēkā no 2009.gada 1.jūlija) Ministru kabineta noteikumu projektā vārdi “Valsts ieņēmumu dienesta Galvenā muitas pārvalde” tiek aizstāti ar vārdiem “Valsts ieņēmumu dienests”</w:t>
            </w:r>
          </w:p>
        </w:tc>
      </w:tr>
      <w:tr w:rsidR="006B2B45" w:rsidRPr="000C7511" w:rsidTr="006B2B45">
        <w:trPr>
          <w:trHeight w:val="476"/>
          <w:tblCellSpacing w:w="0" w:type="dxa"/>
        </w:trPr>
        <w:tc>
          <w:tcPr>
            <w:tcW w:w="866" w:type="dxa"/>
            <w:gridSpan w:val="3"/>
            <w:tcBorders>
              <w:top w:val="outset" w:sz="6" w:space="0" w:color="auto"/>
              <w:left w:val="outset" w:sz="6" w:space="0" w:color="auto"/>
              <w:bottom w:val="outset" w:sz="6" w:space="0" w:color="auto"/>
              <w:right w:val="outset" w:sz="6" w:space="0" w:color="auto"/>
            </w:tcBorders>
            <w:hideMark/>
          </w:tcPr>
          <w:p w:rsidR="002D7DCA" w:rsidRPr="000C7511" w:rsidRDefault="002D7DCA" w:rsidP="008F215A">
            <w:pPr>
              <w:spacing w:after="0"/>
              <w:ind w:left="0"/>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 5.</w:t>
            </w:r>
          </w:p>
        </w:tc>
        <w:tc>
          <w:tcPr>
            <w:tcW w:w="2126" w:type="dxa"/>
            <w:gridSpan w:val="4"/>
            <w:tcBorders>
              <w:top w:val="outset" w:sz="6" w:space="0" w:color="auto"/>
              <w:left w:val="outset" w:sz="6" w:space="0" w:color="auto"/>
              <w:bottom w:val="outset" w:sz="6" w:space="0" w:color="auto"/>
              <w:right w:val="outset" w:sz="6" w:space="0" w:color="auto"/>
            </w:tcBorders>
            <w:hideMark/>
          </w:tcPr>
          <w:p w:rsidR="002D7DCA" w:rsidRPr="000C7511"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Projekta izstrādē iesaistītās institūcijas</w:t>
            </w:r>
          </w:p>
        </w:tc>
        <w:tc>
          <w:tcPr>
            <w:tcW w:w="6095" w:type="dxa"/>
            <w:gridSpan w:val="6"/>
            <w:tcBorders>
              <w:top w:val="outset" w:sz="6" w:space="0" w:color="auto"/>
              <w:left w:val="outset" w:sz="6" w:space="0" w:color="auto"/>
              <w:bottom w:val="outset" w:sz="6" w:space="0" w:color="auto"/>
              <w:right w:val="outset" w:sz="6" w:space="0" w:color="auto"/>
            </w:tcBorders>
            <w:hideMark/>
          </w:tcPr>
          <w:p w:rsidR="002D7DCA" w:rsidRPr="000C7511" w:rsidRDefault="00D852DE" w:rsidP="000C7511">
            <w:pPr>
              <w:spacing w:before="100" w:beforeAutospacing="1" w:after="100" w:afterAutospacing="1" w:line="40" w:lineRule="atLeast"/>
              <w:ind w:left="127" w:right="126"/>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VID</w:t>
            </w:r>
          </w:p>
        </w:tc>
      </w:tr>
      <w:tr w:rsidR="006B2B45" w:rsidRPr="000C7511" w:rsidTr="006B2B45">
        <w:trPr>
          <w:trHeight w:val="568"/>
          <w:tblCellSpacing w:w="0" w:type="dxa"/>
        </w:trPr>
        <w:tc>
          <w:tcPr>
            <w:tcW w:w="866" w:type="dxa"/>
            <w:gridSpan w:val="3"/>
            <w:tcBorders>
              <w:top w:val="outset" w:sz="6" w:space="0" w:color="auto"/>
              <w:left w:val="outset" w:sz="6" w:space="0" w:color="auto"/>
              <w:bottom w:val="outset" w:sz="6" w:space="0" w:color="auto"/>
              <w:right w:val="outset" w:sz="6" w:space="0" w:color="auto"/>
            </w:tcBorders>
            <w:hideMark/>
          </w:tcPr>
          <w:p w:rsidR="002D7DCA" w:rsidRPr="000C7511" w:rsidRDefault="002D7DCA" w:rsidP="008F215A">
            <w:pPr>
              <w:spacing w:after="0"/>
              <w:ind w:left="0"/>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 6.</w:t>
            </w:r>
          </w:p>
        </w:tc>
        <w:tc>
          <w:tcPr>
            <w:tcW w:w="2126" w:type="dxa"/>
            <w:gridSpan w:val="4"/>
            <w:tcBorders>
              <w:top w:val="outset" w:sz="6" w:space="0" w:color="auto"/>
              <w:left w:val="outset" w:sz="6" w:space="0" w:color="auto"/>
              <w:bottom w:val="outset" w:sz="6" w:space="0" w:color="auto"/>
              <w:right w:val="outset" w:sz="6" w:space="0" w:color="auto"/>
            </w:tcBorders>
            <w:hideMark/>
          </w:tcPr>
          <w:p w:rsidR="002D7DCA" w:rsidRPr="000C7511"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Iemesli, kādēļ netika nodrošināta sabiedrības līdzdalība</w:t>
            </w:r>
          </w:p>
        </w:tc>
        <w:tc>
          <w:tcPr>
            <w:tcW w:w="6095" w:type="dxa"/>
            <w:gridSpan w:val="6"/>
            <w:tcBorders>
              <w:top w:val="outset" w:sz="6" w:space="0" w:color="auto"/>
              <w:left w:val="outset" w:sz="6" w:space="0" w:color="auto"/>
              <w:bottom w:val="outset" w:sz="6" w:space="0" w:color="auto"/>
              <w:right w:val="outset" w:sz="6" w:space="0" w:color="auto"/>
            </w:tcBorders>
            <w:hideMark/>
          </w:tcPr>
          <w:p w:rsidR="00ED47FD" w:rsidRPr="000C7511" w:rsidRDefault="00ED47FD" w:rsidP="000C7511">
            <w:pPr>
              <w:spacing w:before="100" w:beforeAutospacing="1" w:after="100" w:afterAutospacing="1" w:line="40" w:lineRule="atLeast"/>
              <w:ind w:left="127" w:right="126"/>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Projekts šo jomu neskar</w:t>
            </w:r>
          </w:p>
          <w:p w:rsidR="00A5596C" w:rsidRPr="000C7511" w:rsidRDefault="00A5596C" w:rsidP="000C7511">
            <w:pPr>
              <w:spacing w:after="0"/>
              <w:ind w:left="127" w:right="126"/>
              <w:rPr>
                <w:rFonts w:ascii="Times New Roman" w:eastAsia="Times New Roman" w:hAnsi="Times New Roman" w:cs="Times New Roman"/>
                <w:sz w:val="24"/>
                <w:szCs w:val="24"/>
                <w:lang w:eastAsia="lv-LV"/>
              </w:rPr>
            </w:pPr>
          </w:p>
        </w:tc>
      </w:tr>
      <w:tr w:rsidR="006B2B45" w:rsidRPr="000C7511" w:rsidTr="006B2B45">
        <w:trPr>
          <w:tblCellSpacing w:w="0" w:type="dxa"/>
        </w:trPr>
        <w:tc>
          <w:tcPr>
            <w:tcW w:w="866" w:type="dxa"/>
            <w:gridSpan w:val="3"/>
            <w:tcBorders>
              <w:top w:val="outset" w:sz="6" w:space="0" w:color="auto"/>
              <w:left w:val="outset" w:sz="6" w:space="0" w:color="auto"/>
              <w:bottom w:val="outset" w:sz="6" w:space="0" w:color="auto"/>
              <w:right w:val="outset" w:sz="6" w:space="0" w:color="auto"/>
            </w:tcBorders>
            <w:hideMark/>
          </w:tcPr>
          <w:p w:rsidR="002D7DCA" w:rsidRPr="000C7511" w:rsidRDefault="002D7DCA" w:rsidP="008F215A">
            <w:pPr>
              <w:spacing w:after="0"/>
              <w:ind w:left="0"/>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 7.</w:t>
            </w:r>
          </w:p>
        </w:tc>
        <w:tc>
          <w:tcPr>
            <w:tcW w:w="2126" w:type="dxa"/>
            <w:gridSpan w:val="4"/>
            <w:tcBorders>
              <w:top w:val="outset" w:sz="6" w:space="0" w:color="auto"/>
              <w:left w:val="outset" w:sz="6" w:space="0" w:color="auto"/>
              <w:bottom w:val="outset" w:sz="6" w:space="0" w:color="auto"/>
              <w:right w:val="outset" w:sz="6" w:space="0" w:color="auto"/>
            </w:tcBorders>
            <w:hideMark/>
          </w:tcPr>
          <w:p w:rsidR="002D7DCA" w:rsidRPr="000C7511"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Cita informācija</w:t>
            </w:r>
          </w:p>
        </w:tc>
        <w:tc>
          <w:tcPr>
            <w:tcW w:w="6095" w:type="dxa"/>
            <w:gridSpan w:val="6"/>
            <w:tcBorders>
              <w:top w:val="outset" w:sz="6" w:space="0" w:color="auto"/>
              <w:left w:val="outset" w:sz="6" w:space="0" w:color="auto"/>
              <w:bottom w:val="outset" w:sz="6" w:space="0" w:color="auto"/>
              <w:right w:val="outset" w:sz="6" w:space="0" w:color="auto"/>
            </w:tcBorders>
            <w:hideMark/>
          </w:tcPr>
          <w:p w:rsidR="002D7DCA" w:rsidRPr="000C7511" w:rsidRDefault="000B29AA" w:rsidP="000C7511">
            <w:pPr>
              <w:spacing w:before="100" w:beforeAutospacing="1" w:after="100" w:afterAutospacing="1"/>
              <w:ind w:left="127" w:right="126"/>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Nav</w:t>
            </w:r>
          </w:p>
        </w:tc>
      </w:tr>
      <w:tr w:rsidR="00490599" w:rsidRPr="000C7511" w:rsidTr="006B2B45">
        <w:trPr>
          <w:tblCellSpacing w:w="0" w:type="dxa"/>
        </w:trPr>
        <w:tc>
          <w:tcPr>
            <w:tcW w:w="9087" w:type="dxa"/>
            <w:gridSpan w:val="13"/>
            <w:tcBorders>
              <w:top w:val="outset" w:sz="6" w:space="0" w:color="auto"/>
              <w:left w:val="outset" w:sz="6" w:space="0" w:color="auto"/>
              <w:bottom w:val="outset" w:sz="6" w:space="0" w:color="auto"/>
              <w:right w:val="outset" w:sz="6" w:space="0" w:color="auto"/>
            </w:tcBorders>
            <w:vAlign w:val="center"/>
            <w:hideMark/>
          </w:tcPr>
          <w:p w:rsidR="00490599" w:rsidRPr="000C7511" w:rsidRDefault="00490599" w:rsidP="008F215A">
            <w:pPr>
              <w:spacing w:after="0"/>
              <w:ind w:left="0" w:firstLine="1708"/>
              <w:jc w:val="center"/>
              <w:rPr>
                <w:rFonts w:ascii="Times New Roman" w:eastAsia="Times New Roman" w:hAnsi="Times New Roman" w:cs="Times New Roman"/>
                <w:b/>
                <w:sz w:val="24"/>
                <w:szCs w:val="24"/>
                <w:lang w:eastAsia="lv-LV"/>
              </w:rPr>
            </w:pPr>
            <w:r w:rsidRPr="000C7511">
              <w:rPr>
                <w:rFonts w:ascii="Times New Roman" w:eastAsia="Times New Roman" w:hAnsi="Times New Roman" w:cs="Times New Roman"/>
                <w:b/>
                <w:sz w:val="24"/>
                <w:szCs w:val="24"/>
                <w:lang w:eastAsia="lv-LV"/>
              </w:rPr>
              <w:t>II. Tiesību akta projekta ietekme uz sabiedrību</w:t>
            </w:r>
          </w:p>
        </w:tc>
      </w:tr>
      <w:tr w:rsidR="006B2B45" w:rsidRPr="000C7511" w:rsidTr="006B2B45">
        <w:trPr>
          <w:trHeight w:val="467"/>
          <w:tblCellSpacing w:w="0" w:type="dxa"/>
        </w:trPr>
        <w:tc>
          <w:tcPr>
            <w:tcW w:w="866" w:type="dxa"/>
            <w:gridSpan w:val="3"/>
            <w:tcBorders>
              <w:top w:val="outset" w:sz="6" w:space="0" w:color="auto"/>
              <w:left w:val="outset" w:sz="6" w:space="0" w:color="auto"/>
              <w:bottom w:val="outset" w:sz="6" w:space="0" w:color="auto"/>
              <w:right w:val="outset" w:sz="6" w:space="0" w:color="auto"/>
            </w:tcBorders>
            <w:hideMark/>
          </w:tcPr>
          <w:p w:rsidR="00490599" w:rsidRPr="000C7511" w:rsidRDefault="002760BC" w:rsidP="008F215A">
            <w:pPr>
              <w:spacing w:after="0"/>
              <w:ind w:left="0"/>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 </w:t>
            </w:r>
            <w:r w:rsidR="00490599" w:rsidRPr="000C7511">
              <w:rPr>
                <w:rFonts w:ascii="Times New Roman" w:eastAsia="Times New Roman" w:hAnsi="Times New Roman" w:cs="Times New Roman"/>
                <w:sz w:val="24"/>
                <w:szCs w:val="24"/>
                <w:lang w:eastAsia="lv-LV"/>
              </w:rPr>
              <w:t>1.</w:t>
            </w:r>
          </w:p>
        </w:tc>
        <w:tc>
          <w:tcPr>
            <w:tcW w:w="2126" w:type="dxa"/>
            <w:gridSpan w:val="4"/>
            <w:tcBorders>
              <w:top w:val="outset" w:sz="6" w:space="0" w:color="auto"/>
              <w:left w:val="outset" w:sz="6" w:space="0" w:color="auto"/>
              <w:bottom w:val="outset" w:sz="6" w:space="0" w:color="auto"/>
              <w:right w:val="outset" w:sz="6" w:space="0" w:color="auto"/>
            </w:tcBorders>
            <w:hideMark/>
          </w:tcPr>
          <w:p w:rsidR="00490599" w:rsidRPr="000C7511" w:rsidRDefault="00490599"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Sabiedrības mērķgrupa</w:t>
            </w:r>
          </w:p>
        </w:tc>
        <w:tc>
          <w:tcPr>
            <w:tcW w:w="6095" w:type="dxa"/>
            <w:gridSpan w:val="6"/>
            <w:tcBorders>
              <w:top w:val="outset" w:sz="6" w:space="0" w:color="auto"/>
              <w:left w:val="outset" w:sz="6" w:space="0" w:color="auto"/>
              <w:bottom w:val="outset" w:sz="6" w:space="0" w:color="auto"/>
              <w:right w:val="outset" w:sz="6" w:space="0" w:color="auto"/>
            </w:tcBorders>
            <w:hideMark/>
          </w:tcPr>
          <w:p w:rsidR="00956FE4" w:rsidRPr="000C7511" w:rsidRDefault="00ED47FD" w:rsidP="000C7511">
            <w:pPr>
              <w:pStyle w:val="NoSpacing"/>
              <w:ind w:left="127" w:right="126"/>
              <w:jc w:val="both"/>
              <w:rPr>
                <w:sz w:val="24"/>
                <w:szCs w:val="24"/>
                <w:lang w:val="lv-LV" w:eastAsia="lv-LV"/>
              </w:rPr>
            </w:pPr>
            <w:r w:rsidRPr="000C7511">
              <w:rPr>
                <w:sz w:val="24"/>
                <w:szCs w:val="24"/>
                <w:lang w:val="lv-LV" w:eastAsia="lv-LV"/>
              </w:rPr>
              <w:t>Ministru kabineta noteikumu projekta mērķgrupa ir personas, kuras vēl</w:t>
            </w:r>
            <w:r w:rsidR="00006635" w:rsidRPr="000C7511">
              <w:rPr>
                <w:sz w:val="24"/>
                <w:szCs w:val="24"/>
                <w:lang w:val="lv-LV" w:eastAsia="lv-LV"/>
              </w:rPr>
              <w:t>a</w:t>
            </w:r>
            <w:r w:rsidRPr="000C7511">
              <w:rPr>
                <w:sz w:val="24"/>
                <w:szCs w:val="24"/>
                <w:lang w:val="lv-LV" w:eastAsia="lv-LV"/>
              </w:rPr>
              <w:t>s saņemt atļauju preču pagaidu uzglabāšanas vietas turēšanai (</w:t>
            </w:r>
            <w:r w:rsidRPr="000C7511">
              <w:rPr>
                <w:i/>
                <w:sz w:val="24"/>
                <w:szCs w:val="24"/>
                <w:lang w:val="lv-LV" w:eastAsia="lv-LV"/>
              </w:rPr>
              <w:t>uz 2013.</w:t>
            </w:r>
            <w:r w:rsidR="00006635" w:rsidRPr="000C7511">
              <w:rPr>
                <w:i/>
                <w:sz w:val="24"/>
                <w:szCs w:val="24"/>
                <w:lang w:val="lv-LV" w:eastAsia="lv-LV"/>
              </w:rPr>
              <w:t>gada 19.augustu</w:t>
            </w:r>
            <w:r w:rsidRPr="000C7511">
              <w:rPr>
                <w:i/>
                <w:sz w:val="24"/>
                <w:szCs w:val="24"/>
                <w:lang w:val="lv-LV" w:eastAsia="lv-LV"/>
              </w:rPr>
              <w:t xml:space="preserve"> </w:t>
            </w:r>
            <w:r w:rsidR="007E45B3" w:rsidRPr="000C7511">
              <w:rPr>
                <w:i/>
                <w:sz w:val="24"/>
                <w:szCs w:val="24"/>
                <w:lang w:val="lv-LV" w:eastAsia="lv-LV"/>
              </w:rPr>
              <w:t>–</w:t>
            </w:r>
            <w:r w:rsidR="00006635" w:rsidRPr="000C7511">
              <w:rPr>
                <w:i/>
                <w:sz w:val="24"/>
                <w:szCs w:val="24"/>
                <w:lang w:val="lv-LV" w:eastAsia="lv-LV"/>
              </w:rPr>
              <w:br/>
            </w:r>
            <w:r w:rsidRPr="000C7511">
              <w:rPr>
                <w:i/>
                <w:sz w:val="24"/>
                <w:szCs w:val="24"/>
                <w:lang w:val="lv-LV" w:eastAsia="lv-LV"/>
              </w:rPr>
              <w:t>20 atļaujas</w:t>
            </w:r>
            <w:r w:rsidRPr="000C7511">
              <w:rPr>
                <w:sz w:val="24"/>
                <w:szCs w:val="24"/>
                <w:lang w:val="lv-LV" w:eastAsia="lv-LV"/>
              </w:rPr>
              <w:t>)</w:t>
            </w:r>
            <w:r w:rsidR="00006635" w:rsidRPr="000C7511">
              <w:rPr>
                <w:sz w:val="24"/>
                <w:szCs w:val="24"/>
                <w:lang w:val="lv-LV" w:eastAsia="lv-LV"/>
              </w:rPr>
              <w:t>,</w:t>
            </w:r>
            <w:r w:rsidRPr="000C7511">
              <w:rPr>
                <w:sz w:val="24"/>
                <w:szCs w:val="24"/>
                <w:lang w:val="lv-LV" w:eastAsia="lv-LV"/>
              </w:rPr>
              <w:t xml:space="preserve"> un personas, kuras vēl</w:t>
            </w:r>
            <w:r w:rsidR="00006635" w:rsidRPr="000C7511">
              <w:rPr>
                <w:sz w:val="24"/>
                <w:szCs w:val="24"/>
                <w:lang w:val="lv-LV" w:eastAsia="lv-LV"/>
              </w:rPr>
              <w:t>a</w:t>
            </w:r>
            <w:r w:rsidRPr="000C7511">
              <w:rPr>
                <w:sz w:val="24"/>
                <w:szCs w:val="24"/>
                <w:lang w:val="lv-LV" w:eastAsia="lv-LV"/>
              </w:rPr>
              <w:t xml:space="preserve">s </w:t>
            </w:r>
            <w:r w:rsidR="005E6653" w:rsidRPr="000C7511">
              <w:rPr>
                <w:sz w:val="24"/>
                <w:szCs w:val="24"/>
                <w:lang w:val="lv-LV" w:eastAsia="lv-LV"/>
              </w:rPr>
              <w:t xml:space="preserve">iesniegt </w:t>
            </w:r>
            <w:r w:rsidR="00BF32F1" w:rsidRPr="000C7511">
              <w:rPr>
                <w:sz w:val="24"/>
                <w:szCs w:val="24"/>
                <w:u w:val="single"/>
                <w:lang w:val="lv-LV" w:eastAsia="lv-LV"/>
              </w:rPr>
              <w:t xml:space="preserve">kopsavilkuma </w:t>
            </w:r>
            <w:r w:rsidR="005E6653" w:rsidRPr="000C7511">
              <w:rPr>
                <w:sz w:val="24"/>
                <w:szCs w:val="24"/>
                <w:u w:val="single"/>
                <w:lang w:val="lv-LV" w:eastAsia="lv-LV"/>
              </w:rPr>
              <w:t xml:space="preserve">deklarāciju </w:t>
            </w:r>
            <w:r w:rsidR="00D70EB1" w:rsidRPr="000C7511">
              <w:rPr>
                <w:sz w:val="24"/>
                <w:szCs w:val="24"/>
                <w:u w:val="single"/>
                <w:lang w:val="lv-LV" w:eastAsia="lv-LV"/>
              </w:rPr>
              <w:t xml:space="preserve">par </w:t>
            </w:r>
            <w:r w:rsidRPr="000C7511">
              <w:rPr>
                <w:sz w:val="24"/>
                <w:szCs w:val="24"/>
                <w:u w:val="single"/>
                <w:lang w:val="lv-LV" w:eastAsia="lv-LV"/>
              </w:rPr>
              <w:t xml:space="preserve">pagaidu </w:t>
            </w:r>
            <w:r w:rsidR="00D70EB1" w:rsidRPr="000C7511">
              <w:rPr>
                <w:sz w:val="24"/>
                <w:szCs w:val="24"/>
                <w:u w:val="single"/>
                <w:lang w:val="lv-LV" w:eastAsia="lv-LV"/>
              </w:rPr>
              <w:t>uzglabāšanu</w:t>
            </w:r>
            <w:r w:rsidR="00D70EB1" w:rsidRPr="000C7511">
              <w:rPr>
                <w:sz w:val="24"/>
                <w:szCs w:val="24"/>
                <w:lang w:val="lv-LV" w:eastAsia="lv-LV"/>
              </w:rPr>
              <w:t xml:space="preserve"> </w:t>
            </w:r>
            <w:r w:rsidRPr="000C7511">
              <w:rPr>
                <w:sz w:val="24"/>
                <w:szCs w:val="24"/>
                <w:lang w:val="lv-LV" w:eastAsia="lv-LV"/>
              </w:rPr>
              <w:t>(</w:t>
            </w:r>
            <w:r w:rsidRPr="000C7511">
              <w:rPr>
                <w:rFonts w:eastAsia="Times New Roman"/>
                <w:i/>
                <w:sz w:val="24"/>
                <w:szCs w:val="24"/>
                <w:lang w:val="lv-LV" w:eastAsia="lv-LV"/>
              </w:rPr>
              <w:t>uz 2013.</w:t>
            </w:r>
            <w:r w:rsidR="00006635" w:rsidRPr="000C7511">
              <w:rPr>
                <w:rFonts w:eastAsia="Times New Roman"/>
                <w:i/>
                <w:sz w:val="24"/>
                <w:szCs w:val="24"/>
                <w:lang w:val="lv-LV" w:eastAsia="lv-LV"/>
              </w:rPr>
              <w:t>gada 19.augustu</w:t>
            </w:r>
            <w:r w:rsidRPr="000C7511">
              <w:rPr>
                <w:rFonts w:eastAsia="Times New Roman"/>
                <w:i/>
                <w:sz w:val="24"/>
                <w:szCs w:val="24"/>
                <w:lang w:val="lv-LV" w:eastAsia="lv-LV"/>
              </w:rPr>
              <w:t xml:space="preserve"> </w:t>
            </w:r>
            <w:r w:rsidR="007E45B3" w:rsidRPr="000C7511">
              <w:rPr>
                <w:rFonts w:eastAsia="Times New Roman"/>
                <w:i/>
                <w:sz w:val="24"/>
                <w:szCs w:val="24"/>
                <w:lang w:val="lv-LV" w:eastAsia="lv-LV"/>
              </w:rPr>
              <w:t>–</w:t>
            </w:r>
            <w:r w:rsidRPr="000C7511">
              <w:rPr>
                <w:rFonts w:eastAsia="Times New Roman"/>
                <w:i/>
                <w:sz w:val="24"/>
                <w:szCs w:val="24"/>
                <w:lang w:val="lv-LV" w:eastAsia="lv-LV"/>
              </w:rPr>
              <w:t xml:space="preserve"> aptuven</w:t>
            </w:r>
            <w:r w:rsidR="007E45B3" w:rsidRPr="000C7511">
              <w:rPr>
                <w:rFonts w:eastAsia="Times New Roman"/>
                <w:i/>
                <w:sz w:val="24"/>
                <w:szCs w:val="24"/>
                <w:lang w:val="lv-LV" w:eastAsia="lv-LV"/>
              </w:rPr>
              <w:t>i</w:t>
            </w:r>
            <w:r w:rsidRPr="000C7511">
              <w:rPr>
                <w:rFonts w:eastAsia="Times New Roman"/>
                <w:i/>
                <w:sz w:val="24"/>
                <w:szCs w:val="24"/>
                <w:lang w:val="lv-LV" w:eastAsia="lv-LV"/>
              </w:rPr>
              <w:t xml:space="preserve"> 118 personas</w:t>
            </w:r>
            <w:r w:rsidRPr="000C7511">
              <w:rPr>
                <w:rFonts w:eastAsia="Times New Roman"/>
                <w:sz w:val="24"/>
                <w:szCs w:val="24"/>
                <w:lang w:val="lv-LV" w:eastAsia="lv-LV"/>
              </w:rPr>
              <w:t>), gan komersanti, kas var uzsākt preču pagaidu uzglabāšan</w:t>
            </w:r>
            <w:r w:rsidR="00BC5AA9" w:rsidRPr="000C7511">
              <w:rPr>
                <w:rFonts w:eastAsia="Times New Roman"/>
                <w:sz w:val="24"/>
                <w:szCs w:val="24"/>
                <w:lang w:val="lv-LV" w:eastAsia="lv-LV"/>
              </w:rPr>
              <w:t>as piemērošanu</w:t>
            </w:r>
          </w:p>
        </w:tc>
      </w:tr>
      <w:tr w:rsidR="006B2B45" w:rsidRPr="000C7511" w:rsidTr="006B2B45">
        <w:trPr>
          <w:trHeight w:val="523"/>
          <w:tblCellSpacing w:w="0" w:type="dxa"/>
        </w:trPr>
        <w:tc>
          <w:tcPr>
            <w:tcW w:w="866" w:type="dxa"/>
            <w:gridSpan w:val="3"/>
            <w:tcBorders>
              <w:top w:val="outset" w:sz="6" w:space="0" w:color="auto"/>
              <w:left w:val="outset" w:sz="6" w:space="0" w:color="auto"/>
              <w:bottom w:val="outset" w:sz="6" w:space="0" w:color="auto"/>
              <w:right w:val="outset" w:sz="6" w:space="0" w:color="auto"/>
            </w:tcBorders>
            <w:hideMark/>
          </w:tcPr>
          <w:p w:rsidR="00490599" w:rsidRPr="000C7511" w:rsidRDefault="00490599" w:rsidP="008F215A">
            <w:pPr>
              <w:spacing w:after="0"/>
              <w:ind w:left="0"/>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 2.</w:t>
            </w:r>
          </w:p>
        </w:tc>
        <w:tc>
          <w:tcPr>
            <w:tcW w:w="2126" w:type="dxa"/>
            <w:gridSpan w:val="4"/>
            <w:tcBorders>
              <w:top w:val="outset" w:sz="6" w:space="0" w:color="auto"/>
              <w:left w:val="outset" w:sz="6" w:space="0" w:color="auto"/>
              <w:bottom w:val="outset" w:sz="6" w:space="0" w:color="auto"/>
              <w:right w:val="outset" w:sz="6" w:space="0" w:color="auto"/>
            </w:tcBorders>
            <w:hideMark/>
          </w:tcPr>
          <w:p w:rsidR="00490599" w:rsidRPr="000C7511" w:rsidRDefault="00490599" w:rsidP="008F215A">
            <w:pPr>
              <w:spacing w:before="100" w:beforeAutospacing="1" w:after="100" w:afterAutospacing="1" w:line="40" w:lineRule="atLeast"/>
              <w:ind w:left="39" w:hanging="1"/>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Citas sabiedrības grupas (bez mērķgrupas), kuras tiesiskais regulējums arī ietekmē vai varētu ietekmēt</w:t>
            </w:r>
          </w:p>
        </w:tc>
        <w:tc>
          <w:tcPr>
            <w:tcW w:w="6095" w:type="dxa"/>
            <w:gridSpan w:val="6"/>
            <w:tcBorders>
              <w:top w:val="outset" w:sz="6" w:space="0" w:color="auto"/>
              <w:left w:val="outset" w:sz="6" w:space="0" w:color="auto"/>
              <w:bottom w:val="outset" w:sz="6" w:space="0" w:color="auto"/>
              <w:right w:val="outset" w:sz="6" w:space="0" w:color="auto"/>
            </w:tcBorders>
            <w:hideMark/>
          </w:tcPr>
          <w:p w:rsidR="0063157A" w:rsidRPr="000C7511" w:rsidRDefault="0063157A" w:rsidP="000C7511">
            <w:pPr>
              <w:spacing w:before="100" w:beforeAutospacing="1" w:after="100" w:afterAutospacing="1" w:line="40" w:lineRule="atLeast"/>
              <w:ind w:left="127" w:right="126"/>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Projekts šo jomu neskar</w:t>
            </w:r>
          </w:p>
          <w:p w:rsidR="00490599" w:rsidRPr="000C7511" w:rsidRDefault="00490599" w:rsidP="000C7511">
            <w:pPr>
              <w:spacing w:before="100" w:beforeAutospacing="1" w:after="100" w:afterAutospacing="1" w:line="40" w:lineRule="atLeast"/>
              <w:ind w:left="127" w:right="126"/>
              <w:rPr>
                <w:rFonts w:ascii="Times New Roman" w:eastAsia="Times New Roman" w:hAnsi="Times New Roman" w:cs="Times New Roman"/>
                <w:sz w:val="24"/>
                <w:szCs w:val="24"/>
                <w:lang w:eastAsia="lv-LV"/>
              </w:rPr>
            </w:pPr>
          </w:p>
        </w:tc>
      </w:tr>
      <w:tr w:rsidR="006B2B45" w:rsidRPr="000C7511" w:rsidTr="006B2B45">
        <w:trPr>
          <w:trHeight w:val="612"/>
          <w:tblCellSpacing w:w="0" w:type="dxa"/>
        </w:trPr>
        <w:tc>
          <w:tcPr>
            <w:tcW w:w="866" w:type="dxa"/>
            <w:gridSpan w:val="3"/>
            <w:tcBorders>
              <w:top w:val="outset" w:sz="6" w:space="0" w:color="auto"/>
              <w:left w:val="outset" w:sz="6" w:space="0" w:color="auto"/>
              <w:bottom w:val="outset" w:sz="6" w:space="0" w:color="auto"/>
              <w:right w:val="outset" w:sz="6" w:space="0" w:color="auto"/>
            </w:tcBorders>
            <w:hideMark/>
          </w:tcPr>
          <w:p w:rsidR="00490599" w:rsidRPr="000C7511" w:rsidRDefault="00490599" w:rsidP="008F215A">
            <w:pPr>
              <w:spacing w:after="0"/>
              <w:ind w:left="0"/>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 3.</w:t>
            </w:r>
          </w:p>
        </w:tc>
        <w:tc>
          <w:tcPr>
            <w:tcW w:w="2126" w:type="dxa"/>
            <w:gridSpan w:val="4"/>
            <w:tcBorders>
              <w:top w:val="outset" w:sz="6" w:space="0" w:color="auto"/>
              <w:left w:val="outset" w:sz="6" w:space="0" w:color="auto"/>
              <w:bottom w:val="outset" w:sz="6" w:space="0" w:color="auto"/>
              <w:right w:val="outset" w:sz="6" w:space="0" w:color="auto"/>
            </w:tcBorders>
            <w:hideMark/>
          </w:tcPr>
          <w:p w:rsidR="00490599" w:rsidRPr="000C7511" w:rsidRDefault="00490599" w:rsidP="008F215A">
            <w:pPr>
              <w:spacing w:before="100" w:beforeAutospacing="1" w:after="100" w:afterAutospacing="1" w:line="40" w:lineRule="atLeast"/>
              <w:ind w:left="39"/>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Tiesiskā regulējuma finansiālā ietekme</w:t>
            </w:r>
          </w:p>
        </w:tc>
        <w:tc>
          <w:tcPr>
            <w:tcW w:w="6095" w:type="dxa"/>
            <w:gridSpan w:val="6"/>
            <w:tcBorders>
              <w:top w:val="outset" w:sz="6" w:space="0" w:color="auto"/>
              <w:left w:val="outset" w:sz="6" w:space="0" w:color="auto"/>
              <w:bottom w:val="outset" w:sz="6" w:space="0" w:color="auto"/>
              <w:right w:val="outset" w:sz="6" w:space="0" w:color="auto"/>
            </w:tcBorders>
            <w:hideMark/>
          </w:tcPr>
          <w:p w:rsidR="00490599" w:rsidRPr="000C7511" w:rsidRDefault="0063157A" w:rsidP="000C7511">
            <w:pPr>
              <w:spacing w:before="100" w:beforeAutospacing="1" w:after="100" w:afterAutospacing="1" w:line="40" w:lineRule="atLeast"/>
              <w:ind w:left="127" w:right="126"/>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Projekts šo jomu neskar</w:t>
            </w:r>
          </w:p>
        </w:tc>
      </w:tr>
      <w:tr w:rsidR="006B2B45" w:rsidRPr="000C7511" w:rsidTr="006B2B45">
        <w:trPr>
          <w:trHeight w:val="517"/>
          <w:tblCellSpacing w:w="0" w:type="dxa"/>
        </w:trPr>
        <w:tc>
          <w:tcPr>
            <w:tcW w:w="866" w:type="dxa"/>
            <w:gridSpan w:val="3"/>
            <w:tcBorders>
              <w:top w:val="outset" w:sz="6" w:space="0" w:color="auto"/>
              <w:left w:val="outset" w:sz="6" w:space="0" w:color="auto"/>
              <w:bottom w:val="outset" w:sz="6" w:space="0" w:color="auto"/>
              <w:right w:val="outset" w:sz="6" w:space="0" w:color="auto"/>
            </w:tcBorders>
            <w:hideMark/>
          </w:tcPr>
          <w:p w:rsidR="00490599" w:rsidRPr="000C7511" w:rsidRDefault="00490599" w:rsidP="008F215A">
            <w:pPr>
              <w:spacing w:after="0"/>
              <w:ind w:left="0"/>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 4.</w:t>
            </w:r>
          </w:p>
        </w:tc>
        <w:tc>
          <w:tcPr>
            <w:tcW w:w="2126" w:type="dxa"/>
            <w:gridSpan w:val="4"/>
            <w:tcBorders>
              <w:top w:val="outset" w:sz="6" w:space="0" w:color="auto"/>
              <w:left w:val="outset" w:sz="6" w:space="0" w:color="auto"/>
              <w:bottom w:val="outset" w:sz="6" w:space="0" w:color="auto"/>
              <w:right w:val="outset" w:sz="6" w:space="0" w:color="auto"/>
            </w:tcBorders>
            <w:hideMark/>
          </w:tcPr>
          <w:p w:rsidR="00490599" w:rsidRPr="000C7511" w:rsidRDefault="00490599" w:rsidP="008F215A">
            <w:pPr>
              <w:spacing w:before="100" w:beforeAutospacing="1" w:after="100" w:afterAutospacing="1" w:line="40" w:lineRule="atLeast"/>
              <w:ind w:left="39"/>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Tiesiskā regulējuma nefinansiālā ietekme</w:t>
            </w:r>
          </w:p>
        </w:tc>
        <w:tc>
          <w:tcPr>
            <w:tcW w:w="6095" w:type="dxa"/>
            <w:gridSpan w:val="6"/>
            <w:tcBorders>
              <w:top w:val="outset" w:sz="6" w:space="0" w:color="auto"/>
              <w:left w:val="outset" w:sz="6" w:space="0" w:color="auto"/>
              <w:bottom w:val="outset" w:sz="6" w:space="0" w:color="auto"/>
              <w:right w:val="outset" w:sz="6" w:space="0" w:color="auto"/>
            </w:tcBorders>
            <w:hideMark/>
          </w:tcPr>
          <w:p w:rsidR="00490599" w:rsidRPr="000C7511" w:rsidRDefault="0063157A" w:rsidP="000C7511">
            <w:pPr>
              <w:spacing w:before="100" w:beforeAutospacing="1" w:after="100" w:afterAutospacing="1" w:line="40" w:lineRule="atLeast"/>
              <w:ind w:left="127" w:right="126"/>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Projekts šo jomu neskar</w:t>
            </w:r>
          </w:p>
        </w:tc>
      </w:tr>
      <w:tr w:rsidR="006B2B45" w:rsidRPr="000C7511" w:rsidTr="006B2B45">
        <w:trPr>
          <w:trHeight w:val="531"/>
          <w:tblCellSpacing w:w="0" w:type="dxa"/>
        </w:trPr>
        <w:tc>
          <w:tcPr>
            <w:tcW w:w="866" w:type="dxa"/>
            <w:gridSpan w:val="3"/>
            <w:tcBorders>
              <w:top w:val="outset" w:sz="6" w:space="0" w:color="auto"/>
              <w:left w:val="outset" w:sz="6" w:space="0" w:color="auto"/>
              <w:bottom w:val="outset" w:sz="6" w:space="0" w:color="auto"/>
              <w:right w:val="outset" w:sz="6" w:space="0" w:color="auto"/>
            </w:tcBorders>
            <w:hideMark/>
          </w:tcPr>
          <w:p w:rsidR="00490599" w:rsidRPr="000C7511" w:rsidRDefault="00490599" w:rsidP="008F215A">
            <w:pPr>
              <w:spacing w:after="0"/>
              <w:ind w:left="0"/>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 5.</w:t>
            </w:r>
          </w:p>
        </w:tc>
        <w:tc>
          <w:tcPr>
            <w:tcW w:w="2126" w:type="dxa"/>
            <w:gridSpan w:val="4"/>
            <w:tcBorders>
              <w:top w:val="outset" w:sz="6" w:space="0" w:color="auto"/>
              <w:left w:val="outset" w:sz="6" w:space="0" w:color="auto"/>
              <w:bottom w:val="outset" w:sz="6" w:space="0" w:color="auto"/>
              <w:right w:val="outset" w:sz="6" w:space="0" w:color="auto"/>
            </w:tcBorders>
            <w:hideMark/>
          </w:tcPr>
          <w:p w:rsidR="00490599" w:rsidRPr="000C7511" w:rsidRDefault="00490599" w:rsidP="007F13F6">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Administratīvās procedūras raksturojums</w:t>
            </w:r>
          </w:p>
        </w:tc>
        <w:tc>
          <w:tcPr>
            <w:tcW w:w="6095" w:type="dxa"/>
            <w:gridSpan w:val="6"/>
            <w:tcBorders>
              <w:top w:val="outset" w:sz="6" w:space="0" w:color="auto"/>
              <w:left w:val="outset" w:sz="6" w:space="0" w:color="auto"/>
              <w:bottom w:val="outset" w:sz="6" w:space="0" w:color="auto"/>
              <w:right w:val="outset" w:sz="6" w:space="0" w:color="auto"/>
            </w:tcBorders>
            <w:hideMark/>
          </w:tcPr>
          <w:p w:rsidR="005F6973" w:rsidRPr="000C7511" w:rsidRDefault="005F6973" w:rsidP="000C7511">
            <w:pPr>
              <w:pStyle w:val="NoSpacing"/>
              <w:ind w:left="127" w:right="126"/>
              <w:jc w:val="both"/>
              <w:rPr>
                <w:sz w:val="24"/>
                <w:szCs w:val="24"/>
                <w:lang w:val="lv-LV" w:eastAsia="lv-LV"/>
              </w:rPr>
            </w:pPr>
            <w:r w:rsidRPr="000C7511">
              <w:rPr>
                <w:sz w:val="24"/>
                <w:szCs w:val="24"/>
                <w:lang w:val="lv-LV" w:eastAsia="lv-LV"/>
              </w:rPr>
              <w:t>Lai persona varētu saņemt preču pagaidu uzglabāšanas vietas turētāja atļauju, tai jāsaņem VID atļauja</w:t>
            </w:r>
            <w:r w:rsidR="00BC5AA9" w:rsidRPr="000C7511">
              <w:rPr>
                <w:sz w:val="24"/>
                <w:szCs w:val="24"/>
                <w:lang w:val="lv-LV" w:eastAsia="lv-LV"/>
              </w:rPr>
              <w:t>.</w:t>
            </w:r>
            <w:r w:rsidRPr="000C7511">
              <w:rPr>
                <w:sz w:val="24"/>
                <w:szCs w:val="24"/>
                <w:lang w:val="lv-LV" w:eastAsia="lv-LV"/>
              </w:rPr>
              <w:t xml:space="preserve"> </w:t>
            </w:r>
            <w:r w:rsidR="00BC5AA9" w:rsidRPr="000C7511">
              <w:rPr>
                <w:sz w:val="24"/>
                <w:szCs w:val="24"/>
                <w:lang w:val="lv-LV" w:eastAsia="lv-LV"/>
              </w:rPr>
              <w:t>To</w:t>
            </w:r>
            <w:r w:rsidRPr="000C7511">
              <w:rPr>
                <w:sz w:val="24"/>
                <w:szCs w:val="24"/>
                <w:lang w:val="lv-LV" w:eastAsia="lv-LV"/>
              </w:rPr>
              <w:t xml:space="preserve"> saņem, iesniedzot VID iesniegumu </w:t>
            </w:r>
            <w:r w:rsidR="00BC5AA9" w:rsidRPr="000C7511">
              <w:rPr>
                <w:sz w:val="24"/>
                <w:szCs w:val="24"/>
                <w:lang w:val="lv-LV" w:eastAsia="lv-LV"/>
              </w:rPr>
              <w:t xml:space="preserve">un </w:t>
            </w:r>
            <w:r w:rsidRPr="000C7511">
              <w:rPr>
                <w:sz w:val="24"/>
                <w:szCs w:val="24"/>
                <w:lang w:val="lv-LV" w:eastAsia="lv-LV"/>
              </w:rPr>
              <w:t>pievienojo</w:t>
            </w:r>
            <w:r w:rsidR="00FC2F52" w:rsidRPr="000C7511">
              <w:rPr>
                <w:sz w:val="24"/>
                <w:szCs w:val="24"/>
                <w:lang w:val="lv-LV" w:eastAsia="lv-LV"/>
              </w:rPr>
              <w:t xml:space="preserve">t </w:t>
            </w:r>
            <w:r w:rsidRPr="000C7511">
              <w:rPr>
                <w:sz w:val="24"/>
                <w:szCs w:val="24"/>
                <w:lang w:val="lv-LV" w:eastAsia="lv-LV"/>
              </w:rPr>
              <w:t>tam nepieciešamos dokumentus. Ja par pagaidu uzglabāšanas vietu paredzēts izmantot muitas noliktavu, papildu atļauja nav nepieciešama, bet VID Muitas pārvaldes amatpersona muitas noliktavas turēšanas atļaujā veic attiecīg</w:t>
            </w:r>
            <w:r w:rsidR="00BC5AA9" w:rsidRPr="000C7511">
              <w:rPr>
                <w:sz w:val="24"/>
                <w:szCs w:val="24"/>
                <w:lang w:val="lv-LV" w:eastAsia="lv-LV"/>
              </w:rPr>
              <w:t>u</w:t>
            </w:r>
            <w:r w:rsidRPr="000C7511">
              <w:rPr>
                <w:sz w:val="24"/>
                <w:szCs w:val="24"/>
                <w:lang w:val="lv-LV" w:eastAsia="lv-LV"/>
              </w:rPr>
              <w:t>s grozījumus.</w:t>
            </w:r>
          </w:p>
          <w:p w:rsidR="005F6973" w:rsidRPr="000C7511" w:rsidRDefault="005F6973" w:rsidP="000C7511">
            <w:pPr>
              <w:pStyle w:val="NoSpacing"/>
              <w:ind w:left="127" w:right="126"/>
              <w:jc w:val="both"/>
              <w:rPr>
                <w:sz w:val="24"/>
                <w:szCs w:val="24"/>
                <w:lang w:val="lv-LV" w:eastAsia="lv-LV"/>
              </w:rPr>
            </w:pPr>
            <w:r w:rsidRPr="000C7511">
              <w:rPr>
                <w:sz w:val="24"/>
                <w:szCs w:val="24"/>
                <w:lang w:val="lv-LV" w:eastAsia="lv-LV"/>
              </w:rPr>
              <w:t xml:space="preserve">Savukārt, lai persona varētu elektroniski deklarēt preces pagaidu uzglabāšanā, tai elektroniski jāiesniedz </w:t>
            </w:r>
            <w:r w:rsidR="004456CC" w:rsidRPr="000C7511">
              <w:rPr>
                <w:sz w:val="24"/>
                <w:szCs w:val="24"/>
                <w:lang w:val="lv-LV" w:eastAsia="lv-LV"/>
              </w:rPr>
              <w:t xml:space="preserve">kopsavilkuma </w:t>
            </w:r>
            <w:r w:rsidR="005B77F4" w:rsidRPr="000C7511">
              <w:rPr>
                <w:sz w:val="24"/>
                <w:szCs w:val="24"/>
                <w:lang w:val="lv-LV" w:eastAsia="lv-LV"/>
              </w:rPr>
              <w:t xml:space="preserve">deklarācija par </w:t>
            </w:r>
            <w:r w:rsidRPr="000C7511">
              <w:rPr>
                <w:sz w:val="24"/>
                <w:szCs w:val="24"/>
                <w:lang w:val="lv-LV" w:eastAsia="lv-LV"/>
              </w:rPr>
              <w:t xml:space="preserve">pagaidu </w:t>
            </w:r>
            <w:r w:rsidR="005B77F4" w:rsidRPr="000C7511">
              <w:rPr>
                <w:sz w:val="24"/>
                <w:szCs w:val="24"/>
                <w:lang w:val="lv-LV" w:eastAsia="lv-LV"/>
              </w:rPr>
              <w:t>uzglabāšanu</w:t>
            </w:r>
            <w:r w:rsidRPr="000C7511">
              <w:rPr>
                <w:sz w:val="24"/>
                <w:szCs w:val="24"/>
                <w:lang w:val="lv-LV" w:eastAsia="lv-LV"/>
              </w:rPr>
              <w:t xml:space="preserve"> Elektroniskā</w:t>
            </w:r>
            <w:r w:rsidR="003A3CBB" w:rsidRPr="000C7511">
              <w:rPr>
                <w:sz w:val="24"/>
                <w:szCs w:val="24"/>
                <w:lang w:val="lv-LV" w:eastAsia="lv-LV"/>
              </w:rPr>
              <w:t>s</w:t>
            </w:r>
            <w:r w:rsidRPr="000C7511">
              <w:rPr>
                <w:sz w:val="24"/>
                <w:szCs w:val="24"/>
                <w:lang w:val="lv-LV" w:eastAsia="lv-LV"/>
              </w:rPr>
              <w:t xml:space="preserve"> deklarēšanas sistēmā, kurā pagaidu uzglabāšanas vietas turētājs pēc tam varēs elektroniski uzskaitīt pagaidu uzglabāšanai deklarētās preces.</w:t>
            </w:r>
          </w:p>
          <w:p w:rsidR="00490599" w:rsidRPr="000C7511" w:rsidRDefault="005F6973" w:rsidP="000C7511">
            <w:pPr>
              <w:pStyle w:val="NoSpacing"/>
              <w:ind w:left="127" w:right="126"/>
              <w:jc w:val="both"/>
              <w:rPr>
                <w:color w:val="00B050"/>
                <w:sz w:val="24"/>
                <w:szCs w:val="24"/>
                <w:lang w:val="lv-LV"/>
              </w:rPr>
            </w:pPr>
            <w:r w:rsidRPr="000C7511">
              <w:rPr>
                <w:sz w:val="24"/>
                <w:szCs w:val="24"/>
                <w:lang w:val="lv-LV"/>
              </w:rPr>
              <w:t>Ja</w:t>
            </w:r>
            <w:r w:rsidR="00E607F3" w:rsidRPr="000C7511">
              <w:rPr>
                <w:sz w:val="24"/>
                <w:szCs w:val="24"/>
                <w:lang w:val="lv-LV"/>
              </w:rPr>
              <w:t xml:space="preserve"> </w:t>
            </w:r>
            <w:r w:rsidR="00C059E0" w:rsidRPr="000C7511">
              <w:rPr>
                <w:sz w:val="24"/>
                <w:szCs w:val="24"/>
                <w:lang w:val="lv-LV"/>
              </w:rPr>
              <w:t>kopsavilkuma deklarāciju par pagaidu uzglabāšanu</w:t>
            </w:r>
            <w:r w:rsidRPr="000C7511">
              <w:rPr>
                <w:sz w:val="24"/>
                <w:szCs w:val="24"/>
                <w:lang w:val="lv-LV"/>
              </w:rPr>
              <w:t xml:space="preserve"> iesniedz persona, kura nav pagaidu uzglabāšanas vietas turētājs, </w:t>
            </w:r>
            <w:r w:rsidR="00BE4179" w:rsidRPr="000C7511">
              <w:rPr>
                <w:sz w:val="24"/>
                <w:szCs w:val="24"/>
                <w:lang w:val="lv-LV"/>
              </w:rPr>
              <w:t xml:space="preserve">uzraudzības muitas iestāde par to informē </w:t>
            </w:r>
            <w:r w:rsidRPr="000C7511">
              <w:rPr>
                <w:sz w:val="24"/>
                <w:szCs w:val="24"/>
                <w:lang w:val="lv-LV"/>
              </w:rPr>
              <w:t xml:space="preserve">atļaujas </w:t>
            </w:r>
            <w:r w:rsidR="00BE4179" w:rsidRPr="000C7511">
              <w:rPr>
                <w:sz w:val="24"/>
                <w:szCs w:val="24"/>
                <w:lang w:val="lv-LV"/>
              </w:rPr>
              <w:t xml:space="preserve">turētāju, </w:t>
            </w:r>
            <w:r w:rsidR="00AA6A9D" w:rsidRPr="000C7511">
              <w:rPr>
                <w:sz w:val="24"/>
                <w:szCs w:val="24"/>
                <w:lang w:val="lv-LV"/>
              </w:rPr>
              <w:t xml:space="preserve">un </w:t>
            </w:r>
            <w:r w:rsidR="00F718F5" w:rsidRPr="000C7511">
              <w:rPr>
                <w:sz w:val="24"/>
                <w:szCs w:val="24"/>
                <w:lang w:val="lv-LV"/>
              </w:rPr>
              <w:t xml:space="preserve">pēc preču novietošanas pagaidu uzglabāšanas vietā </w:t>
            </w:r>
            <w:r w:rsidR="00AA6A9D" w:rsidRPr="000C7511">
              <w:rPr>
                <w:sz w:val="24"/>
                <w:szCs w:val="24"/>
                <w:lang w:val="lv-LV"/>
              </w:rPr>
              <w:t xml:space="preserve">atļaujas turētājs </w:t>
            </w:r>
            <w:r w:rsidRPr="000C7511">
              <w:rPr>
                <w:sz w:val="24"/>
                <w:szCs w:val="24"/>
                <w:lang w:val="lv-LV"/>
              </w:rPr>
              <w:t>veic to uzskaiti</w:t>
            </w:r>
            <w:r w:rsidR="00F718F5" w:rsidRPr="000C7511">
              <w:rPr>
                <w:sz w:val="24"/>
                <w:szCs w:val="24"/>
                <w:lang w:val="lv-LV"/>
              </w:rPr>
              <w:t xml:space="preserve"> Elektroniskās deklarēšanas sistēmā</w:t>
            </w:r>
            <w:r w:rsidR="00FE08F3" w:rsidRPr="000C7511">
              <w:rPr>
                <w:sz w:val="24"/>
                <w:szCs w:val="24"/>
                <w:lang w:val="lv-LV"/>
              </w:rPr>
              <w:t>.</w:t>
            </w:r>
          </w:p>
        </w:tc>
      </w:tr>
      <w:tr w:rsidR="006B2B45" w:rsidRPr="000C7511" w:rsidTr="006B2B45">
        <w:trPr>
          <w:trHeight w:val="357"/>
          <w:tblCellSpacing w:w="0" w:type="dxa"/>
        </w:trPr>
        <w:tc>
          <w:tcPr>
            <w:tcW w:w="866" w:type="dxa"/>
            <w:gridSpan w:val="3"/>
            <w:tcBorders>
              <w:top w:val="outset" w:sz="6" w:space="0" w:color="auto"/>
              <w:left w:val="outset" w:sz="6" w:space="0" w:color="auto"/>
              <w:bottom w:val="outset" w:sz="6" w:space="0" w:color="auto"/>
              <w:right w:val="outset" w:sz="6" w:space="0" w:color="auto"/>
            </w:tcBorders>
            <w:hideMark/>
          </w:tcPr>
          <w:p w:rsidR="00490599" w:rsidRPr="000C7511" w:rsidRDefault="002760BC" w:rsidP="008F215A">
            <w:pPr>
              <w:spacing w:after="0"/>
              <w:ind w:left="0"/>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 </w:t>
            </w:r>
            <w:r w:rsidR="00490599" w:rsidRPr="000C7511">
              <w:rPr>
                <w:rFonts w:ascii="Times New Roman" w:eastAsia="Times New Roman" w:hAnsi="Times New Roman" w:cs="Times New Roman"/>
                <w:sz w:val="24"/>
                <w:szCs w:val="24"/>
                <w:lang w:eastAsia="lv-LV"/>
              </w:rPr>
              <w:t>6.</w:t>
            </w:r>
          </w:p>
        </w:tc>
        <w:tc>
          <w:tcPr>
            <w:tcW w:w="2126" w:type="dxa"/>
            <w:gridSpan w:val="4"/>
            <w:tcBorders>
              <w:top w:val="outset" w:sz="6" w:space="0" w:color="auto"/>
              <w:left w:val="outset" w:sz="6" w:space="0" w:color="auto"/>
              <w:bottom w:val="outset" w:sz="6" w:space="0" w:color="auto"/>
              <w:right w:val="outset" w:sz="6" w:space="0" w:color="auto"/>
            </w:tcBorders>
            <w:hideMark/>
          </w:tcPr>
          <w:p w:rsidR="00490599" w:rsidRPr="000C7511" w:rsidRDefault="00490599" w:rsidP="008F215A">
            <w:pPr>
              <w:spacing w:after="0"/>
              <w:ind w:left="0"/>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Administratīvo izmaksu monetārs novērtējums</w:t>
            </w:r>
          </w:p>
        </w:tc>
        <w:tc>
          <w:tcPr>
            <w:tcW w:w="6095" w:type="dxa"/>
            <w:gridSpan w:val="6"/>
            <w:tcBorders>
              <w:top w:val="outset" w:sz="6" w:space="0" w:color="auto"/>
              <w:left w:val="outset" w:sz="6" w:space="0" w:color="auto"/>
              <w:bottom w:val="outset" w:sz="6" w:space="0" w:color="auto"/>
              <w:right w:val="outset" w:sz="6" w:space="0" w:color="auto"/>
            </w:tcBorders>
            <w:hideMark/>
          </w:tcPr>
          <w:p w:rsidR="00490599" w:rsidRPr="000C7511" w:rsidRDefault="00AD3B59" w:rsidP="000C7511">
            <w:pPr>
              <w:spacing w:before="100" w:beforeAutospacing="1" w:after="100" w:afterAutospacing="1" w:line="40" w:lineRule="atLeast"/>
              <w:ind w:left="127" w:right="126"/>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Projekts šo jomu neskar</w:t>
            </w:r>
          </w:p>
        </w:tc>
      </w:tr>
      <w:tr w:rsidR="006B2B45" w:rsidRPr="000C7511" w:rsidTr="006B2B45">
        <w:trPr>
          <w:tblCellSpacing w:w="0" w:type="dxa"/>
        </w:trPr>
        <w:tc>
          <w:tcPr>
            <w:tcW w:w="866" w:type="dxa"/>
            <w:gridSpan w:val="3"/>
            <w:tcBorders>
              <w:top w:val="outset" w:sz="6" w:space="0" w:color="auto"/>
              <w:left w:val="outset" w:sz="6" w:space="0" w:color="auto"/>
              <w:bottom w:val="outset" w:sz="6" w:space="0" w:color="auto"/>
              <w:right w:val="outset" w:sz="6" w:space="0" w:color="auto"/>
            </w:tcBorders>
            <w:hideMark/>
          </w:tcPr>
          <w:p w:rsidR="00490599" w:rsidRPr="000C7511" w:rsidRDefault="00490599" w:rsidP="008F215A">
            <w:pPr>
              <w:spacing w:after="0"/>
              <w:ind w:left="0"/>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 7.</w:t>
            </w:r>
          </w:p>
        </w:tc>
        <w:tc>
          <w:tcPr>
            <w:tcW w:w="2126" w:type="dxa"/>
            <w:gridSpan w:val="4"/>
            <w:tcBorders>
              <w:top w:val="outset" w:sz="6" w:space="0" w:color="auto"/>
              <w:left w:val="outset" w:sz="6" w:space="0" w:color="auto"/>
              <w:bottom w:val="outset" w:sz="6" w:space="0" w:color="auto"/>
              <w:right w:val="outset" w:sz="6" w:space="0" w:color="auto"/>
            </w:tcBorders>
            <w:hideMark/>
          </w:tcPr>
          <w:p w:rsidR="00490599" w:rsidRPr="000C7511" w:rsidRDefault="00490599" w:rsidP="008F215A">
            <w:pPr>
              <w:spacing w:after="0"/>
              <w:ind w:left="0"/>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Cita informācija</w:t>
            </w:r>
          </w:p>
        </w:tc>
        <w:tc>
          <w:tcPr>
            <w:tcW w:w="6095" w:type="dxa"/>
            <w:gridSpan w:val="6"/>
            <w:tcBorders>
              <w:top w:val="outset" w:sz="6" w:space="0" w:color="auto"/>
              <w:left w:val="outset" w:sz="6" w:space="0" w:color="auto"/>
              <w:bottom w:val="outset" w:sz="6" w:space="0" w:color="auto"/>
              <w:right w:val="outset" w:sz="6" w:space="0" w:color="auto"/>
            </w:tcBorders>
            <w:hideMark/>
          </w:tcPr>
          <w:p w:rsidR="00490599" w:rsidRPr="000C7511" w:rsidRDefault="00490599" w:rsidP="000C7511">
            <w:pPr>
              <w:spacing w:before="100" w:beforeAutospacing="1" w:after="100" w:afterAutospacing="1" w:line="40" w:lineRule="atLeast"/>
              <w:ind w:left="127" w:right="126"/>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Nav</w:t>
            </w:r>
          </w:p>
        </w:tc>
      </w:tr>
      <w:tr w:rsidR="00836187" w:rsidRPr="000C7511" w:rsidTr="006B2B45">
        <w:trPr>
          <w:tblCellSpacing w:w="0" w:type="dxa"/>
        </w:trPr>
        <w:tc>
          <w:tcPr>
            <w:tcW w:w="9087" w:type="dxa"/>
            <w:gridSpan w:val="13"/>
            <w:tcBorders>
              <w:top w:val="outset" w:sz="6" w:space="0" w:color="auto"/>
              <w:left w:val="outset" w:sz="6" w:space="0" w:color="auto"/>
              <w:bottom w:val="outset" w:sz="6" w:space="0" w:color="auto"/>
              <w:right w:val="outset" w:sz="6" w:space="0" w:color="auto"/>
            </w:tcBorders>
            <w:hideMark/>
          </w:tcPr>
          <w:p w:rsidR="00653B8C" w:rsidRPr="000C7511" w:rsidRDefault="00653B8C" w:rsidP="00653B8C">
            <w:pPr>
              <w:pStyle w:val="NoSpacing"/>
              <w:rPr>
                <w:sz w:val="24"/>
                <w:szCs w:val="24"/>
                <w:lang w:val="lv-LV" w:eastAsia="lv-LV"/>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9"/>
              <w:gridCol w:w="1157"/>
              <w:gridCol w:w="1227"/>
              <w:gridCol w:w="1313"/>
              <w:gridCol w:w="1227"/>
              <w:gridCol w:w="1090"/>
              <w:gridCol w:w="60"/>
            </w:tblGrid>
            <w:tr w:rsidR="0072121B" w:rsidRPr="000C7511" w:rsidTr="006B2B45">
              <w:trPr>
                <w:gridAfter w:val="1"/>
                <w:wAfter w:w="60" w:type="dxa"/>
                <w:trHeight w:val="652"/>
                <w:jc w:val="center"/>
              </w:trPr>
              <w:tc>
                <w:tcPr>
                  <w:tcW w:w="9163" w:type="dxa"/>
                  <w:gridSpan w:val="6"/>
                </w:tcPr>
                <w:p w:rsidR="0072121B" w:rsidRPr="000C7511" w:rsidRDefault="0072121B" w:rsidP="003A3CBB">
                  <w:pPr>
                    <w:pStyle w:val="naisnod"/>
                    <w:spacing w:before="0" w:beforeAutospacing="0" w:after="0" w:afterAutospacing="0"/>
                    <w:jc w:val="center"/>
                    <w:rPr>
                      <w:b/>
                      <w:i/>
                    </w:rPr>
                  </w:pPr>
                  <w:r w:rsidRPr="000C7511">
                    <w:br w:type="page"/>
                  </w:r>
                  <w:r w:rsidRPr="000C7511">
                    <w:rPr>
                      <w:b/>
                    </w:rPr>
                    <w:t>III. Tiesību akta projekta ietekme uz valsts budžetu un pašvaldību budžetiem</w:t>
                  </w:r>
                </w:p>
              </w:tc>
            </w:tr>
            <w:tr w:rsidR="0072121B" w:rsidRPr="000C7511" w:rsidTr="006B2B45">
              <w:trPr>
                <w:jc w:val="center"/>
              </w:trPr>
              <w:tc>
                <w:tcPr>
                  <w:tcW w:w="3149" w:type="dxa"/>
                  <w:vMerge w:val="restart"/>
                  <w:vAlign w:val="center"/>
                </w:tcPr>
                <w:p w:rsidR="0072121B" w:rsidRPr="000C7511" w:rsidRDefault="0072121B" w:rsidP="008F215A">
                  <w:pPr>
                    <w:pStyle w:val="naisf"/>
                    <w:ind w:left="-257"/>
                    <w:jc w:val="center"/>
                    <w:rPr>
                      <w:b/>
                    </w:rPr>
                  </w:pPr>
                  <w:r w:rsidRPr="000C7511">
                    <w:rPr>
                      <w:b/>
                    </w:rPr>
                    <w:t>Rādītāji</w:t>
                  </w:r>
                </w:p>
              </w:tc>
              <w:tc>
                <w:tcPr>
                  <w:tcW w:w="2384" w:type="dxa"/>
                  <w:gridSpan w:val="2"/>
                  <w:vMerge w:val="restart"/>
                  <w:vAlign w:val="center"/>
                </w:tcPr>
                <w:p w:rsidR="0072121B" w:rsidRPr="000C7511" w:rsidRDefault="0072121B" w:rsidP="003A3CBB">
                  <w:pPr>
                    <w:pStyle w:val="naisf"/>
                    <w:spacing w:before="0" w:after="0"/>
                    <w:jc w:val="center"/>
                    <w:rPr>
                      <w:b/>
                    </w:rPr>
                  </w:pPr>
                  <w:r w:rsidRPr="000C7511">
                    <w:rPr>
                      <w:b/>
                    </w:rPr>
                    <w:t>2013.gads</w:t>
                  </w:r>
                </w:p>
              </w:tc>
              <w:tc>
                <w:tcPr>
                  <w:tcW w:w="3690" w:type="dxa"/>
                  <w:gridSpan w:val="4"/>
                  <w:vAlign w:val="center"/>
                </w:tcPr>
                <w:p w:rsidR="0072121B" w:rsidRPr="000C7511" w:rsidRDefault="0072121B" w:rsidP="0072121B">
                  <w:pPr>
                    <w:pStyle w:val="naisf"/>
                    <w:spacing w:before="0" w:after="0"/>
                    <w:jc w:val="center"/>
                    <w:rPr>
                      <w:b/>
                      <w:i/>
                    </w:rPr>
                  </w:pPr>
                  <w:r w:rsidRPr="000C7511">
                    <w:t>Turpmākie trīs gadi (tūkst</w:t>
                  </w:r>
                  <w:smartTag w:uri="schemas-tilde-lv/tildestengine" w:element="currency2">
                    <w:smartTagPr>
                      <w:attr w:name="currency_text" w:val="latu"/>
                      <w:attr w:name="currency_value" w:val="."/>
                      <w:attr w:name="currency_key" w:val="LVL"/>
                      <w:attr w:name="currency_id" w:val="48"/>
                    </w:smartTagPr>
                    <w:r w:rsidRPr="000C7511">
                      <w:t>. latu</w:t>
                    </w:r>
                  </w:smartTag>
                  <w:r w:rsidRPr="000C7511">
                    <w:t>)</w:t>
                  </w:r>
                </w:p>
              </w:tc>
            </w:tr>
            <w:tr w:rsidR="0072121B" w:rsidRPr="000C7511" w:rsidTr="006B2B45">
              <w:trPr>
                <w:jc w:val="center"/>
              </w:trPr>
              <w:tc>
                <w:tcPr>
                  <w:tcW w:w="3149" w:type="dxa"/>
                  <w:vMerge/>
                  <w:vAlign w:val="center"/>
                </w:tcPr>
                <w:p w:rsidR="0072121B" w:rsidRPr="000C7511" w:rsidRDefault="0072121B">
                  <w:pPr>
                    <w:pStyle w:val="naisf"/>
                    <w:spacing w:before="0" w:after="0"/>
                    <w:jc w:val="center"/>
                    <w:rPr>
                      <w:b/>
                      <w:i/>
                    </w:rPr>
                  </w:pPr>
                </w:p>
              </w:tc>
              <w:tc>
                <w:tcPr>
                  <w:tcW w:w="2384" w:type="dxa"/>
                  <w:gridSpan w:val="2"/>
                  <w:vMerge/>
                  <w:vAlign w:val="center"/>
                </w:tcPr>
                <w:p w:rsidR="0072121B" w:rsidRPr="000C7511" w:rsidRDefault="0072121B">
                  <w:pPr>
                    <w:pStyle w:val="naisf"/>
                    <w:spacing w:before="0" w:after="0"/>
                    <w:jc w:val="center"/>
                    <w:rPr>
                      <w:b/>
                      <w:i/>
                    </w:rPr>
                  </w:pPr>
                </w:p>
              </w:tc>
              <w:tc>
                <w:tcPr>
                  <w:tcW w:w="1313" w:type="dxa"/>
                  <w:vAlign w:val="center"/>
                </w:tcPr>
                <w:p w:rsidR="0072121B" w:rsidRPr="000C7511" w:rsidRDefault="0072121B">
                  <w:pPr>
                    <w:pStyle w:val="naisf"/>
                    <w:spacing w:before="0" w:after="0"/>
                    <w:jc w:val="center"/>
                    <w:rPr>
                      <w:b/>
                      <w:i/>
                    </w:rPr>
                  </w:pPr>
                  <w:r w:rsidRPr="000C7511">
                    <w:rPr>
                      <w:b/>
                      <w:bCs/>
                    </w:rPr>
                    <w:t>2014.</w:t>
                  </w:r>
                </w:p>
              </w:tc>
              <w:tc>
                <w:tcPr>
                  <w:tcW w:w="1227" w:type="dxa"/>
                  <w:vAlign w:val="center"/>
                </w:tcPr>
                <w:p w:rsidR="0072121B" w:rsidRPr="000C7511" w:rsidRDefault="0072121B">
                  <w:pPr>
                    <w:pStyle w:val="naisf"/>
                    <w:spacing w:before="0" w:after="0"/>
                    <w:jc w:val="center"/>
                    <w:rPr>
                      <w:b/>
                      <w:i/>
                    </w:rPr>
                  </w:pPr>
                  <w:r w:rsidRPr="000C7511">
                    <w:rPr>
                      <w:b/>
                      <w:bCs/>
                    </w:rPr>
                    <w:t>2015.</w:t>
                  </w:r>
                </w:p>
              </w:tc>
              <w:tc>
                <w:tcPr>
                  <w:tcW w:w="1150" w:type="dxa"/>
                  <w:gridSpan w:val="2"/>
                  <w:vAlign w:val="center"/>
                </w:tcPr>
                <w:p w:rsidR="0072121B" w:rsidRPr="000C7511" w:rsidRDefault="0072121B">
                  <w:pPr>
                    <w:pStyle w:val="naisf"/>
                    <w:spacing w:before="0" w:after="0"/>
                    <w:jc w:val="center"/>
                    <w:rPr>
                      <w:b/>
                      <w:i/>
                    </w:rPr>
                  </w:pPr>
                  <w:r w:rsidRPr="000C7511">
                    <w:rPr>
                      <w:b/>
                      <w:bCs/>
                    </w:rPr>
                    <w:t>2016.</w:t>
                  </w:r>
                </w:p>
              </w:tc>
            </w:tr>
            <w:tr w:rsidR="0072121B" w:rsidRPr="000C7511" w:rsidTr="006B2B45">
              <w:trPr>
                <w:jc w:val="center"/>
              </w:trPr>
              <w:tc>
                <w:tcPr>
                  <w:tcW w:w="3149" w:type="dxa"/>
                  <w:vMerge/>
                  <w:vAlign w:val="center"/>
                </w:tcPr>
                <w:p w:rsidR="0072121B" w:rsidRPr="000C7511" w:rsidRDefault="0072121B">
                  <w:pPr>
                    <w:pStyle w:val="naisf"/>
                    <w:spacing w:before="0" w:after="0"/>
                    <w:jc w:val="center"/>
                    <w:rPr>
                      <w:b/>
                      <w:i/>
                    </w:rPr>
                  </w:pPr>
                </w:p>
              </w:tc>
              <w:tc>
                <w:tcPr>
                  <w:tcW w:w="1157" w:type="dxa"/>
                  <w:vAlign w:val="center"/>
                </w:tcPr>
                <w:p w:rsidR="0072121B" w:rsidRPr="000C7511" w:rsidRDefault="0072121B">
                  <w:pPr>
                    <w:pStyle w:val="naisf"/>
                    <w:spacing w:before="0" w:after="0"/>
                    <w:jc w:val="center"/>
                    <w:rPr>
                      <w:b/>
                      <w:i/>
                    </w:rPr>
                  </w:pPr>
                  <w:r w:rsidRPr="000C7511">
                    <w:t>Saskaņā ar valsts budžetu kārtējam gadam</w:t>
                  </w:r>
                </w:p>
              </w:tc>
              <w:tc>
                <w:tcPr>
                  <w:tcW w:w="1227" w:type="dxa"/>
                  <w:vAlign w:val="center"/>
                </w:tcPr>
                <w:p w:rsidR="0072121B" w:rsidRPr="000C7511" w:rsidRDefault="0072121B">
                  <w:pPr>
                    <w:pStyle w:val="naisf"/>
                    <w:spacing w:before="0" w:after="0"/>
                    <w:jc w:val="center"/>
                    <w:rPr>
                      <w:b/>
                      <w:i/>
                    </w:rPr>
                  </w:pPr>
                  <w:r w:rsidRPr="000C7511">
                    <w:t>Izmaiņas kārtējā gadā, salīdzinot ar budžetu kārtējam gadam</w:t>
                  </w:r>
                </w:p>
              </w:tc>
              <w:tc>
                <w:tcPr>
                  <w:tcW w:w="1313" w:type="dxa"/>
                  <w:vAlign w:val="center"/>
                </w:tcPr>
                <w:p w:rsidR="0072121B" w:rsidRPr="000C7511" w:rsidRDefault="0072121B">
                  <w:pPr>
                    <w:pStyle w:val="naisf"/>
                    <w:spacing w:before="0" w:after="0"/>
                    <w:jc w:val="center"/>
                    <w:rPr>
                      <w:b/>
                      <w:i/>
                    </w:rPr>
                  </w:pPr>
                  <w:r w:rsidRPr="000C7511">
                    <w:t>Izmaiņas, salīdzinot ar kārtējo (n) gadu</w:t>
                  </w:r>
                </w:p>
              </w:tc>
              <w:tc>
                <w:tcPr>
                  <w:tcW w:w="1227" w:type="dxa"/>
                  <w:vAlign w:val="center"/>
                </w:tcPr>
                <w:p w:rsidR="0072121B" w:rsidRPr="000C7511" w:rsidRDefault="0072121B">
                  <w:pPr>
                    <w:pStyle w:val="naisf"/>
                    <w:spacing w:before="0" w:after="0"/>
                    <w:jc w:val="center"/>
                    <w:rPr>
                      <w:b/>
                      <w:i/>
                    </w:rPr>
                  </w:pPr>
                  <w:r w:rsidRPr="000C7511">
                    <w:t>Izmaiņas, salīdzinot ar kārtējo (n) gadu</w:t>
                  </w:r>
                </w:p>
              </w:tc>
              <w:tc>
                <w:tcPr>
                  <w:tcW w:w="1150" w:type="dxa"/>
                  <w:gridSpan w:val="2"/>
                  <w:vAlign w:val="center"/>
                </w:tcPr>
                <w:p w:rsidR="0072121B" w:rsidRPr="000C7511" w:rsidRDefault="0072121B">
                  <w:pPr>
                    <w:pStyle w:val="naisf"/>
                    <w:spacing w:before="0" w:after="0"/>
                    <w:jc w:val="center"/>
                    <w:rPr>
                      <w:b/>
                      <w:i/>
                    </w:rPr>
                  </w:pPr>
                  <w:r w:rsidRPr="000C7511">
                    <w:t>Izmaiņas, salīdzinot ar kārtējo (n) gadu</w:t>
                  </w:r>
                </w:p>
              </w:tc>
            </w:tr>
            <w:tr w:rsidR="0072121B" w:rsidRPr="000C7511" w:rsidTr="006B2B45">
              <w:trPr>
                <w:jc w:val="center"/>
              </w:trPr>
              <w:tc>
                <w:tcPr>
                  <w:tcW w:w="3149" w:type="dxa"/>
                  <w:vAlign w:val="center"/>
                </w:tcPr>
                <w:p w:rsidR="0072121B" w:rsidRPr="000C7511" w:rsidRDefault="0072121B" w:rsidP="0072121B">
                  <w:pPr>
                    <w:pStyle w:val="naisf"/>
                    <w:spacing w:before="0" w:after="0"/>
                    <w:jc w:val="center"/>
                    <w:rPr>
                      <w:bCs/>
                    </w:rPr>
                  </w:pPr>
                  <w:r w:rsidRPr="000C7511">
                    <w:rPr>
                      <w:bCs/>
                    </w:rPr>
                    <w:t>1</w:t>
                  </w:r>
                </w:p>
              </w:tc>
              <w:tc>
                <w:tcPr>
                  <w:tcW w:w="1157" w:type="dxa"/>
                  <w:vAlign w:val="center"/>
                </w:tcPr>
                <w:p w:rsidR="0072121B" w:rsidRPr="000C7511" w:rsidRDefault="0072121B" w:rsidP="0072121B">
                  <w:pPr>
                    <w:pStyle w:val="naisf"/>
                    <w:spacing w:before="0" w:after="0"/>
                    <w:jc w:val="center"/>
                    <w:rPr>
                      <w:bCs/>
                    </w:rPr>
                  </w:pPr>
                  <w:r w:rsidRPr="000C7511">
                    <w:rPr>
                      <w:bCs/>
                    </w:rPr>
                    <w:t>2</w:t>
                  </w:r>
                </w:p>
              </w:tc>
              <w:tc>
                <w:tcPr>
                  <w:tcW w:w="1227" w:type="dxa"/>
                  <w:vAlign w:val="center"/>
                </w:tcPr>
                <w:p w:rsidR="0072121B" w:rsidRPr="000C7511" w:rsidRDefault="0072121B" w:rsidP="0072121B">
                  <w:pPr>
                    <w:pStyle w:val="naisf"/>
                    <w:spacing w:before="0" w:after="0"/>
                    <w:jc w:val="center"/>
                    <w:rPr>
                      <w:bCs/>
                    </w:rPr>
                  </w:pPr>
                  <w:r w:rsidRPr="000C7511">
                    <w:rPr>
                      <w:bCs/>
                    </w:rPr>
                    <w:t>3</w:t>
                  </w:r>
                </w:p>
              </w:tc>
              <w:tc>
                <w:tcPr>
                  <w:tcW w:w="1313" w:type="dxa"/>
                  <w:vAlign w:val="center"/>
                </w:tcPr>
                <w:p w:rsidR="0072121B" w:rsidRPr="000C7511" w:rsidRDefault="0072121B" w:rsidP="0072121B">
                  <w:pPr>
                    <w:pStyle w:val="naisf"/>
                    <w:spacing w:before="0" w:after="0"/>
                    <w:jc w:val="center"/>
                    <w:rPr>
                      <w:bCs/>
                    </w:rPr>
                  </w:pPr>
                  <w:r w:rsidRPr="000C7511">
                    <w:rPr>
                      <w:bCs/>
                    </w:rPr>
                    <w:t>4</w:t>
                  </w:r>
                </w:p>
              </w:tc>
              <w:tc>
                <w:tcPr>
                  <w:tcW w:w="1227" w:type="dxa"/>
                  <w:vAlign w:val="center"/>
                </w:tcPr>
                <w:p w:rsidR="0072121B" w:rsidRPr="000C7511" w:rsidRDefault="0072121B" w:rsidP="0072121B">
                  <w:pPr>
                    <w:pStyle w:val="naisf"/>
                    <w:spacing w:before="0" w:after="0"/>
                    <w:jc w:val="center"/>
                    <w:rPr>
                      <w:bCs/>
                    </w:rPr>
                  </w:pPr>
                  <w:r w:rsidRPr="000C7511">
                    <w:rPr>
                      <w:bCs/>
                    </w:rPr>
                    <w:t>5</w:t>
                  </w:r>
                </w:p>
              </w:tc>
              <w:tc>
                <w:tcPr>
                  <w:tcW w:w="1150" w:type="dxa"/>
                  <w:gridSpan w:val="2"/>
                  <w:vAlign w:val="center"/>
                </w:tcPr>
                <w:p w:rsidR="0072121B" w:rsidRPr="000C7511" w:rsidRDefault="0072121B" w:rsidP="0072121B">
                  <w:pPr>
                    <w:pStyle w:val="naisf"/>
                    <w:spacing w:before="0" w:after="0"/>
                    <w:jc w:val="center"/>
                    <w:rPr>
                      <w:bCs/>
                    </w:rPr>
                  </w:pPr>
                  <w:r w:rsidRPr="000C7511">
                    <w:rPr>
                      <w:bCs/>
                    </w:rPr>
                    <w:t>6</w:t>
                  </w:r>
                </w:p>
              </w:tc>
            </w:tr>
            <w:tr w:rsidR="0072121B" w:rsidRPr="000C7511" w:rsidTr="006B2B45">
              <w:trPr>
                <w:jc w:val="center"/>
              </w:trPr>
              <w:tc>
                <w:tcPr>
                  <w:tcW w:w="3149" w:type="dxa"/>
                </w:tcPr>
                <w:p w:rsidR="0072121B" w:rsidRPr="000C7511" w:rsidRDefault="0072121B" w:rsidP="008F215A">
                  <w:pPr>
                    <w:pStyle w:val="naisf"/>
                    <w:spacing w:before="0" w:beforeAutospacing="0" w:after="0" w:afterAutospacing="0"/>
                    <w:rPr>
                      <w:i/>
                    </w:rPr>
                  </w:pPr>
                  <w:r w:rsidRPr="000C7511">
                    <w:t>1. Budžeta ieņēmumi:</w:t>
                  </w:r>
                </w:p>
              </w:tc>
              <w:tc>
                <w:tcPr>
                  <w:tcW w:w="1157" w:type="dxa"/>
                </w:tcPr>
                <w:p w:rsidR="0072121B" w:rsidRPr="000C7511" w:rsidRDefault="0072121B" w:rsidP="0072121B">
                  <w:pPr>
                    <w:pStyle w:val="naisf"/>
                    <w:spacing w:before="0" w:after="0"/>
                    <w:rPr>
                      <w:b/>
                      <w:i/>
                    </w:rPr>
                  </w:pPr>
                </w:p>
              </w:tc>
              <w:tc>
                <w:tcPr>
                  <w:tcW w:w="1227" w:type="dxa"/>
                </w:tcPr>
                <w:p w:rsidR="0072121B" w:rsidRPr="000C7511" w:rsidRDefault="0072121B" w:rsidP="0072121B">
                  <w:pPr>
                    <w:pStyle w:val="naisf"/>
                    <w:spacing w:before="0" w:after="0"/>
                    <w:rPr>
                      <w:b/>
                      <w:i/>
                    </w:rPr>
                  </w:pPr>
                </w:p>
              </w:tc>
              <w:tc>
                <w:tcPr>
                  <w:tcW w:w="1313" w:type="dxa"/>
                </w:tcPr>
                <w:p w:rsidR="0072121B" w:rsidRPr="000C7511" w:rsidRDefault="0072121B" w:rsidP="0072121B">
                  <w:pPr>
                    <w:pStyle w:val="naisf"/>
                    <w:spacing w:before="0" w:after="0"/>
                    <w:rPr>
                      <w:b/>
                      <w:i/>
                    </w:rPr>
                  </w:pPr>
                </w:p>
              </w:tc>
              <w:tc>
                <w:tcPr>
                  <w:tcW w:w="1227" w:type="dxa"/>
                </w:tcPr>
                <w:p w:rsidR="0072121B" w:rsidRPr="000C7511" w:rsidRDefault="0072121B" w:rsidP="0072121B">
                  <w:pPr>
                    <w:pStyle w:val="naisf"/>
                    <w:spacing w:before="0" w:after="0"/>
                    <w:rPr>
                      <w:b/>
                      <w:i/>
                    </w:rPr>
                  </w:pPr>
                </w:p>
              </w:tc>
              <w:tc>
                <w:tcPr>
                  <w:tcW w:w="1150" w:type="dxa"/>
                  <w:gridSpan w:val="2"/>
                </w:tcPr>
                <w:p w:rsidR="0072121B" w:rsidRPr="000C7511" w:rsidRDefault="0072121B" w:rsidP="0072121B">
                  <w:pPr>
                    <w:pStyle w:val="naisf"/>
                    <w:spacing w:before="0" w:after="0"/>
                    <w:rPr>
                      <w:b/>
                      <w:i/>
                    </w:rPr>
                  </w:pPr>
                </w:p>
              </w:tc>
            </w:tr>
            <w:tr w:rsidR="0072121B" w:rsidRPr="000C7511" w:rsidTr="006B2B45">
              <w:trPr>
                <w:jc w:val="center"/>
              </w:trPr>
              <w:tc>
                <w:tcPr>
                  <w:tcW w:w="3149" w:type="dxa"/>
                </w:tcPr>
                <w:p w:rsidR="0072121B" w:rsidRPr="000C7511" w:rsidRDefault="0072121B" w:rsidP="008F215A">
                  <w:pPr>
                    <w:pStyle w:val="naisf"/>
                    <w:spacing w:before="0" w:beforeAutospacing="0" w:after="0" w:afterAutospacing="0"/>
                    <w:rPr>
                      <w:i/>
                    </w:rPr>
                  </w:pPr>
                  <w:r w:rsidRPr="000C7511">
                    <w:t>1.1. valsts pamatbudžets, tai skaitā ieņēmumi no maksas pakalpojumiem un citi pašu ieņēmumi</w:t>
                  </w:r>
                </w:p>
              </w:tc>
              <w:tc>
                <w:tcPr>
                  <w:tcW w:w="1157" w:type="dxa"/>
                </w:tcPr>
                <w:p w:rsidR="0072121B" w:rsidRPr="000C7511" w:rsidRDefault="0072121B" w:rsidP="003A3CBB">
                  <w:pPr>
                    <w:pStyle w:val="naisf"/>
                    <w:spacing w:before="0" w:after="0"/>
                    <w:rPr>
                      <w:b/>
                      <w:i/>
                    </w:rPr>
                  </w:pPr>
                </w:p>
              </w:tc>
              <w:tc>
                <w:tcPr>
                  <w:tcW w:w="1227" w:type="dxa"/>
                </w:tcPr>
                <w:p w:rsidR="0072121B" w:rsidRPr="000C7511" w:rsidRDefault="0072121B" w:rsidP="003A3CBB">
                  <w:pPr>
                    <w:pStyle w:val="naisf"/>
                    <w:spacing w:before="0" w:after="0"/>
                    <w:rPr>
                      <w:b/>
                      <w:i/>
                    </w:rPr>
                  </w:pPr>
                </w:p>
              </w:tc>
              <w:tc>
                <w:tcPr>
                  <w:tcW w:w="1313" w:type="dxa"/>
                </w:tcPr>
                <w:p w:rsidR="0072121B" w:rsidRPr="000C7511" w:rsidRDefault="0072121B" w:rsidP="003A3CBB">
                  <w:pPr>
                    <w:pStyle w:val="naisf"/>
                    <w:spacing w:before="0" w:after="0"/>
                    <w:rPr>
                      <w:b/>
                      <w:i/>
                    </w:rPr>
                  </w:pPr>
                </w:p>
              </w:tc>
              <w:tc>
                <w:tcPr>
                  <w:tcW w:w="1227" w:type="dxa"/>
                </w:tcPr>
                <w:p w:rsidR="0072121B" w:rsidRPr="000C7511" w:rsidRDefault="0072121B" w:rsidP="003A3CBB">
                  <w:pPr>
                    <w:pStyle w:val="naisf"/>
                    <w:spacing w:before="0" w:after="0"/>
                    <w:rPr>
                      <w:b/>
                      <w:i/>
                    </w:rPr>
                  </w:pPr>
                </w:p>
              </w:tc>
              <w:tc>
                <w:tcPr>
                  <w:tcW w:w="1150" w:type="dxa"/>
                  <w:gridSpan w:val="2"/>
                </w:tcPr>
                <w:p w:rsidR="0072121B" w:rsidRPr="000C7511" w:rsidRDefault="0072121B" w:rsidP="003A3CBB">
                  <w:pPr>
                    <w:pStyle w:val="naisf"/>
                    <w:spacing w:before="0" w:after="0"/>
                    <w:rPr>
                      <w:b/>
                      <w:i/>
                    </w:rPr>
                  </w:pPr>
                </w:p>
              </w:tc>
            </w:tr>
            <w:tr w:rsidR="0072121B" w:rsidRPr="000C7511" w:rsidTr="006B2B45">
              <w:trPr>
                <w:jc w:val="center"/>
              </w:trPr>
              <w:tc>
                <w:tcPr>
                  <w:tcW w:w="3149" w:type="dxa"/>
                </w:tcPr>
                <w:p w:rsidR="0072121B" w:rsidRPr="000C7511" w:rsidRDefault="0072121B" w:rsidP="008F215A">
                  <w:pPr>
                    <w:pStyle w:val="naisf"/>
                    <w:spacing w:before="0" w:beforeAutospacing="0" w:after="0" w:afterAutospacing="0"/>
                    <w:rPr>
                      <w:i/>
                    </w:rPr>
                  </w:pPr>
                  <w:r w:rsidRPr="000C7511">
                    <w:t>1.2. valsts speciālais budžets</w:t>
                  </w:r>
                </w:p>
              </w:tc>
              <w:tc>
                <w:tcPr>
                  <w:tcW w:w="1157" w:type="dxa"/>
                </w:tcPr>
                <w:p w:rsidR="0072121B" w:rsidRPr="000C7511" w:rsidRDefault="0072121B" w:rsidP="003A3CBB">
                  <w:pPr>
                    <w:pStyle w:val="naisf"/>
                    <w:spacing w:before="0" w:after="0"/>
                    <w:rPr>
                      <w:b/>
                      <w:i/>
                    </w:rPr>
                  </w:pPr>
                </w:p>
              </w:tc>
              <w:tc>
                <w:tcPr>
                  <w:tcW w:w="1227" w:type="dxa"/>
                </w:tcPr>
                <w:p w:rsidR="0072121B" w:rsidRPr="000C7511" w:rsidRDefault="0072121B" w:rsidP="003A3CBB">
                  <w:pPr>
                    <w:pStyle w:val="naisf"/>
                    <w:spacing w:before="0" w:after="0"/>
                    <w:rPr>
                      <w:b/>
                      <w:i/>
                    </w:rPr>
                  </w:pPr>
                </w:p>
              </w:tc>
              <w:tc>
                <w:tcPr>
                  <w:tcW w:w="1313" w:type="dxa"/>
                </w:tcPr>
                <w:p w:rsidR="0072121B" w:rsidRPr="000C7511" w:rsidRDefault="0072121B" w:rsidP="003A3CBB">
                  <w:pPr>
                    <w:pStyle w:val="naisf"/>
                    <w:spacing w:before="0" w:after="0"/>
                    <w:rPr>
                      <w:b/>
                      <w:i/>
                    </w:rPr>
                  </w:pPr>
                </w:p>
              </w:tc>
              <w:tc>
                <w:tcPr>
                  <w:tcW w:w="1227" w:type="dxa"/>
                </w:tcPr>
                <w:p w:rsidR="0072121B" w:rsidRPr="000C7511" w:rsidRDefault="0072121B" w:rsidP="003A3CBB">
                  <w:pPr>
                    <w:pStyle w:val="naisf"/>
                    <w:spacing w:before="0" w:after="0"/>
                    <w:rPr>
                      <w:b/>
                      <w:i/>
                    </w:rPr>
                  </w:pPr>
                </w:p>
              </w:tc>
              <w:tc>
                <w:tcPr>
                  <w:tcW w:w="1150" w:type="dxa"/>
                  <w:gridSpan w:val="2"/>
                </w:tcPr>
                <w:p w:rsidR="0072121B" w:rsidRPr="000C7511" w:rsidRDefault="0072121B" w:rsidP="003A3CBB">
                  <w:pPr>
                    <w:pStyle w:val="naisf"/>
                    <w:spacing w:before="0" w:after="0"/>
                    <w:rPr>
                      <w:b/>
                      <w:i/>
                    </w:rPr>
                  </w:pPr>
                </w:p>
              </w:tc>
            </w:tr>
            <w:tr w:rsidR="0072121B" w:rsidRPr="000C7511" w:rsidTr="006B2B45">
              <w:trPr>
                <w:jc w:val="center"/>
              </w:trPr>
              <w:tc>
                <w:tcPr>
                  <w:tcW w:w="3149" w:type="dxa"/>
                </w:tcPr>
                <w:p w:rsidR="0072121B" w:rsidRPr="000C7511" w:rsidRDefault="0072121B" w:rsidP="008F215A">
                  <w:pPr>
                    <w:pStyle w:val="naisf"/>
                    <w:spacing w:before="0" w:beforeAutospacing="0" w:after="0" w:afterAutospacing="0"/>
                    <w:rPr>
                      <w:i/>
                    </w:rPr>
                  </w:pPr>
                  <w:r w:rsidRPr="000C7511">
                    <w:t>1.3. pašvaldību budžets</w:t>
                  </w:r>
                </w:p>
              </w:tc>
              <w:tc>
                <w:tcPr>
                  <w:tcW w:w="1157" w:type="dxa"/>
                </w:tcPr>
                <w:p w:rsidR="0072121B" w:rsidRPr="000C7511" w:rsidRDefault="0072121B" w:rsidP="003A3CBB">
                  <w:pPr>
                    <w:pStyle w:val="naisf"/>
                    <w:spacing w:before="0" w:after="0"/>
                    <w:rPr>
                      <w:b/>
                      <w:i/>
                    </w:rPr>
                  </w:pPr>
                </w:p>
              </w:tc>
              <w:tc>
                <w:tcPr>
                  <w:tcW w:w="1227" w:type="dxa"/>
                </w:tcPr>
                <w:p w:rsidR="0072121B" w:rsidRPr="000C7511" w:rsidRDefault="0072121B" w:rsidP="003A3CBB">
                  <w:pPr>
                    <w:pStyle w:val="naisf"/>
                    <w:spacing w:before="0" w:after="0"/>
                    <w:rPr>
                      <w:b/>
                      <w:i/>
                    </w:rPr>
                  </w:pPr>
                </w:p>
              </w:tc>
              <w:tc>
                <w:tcPr>
                  <w:tcW w:w="1313" w:type="dxa"/>
                </w:tcPr>
                <w:p w:rsidR="0072121B" w:rsidRPr="000C7511" w:rsidRDefault="0072121B" w:rsidP="003A3CBB">
                  <w:pPr>
                    <w:pStyle w:val="naisf"/>
                    <w:spacing w:before="0" w:after="0"/>
                    <w:rPr>
                      <w:b/>
                      <w:i/>
                    </w:rPr>
                  </w:pPr>
                </w:p>
              </w:tc>
              <w:tc>
                <w:tcPr>
                  <w:tcW w:w="1227" w:type="dxa"/>
                </w:tcPr>
                <w:p w:rsidR="0072121B" w:rsidRPr="000C7511" w:rsidRDefault="0072121B" w:rsidP="003A3CBB">
                  <w:pPr>
                    <w:pStyle w:val="naisf"/>
                    <w:spacing w:before="0" w:after="0"/>
                    <w:rPr>
                      <w:b/>
                      <w:i/>
                    </w:rPr>
                  </w:pPr>
                </w:p>
              </w:tc>
              <w:tc>
                <w:tcPr>
                  <w:tcW w:w="1150" w:type="dxa"/>
                  <w:gridSpan w:val="2"/>
                </w:tcPr>
                <w:p w:rsidR="0072121B" w:rsidRPr="000C7511" w:rsidRDefault="0072121B" w:rsidP="003A3CBB">
                  <w:pPr>
                    <w:pStyle w:val="naisf"/>
                    <w:spacing w:before="0" w:after="0"/>
                    <w:rPr>
                      <w:b/>
                      <w:i/>
                    </w:rPr>
                  </w:pPr>
                </w:p>
              </w:tc>
            </w:tr>
            <w:tr w:rsidR="0072121B" w:rsidRPr="000C7511" w:rsidTr="006B2B45">
              <w:trPr>
                <w:jc w:val="center"/>
              </w:trPr>
              <w:tc>
                <w:tcPr>
                  <w:tcW w:w="3149" w:type="dxa"/>
                </w:tcPr>
                <w:p w:rsidR="0072121B" w:rsidRPr="000C7511" w:rsidRDefault="0072121B" w:rsidP="008F215A">
                  <w:pPr>
                    <w:spacing w:after="0"/>
                    <w:ind w:left="0"/>
                    <w:jc w:val="left"/>
                    <w:rPr>
                      <w:rFonts w:ascii="Times New Roman" w:hAnsi="Times New Roman" w:cs="Times New Roman"/>
                      <w:sz w:val="24"/>
                      <w:szCs w:val="24"/>
                    </w:rPr>
                  </w:pPr>
                  <w:r w:rsidRPr="000C7511">
                    <w:rPr>
                      <w:rFonts w:ascii="Times New Roman" w:hAnsi="Times New Roman" w:cs="Times New Roman"/>
                      <w:sz w:val="24"/>
                      <w:szCs w:val="24"/>
                    </w:rPr>
                    <w:t>2. Budžeta izdevumi:</w:t>
                  </w:r>
                </w:p>
              </w:tc>
              <w:tc>
                <w:tcPr>
                  <w:tcW w:w="1157" w:type="dxa"/>
                </w:tcPr>
                <w:p w:rsidR="0072121B" w:rsidRPr="000C7511" w:rsidRDefault="0072121B" w:rsidP="003A3CBB">
                  <w:pPr>
                    <w:pStyle w:val="naisf"/>
                    <w:spacing w:before="0" w:after="0"/>
                    <w:rPr>
                      <w:b/>
                      <w:i/>
                    </w:rPr>
                  </w:pPr>
                </w:p>
              </w:tc>
              <w:tc>
                <w:tcPr>
                  <w:tcW w:w="1227" w:type="dxa"/>
                </w:tcPr>
                <w:p w:rsidR="0072121B" w:rsidRPr="000C7511" w:rsidRDefault="0072121B" w:rsidP="003A3CBB">
                  <w:pPr>
                    <w:pStyle w:val="naisf"/>
                    <w:spacing w:before="0" w:after="0"/>
                    <w:rPr>
                      <w:b/>
                      <w:i/>
                    </w:rPr>
                  </w:pPr>
                </w:p>
              </w:tc>
              <w:tc>
                <w:tcPr>
                  <w:tcW w:w="1313" w:type="dxa"/>
                </w:tcPr>
                <w:p w:rsidR="0072121B" w:rsidRPr="000C7511" w:rsidRDefault="0072121B" w:rsidP="003A3CBB">
                  <w:pPr>
                    <w:pStyle w:val="naisf"/>
                    <w:spacing w:before="0" w:after="0"/>
                    <w:rPr>
                      <w:b/>
                      <w:i/>
                    </w:rPr>
                  </w:pPr>
                </w:p>
              </w:tc>
              <w:tc>
                <w:tcPr>
                  <w:tcW w:w="1227" w:type="dxa"/>
                </w:tcPr>
                <w:p w:rsidR="0072121B" w:rsidRPr="000C7511" w:rsidRDefault="0072121B" w:rsidP="003A3CBB">
                  <w:pPr>
                    <w:pStyle w:val="naisf"/>
                    <w:spacing w:before="0" w:after="0"/>
                    <w:rPr>
                      <w:b/>
                      <w:i/>
                    </w:rPr>
                  </w:pPr>
                </w:p>
              </w:tc>
              <w:tc>
                <w:tcPr>
                  <w:tcW w:w="1150" w:type="dxa"/>
                  <w:gridSpan w:val="2"/>
                </w:tcPr>
                <w:p w:rsidR="0072121B" w:rsidRPr="000C7511" w:rsidRDefault="0072121B" w:rsidP="003A3CBB">
                  <w:pPr>
                    <w:pStyle w:val="naisf"/>
                    <w:spacing w:before="0" w:after="0"/>
                    <w:rPr>
                      <w:b/>
                      <w:i/>
                    </w:rPr>
                  </w:pPr>
                </w:p>
              </w:tc>
            </w:tr>
            <w:tr w:rsidR="0072121B" w:rsidRPr="000C7511" w:rsidTr="006B2B45">
              <w:trPr>
                <w:jc w:val="center"/>
              </w:trPr>
              <w:tc>
                <w:tcPr>
                  <w:tcW w:w="3149" w:type="dxa"/>
                </w:tcPr>
                <w:p w:rsidR="0072121B" w:rsidRPr="000C7511" w:rsidRDefault="0072121B" w:rsidP="008F215A">
                  <w:pPr>
                    <w:spacing w:after="0"/>
                    <w:ind w:left="0"/>
                    <w:jc w:val="left"/>
                    <w:rPr>
                      <w:rFonts w:ascii="Times New Roman" w:hAnsi="Times New Roman" w:cs="Times New Roman"/>
                      <w:sz w:val="24"/>
                      <w:szCs w:val="24"/>
                    </w:rPr>
                  </w:pPr>
                  <w:r w:rsidRPr="000C7511">
                    <w:rPr>
                      <w:rFonts w:ascii="Times New Roman" w:hAnsi="Times New Roman" w:cs="Times New Roman"/>
                      <w:sz w:val="24"/>
                      <w:szCs w:val="24"/>
                    </w:rPr>
                    <w:t>2.1. valsts pamatbudžets</w:t>
                  </w:r>
                </w:p>
              </w:tc>
              <w:tc>
                <w:tcPr>
                  <w:tcW w:w="1157" w:type="dxa"/>
                </w:tcPr>
                <w:p w:rsidR="0072121B" w:rsidRPr="000C7511" w:rsidRDefault="0072121B" w:rsidP="003A3CBB">
                  <w:pPr>
                    <w:pStyle w:val="naisf"/>
                    <w:spacing w:before="0" w:after="0"/>
                    <w:rPr>
                      <w:b/>
                      <w:i/>
                    </w:rPr>
                  </w:pPr>
                </w:p>
              </w:tc>
              <w:tc>
                <w:tcPr>
                  <w:tcW w:w="1227" w:type="dxa"/>
                </w:tcPr>
                <w:p w:rsidR="0072121B" w:rsidRPr="000C7511" w:rsidRDefault="0072121B" w:rsidP="003A3CBB">
                  <w:pPr>
                    <w:pStyle w:val="naisf"/>
                    <w:spacing w:before="0" w:after="0"/>
                    <w:rPr>
                      <w:b/>
                      <w:i/>
                    </w:rPr>
                  </w:pPr>
                </w:p>
              </w:tc>
              <w:tc>
                <w:tcPr>
                  <w:tcW w:w="1313" w:type="dxa"/>
                </w:tcPr>
                <w:p w:rsidR="0072121B" w:rsidRPr="000C7511" w:rsidRDefault="0072121B" w:rsidP="003A3CBB">
                  <w:pPr>
                    <w:pStyle w:val="naisf"/>
                    <w:spacing w:before="0" w:after="0"/>
                    <w:rPr>
                      <w:b/>
                      <w:i/>
                    </w:rPr>
                  </w:pPr>
                </w:p>
              </w:tc>
              <w:tc>
                <w:tcPr>
                  <w:tcW w:w="1227" w:type="dxa"/>
                </w:tcPr>
                <w:p w:rsidR="0072121B" w:rsidRPr="000C7511" w:rsidRDefault="0072121B" w:rsidP="003A3CBB">
                  <w:pPr>
                    <w:pStyle w:val="naisf"/>
                    <w:spacing w:before="0" w:after="0"/>
                    <w:rPr>
                      <w:b/>
                      <w:i/>
                    </w:rPr>
                  </w:pPr>
                </w:p>
              </w:tc>
              <w:tc>
                <w:tcPr>
                  <w:tcW w:w="1150" w:type="dxa"/>
                  <w:gridSpan w:val="2"/>
                </w:tcPr>
                <w:p w:rsidR="0072121B" w:rsidRPr="000C7511" w:rsidRDefault="0072121B" w:rsidP="003A3CBB">
                  <w:pPr>
                    <w:pStyle w:val="naisf"/>
                    <w:spacing w:before="0" w:after="0"/>
                    <w:rPr>
                      <w:b/>
                      <w:i/>
                    </w:rPr>
                  </w:pPr>
                </w:p>
              </w:tc>
            </w:tr>
            <w:tr w:rsidR="0072121B" w:rsidRPr="000C7511" w:rsidTr="006B2B45">
              <w:trPr>
                <w:jc w:val="center"/>
              </w:trPr>
              <w:tc>
                <w:tcPr>
                  <w:tcW w:w="3149" w:type="dxa"/>
                </w:tcPr>
                <w:p w:rsidR="0072121B" w:rsidRPr="000C7511" w:rsidRDefault="0072121B" w:rsidP="008F215A">
                  <w:pPr>
                    <w:spacing w:after="0"/>
                    <w:ind w:left="0"/>
                    <w:jc w:val="left"/>
                    <w:rPr>
                      <w:rFonts w:ascii="Times New Roman" w:hAnsi="Times New Roman" w:cs="Times New Roman"/>
                      <w:sz w:val="24"/>
                      <w:szCs w:val="24"/>
                    </w:rPr>
                  </w:pPr>
                  <w:r w:rsidRPr="000C7511">
                    <w:rPr>
                      <w:rFonts w:ascii="Times New Roman" w:hAnsi="Times New Roman" w:cs="Times New Roman"/>
                      <w:sz w:val="24"/>
                      <w:szCs w:val="24"/>
                    </w:rPr>
                    <w:t>2.2. valsts speciālais budžets</w:t>
                  </w:r>
                </w:p>
              </w:tc>
              <w:tc>
                <w:tcPr>
                  <w:tcW w:w="1157" w:type="dxa"/>
                </w:tcPr>
                <w:p w:rsidR="0072121B" w:rsidRPr="000C7511" w:rsidRDefault="0072121B" w:rsidP="003A3CBB">
                  <w:pPr>
                    <w:pStyle w:val="naisf"/>
                    <w:spacing w:before="0" w:after="0"/>
                    <w:rPr>
                      <w:b/>
                      <w:i/>
                    </w:rPr>
                  </w:pPr>
                </w:p>
              </w:tc>
              <w:tc>
                <w:tcPr>
                  <w:tcW w:w="1227" w:type="dxa"/>
                </w:tcPr>
                <w:p w:rsidR="0072121B" w:rsidRPr="000C7511" w:rsidRDefault="0072121B" w:rsidP="003A3CBB">
                  <w:pPr>
                    <w:pStyle w:val="naisf"/>
                    <w:spacing w:before="0" w:after="0"/>
                    <w:rPr>
                      <w:b/>
                      <w:i/>
                    </w:rPr>
                  </w:pPr>
                </w:p>
              </w:tc>
              <w:tc>
                <w:tcPr>
                  <w:tcW w:w="1313" w:type="dxa"/>
                </w:tcPr>
                <w:p w:rsidR="0072121B" w:rsidRPr="000C7511" w:rsidRDefault="0072121B" w:rsidP="003A3CBB">
                  <w:pPr>
                    <w:pStyle w:val="naisf"/>
                    <w:spacing w:before="0" w:after="0"/>
                    <w:rPr>
                      <w:b/>
                      <w:i/>
                    </w:rPr>
                  </w:pPr>
                </w:p>
              </w:tc>
              <w:tc>
                <w:tcPr>
                  <w:tcW w:w="1227" w:type="dxa"/>
                </w:tcPr>
                <w:p w:rsidR="0072121B" w:rsidRPr="000C7511" w:rsidRDefault="0072121B" w:rsidP="003A3CBB">
                  <w:pPr>
                    <w:pStyle w:val="naisf"/>
                    <w:spacing w:before="0" w:after="0"/>
                    <w:rPr>
                      <w:b/>
                      <w:i/>
                    </w:rPr>
                  </w:pPr>
                </w:p>
              </w:tc>
              <w:tc>
                <w:tcPr>
                  <w:tcW w:w="1150" w:type="dxa"/>
                  <w:gridSpan w:val="2"/>
                </w:tcPr>
                <w:p w:rsidR="0072121B" w:rsidRPr="000C7511" w:rsidRDefault="0072121B" w:rsidP="003A3CBB">
                  <w:pPr>
                    <w:pStyle w:val="naisf"/>
                    <w:spacing w:before="0" w:after="0"/>
                    <w:rPr>
                      <w:b/>
                      <w:i/>
                    </w:rPr>
                  </w:pPr>
                </w:p>
              </w:tc>
            </w:tr>
            <w:tr w:rsidR="0072121B" w:rsidRPr="000C7511" w:rsidTr="006B2B45">
              <w:trPr>
                <w:jc w:val="center"/>
              </w:trPr>
              <w:tc>
                <w:tcPr>
                  <w:tcW w:w="3149" w:type="dxa"/>
                </w:tcPr>
                <w:p w:rsidR="0072121B" w:rsidRPr="000C7511" w:rsidRDefault="0072121B" w:rsidP="008F215A">
                  <w:pPr>
                    <w:spacing w:after="0"/>
                    <w:ind w:left="0"/>
                    <w:jc w:val="left"/>
                    <w:rPr>
                      <w:rFonts w:ascii="Times New Roman" w:hAnsi="Times New Roman" w:cs="Times New Roman"/>
                      <w:sz w:val="24"/>
                      <w:szCs w:val="24"/>
                    </w:rPr>
                  </w:pPr>
                  <w:r w:rsidRPr="000C7511">
                    <w:rPr>
                      <w:rFonts w:ascii="Times New Roman" w:hAnsi="Times New Roman" w:cs="Times New Roman"/>
                      <w:sz w:val="24"/>
                      <w:szCs w:val="24"/>
                    </w:rPr>
                    <w:t xml:space="preserve">2.3. pašvaldību budžets </w:t>
                  </w:r>
                </w:p>
              </w:tc>
              <w:tc>
                <w:tcPr>
                  <w:tcW w:w="1157" w:type="dxa"/>
                </w:tcPr>
                <w:p w:rsidR="0072121B" w:rsidRPr="000C7511" w:rsidRDefault="0072121B" w:rsidP="003A3CBB">
                  <w:pPr>
                    <w:pStyle w:val="naisf"/>
                    <w:spacing w:before="0" w:after="0"/>
                    <w:rPr>
                      <w:b/>
                      <w:i/>
                    </w:rPr>
                  </w:pPr>
                </w:p>
              </w:tc>
              <w:tc>
                <w:tcPr>
                  <w:tcW w:w="1227" w:type="dxa"/>
                </w:tcPr>
                <w:p w:rsidR="0072121B" w:rsidRPr="000C7511" w:rsidRDefault="0072121B" w:rsidP="003A3CBB">
                  <w:pPr>
                    <w:pStyle w:val="naisf"/>
                    <w:spacing w:before="0" w:after="0"/>
                    <w:rPr>
                      <w:b/>
                      <w:i/>
                    </w:rPr>
                  </w:pPr>
                </w:p>
              </w:tc>
              <w:tc>
                <w:tcPr>
                  <w:tcW w:w="1313" w:type="dxa"/>
                </w:tcPr>
                <w:p w:rsidR="0072121B" w:rsidRPr="000C7511" w:rsidRDefault="0072121B" w:rsidP="003A3CBB">
                  <w:pPr>
                    <w:pStyle w:val="naisf"/>
                    <w:spacing w:before="0" w:after="0"/>
                    <w:rPr>
                      <w:b/>
                      <w:i/>
                    </w:rPr>
                  </w:pPr>
                </w:p>
              </w:tc>
              <w:tc>
                <w:tcPr>
                  <w:tcW w:w="1227" w:type="dxa"/>
                </w:tcPr>
                <w:p w:rsidR="0072121B" w:rsidRPr="000C7511" w:rsidRDefault="0072121B" w:rsidP="003A3CBB">
                  <w:pPr>
                    <w:pStyle w:val="naisf"/>
                    <w:spacing w:before="0" w:after="0"/>
                    <w:rPr>
                      <w:b/>
                      <w:i/>
                    </w:rPr>
                  </w:pPr>
                </w:p>
              </w:tc>
              <w:tc>
                <w:tcPr>
                  <w:tcW w:w="1150" w:type="dxa"/>
                  <w:gridSpan w:val="2"/>
                </w:tcPr>
                <w:p w:rsidR="0072121B" w:rsidRPr="000C7511" w:rsidRDefault="0072121B" w:rsidP="003A3CBB">
                  <w:pPr>
                    <w:pStyle w:val="naisf"/>
                    <w:spacing w:before="0" w:after="0"/>
                    <w:rPr>
                      <w:b/>
                      <w:i/>
                    </w:rPr>
                  </w:pPr>
                </w:p>
              </w:tc>
            </w:tr>
            <w:tr w:rsidR="0072121B" w:rsidRPr="000C7511" w:rsidTr="006B2B45">
              <w:trPr>
                <w:jc w:val="center"/>
              </w:trPr>
              <w:tc>
                <w:tcPr>
                  <w:tcW w:w="3149" w:type="dxa"/>
                </w:tcPr>
                <w:p w:rsidR="0072121B" w:rsidRPr="000C7511" w:rsidRDefault="0072121B" w:rsidP="008F215A">
                  <w:pPr>
                    <w:spacing w:after="0"/>
                    <w:ind w:left="0"/>
                    <w:jc w:val="left"/>
                    <w:rPr>
                      <w:rFonts w:ascii="Times New Roman" w:hAnsi="Times New Roman" w:cs="Times New Roman"/>
                      <w:sz w:val="24"/>
                      <w:szCs w:val="24"/>
                    </w:rPr>
                  </w:pPr>
                  <w:r w:rsidRPr="000C7511">
                    <w:rPr>
                      <w:rFonts w:ascii="Times New Roman" w:hAnsi="Times New Roman" w:cs="Times New Roman"/>
                      <w:sz w:val="24"/>
                      <w:szCs w:val="24"/>
                    </w:rPr>
                    <w:t>3. Finansiālā ietekme:</w:t>
                  </w:r>
                </w:p>
              </w:tc>
              <w:tc>
                <w:tcPr>
                  <w:tcW w:w="1157" w:type="dxa"/>
                  <w:shd w:val="clear" w:color="auto" w:fill="auto"/>
                  <w:vAlign w:val="center"/>
                </w:tcPr>
                <w:p w:rsidR="0072121B" w:rsidRPr="000C7511" w:rsidRDefault="0072121B" w:rsidP="003A3CBB">
                  <w:pPr>
                    <w:pStyle w:val="naisf"/>
                    <w:spacing w:before="0" w:after="0"/>
                    <w:jc w:val="center"/>
                  </w:pPr>
                </w:p>
              </w:tc>
              <w:tc>
                <w:tcPr>
                  <w:tcW w:w="1227" w:type="dxa"/>
                </w:tcPr>
                <w:p w:rsidR="0072121B" w:rsidRPr="000C7511" w:rsidRDefault="0072121B" w:rsidP="003A3CBB">
                  <w:pPr>
                    <w:pStyle w:val="naisf"/>
                    <w:spacing w:before="0" w:after="0"/>
                    <w:rPr>
                      <w:b/>
                      <w:i/>
                    </w:rPr>
                  </w:pPr>
                </w:p>
              </w:tc>
              <w:tc>
                <w:tcPr>
                  <w:tcW w:w="1313" w:type="dxa"/>
                </w:tcPr>
                <w:p w:rsidR="0072121B" w:rsidRPr="000C7511" w:rsidRDefault="0072121B" w:rsidP="003A3CBB">
                  <w:pPr>
                    <w:pStyle w:val="naisf"/>
                    <w:spacing w:before="0" w:after="0"/>
                    <w:rPr>
                      <w:b/>
                      <w:i/>
                    </w:rPr>
                  </w:pPr>
                </w:p>
              </w:tc>
              <w:tc>
                <w:tcPr>
                  <w:tcW w:w="1227" w:type="dxa"/>
                </w:tcPr>
                <w:p w:rsidR="0072121B" w:rsidRPr="000C7511" w:rsidRDefault="0072121B" w:rsidP="003A3CBB">
                  <w:pPr>
                    <w:pStyle w:val="naisf"/>
                    <w:spacing w:before="0" w:after="0"/>
                    <w:rPr>
                      <w:b/>
                      <w:i/>
                    </w:rPr>
                  </w:pPr>
                </w:p>
              </w:tc>
              <w:tc>
                <w:tcPr>
                  <w:tcW w:w="1150" w:type="dxa"/>
                  <w:gridSpan w:val="2"/>
                </w:tcPr>
                <w:p w:rsidR="0072121B" w:rsidRPr="000C7511" w:rsidRDefault="0072121B" w:rsidP="003A3CBB">
                  <w:pPr>
                    <w:pStyle w:val="naisf"/>
                    <w:spacing w:before="0" w:after="0"/>
                    <w:rPr>
                      <w:b/>
                      <w:i/>
                    </w:rPr>
                  </w:pPr>
                </w:p>
              </w:tc>
            </w:tr>
            <w:tr w:rsidR="0072121B" w:rsidRPr="000C7511" w:rsidTr="006B2B45">
              <w:trPr>
                <w:jc w:val="center"/>
              </w:trPr>
              <w:tc>
                <w:tcPr>
                  <w:tcW w:w="3149" w:type="dxa"/>
                </w:tcPr>
                <w:p w:rsidR="0072121B" w:rsidRPr="000C7511" w:rsidRDefault="0072121B" w:rsidP="008F215A">
                  <w:pPr>
                    <w:spacing w:after="0"/>
                    <w:ind w:left="0"/>
                    <w:jc w:val="left"/>
                    <w:rPr>
                      <w:rFonts w:ascii="Times New Roman" w:hAnsi="Times New Roman" w:cs="Times New Roman"/>
                      <w:sz w:val="24"/>
                      <w:szCs w:val="24"/>
                    </w:rPr>
                  </w:pPr>
                  <w:r w:rsidRPr="000C7511">
                    <w:rPr>
                      <w:rFonts w:ascii="Times New Roman" w:hAnsi="Times New Roman" w:cs="Times New Roman"/>
                      <w:sz w:val="24"/>
                      <w:szCs w:val="24"/>
                    </w:rPr>
                    <w:t>3.1. valsts pamatbudžets</w:t>
                  </w:r>
                </w:p>
              </w:tc>
              <w:tc>
                <w:tcPr>
                  <w:tcW w:w="1157" w:type="dxa"/>
                  <w:shd w:val="clear" w:color="auto" w:fill="auto"/>
                </w:tcPr>
                <w:p w:rsidR="0072121B" w:rsidRPr="000C7511" w:rsidRDefault="0072121B" w:rsidP="003A3CBB">
                  <w:pPr>
                    <w:pStyle w:val="naisf"/>
                    <w:spacing w:before="0" w:after="0"/>
                    <w:rPr>
                      <w:i/>
                    </w:rPr>
                  </w:pPr>
                </w:p>
              </w:tc>
              <w:tc>
                <w:tcPr>
                  <w:tcW w:w="1227" w:type="dxa"/>
                </w:tcPr>
                <w:p w:rsidR="0072121B" w:rsidRPr="000C7511" w:rsidRDefault="0072121B" w:rsidP="003A3CBB">
                  <w:pPr>
                    <w:pStyle w:val="naisf"/>
                    <w:spacing w:before="0" w:after="0"/>
                    <w:rPr>
                      <w:b/>
                      <w:i/>
                    </w:rPr>
                  </w:pPr>
                </w:p>
              </w:tc>
              <w:tc>
                <w:tcPr>
                  <w:tcW w:w="1313" w:type="dxa"/>
                </w:tcPr>
                <w:p w:rsidR="0072121B" w:rsidRPr="000C7511" w:rsidRDefault="0072121B" w:rsidP="003A3CBB">
                  <w:pPr>
                    <w:pStyle w:val="naisf"/>
                    <w:spacing w:before="0" w:after="0"/>
                    <w:rPr>
                      <w:b/>
                      <w:i/>
                    </w:rPr>
                  </w:pPr>
                </w:p>
              </w:tc>
              <w:tc>
                <w:tcPr>
                  <w:tcW w:w="1227" w:type="dxa"/>
                </w:tcPr>
                <w:p w:rsidR="0072121B" w:rsidRPr="000C7511" w:rsidRDefault="0072121B" w:rsidP="003A3CBB">
                  <w:pPr>
                    <w:pStyle w:val="naisf"/>
                    <w:spacing w:before="0" w:after="0"/>
                    <w:rPr>
                      <w:b/>
                      <w:i/>
                    </w:rPr>
                  </w:pPr>
                </w:p>
              </w:tc>
              <w:tc>
                <w:tcPr>
                  <w:tcW w:w="1150" w:type="dxa"/>
                  <w:gridSpan w:val="2"/>
                </w:tcPr>
                <w:p w:rsidR="0072121B" w:rsidRPr="000C7511" w:rsidRDefault="0072121B" w:rsidP="003A3CBB">
                  <w:pPr>
                    <w:pStyle w:val="naisf"/>
                    <w:spacing w:before="0" w:after="0"/>
                    <w:rPr>
                      <w:b/>
                      <w:i/>
                    </w:rPr>
                  </w:pPr>
                </w:p>
              </w:tc>
            </w:tr>
            <w:tr w:rsidR="0072121B" w:rsidRPr="000C7511" w:rsidTr="006B2B45">
              <w:trPr>
                <w:jc w:val="center"/>
              </w:trPr>
              <w:tc>
                <w:tcPr>
                  <w:tcW w:w="3149" w:type="dxa"/>
                </w:tcPr>
                <w:p w:rsidR="0072121B" w:rsidRPr="000C7511" w:rsidRDefault="0072121B" w:rsidP="008F215A">
                  <w:pPr>
                    <w:spacing w:after="0"/>
                    <w:ind w:left="0"/>
                    <w:jc w:val="left"/>
                    <w:rPr>
                      <w:rFonts w:ascii="Times New Roman" w:hAnsi="Times New Roman" w:cs="Times New Roman"/>
                      <w:sz w:val="24"/>
                      <w:szCs w:val="24"/>
                    </w:rPr>
                  </w:pPr>
                  <w:r w:rsidRPr="000C7511">
                    <w:rPr>
                      <w:rFonts w:ascii="Times New Roman" w:hAnsi="Times New Roman" w:cs="Times New Roman"/>
                      <w:sz w:val="24"/>
                      <w:szCs w:val="24"/>
                    </w:rPr>
                    <w:t>3.2. speciālais budžets</w:t>
                  </w:r>
                </w:p>
              </w:tc>
              <w:tc>
                <w:tcPr>
                  <w:tcW w:w="1157" w:type="dxa"/>
                  <w:shd w:val="clear" w:color="auto" w:fill="auto"/>
                </w:tcPr>
                <w:p w:rsidR="0072121B" w:rsidRPr="000C7511" w:rsidRDefault="0072121B" w:rsidP="003A3CBB">
                  <w:pPr>
                    <w:pStyle w:val="naisf"/>
                    <w:spacing w:before="0" w:after="0"/>
                    <w:rPr>
                      <w:i/>
                    </w:rPr>
                  </w:pPr>
                </w:p>
              </w:tc>
              <w:tc>
                <w:tcPr>
                  <w:tcW w:w="1227" w:type="dxa"/>
                </w:tcPr>
                <w:p w:rsidR="0072121B" w:rsidRPr="000C7511" w:rsidRDefault="0072121B" w:rsidP="003A3CBB">
                  <w:pPr>
                    <w:pStyle w:val="naisf"/>
                    <w:spacing w:before="0" w:after="0"/>
                    <w:rPr>
                      <w:b/>
                      <w:i/>
                    </w:rPr>
                  </w:pPr>
                </w:p>
              </w:tc>
              <w:tc>
                <w:tcPr>
                  <w:tcW w:w="1313" w:type="dxa"/>
                </w:tcPr>
                <w:p w:rsidR="0072121B" w:rsidRPr="000C7511" w:rsidRDefault="0072121B" w:rsidP="003A3CBB">
                  <w:pPr>
                    <w:pStyle w:val="naisf"/>
                    <w:spacing w:before="0" w:after="0"/>
                    <w:rPr>
                      <w:b/>
                      <w:i/>
                    </w:rPr>
                  </w:pPr>
                </w:p>
              </w:tc>
              <w:tc>
                <w:tcPr>
                  <w:tcW w:w="1227" w:type="dxa"/>
                </w:tcPr>
                <w:p w:rsidR="0072121B" w:rsidRPr="000C7511" w:rsidRDefault="0072121B" w:rsidP="003A3CBB">
                  <w:pPr>
                    <w:pStyle w:val="naisf"/>
                    <w:spacing w:before="0" w:after="0"/>
                    <w:rPr>
                      <w:b/>
                      <w:i/>
                    </w:rPr>
                  </w:pPr>
                </w:p>
              </w:tc>
              <w:tc>
                <w:tcPr>
                  <w:tcW w:w="1150" w:type="dxa"/>
                  <w:gridSpan w:val="2"/>
                </w:tcPr>
                <w:p w:rsidR="0072121B" w:rsidRPr="000C7511" w:rsidRDefault="0072121B" w:rsidP="003A3CBB">
                  <w:pPr>
                    <w:pStyle w:val="naisf"/>
                    <w:spacing w:before="0" w:after="0"/>
                    <w:rPr>
                      <w:b/>
                      <w:i/>
                    </w:rPr>
                  </w:pPr>
                </w:p>
              </w:tc>
            </w:tr>
            <w:tr w:rsidR="0072121B" w:rsidRPr="000C7511" w:rsidTr="006B2B45">
              <w:trPr>
                <w:jc w:val="center"/>
              </w:trPr>
              <w:tc>
                <w:tcPr>
                  <w:tcW w:w="3149" w:type="dxa"/>
                </w:tcPr>
                <w:p w:rsidR="0072121B" w:rsidRPr="000C7511" w:rsidRDefault="0072121B" w:rsidP="008F215A">
                  <w:pPr>
                    <w:spacing w:after="0"/>
                    <w:ind w:left="0"/>
                    <w:jc w:val="left"/>
                    <w:rPr>
                      <w:rFonts w:ascii="Times New Roman" w:hAnsi="Times New Roman" w:cs="Times New Roman"/>
                      <w:sz w:val="24"/>
                      <w:szCs w:val="24"/>
                    </w:rPr>
                  </w:pPr>
                  <w:r w:rsidRPr="000C7511">
                    <w:rPr>
                      <w:rFonts w:ascii="Times New Roman" w:hAnsi="Times New Roman" w:cs="Times New Roman"/>
                      <w:sz w:val="24"/>
                      <w:szCs w:val="24"/>
                    </w:rPr>
                    <w:t xml:space="preserve">3.3. pašvaldību budžets </w:t>
                  </w:r>
                </w:p>
              </w:tc>
              <w:tc>
                <w:tcPr>
                  <w:tcW w:w="1157" w:type="dxa"/>
                  <w:shd w:val="clear" w:color="auto" w:fill="auto"/>
                </w:tcPr>
                <w:p w:rsidR="0072121B" w:rsidRPr="000C7511" w:rsidRDefault="0072121B" w:rsidP="003A3CBB">
                  <w:pPr>
                    <w:pStyle w:val="naisf"/>
                    <w:spacing w:before="0" w:after="0"/>
                    <w:rPr>
                      <w:i/>
                    </w:rPr>
                  </w:pPr>
                </w:p>
              </w:tc>
              <w:tc>
                <w:tcPr>
                  <w:tcW w:w="1227" w:type="dxa"/>
                </w:tcPr>
                <w:p w:rsidR="0072121B" w:rsidRPr="000C7511" w:rsidRDefault="0072121B" w:rsidP="003A3CBB">
                  <w:pPr>
                    <w:pStyle w:val="naisf"/>
                    <w:spacing w:before="0" w:after="0"/>
                    <w:rPr>
                      <w:b/>
                      <w:i/>
                    </w:rPr>
                  </w:pPr>
                </w:p>
              </w:tc>
              <w:tc>
                <w:tcPr>
                  <w:tcW w:w="1313" w:type="dxa"/>
                </w:tcPr>
                <w:p w:rsidR="0072121B" w:rsidRPr="000C7511" w:rsidRDefault="0072121B" w:rsidP="003A3CBB">
                  <w:pPr>
                    <w:pStyle w:val="naisf"/>
                    <w:spacing w:before="0" w:after="0"/>
                    <w:rPr>
                      <w:b/>
                      <w:i/>
                    </w:rPr>
                  </w:pPr>
                </w:p>
              </w:tc>
              <w:tc>
                <w:tcPr>
                  <w:tcW w:w="1227" w:type="dxa"/>
                </w:tcPr>
                <w:p w:rsidR="0072121B" w:rsidRPr="000C7511" w:rsidRDefault="0072121B" w:rsidP="003A3CBB">
                  <w:pPr>
                    <w:pStyle w:val="naisf"/>
                    <w:spacing w:before="0" w:after="0"/>
                    <w:rPr>
                      <w:b/>
                      <w:i/>
                    </w:rPr>
                  </w:pPr>
                </w:p>
              </w:tc>
              <w:tc>
                <w:tcPr>
                  <w:tcW w:w="1150" w:type="dxa"/>
                  <w:gridSpan w:val="2"/>
                </w:tcPr>
                <w:p w:rsidR="0072121B" w:rsidRPr="000C7511" w:rsidRDefault="0072121B" w:rsidP="003A3CBB">
                  <w:pPr>
                    <w:pStyle w:val="naisf"/>
                    <w:spacing w:before="0" w:after="0"/>
                    <w:rPr>
                      <w:b/>
                      <w:i/>
                    </w:rPr>
                  </w:pPr>
                </w:p>
              </w:tc>
            </w:tr>
            <w:tr w:rsidR="0072121B" w:rsidRPr="000C7511" w:rsidTr="006B2B45">
              <w:trPr>
                <w:jc w:val="center"/>
              </w:trPr>
              <w:tc>
                <w:tcPr>
                  <w:tcW w:w="3149" w:type="dxa"/>
                  <w:vMerge w:val="restart"/>
                </w:tcPr>
                <w:p w:rsidR="0072121B" w:rsidRPr="000C7511" w:rsidRDefault="0072121B" w:rsidP="008F215A">
                  <w:pPr>
                    <w:spacing w:after="0"/>
                    <w:ind w:left="0"/>
                    <w:jc w:val="left"/>
                    <w:rPr>
                      <w:rFonts w:ascii="Times New Roman" w:hAnsi="Times New Roman" w:cs="Times New Roman"/>
                      <w:sz w:val="24"/>
                      <w:szCs w:val="24"/>
                    </w:rPr>
                  </w:pPr>
                  <w:r w:rsidRPr="000C7511">
                    <w:rPr>
                      <w:rFonts w:ascii="Times New Roman" w:hAnsi="Times New Roman" w:cs="Times New Roman"/>
                      <w:sz w:val="24"/>
                      <w:szCs w:val="24"/>
                    </w:rPr>
                    <w:t xml:space="preserve">4. Finanšu līdzekļi papildu izdevumu finansēšanai (kompensējošu izdevumu samazinājumu norāda ar </w:t>
                  </w:r>
                  <w:r w:rsidR="003A3CBB" w:rsidRPr="000C7511">
                    <w:rPr>
                      <w:rFonts w:ascii="Times New Roman" w:hAnsi="Times New Roman" w:cs="Times New Roman"/>
                      <w:sz w:val="24"/>
                      <w:szCs w:val="24"/>
                    </w:rPr>
                    <w:t>“</w:t>
                  </w:r>
                  <w:r w:rsidRPr="000C7511">
                    <w:rPr>
                      <w:rFonts w:ascii="Times New Roman" w:hAnsi="Times New Roman" w:cs="Times New Roman"/>
                      <w:sz w:val="24"/>
                      <w:szCs w:val="24"/>
                    </w:rPr>
                    <w:t>+</w:t>
                  </w:r>
                  <w:r w:rsidR="003A3CBB" w:rsidRPr="000C7511">
                    <w:rPr>
                      <w:rFonts w:ascii="Times New Roman" w:hAnsi="Times New Roman" w:cs="Times New Roman"/>
                      <w:sz w:val="24"/>
                      <w:szCs w:val="24"/>
                    </w:rPr>
                    <w:t xml:space="preserve">” </w:t>
                  </w:r>
                  <w:r w:rsidRPr="000C7511">
                    <w:rPr>
                      <w:rFonts w:ascii="Times New Roman" w:hAnsi="Times New Roman" w:cs="Times New Roman"/>
                      <w:sz w:val="24"/>
                      <w:szCs w:val="24"/>
                    </w:rPr>
                    <w:t>zīmi)</w:t>
                  </w:r>
                </w:p>
              </w:tc>
              <w:tc>
                <w:tcPr>
                  <w:tcW w:w="1157" w:type="dxa"/>
                  <w:vMerge w:val="restart"/>
                </w:tcPr>
                <w:p w:rsidR="0072121B" w:rsidRPr="000C7511" w:rsidRDefault="0072121B" w:rsidP="003A3CBB">
                  <w:pPr>
                    <w:pStyle w:val="naisf"/>
                    <w:spacing w:before="0" w:after="0"/>
                    <w:jc w:val="center"/>
                    <w:rPr>
                      <w:i/>
                    </w:rPr>
                  </w:pPr>
                  <w:r w:rsidRPr="000C7511">
                    <w:t>X</w:t>
                  </w:r>
                </w:p>
              </w:tc>
              <w:tc>
                <w:tcPr>
                  <w:tcW w:w="1227" w:type="dxa"/>
                </w:tcPr>
                <w:p w:rsidR="0072121B" w:rsidRPr="000C7511" w:rsidRDefault="0072121B" w:rsidP="003A3CBB">
                  <w:pPr>
                    <w:pStyle w:val="naisf"/>
                    <w:spacing w:before="0" w:after="0"/>
                    <w:rPr>
                      <w:b/>
                      <w:i/>
                    </w:rPr>
                  </w:pPr>
                </w:p>
              </w:tc>
              <w:tc>
                <w:tcPr>
                  <w:tcW w:w="1313" w:type="dxa"/>
                </w:tcPr>
                <w:p w:rsidR="0072121B" w:rsidRPr="000C7511" w:rsidRDefault="0072121B" w:rsidP="003A3CBB">
                  <w:pPr>
                    <w:pStyle w:val="naisf"/>
                    <w:spacing w:before="0" w:after="0"/>
                    <w:rPr>
                      <w:b/>
                      <w:i/>
                    </w:rPr>
                  </w:pPr>
                </w:p>
              </w:tc>
              <w:tc>
                <w:tcPr>
                  <w:tcW w:w="1227" w:type="dxa"/>
                </w:tcPr>
                <w:p w:rsidR="0072121B" w:rsidRPr="000C7511" w:rsidRDefault="0072121B" w:rsidP="003A3CBB">
                  <w:pPr>
                    <w:pStyle w:val="naisf"/>
                    <w:spacing w:before="0" w:after="0"/>
                    <w:rPr>
                      <w:b/>
                      <w:i/>
                    </w:rPr>
                  </w:pPr>
                </w:p>
              </w:tc>
              <w:tc>
                <w:tcPr>
                  <w:tcW w:w="1150" w:type="dxa"/>
                  <w:gridSpan w:val="2"/>
                </w:tcPr>
                <w:p w:rsidR="0072121B" w:rsidRPr="000C7511" w:rsidRDefault="0072121B" w:rsidP="003A3CBB">
                  <w:pPr>
                    <w:pStyle w:val="naisf"/>
                    <w:spacing w:before="0" w:after="0"/>
                    <w:rPr>
                      <w:b/>
                      <w:i/>
                    </w:rPr>
                  </w:pPr>
                </w:p>
              </w:tc>
            </w:tr>
            <w:tr w:rsidR="0072121B" w:rsidRPr="000C7511" w:rsidTr="006B2B45">
              <w:trPr>
                <w:jc w:val="center"/>
              </w:trPr>
              <w:tc>
                <w:tcPr>
                  <w:tcW w:w="3149" w:type="dxa"/>
                  <w:vMerge/>
                </w:tcPr>
                <w:p w:rsidR="0072121B" w:rsidRPr="000C7511" w:rsidRDefault="0072121B" w:rsidP="004A7EFA">
                  <w:pPr>
                    <w:ind w:left="87"/>
                    <w:rPr>
                      <w:rFonts w:ascii="Times New Roman" w:hAnsi="Times New Roman" w:cs="Times New Roman"/>
                      <w:sz w:val="24"/>
                      <w:szCs w:val="24"/>
                    </w:rPr>
                  </w:pPr>
                </w:p>
              </w:tc>
              <w:tc>
                <w:tcPr>
                  <w:tcW w:w="1157" w:type="dxa"/>
                  <w:vMerge/>
                </w:tcPr>
                <w:p w:rsidR="0072121B" w:rsidRPr="000C7511" w:rsidRDefault="0072121B" w:rsidP="003A3CBB">
                  <w:pPr>
                    <w:pStyle w:val="naisf"/>
                    <w:spacing w:before="0" w:after="0"/>
                    <w:jc w:val="center"/>
                    <w:rPr>
                      <w:i/>
                    </w:rPr>
                  </w:pPr>
                </w:p>
              </w:tc>
              <w:tc>
                <w:tcPr>
                  <w:tcW w:w="1227" w:type="dxa"/>
                </w:tcPr>
                <w:p w:rsidR="0072121B" w:rsidRPr="000C7511" w:rsidRDefault="0072121B" w:rsidP="003A3CBB">
                  <w:pPr>
                    <w:pStyle w:val="naisf"/>
                    <w:spacing w:before="0" w:after="0"/>
                    <w:rPr>
                      <w:b/>
                      <w:i/>
                    </w:rPr>
                  </w:pPr>
                </w:p>
              </w:tc>
              <w:tc>
                <w:tcPr>
                  <w:tcW w:w="1313" w:type="dxa"/>
                </w:tcPr>
                <w:p w:rsidR="0072121B" w:rsidRPr="000C7511" w:rsidRDefault="0072121B" w:rsidP="003A3CBB">
                  <w:pPr>
                    <w:pStyle w:val="naisf"/>
                    <w:spacing w:before="0" w:after="0"/>
                    <w:rPr>
                      <w:b/>
                      <w:i/>
                    </w:rPr>
                  </w:pPr>
                </w:p>
              </w:tc>
              <w:tc>
                <w:tcPr>
                  <w:tcW w:w="1227" w:type="dxa"/>
                </w:tcPr>
                <w:p w:rsidR="0072121B" w:rsidRPr="000C7511" w:rsidRDefault="0072121B" w:rsidP="003A3CBB">
                  <w:pPr>
                    <w:pStyle w:val="naisf"/>
                    <w:spacing w:before="0" w:after="0"/>
                    <w:rPr>
                      <w:b/>
                      <w:i/>
                    </w:rPr>
                  </w:pPr>
                </w:p>
              </w:tc>
              <w:tc>
                <w:tcPr>
                  <w:tcW w:w="1150" w:type="dxa"/>
                  <w:gridSpan w:val="2"/>
                </w:tcPr>
                <w:p w:rsidR="0072121B" w:rsidRPr="000C7511" w:rsidRDefault="0072121B" w:rsidP="003A3CBB">
                  <w:pPr>
                    <w:pStyle w:val="naisf"/>
                    <w:spacing w:before="0" w:after="0"/>
                    <w:rPr>
                      <w:b/>
                      <w:i/>
                    </w:rPr>
                  </w:pPr>
                </w:p>
              </w:tc>
            </w:tr>
            <w:tr w:rsidR="0072121B" w:rsidRPr="000C7511" w:rsidTr="006B2B45">
              <w:trPr>
                <w:jc w:val="center"/>
              </w:trPr>
              <w:tc>
                <w:tcPr>
                  <w:tcW w:w="3149" w:type="dxa"/>
                  <w:vMerge/>
                </w:tcPr>
                <w:p w:rsidR="0072121B" w:rsidRPr="000C7511" w:rsidRDefault="0072121B" w:rsidP="004A7EFA">
                  <w:pPr>
                    <w:ind w:left="87"/>
                    <w:rPr>
                      <w:rFonts w:ascii="Times New Roman" w:hAnsi="Times New Roman" w:cs="Times New Roman"/>
                      <w:sz w:val="24"/>
                      <w:szCs w:val="24"/>
                    </w:rPr>
                  </w:pPr>
                </w:p>
              </w:tc>
              <w:tc>
                <w:tcPr>
                  <w:tcW w:w="1157" w:type="dxa"/>
                  <w:vMerge/>
                </w:tcPr>
                <w:p w:rsidR="0072121B" w:rsidRPr="000C7511" w:rsidRDefault="0072121B" w:rsidP="003A3CBB">
                  <w:pPr>
                    <w:pStyle w:val="naisf"/>
                    <w:spacing w:before="0" w:after="0"/>
                    <w:jc w:val="center"/>
                    <w:rPr>
                      <w:i/>
                    </w:rPr>
                  </w:pPr>
                </w:p>
              </w:tc>
              <w:tc>
                <w:tcPr>
                  <w:tcW w:w="1227" w:type="dxa"/>
                </w:tcPr>
                <w:p w:rsidR="0072121B" w:rsidRPr="000C7511" w:rsidRDefault="0072121B" w:rsidP="003A3CBB">
                  <w:pPr>
                    <w:pStyle w:val="naisf"/>
                    <w:spacing w:before="0" w:after="0"/>
                    <w:rPr>
                      <w:b/>
                      <w:i/>
                    </w:rPr>
                  </w:pPr>
                </w:p>
              </w:tc>
              <w:tc>
                <w:tcPr>
                  <w:tcW w:w="1313" w:type="dxa"/>
                </w:tcPr>
                <w:p w:rsidR="0072121B" w:rsidRPr="000C7511" w:rsidRDefault="0072121B" w:rsidP="003A3CBB">
                  <w:pPr>
                    <w:pStyle w:val="naisf"/>
                    <w:spacing w:before="0" w:after="0"/>
                    <w:rPr>
                      <w:b/>
                      <w:i/>
                    </w:rPr>
                  </w:pPr>
                </w:p>
              </w:tc>
              <w:tc>
                <w:tcPr>
                  <w:tcW w:w="1227" w:type="dxa"/>
                </w:tcPr>
                <w:p w:rsidR="0072121B" w:rsidRPr="000C7511" w:rsidRDefault="0072121B" w:rsidP="003A3CBB">
                  <w:pPr>
                    <w:pStyle w:val="naisf"/>
                    <w:spacing w:before="0" w:after="0"/>
                    <w:rPr>
                      <w:b/>
                      <w:i/>
                    </w:rPr>
                  </w:pPr>
                </w:p>
              </w:tc>
              <w:tc>
                <w:tcPr>
                  <w:tcW w:w="1150" w:type="dxa"/>
                  <w:gridSpan w:val="2"/>
                </w:tcPr>
                <w:p w:rsidR="0072121B" w:rsidRPr="000C7511" w:rsidRDefault="0072121B" w:rsidP="003A3CBB">
                  <w:pPr>
                    <w:pStyle w:val="naisf"/>
                    <w:spacing w:before="0" w:after="0"/>
                    <w:rPr>
                      <w:b/>
                      <w:i/>
                    </w:rPr>
                  </w:pPr>
                </w:p>
              </w:tc>
            </w:tr>
            <w:tr w:rsidR="0072121B" w:rsidRPr="000C7511" w:rsidTr="006B2B45">
              <w:trPr>
                <w:jc w:val="center"/>
              </w:trPr>
              <w:tc>
                <w:tcPr>
                  <w:tcW w:w="3149" w:type="dxa"/>
                </w:tcPr>
                <w:p w:rsidR="0072121B" w:rsidRPr="000C7511" w:rsidRDefault="0072121B" w:rsidP="008F215A">
                  <w:pPr>
                    <w:spacing w:after="0"/>
                    <w:ind w:left="0"/>
                    <w:jc w:val="left"/>
                    <w:rPr>
                      <w:rFonts w:ascii="Times New Roman" w:hAnsi="Times New Roman" w:cs="Times New Roman"/>
                      <w:sz w:val="24"/>
                      <w:szCs w:val="24"/>
                    </w:rPr>
                  </w:pPr>
                  <w:r w:rsidRPr="000C7511">
                    <w:rPr>
                      <w:rFonts w:ascii="Times New Roman" w:hAnsi="Times New Roman" w:cs="Times New Roman"/>
                      <w:sz w:val="24"/>
                      <w:szCs w:val="24"/>
                    </w:rPr>
                    <w:t>5. Precizēta finansiālā ietekme:</w:t>
                  </w:r>
                </w:p>
              </w:tc>
              <w:tc>
                <w:tcPr>
                  <w:tcW w:w="1157" w:type="dxa"/>
                  <w:vMerge w:val="restart"/>
                </w:tcPr>
                <w:p w:rsidR="0072121B" w:rsidRPr="000C7511" w:rsidRDefault="0072121B" w:rsidP="003A3CBB">
                  <w:pPr>
                    <w:pStyle w:val="naisf"/>
                    <w:spacing w:before="0" w:after="0"/>
                    <w:jc w:val="center"/>
                    <w:rPr>
                      <w:i/>
                    </w:rPr>
                  </w:pPr>
                  <w:r w:rsidRPr="000C7511">
                    <w:t>X</w:t>
                  </w:r>
                </w:p>
              </w:tc>
              <w:tc>
                <w:tcPr>
                  <w:tcW w:w="1227" w:type="dxa"/>
                </w:tcPr>
                <w:p w:rsidR="0072121B" w:rsidRPr="000C7511" w:rsidRDefault="0072121B" w:rsidP="003A3CBB">
                  <w:pPr>
                    <w:pStyle w:val="naisf"/>
                    <w:spacing w:before="0" w:after="0"/>
                    <w:rPr>
                      <w:b/>
                      <w:i/>
                    </w:rPr>
                  </w:pPr>
                </w:p>
              </w:tc>
              <w:tc>
                <w:tcPr>
                  <w:tcW w:w="1313" w:type="dxa"/>
                </w:tcPr>
                <w:p w:rsidR="0072121B" w:rsidRPr="000C7511" w:rsidRDefault="0072121B" w:rsidP="003A3CBB">
                  <w:pPr>
                    <w:pStyle w:val="naisf"/>
                    <w:spacing w:before="0" w:after="0"/>
                    <w:rPr>
                      <w:b/>
                      <w:i/>
                    </w:rPr>
                  </w:pPr>
                </w:p>
              </w:tc>
              <w:tc>
                <w:tcPr>
                  <w:tcW w:w="1227" w:type="dxa"/>
                </w:tcPr>
                <w:p w:rsidR="0072121B" w:rsidRPr="000C7511" w:rsidRDefault="0072121B" w:rsidP="003A3CBB">
                  <w:pPr>
                    <w:pStyle w:val="naisf"/>
                    <w:spacing w:before="0" w:after="0"/>
                    <w:rPr>
                      <w:b/>
                      <w:i/>
                    </w:rPr>
                  </w:pPr>
                </w:p>
              </w:tc>
              <w:tc>
                <w:tcPr>
                  <w:tcW w:w="1150" w:type="dxa"/>
                  <w:gridSpan w:val="2"/>
                </w:tcPr>
                <w:p w:rsidR="0072121B" w:rsidRPr="000C7511" w:rsidRDefault="0072121B" w:rsidP="003A3CBB">
                  <w:pPr>
                    <w:pStyle w:val="naisf"/>
                    <w:spacing w:before="0" w:after="0"/>
                    <w:rPr>
                      <w:b/>
                      <w:i/>
                    </w:rPr>
                  </w:pPr>
                </w:p>
              </w:tc>
            </w:tr>
            <w:tr w:rsidR="0072121B" w:rsidRPr="000C7511" w:rsidTr="006B2B45">
              <w:trPr>
                <w:jc w:val="center"/>
              </w:trPr>
              <w:tc>
                <w:tcPr>
                  <w:tcW w:w="3149" w:type="dxa"/>
                </w:tcPr>
                <w:p w:rsidR="0072121B" w:rsidRPr="000C7511" w:rsidRDefault="0072121B" w:rsidP="008F215A">
                  <w:pPr>
                    <w:spacing w:after="0"/>
                    <w:ind w:left="0"/>
                    <w:jc w:val="left"/>
                    <w:rPr>
                      <w:rFonts w:ascii="Times New Roman" w:hAnsi="Times New Roman" w:cs="Times New Roman"/>
                      <w:sz w:val="24"/>
                      <w:szCs w:val="24"/>
                    </w:rPr>
                  </w:pPr>
                  <w:r w:rsidRPr="000C7511">
                    <w:rPr>
                      <w:rFonts w:ascii="Times New Roman" w:hAnsi="Times New Roman" w:cs="Times New Roman"/>
                      <w:sz w:val="24"/>
                      <w:szCs w:val="24"/>
                    </w:rPr>
                    <w:t>5.1. valsts pamatbudžets</w:t>
                  </w:r>
                </w:p>
              </w:tc>
              <w:tc>
                <w:tcPr>
                  <w:tcW w:w="1157" w:type="dxa"/>
                  <w:vMerge/>
                  <w:vAlign w:val="center"/>
                </w:tcPr>
                <w:p w:rsidR="0072121B" w:rsidRPr="000C7511" w:rsidRDefault="0072121B" w:rsidP="003A3CBB">
                  <w:pPr>
                    <w:pStyle w:val="naisf"/>
                    <w:spacing w:before="0" w:after="0"/>
                    <w:jc w:val="center"/>
                    <w:rPr>
                      <w:i/>
                    </w:rPr>
                  </w:pPr>
                </w:p>
              </w:tc>
              <w:tc>
                <w:tcPr>
                  <w:tcW w:w="1227" w:type="dxa"/>
                </w:tcPr>
                <w:p w:rsidR="0072121B" w:rsidRPr="000C7511" w:rsidRDefault="0072121B" w:rsidP="003A3CBB">
                  <w:pPr>
                    <w:pStyle w:val="naisf"/>
                    <w:spacing w:before="0" w:after="0"/>
                    <w:rPr>
                      <w:b/>
                      <w:i/>
                    </w:rPr>
                  </w:pPr>
                </w:p>
              </w:tc>
              <w:tc>
                <w:tcPr>
                  <w:tcW w:w="1313" w:type="dxa"/>
                </w:tcPr>
                <w:p w:rsidR="0072121B" w:rsidRPr="000C7511" w:rsidRDefault="0072121B" w:rsidP="003A3CBB">
                  <w:pPr>
                    <w:pStyle w:val="naisf"/>
                    <w:spacing w:before="0" w:after="0"/>
                    <w:rPr>
                      <w:b/>
                      <w:i/>
                    </w:rPr>
                  </w:pPr>
                </w:p>
              </w:tc>
              <w:tc>
                <w:tcPr>
                  <w:tcW w:w="1227" w:type="dxa"/>
                </w:tcPr>
                <w:p w:rsidR="0072121B" w:rsidRPr="000C7511" w:rsidRDefault="0072121B" w:rsidP="003A3CBB">
                  <w:pPr>
                    <w:pStyle w:val="naisf"/>
                    <w:spacing w:before="0" w:after="0"/>
                    <w:rPr>
                      <w:b/>
                      <w:i/>
                    </w:rPr>
                  </w:pPr>
                </w:p>
              </w:tc>
              <w:tc>
                <w:tcPr>
                  <w:tcW w:w="1150" w:type="dxa"/>
                  <w:gridSpan w:val="2"/>
                </w:tcPr>
                <w:p w:rsidR="0072121B" w:rsidRPr="000C7511" w:rsidRDefault="0072121B" w:rsidP="003A3CBB">
                  <w:pPr>
                    <w:pStyle w:val="naisf"/>
                    <w:spacing w:before="0" w:after="0"/>
                    <w:rPr>
                      <w:b/>
                      <w:i/>
                    </w:rPr>
                  </w:pPr>
                </w:p>
              </w:tc>
            </w:tr>
            <w:tr w:rsidR="0072121B" w:rsidRPr="000C7511" w:rsidTr="006B2B45">
              <w:trPr>
                <w:jc w:val="center"/>
              </w:trPr>
              <w:tc>
                <w:tcPr>
                  <w:tcW w:w="3149" w:type="dxa"/>
                </w:tcPr>
                <w:p w:rsidR="0072121B" w:rsidRPr="000C7511" w:rsidRDefault="0072121B" w:rsidP="008F215A">
                  <w:pPr>
                    <w:spacing w:after="0"/>
                    <w:ind w:left="0"/>
                    <w:jc w:val="left"/>
                    <w:rPr>
                      <w:rFonts w:ascii="Times New Roman" w:hAnsi="Times New Roman" w:cs="Times New Roman"/>
                      <w:sz w:val="24"/>
                      <w:szCs w:val="24"/>
                    </w:rPr>
                  </w:pPr>
                  <w:r w:rsidRPr="000C7511">
                    <w:rPr>
                      <w:rFonts w:ascii="Times New Roman" w:hAnsi="Times New Roman" w:cs="Times New Roman"/>
                      <w:sz w:val="24"/>
                      <w:szCs w:val="24"/>
                    </w:rPr>
                    <w:t>5.2. speciālais budžets</w:t>
                  </w:r>
                </w:p>
              </w:tc>
              <w:tc>
                <w:tcPr>
                  <w:tcW w:w="1157" w:type="dxa"/>
                  <w:vMerge/>
                  <w:vAlign w:val="center"/>
                </w:tcPr>
                <w:p w:rsidR="0072121B" w:rsidRPr="000C7511" w:rsidRDefault="0072121B" w:rsidP="003A3CBB">
                  <w:pPr>
                    <w:pStyle w:val="naisf"/>
                    <w:spacing w:before="0" w:after="0"/>
                    <w:jc w:val="center"/>
                    <w:rPr>
                      <w:i/>
                    </w:rPr>
                  </w:pPr>
                </w:p>
              </w:tc>
              <w:tc>
                <w:tcPr>
                  <w:tcW w:w="1227" w:type="dxa"/>
                </w:tcPr>
                <w:p w:rsidR="0072121B" w:rsidRPr="000C7511" w:rsidRDefault="0072121B" w:rsidP="003A3CBB">
                  <w:pPr>
                    <w:pStyle w:val="naisf"/>
                    <w:spacing w:before="0" w:after="0"/>
                    <w:rPr>
                      <w:b/>
                      <w:i/>
                    </w:rPr>
                  </w:pPr>
                </w:p>
              </w:tc>
              <w:tc>
                <w:tcPr>
                  <w:tcW w:w="1313" w:type="dxa"/>
                </w:tcPr>
                <w:p w:rsidR="0072121B" w:rsidRPr="000C7511" w:rsidRDefault="0072121B" w:rsidP="003A3CBB">
                  <w:pPr>
                    <w:pStyle w:val="naisf"/>
                    <w:spacing w:before="0" w:after="0"/>
                    <w:rPr>
                      <w:b/>
                      <w:i/>
                    </w:rPr>
                  </w:pPr>
                </w:p>
              </w:tc>
              <w:tc>
                <w:tcPr>
                  <w:tcW w:w="1227" w:type="dxa"/>
                </w:tcPr>
                <w:p w:rsidR="0072121B" w:rsidRPr="000C7511" w:rsidRDefault="0072121B" w:rsidP="003A3CBB">
                  <w:pPr>
                    <w:pStyle w:val="naisf"/>
                    <w:spacing w:before="0" w:after="0"/>
                    <w:rPr>
                      <w:b/>
                      <w:i/>
                    </w:rPr>
                  </w:pPr>
                </w:p>
              </w:tc>
              <w:tc>
                <w:tcPr>
                  <w:tcW w:w="1150" w:type="dxa"/>
                  <w:gridSpan w:val="2"/>
                </w:tcPr>
                <w:p w:rsidR="0072121B" w:rsidRPr="000C7511" w:rsidRDefault="0072121B" w:rsidP="003A3CBB">
                  <w:pPr>
                    <w:pStyle w:val="naisf"/>
                    <w:spacing w:before="0" w:after="0"/>
                    <w:rPr>
                      <w:b/>
                      <w:i/>
                    </w:rPr>
                  </w:pPr>
                </w:p>
              </w:tc>
            </w:tr>
            <w:tr w:rsidR="0072121B" w:rsidRPr="000C7511" w:rsidTr="006B2B45">
              <w:trPr>
                <w:jc w:val="center"/>
              </w:trPr>
              <w:tc>
                <w:tcPr>
                  <w:tcW w:w="3149" w:type="dxa"/>
                </w:tcPr>
                <w:p w:rsidR="0072121B" w:rsidRPr="000C7511" w:rsidRDefault="0072121B" w:rsidP="008F215A">
                  <w:pPr>
                    <w:spacing w:after="0"/>
                    <w:ind w:left="0"/>
                    <w:jc w:val="left"/>
                    <w:rPr>
                      <w:rFonts w:ascii="Times New Roman" w:hAnsi="Times New Roman" w:cs="Times New Roman"/>
                      <w:sz w:val="24"/>
                      <w:szCs w:val="24"/>
                    </w:rPr>
                  </w:pPr>
                  <w:r w:rsidRPr="000C7511">
                    <w:rPr>
                      <w:rFonts w:ascii="Times New Roman" w:hAnsi="Times New Roman" w:cs="Times New Roman"/>
                      <w:sz w:val="24"/>
                      <w:szCs w:val="24"/>
                    </w:rPr>
                    <w:t xml:space="preserve">5.3. pašvaldību budžets </w:t>
                  </w:r>
                </w:p>
              </w:tc>
              <w:tc>
                <w:tcPr>
                  <w:tcW w:w="1157" w:type="dxa"/>
                  <w:vMerge/>
                  <w:vAlign w:val="center"/>
                </w:tcPr>
                <w:p w:rsidR="0072121B" w:rsidRPr="000C7511" w:rsidRDefault="0072121B" w:rsidP="003A3CBB">
                  <w:pPr>
                    <w:pStyle w:val="naisf"/>
                    <w:spacing w:before="0" w:after="0"/>
                    <w:jc w:val="center"/>
                    <w:rPr>
                      <w:i/>
                    </w:rPr>
                  </w:pPr>
                </w:p>
              </w:tc>
              <w:tc>
                <w:tcPr>
                  <w:tcW w:w="1227" w:type="dxa"/>
                </w:tcPr>
                <w:p w:rsidR="0072121B" w:rsidRPr="000C7511" w:rsidRDefault="0072121B" w:rsidP="003A3CBB">
                  <w:pPr>
                    <w:pStyle w:val="naisf"/>
                    <w:spacing w:before="0" w:after="0"/>
                    <w:rPr>
                      <w:b/>
                      <w:i/>
                    </w:rPr>
                  </w:pPr>
                </w:p>
              </w:tc>
              <w:tc>
                <w:tcPr>
                  <w:tcW w:w="1313" w:type="dxa"/>
                </w:tcPr>
                <w:p w:rsidR="0072121B" w:rsidRPr="000C7511" w:rsidRDefault="0072121B" w:rsidP="003A3CBB">
                  <w:pPr>
                    <w:pStyle w:val="naisf"/>
                    <w:spacing w:before="0" w:after="0"/>
                    <w:rPr>
                      <w:b/>
                      <w:i/>
                    </w:rPr>
                  </w:pPr>
                </w:p>
              </w:tc>
              <w:tc>
                <w:tcPr>
                  <w:tcW w:w="1227" w:type="dxa"/>
                </w:tcPr>
                <w:p w:rsidR="0072121B" w:rsidRPr="000C7511" w:rsidRDefault="0072121B" w:rsidP="003A3CBB">
                  <w:pPr>
                    <w:pStyle w:val="naisf"/>
                    <w:spacing w:before="0" w:after="0"/>
                    <w:rPr>
                      <w:b/>
                      <w:i/>
                    </w:rPr>
                  </w:pPr>
                </w:p>
              </w:tc>
              <w:tc>
                <w:tcPr>
                  <w:tcW w:w="1150" w:type="dxa"/>
                  <w:gridSpan w:val="2"/>
                </w:tcPr>
                <w:p w:rsidR="0072121B" w:rsidRPr="000C7511" w:rsidRDefault="0072121B" w:rsidP="003A3CBB">
                  <w:pPr>
                    <w:pStyle w:val="naisf"/>
                    <w:spacing w:before="0" w:after="0"/>
                    <w:rPr>
                      <w:b/>
                      <w:i/>
                    </w:rPr>
                  </w:pPr>
                </w:p>
              </w:tc>
            </w:tr>
            <w:tr w:rsidR="00FC7CF6" w:rsidRPr="000C7511" w:rsidTr="006B2B45">
              <w:trPr>
                <w:jc w:val="center"/>
              </w:trPr>
              <w:tc>
                <w:tcPr>
                  <w:tcW w:w="3149" w:type="dxa"/>
                </w:tcPr>
                <w:p w:rsidR="00FC7CF6" w:rsidRPr="000C7511" w:rsidRDefault="00FC7CF6" w:rsidP="008F215A">
                  <w:pPr>
                    <w:spacing w:after="0"/>
                    <w:ind w:left="0"/>
                    <w:jc w:val="left"/>
                    <w:rPr>
                      <w:rFonts w:ascii="Times New Roman" w:hAnsi="Times New Roman" w:cs="Times New Roman"/>
                      <w:sz w:val="24"/>
                      <w:szCs w:val="24"/>
                    </w:rPr>
                  </w:pPr>
                  <w:r w:rsidRPr="000C7511">
                    <w:rPr>
                      <w:rFonts w:ascii="Times New Roman" w:hAnsi="Times New Roman" w:cs="Times New Roman"/>
                      <w:sz w:val="24"/>
                      <w:szCs w:val="24"/>
                    </w:rPr>
                    <w:t>6.</w:t>
                  </w:r>
                  <w:r w:rsidR="00A320BB" w:rsidRPr="000C7511">
                    <w:rPr>
                      <w:rFonts w:ascii="Times New Roman" w:hAnsi="Times New Roman" w:cs="Times New Roman"/>
                      <w:sz w:val="24"/>
                      <w:szCs w:val="24"/>
                    </w:rPr>
                    <w:t xml:space="preserve"> </w:t>
                  </w:r>
                  <w:r w:rsidRPr="000C7511">
                    <w:rPr>
                      <w:rFonts w:ascii="Times New Roman" w:hAnsi="Times New Roman" w:cs="Times New Roman"/>
                      <w:sz w:val="24"/>
                      <w:szCs w:val="24"/>
                    </w:rPr>
                    <w:t>Detalizēts ieņēmumu un izdevumu aprēķins (ja nepieciešams, detalizētu ieņēmumu un izdevumu aprēķinu var pievienot anotācijas pielikumā):</w:t>
                  </w:r>
                </w:p>
              </w:tc>
              <w:tc>
                <w:tcPr>
                  <w:tcW w:w="6074" w:type="dxa"/>
                  <w:gridSpan w:val="6"/>
                  <w:vAlign w:val="center"/>
                </w:tcPr>
                <w:p w:rsidR="00FC7CF6" w:rsidRPr="000C7511" w:rsidRDefault="00FC7CF6" w:rsidP="003A3CBB">
                  <w:pPr>
                    <w:pStyle w:val="naisf"/>
                    <w:spacing w:before="0" w:after="0"/>
                    <w:rPr>
                      <w:b/>
                      <w:i/>
                    </w:rPr>
                  </w:pPr>
                </w:p>
              </w:tc>
            </w:tr>
            <w:tr w:rsidR="00FC7CF6" w:rsidRPr="000C7511" w:rsidTr="006B2B45">
              <w:trPr>
                <w:jc w:val="center"/>
              </w:trPr>
              <w:tc>
                <w:tcPr>
                  <w:tcW w:w="3149" w:type="dxa"/>
                </w:tcPr>
                <w:p w:rsidR="00FC7CF6" w:rsidRPr="000C7511" w:rsidRDefault="00FC7CF6" w:rsidP="008F215A">
                  <w:pPr>
                    <w:spacing w:after="0"/>
                    <w:ind w:left="0"/>
                    <w:jc w:val="left"/>
                    <w:rPr>
                      <w:rFonts w:ascii="Times New Roman" w:hAnsi="Times New Roman" w:cs="Times New Roman"/>
                      <w:sz w:val="24"/>
                      <w:szCs w:val="24"/>
                    </w:rPr>
                  </w:pPr>
                  <w:r w:rsidRPr="000C7511">
                    <w:rPr>
                      <w:rFonts w:ascii="Times New Roman" w:hAnsi="Times New Roman" w:cs="Times New Roman"/>
                      <w:sz w:val="24"/>
                      <w:szCs w:val="24"/>
                    </w:rPr>
                    <w:t>6.1.</w:t>
                  </w:r>
                  <w:r w:rsidR="003A3CBB" w:rsidRPr="000C7511">
                    <w:rPr>
                      <w:rFonts w:ascii="Times New Roman" w:hAnsi="Times New Roman" w:cs="Times New Roman"/>
                      <w:sz w:val="24"/>
                      <w:szCs w:val="24"/>
                    </w:rPr>
                    <w:t xml:space="preserve"> </w:t>
                  </w:r>
                  <w:r w:rsidRPr="000C7511">
                    <w:rPr>
                      <w:rFonts w:ascii="Times New Roman" w:hAnsi="Times New Roman" w:cs="Times New Roman"/>
                      <w:sz w:val="24"/>
                      <w:szCs w:val="24"/>
                    </w:rPr>
                    <w:t>detalizēts ieņēmumu aprēķins</w:t>
                  </w:r>
                </w:p>
              </w:tc>
              <w:tc>
                <w:tcPr>
                  <w:tcW w:w="6074" w:type="dxa"/>
                  <w:gridSpan w:val="6"/>
                  <w:vAlign w:val="center"/>
                </w:tcPr>
                <w:p w:rsidR="00FC7CF6" w:rsidRPr="000C7511" w:rsidRDefault="00FC7CF6" w:rsidP="003A3CBB">
                  <w:pPr>
                    <w:pStyle w:val="naisf"/>
                    <w:spacing w:before="0" w:after="0"/>
                    <w:rPr>
                      <w:b/>
                      <w:i/>
                    </w:rPr>
                  </w:pPr>
                </w:p>
              </w:tc>
            </w:tr>
            <w:tr w:rsidR="00FC7CF6" w:rsidRPr="000C7511" w:rsidTr="006B2B45">
              <w:trPr>
                <w:jc w:val="center"/>
              </w:trPr>
              <w:tc>
                <w:tcPr>
                  <w:tcW w:w="3149" w:type="dxa"/>
                </w:tcPr>
                <w:p w:rsidR="00FC7CF6" w:rsidRPr="000C7511" w:rsidRDefault="00FC7CF6" w:rsidP="008F215A">
                  <w:pPr>
                    <w:spacing w:after="0"/>
                    <w:ind w:left="0"/>
                    <w:jc w:val="left"/>
                    <w:rPr>
                      <w:rFonts w:ascii="Times New Roman" w:hAnsi="Times New Roman" w:cs="Times New Roman"/>
                      <w:sz w:val="24"/>
                      <w:szCs w:val="24"/>
                    </w:rPr>
                  </w:pPr>
                  <w:r w:rsidRPr="000C7511">
                    <w:rPr>
                      <w:rFonts w:ascii="Times New Roman" w:hAnsi="Times New Roman" w:cs="Times New Roman"/>
                      <w:sz w:val="24"/>
                      <w:szCs w:val="24"/>
                    </w:rPr>
                    <w:t>6.2. detalizēts izdevumu aprēķins</w:t>
                  </w:r>
                </w:p>
              </w:tc>
              <w:tc>
                <w:tcPr>
                  <w:tcW w:w="6074" w:type="dxa"/>
                  <w:gridSpan w:val="6"/>
                  <w:vAlign w:val="center"/>
                </w:tcPr>
                <w:p w:rsidR="00FC7CF6" w:rsidRPr="000C7511" w:rsidRDefault="00FC7CF6" w:rsidP="003A3CBB">
                  <w:pPr>
                    <w:pStyle w:val="naisf"/>
                    <w:spacing w:before="0" w:after="0"/>
                    <w:rPr>
                      <w:b/>
                      <w:i/>
                    </w:rPr>
                  </w:pPr>
                </w:p>
              </w:tc>
            </w:tr>
            <w:tr w:rsidR="00FC7CF6" w:rsidRPr="000C7511" w:rsidTr="006B2B45">
              <w:trPr>
                <w:jc w:val="center"/>
              </w:trPr>
              <w:tc>
                <w:tcPr>
                  <w:tcW w:w="3149" w:type="dxa"/>
                </w:tcPr>
                <w:p w:rsidR="00FC7CF6" w:rsidRPr="000C7511" w:rsidRDefault="00FC7CF6" w:rsidP="008F215A">
                  <w:pPr>
                    <w:spacing w:after="0"/>
                    <w:ind w:left="0"/>
                    <w:jc w:val="left"/>
                    <w:rPr>
                      <w:rFonts w:ascii="Times New Roman" w:hAnsi="Times New Roman" w:cs="Times New Roman"/>
                      <w:sz w:val="24"/>
                      <w:szCs w:val="24"/>
                    </w:rPr>
                  </w:pPr>
                  <w:r w:rsidRPr="000C7511">
                    <w:rPr>
                      <w:rFonts w:ascii="Times New Roman" w:hAnsi="Times New Roman" w:cs="Times New Roman"/>
                      <w:sz w:val="24"/>
                      <w:szCs w:val="24"/>
                    </w:rPr>
                    <w:t>7. Cita informācija</w:t>
                  </w:r>
                </w:p>
              </w:tc>
              <w:tc>
                <w:tcPr>
                  <w:tcW w:w="6074" w:type="dxa"/>
                  <w:gridSpan w:val="6"/>
                  <w:vAlign w:val="center"/>
                </w:tcPr>
                <w:p w:rsidR="00FC7CF6" w:rsidRPr="000C7511" w:rsidRDefault="00FC7CF6" w:rsidP="003A3CBB">
                  <w:pPr>
                    <w:pStyle w:val="naisf"/>
                    <w:spacing w:before="0" w:after="0"/>
                    <w:rPr>
                      <w:b/>
                      <w:i/>
                    </w:rPr>
                  </w:pPr>
                  <w:r w:rsidRPr="000C7511">
                    <w:t>Finansējums tiks nodrošināts VID piešķirtā valsts budžeta ietvaros</w:t>
                  </w:r>
                </w:p>
              </w:tc>
            </w:tr>
          </w:tbl>
          <w:p w:rsidR="00836187" w:rsidRPr="000C7511" w:rsidRDefault="00836187" w:rsidP="0076213C">
            <w:pPr>
              <w:pStyle w:val="NoSpacing"/>
              <w:rPr>
                <w:rFonts w:eastAsia="Times New Roman"/>
                <w:sz w:val="24"/>
                <w:szCs w:val="24"/>
                <w:lang w:val="lv-LV" w:eastAsia="lv-LV"/>
              </w:rPr>
            </w:pPr>
          </w:p>
        </w:tc>
      </w:tr>
      <w:tr w:rsidR="005C2253" w:rsidRPr="000C7511" w:rsidTr="006B2B45">
        <w:trPr>
          <w:tblCellSpacing w:w="0" w:type="dxa"/>
        </w:trPr>
        <w:tc>
          <w:tcPr>
            <w:tcW w:w="9087" w:type="dxa"/>
            <w:gridSpan w:val="13"/>
            <w:tcBorders>
              <w:top w:val="outset" w:sz="6" w:space="0" w:color="auto"/>
              <w:left w:val="outset" w:sz="6" w:space="0" w:color="auto"/>
              <w:bottom w:val="outset" w:sz="6" w:space="0" w:color="auto"/>
              <w:right w:val="outset" w:sz="6" w:space="0" w:color="auto"/>
            </w:tcBorders>
          </w:tcPr>
          <w:p w:rsidR="005C2253" w:rsidRPr="000C7511" w:rsidRDefault="00B933D6" w:rsidP="008F215A">
            <w:pPr>
              <w:spacing w:after="0"/>
              <w:ind w:left="0"/>
              <w:jc w:val="center"/>
              <w:rPr>
                <w:rFonts w:ascii="Times New Roman" w:eastAsia="Times New Roman" w:hAnsi="Times New Roman" w:cs="Times New Roman"/>
                <w:b/>
                <w:bCs/>
                <w:sz w:val="24"/>
                <w:szCs w:val="24"/>
                <w:lang w:eastAsia="lv-LV"/>
              </w:rPr>
            </w:pPr>
            <w:r w:rsidRPr="000C7511">
              <w:rPr>
                <w:rFonts w:ascii="Times New Roman" w:eastAsia="Times New Roman" w:hAnsi="Times New Roman" w:cs="Times New Roman"/>
                <w:b/>
                <w:bCs/>
                <w:sz w:val="24"/>
                <w:szCs w:val="24"/>
                <w:lang w:eastAsia="lv-LV"/>
              </w:rPr>
              <w:t>IV. Tiesību akta projekta ietekme uz spēkā esošo tiesību normu sistēmu</w:t>
            </w:r>
          </w:p>
        </w:tc>
      </w:tr>
      <w:tr w:rsidR="006B2B45" w:rsidRPr="000C7511" w:rsidTr="006B2B45">
        <w:trPr>
          <w:trHeight w:val="427"/>
          <w:tblCellSpacing w:w="0" w:type="dxa"/>
        </w:trPr>
        <w:tc>
          <w:tcPr>
            <w:tcW w:w="866" w:type="dxa"/>
            <w:gridSpan w:val="3"/>
            <w:tcBorders>
              <w:top w:val="outset" w:sz="6" w:space="0" w:color="auto"/>
              <w:left w:val="outset" w:sz="6" w:space="0" w:color="auto"/>
              <w:bottom w:val="outset" w:sz="6" w:space="0" w:color="auto"/>
              <w:right w:val="outset" w:sz="6" w:space="0" w:color="auto"/>
            </w:tcBorders>
          </w:tcPr>
          <w:p w:rsidR="005C2253" w:rsidRPr="000C7511" w:rsidRDefault="00465029" w:rsidP="008F215A">
            <w:pPr>
              <w:spacing w:after="0"/>
              <w:ind w:left="0"/>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 </w:t>
            </w:r>
            <w:r w:rsidR="00B933D6" w:rsidRPr="000C7511">
              <w:rPr>
                <w:rFonts w:ascii="Times New Roman" w:eastAsia="Times New Roman" w:hAnsi="Times New Roman" w:cs="Times New Roman"/>
                <w:sz w:val="24"/>
                <w:szCs w:val="24"/>
                <w:lang w:eastAsia="lv-LV"/>
              </w:rPr>
              <w:t>1.</w:t>
            </w:r>
          </w:p>
        </w:tc>
        <w:tc>
          <w:tcPr>
            <w:tcW w:w="2268" w:type="dxa"/>
            <w:gridSpan w:val="5"/>
            <w:tcBorders>
              <w:top w:val="outset" w:sz="6" w:space="0" w:color="auto"/>
              <w:left w:val="outset" w:sz="6" w:space="0" w:color="auto"/>
              <w:bottom w:val="outset" w:sz="6" w:space="0" w:color="auto"/>
              <w:right w:val="outset" w:sz="6" w:space="0" w:color="auto"/>
            </w:tcBorders>
          </w:tcPr>
          <w:p w:rsidR="005C2253" w:rsidRPr="000C7511" w:rsidRDefault="00B933D6" w:rsidP="009D4AD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Nepieciešamie saistītie tiesību aktu projekti</w:t>
            </w:r>
          </w:p>
        </w:tc>
        <w:tc>
          <w:tcPr>
            <w:tcW w:w="5953" w:type="dxa"/>
            <w:gridSpan w:val="5"/>
            <w:tcBorders>
              <w:top w:val="outset" w:sz="6" w:space="0" w:color="auto"/>
              <w:left w:val="outset" w:sz="6" w:space="0" w:color="auto"/>
              <w:bottom w:val="outset" w:sz="6" w:space="0" w:color="auto"/>
              <w:right w:val="outset" w:sz="6" w:space="0" w:color="auto"/>
            </w:tcBorders>
          </w:tcPr>
          <w:p w:rsidR="00AD3B59" w:rsidRPr="000C7511" w:rsidRDefault="00AD3B59" w:rsidP="000C7511">
            <w:pPr>
              <w:pStyle w:val="NoSpacing"/>
              <w:ind w:left="127" w:right="126"/>
              <w:jc w:val="both"/>
              <w:rPr>
                <w:sz w:val="24"/>
                <w:szCs w:val="24"/>
                <w:lang w:val="lv-LV" w:eastAsia="lv-LV"/>
              </w:rPr>
            </w:pPr>
            <w:r w:rsidRPr="000C7511">
              <w:rPr>
                <w:sz w:val="24"/>
                <w:szCs w:val="24"/>
                <w:lang w:val="lv-LV" w:eastAsia="lv-LV"/>
              </w:rPr>
              <w:t>Ar Ministru kabineta noteikumu projekta spēkā stāšanos spēku zaudēs Ministru kabineta noteikumi Nr.370.</w:t>
            </w:r>
          </w:p>
          <w:p w:rsidR="00CF5AA3" w:rsidRPr="000C7511" w:rsidRDefault="00AD3B59" w:rsidP="000C7511">
            <w:pPr>
              <w:pStyle w:val="NoSpacing"/>
              <w:ind w:left="127" w:right="126"/>
              <w:jc w:val="both"/>
              <w:rPr>
                <w:sz w:val="24"/>
                <w:szCs w:val="24"/>
                <w:lang w:val="lv-LV" w:eastAsia="lv-LV"/>
              </w:rPr>
            </w:pPr>
            <w:r w:rsidRPr="000C7511">
              <w:rPr>
                <w:sz w:val="24"/>
                <w:szCs w:val="24"/>
                <w:lang w:val="lv-LV" w:eastAsia="lv-LV"/>
              </w:rPr>
              <w:t>Par projekta izstrādi un virzību atbildīgā ir</w:t>
            </w:r>
            <w:r w:rsidR="00C624E8" w:rsidRPr="000C7511">
              <w:rPr>
                <w:sz w:val="24"/>
                <w:szCs w:val="24"/>
                <w:lang w:val="lv-LV" w:eastAsia="lv-LV"/>
              </w:rPr>
              <w:t xml:space="preserve"> </w:t>
            </w:r>
            <w:r w:rsidRPr="000C7511">
              <w:rPr>
                <w:sz w:val="24"/>
                <w:szCs w:val="24"/>
                <w:lang w:val="lv-LV" w:eastAsia="lv-LV"/>
              </w:rPr>
              <w:t>Finanšu ministrija sadarbībā ar V</w:t>
            </w:r>
            <w:r w:rsidR="003A3CBB" w:rsidRPr="000C7511">
              <w:rPr>
                <w:sz w:val="24"/>
                <w:szCs w:val="24"/>
                <w:lang w:val="lv-LV" w:eastAsia="lv-LV"/>
              </w:rPr>
              <w:t>ID</w:t>
            </w:r>
          </w:p>
        </w:tc>
      </w:tr>
      <w:tr w:rsidR="006B2B45" w:rsidRPr="000C7511" w:rsidTr="006B2B45">
        <w:trPr>
          <w:trHeight w:val="427"/>
          <w:tblCellSpacing w:w="0" w:type="dxa"/>
        </w:trPr>
        <w:tc>
          <w:tcPr>
            <w:tcW w:w="866" w:type="dxa"/>
            <w:gridSpan w:val="3"/>
            <w:tcBorders>
              <w:top w:val="outset" w:sz="6" w:space="0" w:color="auto"/>
              <w:left w:val="outset" w:sz="6" w:space="0" w:color="auto"/>
              <w:bottom w:val="outset" w:sz="6" w:space="0" w:color="auto"/>
              <w:right w:val="outset" w:sz="6" w:space="0" w:color="auto"/>
            </w:tcBorders>
          </w:tcPr>
          <w:p w:rsidR="00B933D6" w:rsidRPr="000C7511" w:rsidRDefault="00465029" w:rsidP="008F215A">
            <w:pPr>
              <w:spacing w:after="0"/>
              <w:ind w:left="0"/>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 </w:t>
            </w:r>
            <w:r w:rsidR="00B933D6" w:rsidRPr="000C7511">
              <w:rPr>
                <w:rFonts w:ascii="Times New Roman" w:eastAsia="Times New Roman" w:hAnsi="Times New Roman" w:cs="Times New Roman"/>
                <w:sz w:val="24"/>
                <w:szCs w:val="24"/>
                <w:lang w:eastAsia="lv-LV"/>
              </w:rPr>
              <w:t>2.</w:t>
            </w:r>
          </w:p>
        </w:tc>
        <w:tc>
          <w:tcPr>
            <w:tcW w:w="2268" w:type="dxa"/>
            <w:gridSpan w:val="5"/>
            <w:tcBorders>
              <w:top w:val="outset" w:sz="6" w:space="0" w:color="auto"/>
              <w:left w:val="outset" w:sz="6" w:space="0" w:color="auto"/>
              <w:bottom w:val="outset" w:sz="6" w:space="0" w:color="auto"/>
              <w:right w:val="outset" w:sz="6" w:space="0" w:color="auto"/>
            </w:tcBorders>
          </w:tcPr>
          <w:p w:rsidR="00B933D6" w:rsidRPr="000C7511" w:rsidRDefault="00B933D6" w:rsidP="009D4AD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Cita informācija</w:t>
            </w:r>
          </w:p>
        </w:tc>
        <w:tc>
          <w:tcPr>
            <w:tcW w:w="5953" w:type="dxa"/>
            <w:gridSpan w:val="5"/>
            <w:tcBorders>
              <w:top w:val="outset" w:sz="6" w:space="0" w:color="auto"/>
              <w:left w:val="outset" w:sz="6" w:space="0" w:color="auto"/>
              <w:bottom w:val="outset" w:sz="6" w:space="0" w:color="auto"/>
              <w:right w:val="outset" w:sz="6" w:space="0" w:color="auto"/>
            </w:tcBorders>
          </w:tcPr>
          <w:p w:rsidR="00B933D6" w:rsidRPr="000C7511" w:rsidRDefault="00B933D6" w:rsidP="000C7511">
            <w:pPr>
              <w:spacing w:before="100" w:beforeAutospacing="1" w:after="100" w:afterAutospacing="1" w:line="40" w:lineRule="atLeast"/>
              <w:ind w:left="127" w:right="126"/>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Nav</w:t>
            </w:r>
          </w:p>
        </w:tc>
      </w:tr>
      <w:tr w:rsidR="0070340E" w:rsidRPr="000C7511" w:rsidTr="006B2B45">
        <w:trPr>
          <w:trHeight w:val="427"/>
          <w:tblCellSpacing w:w="0" w:type="dxa"/>
        </w:trPr>
        <w:tc>
          <w:tcPr>
            <w:tcW w:w="9087" w:type="dxa"/>
            <w:gridSpan w:val="13"/>
            <w:tcBorders>
              <w:top w:val="outset" w:sz="6" w:space="0" w:color="auto"/>
              <w:left w:val="outset" w:sz="6" w:space="0" w:color="auto"/>
              <w:bottom w:val="outset" w:sz="6" w:space="0" w:color="auto"/>
              <w:right w:val="outset" w:sz="6" w:space="0" w:color="auto"/>
            </w:tcBorders>
          </w:tcPr>
          <w:p w:rsidR="0070340E" w:rsidRPr="000C7511" w:rsidRDefault="0070340E" w:rsidP="008F215A">
            <w:pPr>
              <w:spacing w:after="0"/>
              <w:ind w:left="0"/>
              <w:jc w:val="center"/>
              <w:rPr>
                <w:rFonts w:ascii="Times New Roman" w:eastAsia="Times New Roman" w:hAnsi="Times New Roman" w:cs="Times New Roman"/>
                <w:sz w:val="24"/>
                <w:szCs w:val="24"/>
                <w:lang w:eastAsia="lv-LV"/>
              </w:rPr>
            </w:pPr>
            <w:r w:rsidRPr="000C7511">
              <w:rPr>
                <w:rFonts w:ascii="Times New Roman" w:eastAsia="Times New Roman" w:hAnsi="Times New Roman" w:cs="Times New Roman"/>
                <w:b/>
                <w:bCs/>
                <w:sz w:val="24"/>
                <w:szCs w:val="24"/>
                <w:lang w:eastAsia="lv-LV"/>
              </w:rPr>
              <w:t>V. Tiesību akta projekta atbilstība Latvijas Republikas starptautiskajām saistībām</w:t>
            </w:r>
          </w:p>
        </w:tc>
      </w:tr>
      <w:tr w:rsidR="006B2B45" w:rsidRPr="000C7511" w:rsidTr="006B2B45">
        <w:trPr>
          <w:trHeight w:val="427"/>
          <w:tblCellSpacing w:w="0" w:type="dxa"/>
        </w:trPr>
        <w:tc>
          <w:tcPr>
            <w:tcW w:w="866" w:type="dxa"/>
            <w:gridSpan w:val="3"/>
            <w:tcBorders>
              <w:top w:val="outset" w:sz="6" w:space="0" w:color="auto"/>
              <w:left w:val="outset" w:sz="6" w:space="0" w:color="auto"/>
              <w:bottom w:val="outset" w:sz="6" w:space="0" w:color="auto"/>
              <w:right w:val="outset" w:sz="6" w:space="0" w:color="auto"/>
            </w:tcBorders>
          </w:tcPr>
          <w:p w:rsidR="0070340E" w:rsidRPr="000C7511" w:rsidRDefault="00465029" w:rsidP="008F215A">
            <w:pPr>
              <w:spacing w:after="0"/>
              <w:ind w:left="0"/>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 </w:t>
            </w:r>
            <w:r w:rsidR="00434DD4" w:rsidRPr="000C7511">
              <w:rPr>
                <w:rFonts w:ascii="Times New Roman" w:eastAsia="Times New Roman" w:hAnsi="Times New Roman" w:cs="Times New Roman"/>
                <w:sz w:val="24"/>
                <w:szCs w:val="24"/>
                <w:lang w:eastAsia="lv-LV"/>
              </w:rPr>
              <w:t>1.</w:t>
            </w:r>
          </w:p>
        </w:tc>
        <w:tc>
          <w:tcPr>
            <w:tcW w:w="2268" w:type="dxa"/>
            <w:gridSpan w:val="5"/>
            <w:tcBorders>
              <w:top w:val="outset" w:sz="6" w:space="0" w:color="auto"/>
              <w:left w:val="outset" w:sz="6" w:space="0" w:color="auto"/>
              <w:bottom w:val="outset" w:sz="6" w:space="0" w:color="auto"/>
              <w:right w:val="outset" w:sz="6" w:space="0" w:color="auto"/>
            </w:tcBorders>
          </w:tcPr>
          <w:p w:rsidR="0070340E" w:rsidRPr="000C7511" w:rsidRDefault="00434DD4" w:rsidP="003A3CBB">
            <w:pPr>
              <w:pStyle w:val="NoSpacing"/>
              <w:rPr>
                <w:sz w:val="24"/>
                <w:szCs w:val="24"/>
                <w:lang w:val="lv-LV" w:eastAsia="lv-LV"/>
              </w:rPr>
            </w:pPr>
            <w:r w:rsidRPr="000C7511">
              <w:rPr>
                <w:sz w:val="24"/>
                <w:szCs w:val="24"/>
                <w:lang w:val="lv-LV" w:eastAsia="lv-LV"/>
              </w:rPr>
              <w:t>Saistības pret E</w:t>
            </w:r>
            <w:r w:rsidR="003A3CBB" w:rsidRPr="000C7511">
              <w:rPr>
                <w:sz w:val="24"/>
                <w:szCs w:val="24"/>
                <w:lang w:val="lv-LV" w:eastAsia="lv-LV"/>
              </w:rPr>
              <w:t>S</w:t>
            </w:r>
          </w:p>
        </w:tc>
        <w:tc>
          <w:tcPr>
            <w:tcW w:w="5953" w:type="dxa"/>
            <w:gridSpan w:val="5"/>
            <w:tcBorders>
              <w:top w:val="outset" w:sz="6" w:space="0" w:color="auto"/>
              <w:left w:val="outset" w:sz="6" w:space="0" w:color="auto"/>
              <w:bottom w:val="outset" w:sz="6" w:space="0" w:color="auto"/>
              <w:right w:val="outset" w:sz="6" w:space="0" w:color="auto"/>
            </w:tcBorders>
          </w:tcPr>
          <w:p w:rsidR="0070340E" w:rsidRPr="000C7511" w:rsidRDefault="00D852DE" w:rsidP="00C624E8">
            <w:pPr>
              <w:pStyle w:val="NoSpacing"/>
              <w:rPr>
                <w:sz w:val="24"/>
                <w:szCs w:val="24"/>
                <w:lang w:val="lv-LV" w:eastAsia="lv-LV"/>
              </w:rPr>
            </w:pPr>
            <w:r w:rsidRPr="000C7511">
              <w:rPr>
                <w:sz w:val="24"/>
                <w:szCs w:val="24"/>
                <w:lang w:val="lv-LV" w:eastAsia="lv-LV"/>
              </w:rPr>
              <w:t>R</w:t>
            </w:r>
            <w:r w:rsidR="00452512" w:rsidRPr="000C7511">
              <w:rPr>
                <w:sz w:val="24"/>
                <w:szCs w:val="24"/>
                <w:lang w:val="lv-LV" w:eastAsia="lv-LV"/>
              </w:rPr>
              <w:t>egulas Nr.2913/92 III sadaļas 5.nodaļa</w:t>
            </w:r>
            <w:r w:rsidR="00BC5AA9" w:rsidRPr="000C7511">
              <w:rPr>
                <w:sz w:val="24"/>
                <w:szCs w:val="24"/>
                <w:lang w:val="lv-LV" w:eastAsia="lv-LV"/>
              </w:rPr>
              <w:t>.</w:t>
            </w:r>
          </w:p>
          <w:p w:rsidR="00452512" w:rsidRPr="000C7511" w:rsidRDefault="0078111D" w:rsidP="007E45B3">
            <w:pPr>
              <w:pStyle w:val="NoSpacing"/>
              <w:rPr>
                <w:sz w:val="24"/>
                <w:szCs w:val="24"/>
                <w:lang w:val="lv-LV" w:eastAsia="lv-LV"/>
              </w:rPr>
            </w:pPr>
            <w:r w:rsidRPr="000C7511">
              <w:rPr>
                <w:sz w:val="24"/>
                <w:szCs w:val="24"/>
                <w:lang w:val="lv-LV" w:eastAsia="lv-LV"/>
              </w:rPr>
              <w:t>R</w:t>
            </w:r>
            <w:r w:rsidR="00452512" w:rsidRPr="000C7511">
              <w:rPr>
                <w:sz w:val="24"/>
                <w:szCs w:val="24"/>
                <w:lang w:val="lv-LV" w:eastAsia="lv-LV"/>
              </w:rPr>
              <w:t>egulas Nr.2454/93 I daļas</w:t>
            </w:r>
            <w:r w:rsidR="007E45B3" w:rsidRPr="000C7511">
              <w:rPr>
                <w:sz w:val="24"/>
                <w:szCs w:val="24"/>
                <w:lang w:val="lv-LV" w:eastAsia="lv-LV"/>
              </w:rPr>
              <w:br/>
            </w:r>
            <w:r w:rsidR="00452512" w:rsidRPr="000C7511">
              <w:rPr>
                <w:sz w:val="24"/>
                <w:szCs w:val="24"/>
                <w:lang w:val="lv-LV" w:eastAsia="lv-LV"/>
              </w:rPr>
              <w:t>VI sadaļas 2.nodaļa</w:t>
            </w:r>
          </w:p>
        </w:tc>
      </w:tr>
      <w:tr w:rsidR="006B2B45" w:rsidRPr="000C7511" w:rsidTr="006B2B45">
        <w:trPr>
          <w:trHeight w:val="427"/>
          <w:tblCellSpacing w:w="0" w:type="dxa"/>
        </w:trPr>
        <w:tc>
          <w:tcPr>
            <w:tcW w:w="866" w:type="dxa"/>
            <w:gridSpan w:val="3"/>
            <w:tcBorders>
              <w:top w:val="outset" w:sz="6" w:space="0" w:color="auto"/>
              <w:left w:val="outset" w:sz="6" w:space="0" w:color="auto"/>
              <w:bottom w:val="outset" w:sz="6" w:space="0" w:color="auto"/>
              <w:right w:val="outset" w:sz="6" w:space="0" w:color="auto"/>
            </w:tcBorders>
          </w:tcPr>
          <w:p w:rsidR="0070340E" w:rsidRPr="000C7511" w:rsidRDefault="00465029" w:rsidP="008F215A">
            <w:pPr>
              <w:spacing w:after="0"/>
              <w:ind w:left="0"/>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 </w:t>
            </w:r>
            <w:r w:rsidR="00452512" w:rsidRPr="000C7511">
              <w:rPr>
                <w:rFonts w:ascii="Times New Roman" w:eastAsia="Times New Roman" w:hAnsi="Times New Roman" w:cs="Times New Roman"/>
                <w:sz w:val="24"/>
                <w:szCs w:val="24"/>
                <w:lang w:eastAsia="lv-LV"/>
              </w:rPr>
              <w:t>2.</w:t>
            </w:r>
          </w:p>
        </w:tc>
        <w:tc>
          <w:tcPr>
            <w:tcW w:w="2268" w:type="dxa"/>
            <w:gridSpan w:val="5"/>
            <w:tcBorders>
              <w:top w:val="outset" w:sz="6" w:space="0" w:color="auto"/>
              <w:left w:val="outset" w:sz="6" w:space="0" w:color="auto"/>
              <w:bottom w:val="outset" w:sz="6" w:space="0" w:color="auto"/>
              <w:right w:val="outset" w:sz="6" w:space="0" w:color="auto"/>
            </w:tcBorders>
          </w:tcPr>
          <w:p w:rsidR="0070340E" w:rsidRPr="000C7511" w:rsidRDefault="00C624E8" w:rsidP="00BC5AA9">
            <w:pPr>
              <w:pStyle w:val="NoSpacing"/>
              <w:rPr>
                <w:sz w:val="24"/>
                <w:szCs w:val="24"/>
                <w:lang w:val="lv-LV" w:eastAsia="lv-LV"/>
              </w:rPr>
            </w:pPr>
            <w:r w:rsidRPr="000C7511">
              <w:rPr>
                <w:sz w:val="24"/>
                <w:szCs w:val="24"/>
                <w:lang w:val="lv-LV" w:eastAsia="lv-LV"/>
              </w:rPr>
              <w:t>Citas starptautiskās saistības</w:t>
            </w:r>
          </w:p>
        </w:tc>
        <w:tc>
          <w:tcPr>
            <w:tcW w:w="5953" w:type="dxa"/>
            <w:gridSpan w:val="5"/>
            <w:tcBorders>
              <w:top w:val="outset" w:sz="6" w:space="0" w:color="auto"/>
              <w:left w:val="outset" w:sz="6" w:space="0" w:color="auto"/>
              <w:bottom w:val="outset" w:sz="6" w:space="0" w:color="auto"/>
              <w:right w:val="outset" w:sz="6" w:space="0" w:color="auto"/>
            </w:tcBorders>
          </w:tcPr>
          <w:p w:rsidR="0070340E" w:rsidRPr="000C7511" w:rsidRDefault="00C624E8" w:rsidP="000650CE">
            <w:pPr>
              <w:pStyle w:val="NoSpacing"/>
              <w:rPr>
                <w:sz w:val="24"/>
                <w:szCs w:val="24"/>
                <w:lang w:val="lv-LV" w:eastAsia="lv-LV"/>
              </w:rPr>
            </w:pPr>
            <w:r w:rsidRPr="000C7511">
              <w:rPr>
                <w:sz w:val="24"/>
                <w:szCs w:val="24"/>
                <w:lang w:val="lv-LV" w:eastAsia="lv-LV"/>
              </w:rPr>
              <w:t>Projekts šo jomu neskar</w:t>
            </w:r>
          </w:p>
        </w:tc>
      </w:tr>
      <w:tr w:rsidR="006B2B45" w:rsidRPr="000C7511" w:rsidTr="006B2B45">
        <w:trPr>
          <w:trHeight w:val="427"/>
          <w:tblCellSpacing w:w="0" w:type="dxa"/>
        </w:trPr>
        <w:tc>
          <w:tcPr>
            <w:tcW w:w="866" w:type="dxa"/>
            <w:gridSpan w:val="3"/>
            <w:tcBorders>
              <w:top w:val="outset" w:sz="6" w:space="0" w:color="auto"/>
              <w:left w:val="outset" w:sz="6" w:space="0" w:color="auto"/>
              <w:bottom w:val="outset" w:sz="6" w:space="0" w:color="auto"/>
              <w:right w:val="outset" w:sz="6" w:space="0" w:color="auto"/>
            </w:tcBorders>
          </w:tcPr>
          <w:p w:rsidR="00434DD4" w:rsidRPr="000C7511" w:rsidRDefault="00465029" w:rsidP="008F215A">
            <w:pPr>
              <w:spacing w:after="0"/>
              <w:ind w:left="0"/>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 </w:t>
            </w:r>
            <w:r w:rsidR="00452512" w:rsidRPr="000C7511">
              <w:rPr>
                <w:rFonts w:ascii="Times New Roman" w:eastAsia="Times New Roman" w:hAnsi="Times New Roman" w:cs="Times New Roman"/>
                <w:sz w:val="24"/>
                <w:szCs w:val="24"/>
                <w:lang w:eastAsia="lv-LV"/>
              </w:rPr>
              <w:t>3.</w:t>
            </w:r>
          </w:p>
        </w:tc>
        <w:tc>
          <w:tcPr>
            <w:tcW w:w="2268" w:type="dxa"/>
            <w:gridSpan w:val="5"/>
            <w:tcBorders>
              <w:top w:val="outset" w:sz="6" w:space="0" w:color="auto"/>
              <w:left w:val="outset" w:sz="6" w:space="0" w:color="auto"/>
              <w:bottom w:val="outset" w:sz="6" w:space="0" w:color="auto"/>
              <w:right w:val="outset" w:sz="6" w:space="0" w:color="auto"/>
            </w:tcBorders>
          </w:tcPr>
          <w:p w:rsidR="00434DD4" w:rsidRPr="000C7511" w:rsidRDefault="00C624E8" w:rsidP="00BC5AA9">
            <w:pPr>
              <w:pStyle w:val="NoSpacing"/>
              <w:rPr>
                <w:sz w:val="24"/>
                <w:szCs w:val="24"/>
                <w:lang w:val="lv-LV" w:eastAsia="lv-LV"/>
              </w:rPr>
            </w:pPr>
            <w:r w:rsidRPr="000C7511">
              <w:rPr>
                <w:sz w:val="24"/>
                <w:szCs w:val="24"/>
                <w:lang w:val="lv-LV" w:eastAsia="lv-LV"/>
              </w:rPr>
              <w:t>Cita informācija</w:t>
            </w:r>
          </w:p>
        </w:tc>
        <w:tc>
          <w:tcPr>
            <w:tcW w:w="5953" w:type="dxa"/>
            <w:gridSpan w:val="5"/>
            <w:tcBorders>
              <w:top w:val="outset" w:sz="6" w:space="0" w:color="auto"/>
              <w:left w:val="outset" w:sz="6" w:space="0" w:color="auto"/>
              <w:bottom w:val="outset" w:sz="6" w:space="0" w:color="auto"/>
              <w:right w:val="outset" w:sz="6" w:space="0" w:color="auto"/>
            </w:tcBorders>
          </w:tcPr>
          <w:p w:rsidR="00434DD4" w:rsidRPr="000C7511" w:rsidRDefault="00C624E8" w:rsidP="00BC5AA9">
            <w:pPr>
              <w:pStyle w:val="NoSpacing"/>
              <w:rPr>
                <w:sz w:val="24"/>
                <w:szCs w:val="24"/>
                <w:lang w:val="lv-LV" w:eastAsia="lv-LV"/>
              </w:rPr>
            </w:pPr>
            <w:r w:rsidRPr="000C7511">
              <w:rPr>
                <w:sz w:val="24"/>
                <w:szCs w:val="24"/>
                <w:lang w:val="lv-LV" w:eastAsia="lv-LV"/>
              </w:rPr>
              <w:t>Nav</w:t>
            </w:r>
          </w:p>
        </w:tc>
      </w:tr>
      <w:tr w:rsidR="00C624E8" w:rsidRPr="000C7511" w:rsidTr="006B2B45">
        <w:trPr>
          <w:trHeight w:val="427"/>
          <w:tblCellSpacing w:w="0" w:type="dxa"/>
        </w:trPr>
        <w:tc>
          <w:tcPr>
            <w:tcW w:w="9087" w:type="dxa"/>
            <w:gridSpan w:val="13"/>
            <w:tcBorders>
              <w:top w:val="outset" w:sz="6" w:space="0" w:color="auto"/>
              <w:left w:val="outset" w:sz="6" w:space="0" w:color="auto"/>
              <w:bottom w:val="outset" w:sz="6" w:space="0" w:color="auto"/>
              <w:right w:val="outset" w:sz="6" w:space="0" w:color="auto"/>
            </w:tcBorders>
          </w:tcPr>
          <w:p w:rsidR="00C624E8" w:rsidRPr="000C7511" w:rsidRDefault="00C624E8" w:rsidP="008F215A">
            <w:pPr>
              <w:pStyle w:val="NoSpacing"/>
              <w:jc w:val="right"/>
              <w:rPr>
                <w:sz w:val="24"/>
                <w:szCs w:val="24"/>
                <w:lang w:val="lv-LV" w:eastAsia="lv-LV"/>
              </w:rPr>
            </w:pPr>
            <w:r w:rsidRPr="000C7511">
              <w:rPr>
                <w:sz w:val="24"/>
                <w:szCs w:val="24"/>
                <w:lang w:val="lv-LV" w:eastAsia="lv-LV"/>
              </w:rPr>
              <w:t>1.tabula</w:t>
            </w:r>
          </w:p>
          <w:p w:rsidR="00C624E8" w:rsidRPr="000C7511" w:rsidRDefault="00C624E8" w:rsidP="008F215A">
            <w:pPr>
              <w:pStyle w:val="NoSpacing"/>
              <w:jc w:val="center"/>
              <w:rPr>
                <w:sz w:val="24"/>
                <w:szCs w:val="24"/>
                <w:lang w:val="lv-LV" w:eastAsia="lv-LV"/>
              </w:rPr>
            </w:pPr>
            <w:r w:rsidRPr="000C7511">
              <w:rPr>
                <w:sz w:val="24"/>
                <w:szCs w:val="24"/>
                <w:lang w:val="lv-LV" w:eastAsia="lv-LV"/>
              </w:rPr>
              <w:t>Tiesību akta projekta atbilstība ES tiesību aktiem</w:t>
            </w:r>
          </w:p>
        </w:tc>
      </w:tr>
      <w:tr w:rsidR="006B2B45" w:rsidRPr="000C7511" w:rsidTr="006B2B45">
        <w:trPr>
          <w:trHeight w:val="427"/>
          <w:tblCellSpacing w:w="0" w:type="dxa"/>
        </w:trPr>
        <w:tc>
          <w:tcPr>
            <w:tcW w:w="2000" w:type="dxa"/>
            <w:gridSpan w:val="4"/>
            <w:tcBorders>
              <w:top w:val="outset" w:sz="6" w:space="0" w:color="auto"/>
              <w:left w:val="outset" w:sz="6" w:space="0" w:color="auto"/>
              <w:bottom w:val="outset" w:sz="6" w:space="0" w:color="auto"/>
              <w:right w:val="outset" w:sz="6" w:space="0" w:color="auto"/>
            </w:tcBorders>
            <w:vAlign w:val="center"/>
          </w:tcPr>
          <w:p w:rsidR="00C624E8" w:rsidRPr="000C7511" w:rsidRDefault="005847B2" w:rsidP="000C7511">
            <w:pPr>
              <w:pStyle w:val="NoSpacing"/>
              <w:ind w:left="142" w:right="127"/>
              <w:jc w:val="both"/>
              <w:rPr>
                <w:sz w:val="24"/>
                <w:szCs w:val="24"/>
                <w:lang w:val="lv-LV" w:eastAsia="lv-LV"/>
              </w:rPr>
            </w:pPr>
            <w:r w:rsidRPr="000C7511">
              <w:rPr>
                <w:sz w:val="24"/>
                <w:szCs w:val="24"/>
                <w:lang w:val="lv-LV" w:eastAsia="lv-LV"/>
              </w:rPr>
              <w:t>Attiecīgā ES tiesību akta datums, numurs un nosaukums</w:t>
            </w:r>
          </w:p>
        </w:tc>
        <w:tc>
          <w:tcPr>
            <w:tcW w:w="7087" w:type="dxa"/>
            <w:gridSpan w:val="9"/>
            <w:tcBorders>
              <w:top w:val="outset" w:sz="6" w:space="0" w:color="auto"/>
              <w:left w:val="outset" w:sz="6" w:space="0" w:color="auto"/>
              <w:bottom w:val="outset" w:sz="6" w:space="0" w:color="auto"/>
              <w:right w:val="outset" w:sz="6" w:space="0" w:color="auto"/>
            </w:tcBorders>
          </w:tcPr>
          <w:p w:rsidR="0078111D" w:rsidRPr="000C7511" w:rsidRDefault="00D852DE" w:rsidP="000C7511">
            <w:pPr>
              <w:pStyle w:val="NoSpacing"/>
              <w:ind w:left="127" w:right="126"/>
              <w:rPr>
                <w:sz w:val="24"/>
                <w:szCs w:val="24"/>
                <w:lang w:val="lv-LV" w:eastAsia="lv-LV"/>
              </w:rPr>
            </w:pPr>
            <w:r w:rsidRPr="000C7511">
              <w:rPr>
                <w:sz w:val="24"/>
                <w:szCs w:val="24"/>
                <w:lang w:val="lv-LV" w:eastAsia="lv-LV"/>
              </w:rPr>
              <w:t>R</w:t>
            </w:r>
            <w:r w:rsidR="005847B2" w:rsidRPr="000C7511">
              <w:rPr>
                <w:sz w:val="24"/>
                <w:szCs w:val="24"/>
                <w:lang w:val="lv-LV" w:eastAsia="lv-LV"/>
              </w:rPr>
              <w:t>egulas Nr.2913/92 III sadaļas 5.nodaļ</w:t>
            </w:r>
            <w:r w:rsidR="0078111D" w:rsidRPr="000C7511">
              <w:rPr>
                <w:sz w:val="24"/>
                <w:szCs w:val="24"/>
                <w:lang w:val="lv-LV" w:eastAsia="lv-LV"/>
              </w:rPr>
              <w:t xml:space="preserve">a. </w:t>
            </w:r>
          </w:p>
          <w:p w:rsidR="00C624E8" w:rsidRPr="000C7511" w:rsidRDefault="0078111D" w:rsidP="000C7511">
            <w:pPr>
              <w:pStyle w:val="NoSpacing"/>
              <w:ind w:left="127" w:right="126"/>
              <w:rPr>
                <w:sz w:val="24"/>
                <w:szCs w:val="24"/>
                <w:lang w:val="lv-LV" w:eastAsia="lv-LV"/>
              </w:rPr>
            </w:pPr>
            <w:r w:rsidRPr="000C7511">
              <w:rPr>
                <w:sz w:val="24"/>
                <w:szCs w:val="24"/>
                <w:lang w:val="lv-LV" w:eastAsia="lv-LV"/>
              </w:rPr>
              <w:t>R</w:t>
            </w:r>
            <w:r w:rsidR="005847B2" w:rsidRPr="000C7511">
              <w:rPr>
                <w:sz w:val="24"/>
                <w:szCs w:val="24"/>
                <w:lang w:val="lv-LV" w:eastAsia="lv-LV"/>
              </w:rPr>
              <w:t>egulas Nr.2454/93 I daļas VI sadaļas 2.nodaļa</w:t>
            </w:r>
          </w:p>
        </w:tc>
      </w:tr>
      <w:tr w:rsidR="006B2B45" w:rsidRPr="000C7511" w:rsidTr="006B2B45">
        <w:trPr>
          <w:trHeight w:val="427"/>
          <w:tblCellSpacing w:w="0" w:type="dxa"/>
        </w:trPr>
        <w:tc>
          <w:tcPr>
            <w:tcW w:w="2000" w:type="dxa"/>
            <w:gridSpan w:val="4"/>
            <w:tcBorders>
              <w:top w:val="outset" w:sz="6" w:space="0" w:color="auto"/>
              <w:left w:val="outset" w:sz="6" w:space="0" w:color="auto"/>
              <w:bottom w:val="outset" w:sz="6" w:space="0" w:color="auto"/>
              <w:right w:val="outset" w:sz="6" w:space="0" w:color="auto"/>
            </w:tcBorders>
          </w:tcPr>
          <w:p w:rsidR="00924B53" w:rsidRPr="000C7511" w:rsidRDefault="00924B53" w:rsidP="00924B53">
            <w:pPr>
              <w:pStyle w:val="NoSpacing"/>
              <w:jc w:val="center"/>
              <w:rPr>
                <w:sz w:val="24"/>
                <w:szCs w:val="24"/>
                <w:lang w:val="lv-LV" w:eastAsia="lv-LV"/>
              </w:rPr>
            </w:pPr>
            <w:r w:rsidRPr="000C7511">
              <w:rPr>
                <w:sz w:val="24"/>
                <w:szCs w:val="24"/>
                <w:lang w:val="lv-LV" w:eastAsia="lv-LV"/>
              </w:rPr>
              <w:t>A</w:t>
            </w:r>
          </w:p>
        </w:tc>
        <w:tc>
          <w:tcPr>
            <w:tcW w:w="1984" w:type="dxa"/>
            <w:gridSpan w:val="6"/>
            <w:tcBorders>
              <w:top w:val="outset" w:sz="6" w:space="0" w:color="auto"/>
              <w:left w:val="outset" w:sz="6" w:space="0" w:color="auto"/>
              <w:bottom w:val="outset" w:sz="6" w:space="0" w:color="auto"/>
              <w:right w:val="outset" w:sz="6" w:space="0" w:color="auto"/>
            </w:tcBorders>
          </w:tcPr>
          <w:p w:rsidR="00924B53" w:rsidRPr="000C7511" w:rsidRDefault="00924B53" w:rsidP="00924B53">
            <w:pPr>
              <w:pStyle w:val="NoSpacing"/>
              <w:jc w:val="center"/>
              <w:rPr>
                <w:sz w:val="24"/>
                <w:szCs w:val="24"/>
                <w:lang w:val="lv-LV" w:eastAsia="lv-LV"/>
              </w:rPr>
            </w:pPr>
            <w:r w:rsidRPr="000C7511">
              <w:rPr>
                <w:sz w:val="24"/>
                <w:szCs w:val="24"/>
                <w:lang w:val="lv-LV" w:eastAsia="lv-LV"/>
              </w:rPr>
              <w:t>B</w:t>
            </w:r>
          </w:p>
        </w:tc>
        <w:tc>
          <w:tcPr>
            <w:tcW w:w="2268" w:type="dxa"/>
            <w:gridSpan w:val="2"/>
            <w:tcBorders>
              <w:top w:val="outset" w:sz="6" w:space="0" w:color="auto"/>
              <w:left w:val="outset" w:sz="6" w:space="0" w:color="auto"/>
              <w:bottom w:val="outset" w:sz="6" w:space="0" w:color="auto"/>
              <w:right w:val="outset" w:sz="6" w:space="0" w:color="auto"/>
            </w:tcBorders>
          </w:tcPr>
          <w:p w:rsidR="00924B53" w:rsidRPr="000C7511" w:rsidRDefault="00924B53" w:rsidP="00924B53">
            <w:pPr>
              <w:pStyle w:val="NoSpacing"/>
              <w:jc w:val="center"/>
              <w:rPr>
                <w:sz w:val="24"/>
                <w:szCs w:val="24"/>
                <w:lang w:val="lv-LV" w:eastAsia="lv-LV"/>
              </w:rPr>
            </w:pPr>
            <w:r w:rsidRPr="000C7511">
              <w:rPr>
                <w:sz w:val="24"/>
                <w:szCs w:val="24"/>
                <w:lang w:val="lv-LV" w:eastAsia="lv-LV"/>
              </w:rPr>
              <w:t>C</w:t>
            </w:r>
          </w:p>
        </w:tc>
        <w:tc>
          <w:tcPr>
            <w:tcW w:w="2835" w:type="dxa"/>
            <w:tcBorders>
              <w:top w:val="outset" w:sz="6" w:space="0" w:color="auto"/>
              <w:left w:val="outset" w:sz="6" w:space="0" w:color="auto"/>
              <w:bottom w:val="outset" w:sz="6" w:space="0" w:color="auto"/>
              <w:right w:val="outset" w:sz="6" w:space="0" w:color="auto"/>
            </w:tcBorders>
          </w:tcPr>
          <w:p w:rsidR="00924B53" w:rsidRPr="000C7511" w:rsidRDefault="00924B53" w:rsidP="00924B53">
            <w:pPr>
              <w:pStyle w:val="NoSpacing"/>
              <w:jc w:val="center"/>
              <w:rPr>
                <w:sz w:val="24"/>
                <w:szCs w:val="24"/>
                <w:lang w:val="lv-LV" w:eastAsia="lv-LV"/>
              </w:rPr>
            </w:pPr>
            <w:r w:rsidRPr="000C7511">
              <w:rPr>
                <w:sz w:val="24"/>
                <w:szCs w:val="24"/>
                <w:lang w:val="lv-LV" w:eastAsia="lv-LV"/>
              </w:rPr>
              <w:t>D</w:t>
            </w:r>
          </w:p>
        </w:tc>
      </w:tr>
      <w:tr w:rsidR="006B2B45" w:rsidRPr="000C7511" w:rsidTr="006B2B45">
        <w:trPr>
          <w:trHeight w:val="427"/>
          <w:tblCellSpacing w:w="0" w:type="dxa"/>
        </w:trPr>
        <w:tc>
          <w:tcPr>
            <w:tcW w:w="2000" w:type="dxa"/>
            <w:gridSpan w:val="4"/>
            <w:tcBorders>
              <w:top w:val="outset" w:sz="6" w:space="0" w:color="auto"/>
              <w:left w:val="outset" w:sz="6" w:space="0" w:color="auto"/>
              <w:bottom w:val="outset" w:sz="6" w:space="0" w:color="auto"/>
              <w:right w:val="outset" w:sz="6" w:space="0" w:color="auto"/>
            </w:tcBorders>
          </w:tcPr>
          <w:p w:rsidR="00924B53" w:rsidRPr="000C7511" w:rsidRDefault="00D852DE" w:rsidP="000C7511">
            <w:pPr>
              <w:pStyle w:val="NoSpacing"/>
              <w:ind w:left="142"/>
              <w:jc w:val="both"/>
              <w:rPr>
                <w:sz w:val="24"/>
                <w:szCs w:val="24"/>
                <w:lang w:val="lv-LV" w:eastAsia="lv-LV"/>
              </w:rPr>
            </w:pPr>
            <w:r w:rsidRPr="000C7511">
              <w:rPr>
                <w:sz w:val="24"/>
                <w:szCs w:val="24"/>
                <w:lang w:val="lv-LV" w:eastAsia="lv-LV"/>
              </w:rPr>
              <w:t>R</w:t>
            </w:r>
            <w:r w:rsidR="00924B53" w:rsidRPr="000C7511">
              <w:rPr>
                <w:sz w:val="24"/>
                <w:szCs w:val="24"/>
                <w:lang w:val="lv-LV" w:eastAsia="lv-LV"/>
              </w:rPr>
              <w:t>egulas Nr.2913/92 51.panta 1.apakšpunkts</w:t>
            </w:r>
          </w:p>
        </w:tc>
        <w:tc>
          <w:tcPr>
            <w:tcW w:w="1984" w:type="dxa"/>
            <w:gridSpan w:val="6"/>
            <w:tcBorders>
              <w:top w:val="outset" w:sz="6" w:space="0" w:color="auto"/>
              <w:left w:val="outset" w:sz="6" w:space="0" w:color="auto"/>
              <w:bottom w:val="outset" w:sz="6" w:space="0" w:color="auto"/>
              <w:right w:val="outset" w:sz="6" w:space="0" w:color="auto"/>
            </w:tcBorders>
          </w:tcPr>
          <w:p w:rsidR="00924B53" w:rsidRPr="000C7511" w:rsidRDefault="002E7824" w:rsidP="000C7511">
            <w:pPr>
              <w:pStyle w:val="NoSpacing"/>
              <w:ind w:left="127"/>
              <w:rPr>
                <w:sz w:val="24"/>
                <w:szCs w:val="24"/>
                <w:lang w:val="lv-LV" w:eastAsia="lv-LV"/>
              </w:rPr>
            </w:pPr>
            <w:r w:rsidRPr="000C7511">
              <w:rPr>
                <w:sz w:val="24"/>
                <w:szCs w:val="24"/>
                <w:lang w:val="lv-LV" w:eastAsia="lv-LV"/>
              </w:rPr>
              <w:t xml:space="preserve">Ministru kabineta noteikumu projekta 2., 3., 4., 5., 6., 7., 8., 9., 10., 11., 12. </w:t>
            </w:r>
            <w:r w:rsidR="007D1D4A" w:rsidRPr="000C7511">
              <w:rPr>
                <w:sz w:val="24"/>
                <w:szCs w:val="24"/>
                <w:lang w:val="lv-LV" w:eastAsia="lv-LV"/>
              </w:rPr>
              <w:t xml:space="preserve">un </w:t>
            </w:r>
            <w:r w:rsidRPr="000C7511">
              <w:rPr>
                <w:sz w:val="24"/>
                <w:szCs w:val="24"/>
                <w:lang w:val="lv-LV" w:eastAsia="lv-LV"/>
              </w:rPr>
              <w:t>13.punkts</w:t>
            </w:r>
          </w:p>
        </w:tc>
        <w:tc>
          <w:tcPr>
            <w:tcW w:w="2268" w:type="dxa"/>
            <w:gridSpan w:val="2"/>
            <w:tcBorders>
              <w:top w:val="outset" w:sz="6" w:space="0" w:color="auto"/>
              <w:left w:val="outset" w:sz="6" w:space="0" w:color="auto"/>
              <w:bottom w:val="outset" w:sz="6" w:space="0" w:color="auto"/>
              <w:right w:val="outset" w:sz="6" w:space="0" w:color="auto"/>
            </w:tcBorders>
          </w:tcPr>
          <w:p w:rsidR="00924B53" w:rsidRPr="000C7511" w:rsidRDefault="00C73A37" w:rsidP="000C7511">
            <w:pPr>
              <w:pStyle w:val="NoSpacing"/>
              <w:ind w:left="127"/>
              <w:rPr>
                <w:sz w:val="24"/>
                <w:szCs w:val="24"/>
                <w:lang w:val="lv-LV" w:eastAsia="lv-LV"/>
              </w:rPr>
            </w:pPr>
            <w:r w:rsidRPr="000C7511">
              <w:rPr>
                <w:sz w:val="24"/>
                <w:szCs w:val="24"/>
                <w:lang w:val="lv-LV" w:eastAsia="lv-LV"/>
              </w:rPr>
              <w:t>Tiek ieviests pilnībā</w:t>
            </w:r>
          </w:p>
        </w:tc>
        <w:tc>
          <w:tcPr>
            <w:tcW w:w="2835" w:type="dxa"/>
            <w:tcBorders>
              <w:top w:val="outset" w:sz="6" w:space="0" w:color="auto"/>
              <w:left w:val="outset" w:sz="6" w:space="0" w:color="auto"/>
              <w:bottom w:val="outset" w:sz="6" w:space="0" w:color="auto"/>
              <w:right w:val="outset" w:sz="6" w:space="0" w:color="auto"/>
            </w:tcBorders>
          </w:tcPr>
          <w:p w:rsidR="00924B53" w:rsidRPr="000C7511" w:rsidRDefault="00C73A37" w:rsidP="00A274EE">
            <w:pPr>
              <w:pStyle w:val="NoSpacing"/>
              <w:rPr>
                <w:sz w:val="24"/>
                <w:szCs w:val="24"/>
                <w:lang w:val="lv-LV" w:eastAsia="lv-LV"/>
              </w:rPr>
            </w:pPr>
            <w:r w:rsidRPr="000C7511">
              <w:rPr>
                <w:sz w:val="24"/>
                <w:szCs w:val="24"/>
                <w:lang w:val="lv-LV" w:eastAsia="lv-LV"/>
              </w:rPr>
              <w:t>Nacionālais tiesību akts neparedz stingrākas prasības</w:t>
            </w:r>
          </w:p>
        </w:tc>
      </w:tr>
      <w:tr w:rsidR="006B2B45" w:rsidRPr="000C7511" w:rsidTr="006B2B45">
        <w:trPr>
          <w:trHeight w:val="427"/>
          <w:tblCellSpacing w:w="0" w:type="dxa"/>
        </w:trPr>
        <w:tc>
          <w:tcPr>
            <w:tcW w:w="2000" w:type="dxa"/>
            <w:gridSpan w:val="4"/>
            <w:tcBorders>
              <w:top w:val="outset" w:sz="6" w:space="0" w:color="auto"/>
              <w:left w:val="outset" w:sz="6" w:space="0" w:color="auto"/>
              <w:bottom w:val="outset" w:sz="6" w:space="0" w:color="auto"/>
              <w:right w:val="outset" w:sz="6" w:space="0" w:color="auto"/>
            </w:tcBorders>
          </w:tcPr>
          <w:p w:rsidR="00924B53" w:rsidRPr="000C7511" w:rsidRDefault="0078111D" w:rsidP="000650CE">
            <w:pPr>
              <w:pStyle w:val="NoSpacing"/>
              <w:jc w:val="both"/>
              <w:rPr>
                <w:sz w:val="24"/>
                <w:szCs w:val="24"/>
                <w:lang w:val="lv-LV" w:eastAsia="lv-LV"/>
              </w:rPr>
            </w:pPr>
            <w:r w:rsidRPr="000C7511">
              <w:rPr>
                <w:sz w:val="24"/>
                <w:szCs w:val="24"/>
                <w:lang w:val="lv-LV" w:eastAsia="lv-LV"/>
              </w:rPr>
              <w:t>R</w:t>
            </w:r>
            <w:r w:rsidR="00924B53" w:rsidRPr="000C7511">
              <w:rPr>
                <w:sz w:val="24"/>
                <w:szCs w:val="24"/>
                <w:lang w:val="lv-LV" w:eastAsia="lv-LV"/>
              </w:rPr>
              <w:t>egulas Nr.2454/93 185.panta 2.punkta b</w:t>
            </w:r>
            <w:r w:rsidR="000650CE" w:rsidRPr="000C7511">
              <w:rPr>
                <w:sz w:val="24"/>
                <w:szCs w:val="24"/>
                <w:lang w:val="lv-LV" w:eastAsia="lv-LV"/>
              </w:rPr>
              <w:t>) </w:t>
            </w:r>
            <w:r w:rsidR="00924B53" w:rsidRPr="000C7511">
              <w:rPr>
                <w:sz w:val="24"/>
                <w:szCs w:val="24"/>
                <w:lang w:val="lv-LV" w:eastAsia="lv-LV"/>
              </w:rPr>
              <w:t>apakšpunkts</w:t>
            </w:r>
          </w:p>
        </w:tc>
        <w:tc>
          <w:tcPr>
            <w:tcW w:w="1984" w:type="dxa"/>
            <w:gridSpan w:val="6"/>
            <w:tcBorders>
              <w:top w:val="outset" w:sz="6" w:space="0" w:color="auto"/>
              <w:left w:val="outset" w:sz="6" w:space="0" w:color="auto"/>
              <w:bottom w:val="outset" w:sz="6" w:space="0" w:color="auto"/>
              <w:right w:val="outset" w:sz="6" w:space="0" w:color="auto"/>
            </w:tcBorders>
          </w:tcPr>
          <w:p w:rsidR="00924B53" w:rsidRPr="000C7511" w:rsidRDefault="002E7824" w:rsidP="00366104">
            <w:pPr>
              <w:pStyle w:val="NoSpacing"/>
              <w:rPr>
                <w:sz w:val="24"/>
                <w:szCs w:val="24"/>
                <w:lang w:val="lv-LV" w:eastAsia="lv-LV"/>
              </w:rPr>
            </w:pPr>
            <w:r w:rsidRPr="000C7511">
              <w:rPr>
                <w:sz w:val="24"/>
                <w:szCs w:val="24"/>
                <w:lang w:val="lv-LV" w:eastAsia="lv-LV"/>
              </w:rPr>
              <w:t xml:space="preserve">Ministru kabineta noteikumu projekta </w:t>
            </w:r>
            <w:r w:rsidR="000E784A" w:rsidRPr="000C7511">
              <w:rPr>
                <w:sz w:val="24"/>
                <w:szCs w:val="24"/>
                <w:lang w:val="lv-LV" w:eastAsia="lv-LV"/>
              </w:rPr>
              <w:t>1</w:t>
            </w:r>
            <w:r w:rsidR="00504B34" w:rsidRPr="000C7511">
              <w:rPr>
                <w:sz w:val="24"/>
                <w:szCs w:val="24"/>
                <w:lang w:val="lv-LV" w:eastAsia="lv-LV"/>
              </w:rPr>
              <w:t>9.,</w:t>
            </w:r>
            <w:r w:rsidR="00650D22" w:rsidRPr="000C7511">
              <w:rPr>
                <w:sz w:val="24"/>
                <w:szCs w:val="24"/>
                <w:lang w:val="lv-LV" w:eastAsia="lv-LV"/>
              </w:rPr>
              <w:t xml:space="preserve"> </w:t>
            </w:r>
            <w:r w:rsidR="00504B34" w:rsidRPr="000C7511">
              <w:rPr>
                <w:sz w:val="24"/>
                <w:szCs w:val="24"/>
                <w:lang w:val="lv-LV" w:eastAsia="lv-LV"/>
              </w:rPr>
              <w:t>20.,</w:t>
            </w:r>
            <w:r w:rsidR="00650D22" w:rsidRPr="000C7511">
              <w:rPr>
                <w:sz w:val="24"/>
                <w:szCs w:val="24"/>
                <w:lang w:val="lv-LV" w:eastAsia="lv-LV"/>
              </w:rPr>
              <w:t xml:space="preserve"> </w:t>
            </w:r>
            <w:r w:rsidR="00504B34" w:rsidRPr="000C7511">
              <w:rPr>
                <w:sz w:val="24"/>
                <w:szCs w:val="24"/>
                <w:u w:val="single"/>
                <w:lang w:val="lv-LV" w:eastAsia="lv-LV"/>
              </w:rPr>
              <w:t>21.</w:t>
            </w:r>
            <w:r w:rsidR="00366104" w:rsidRPr="000C7511">
              <w:rPr>
                <w:sz w:val="24"/>
                <w:szCs w:val="24"/>
                <w:u w:val="single"/>
                <w:lang w:val="lv-LV" w:eastAsia="lv-LV"/>
              </w:rPr>
              <w:t xml:space="preserve"> un</w:t>
            </w:r>
            <w:r w:rsidR="00650D22" w:rsidRPr="000C7511">
              <w:rPr>
                <w:sz w:val="24"/>
                <w:szCs w:val="24"/>
                <w:u w:val="single"/>
                <w:lang w:val="lv-LV" w:eastAsia="lv-LV"/>
              </w:rPr>
              <w:t xml:space="preserve"> </w:t>
            </w:r>
            <w:r w:rsidR="00504B34" w:rsidRPr="000C7511">
              <w:rPr>
                <w:sz w:val="24"/>
                <w:szCs w:val="24"/>
                <w:u w:val="single"/>
                <w:lang w:val="lv-LV" w:eastAsia="lv-LV"/>
              </w:rPr>
              <w:t>22</w:t>
            </w:r>
            <w:r w:rsidR="0063624D" w:rsidRPr="000C7511">
              <w:rPr>
                <w:sz w:val="24"/>
                <w:szCs w:val="24"/>
                <w:u w:val="single"/>
                <w:lang w:val="lv-LV" w:eastAsia="lv-LV"/>
              </w:rPr>
              <w:t>.</w:t>
            </w:r>
            <w:r w:rsidRPr="000C7511">
              <w:rPr>
                <w:sz w:val="24"/>
                <w:szCs w:val="24"/>
                <w:u w:val="single"/>
                <w:lang w:val="lv-LV" w:eastAsia="lv-LV"/>
              </w:rPr>
              <w:t>punkts</w:t>
            </w:r>
          </w:p>
        </w:tc>
        <w:tc>
          <w:tcPr>
            <w:tcW w:w="2268" w:type="dxa"/>
            <w:gridSpan w:val="2"/>
            <w:tcBorders>
              <w:top w:val="outset" w:sz="6" w:space="0" w:color="auto"/>
              <w:left w:val="outset" w:sz="6" w:space="0" w:color="auto"/>
              <w:bottom w:val="outset" w:sz="6" w:space="0" w:color="auto"/>
              <w:right w:val="outset" w:sz="6" w:space="0" w:color="auto"/>
            </w:tcBorders>
          </w:tcPr>
          <w:p w:rsidR="00924B53" w:rsidRPr="000C7511" w:rsidRDefault="00C73A37" w:rsidP="00A274EE">
            <w:pPr>
              <w:pStyle w:val="NoSpacing"/>
              <w:rPr>
                <w:sz w:val="24"/>
                <w:szCs w:val="24"/>
                <w:lang w:val="lv-LV" w:eastAsia="lv-LV"/>
              </w:rPr>
            </w:pPr>
            <w:r w:rsidRPr="000C7511">
              <w:rPr>
                <w:sz w:val="24"/>
                <w:szCs w:val="24"/>
                <w:lang w:val="lv-LV" w:eastAsia="lv-LV"/>
              </w:rPr>
              <w:t>Tiek ieviests pilnībā</w:t>
            </w:r>
          </w:p>
        </w:tc>
        <w:tc>
          <w:tcPr>
            <w:tcW w:w="2835" w:type="dxa"/>
            <w:tcBorders>
              <w:top w:val="outset" w:sz="6" w:space="0" w:color="auto"/>
              <w:left w:val="outset" w:sz="6" w:space="0" w:color="auto"/>
              <w:bottom w:val="outset" w:sz="6" w:space="0" w:color="auto"/>
              <w:right w:val="outset" w:sz="6" w:space="0" w:color="auto"/>
            </w:tcBorders>
          </w:tcPr>
          <w:p w:rsidR="00924B53" w:rsidRPr="000C7511" w:rsidRDefault="00C73A37" w:rsidP="00A274EE">
            <w:pPr>
              <w:pStyle w:val="NoSpacing"/>
              <w:rPr>
                <w:sz w:val="24"/>
                <w:szCs w:val="24"/>
                <w:lang w:val="lv-LV" w:eastAsia="lv-LV"/>
              </w:rPr>
            </w:pPr>
            <w:r w:rsidRPr="000C7511">
              <w:rPr>
                <w:sz w:val="24"/>
                <w:szCs w:val="24"/>
                <w:lang w:val="lv-LV" w:eastAsia="lv-LV"/>
              </w:rPr>
              <w:t>Nacionālais tiesību akts neparedz stingrākas prasības</w:t>
            </w:r>
          </w:p>
        </w:tc>
      </w:tr>
      <w:tr w:rsidR="006B2B45" w:rsidRPr="000C7511" w:rsidTr="006B2B45">
        <w:trPr>
          <w:trHeight w:val="427"/>
          <w:tblCellSpacing w:w="0" w:type="dxa"/>
        </w:trPr>
        <w:tc>
          <w:tcPr>
            <w:tcW w:w="2000" w:type="dxa"/>
            <w:gridSpan w:val="4"/>
            <w:tcBorders>
              <w:top w:val="outset" w:sz="6" w:space="0" w:color="auto"/>
              <w:left w:val="outset" w:sz="6" w:space="0" w:color="auto"/>
              <w:bottom w:val="outset" w:sz="6" w:space="0" w:color="auto"/>
              <w:right w:val="outset" w:sz="6" w:space="0" w:color="auto"/>
            </w:tcBorders>
          </w:tcPr>
          <w:p w:rsidR="00924B53" w:rsidRPr="000C7511" w:rsidRDefault="0078111D" w:rsidP="00924B53">
            <w:pPr>
              <w:pStyle w:val="NoSpacing"/>
              <w:jc w:val="both"/>
              <w:rPr>
                <w:sz w:val="24"/>
                <w:szCs w:val="24"/>
                <w:lang w:val="lv-LV" w:eastAsia="lv-LV"/>
              </w:rPr>
            </w:pPr>
            <w:r w:rsidRPr="000C7511">
              <w:rPr>
                <w:sz w:val="24"/>
                <w:szCs w:val="24"/>
                <w:lang w:val="lv-LV" w:eastAsia="lv-LV"/>
              </w:rPr>
              <w:t>R</w:t>
            </w:r>
            <w:r w:rsidR="00924B53" w:rsidRPr="000C7511">
              <w:rPr>
                <w:sz w:val="24"/>
                <w:szCs w:val="24"/>
                <w:lang w:val="lv-LV" w:eastAsia="lv-LV"/>
              </w:rPr>
              <w:t>egulas Nr.2454/93 186.pants</w:t>
            </w:r>
          </w:p>
        </w:tc>
        <w:tc>
          <w:tcPr>
            <w:tcW w:w="1984" w:type="dxa"/>
            <w:gridSpan w:val="6"/>
            <w:tcBorders>
              <w:top w:val="outset" w:sz="6" w:space="0" w:color="auto"/>
              <w:left w:val="outset" w:sz="6" w:space="0" w:color="auto"/>
              <w:bottom w:val="outset" w:sz="6" w:space="0" w:color="auto"/>
              <w:right w:val="outset" w:sz="6" w:space="0" w:color="auto"/>
            </w:tcBorders>
          </w:tcPr>
          <w:p w:rsidR="00924B53" w:rsidRPr="000C7511" w:rsidRDefault="002E7824" w:rsidP="00A274EE">
            <w:pPr>
              <w:pStyle w:val="NoSpacing"/>
              <w:rPr>
                <w:sz w:val="24"/>
                <w:szCs w:val="24"/>
                <w:lang w:val="lv-LV" w:eastAsia="lv-LV"/>
              </w:rPr>
            </w:pPr>
            <w:r w:rsidRPr="000C7511">
              <w:rPr>
                <w:sz w:val="24"/>
                <w:szCs w:val="24"/>
                <w:lang w:val="lv-LV" w:eastAsia="lv-LV"/>
              </w:rPr>
              <w:t>Ministru kabineta noteikumu projekta 16. un 17.punkts</w:t>
            </w:r>
          </w:p>
        </w:tc>
        <w:tc>
          <w:tcPr>
            <w:tcW w:w="2268" w:type="dxa"/>
            <w:gridSpan w:val="2"/>
            <w:tcBorders>
              <w:top w:val="outset" w:sz="6" w:space="0" w:color="auto"/>
              <w:left w:val="outset" w:sz="6" w:space="0" w:color="auto"/>
              <w:bottom w:val="outset" w:sz="6" w:space="0" w:color="auto"/>
              <w:right w:val="outset" w:sz="6" w:space="0" w:color="auto"/>
            </w:tcBorders>
          </w:tcPr>
          <w:p w:rsidR="00924B53" w:rsidRPr="000C7511" w:rsidRDefault="00C73A37" w:rsidP="00A274EE">
            <w:pPr>
              <w:pStyle w:val="NoSpacing"/>
              <w:rPr>
                <w:sz w:val="24"/>
                <w:szCs w:val="24"/>
                <w:lang w:val="lv-LV" w:eastAsia="lv-LV"/>
              </w:rPr>
            </w:pPr>
            <w:r w:rsidRPr="000C7511">
              <w:rPr>
                <w:sz w:val="24"/>
                <w:szCs w:val="24"/>
                <w:lang w:val="lv-LV" w:eastAsia="lv-LV"/>
              </w:rPr>
              <w:t>Tiek ieviests pilnībā</w:t>
            </w:r>
          </w:p>
        </w:tc>
        <w:tc>
          <w:tcPr>
            <w:tcW w:w="2835" w:type="dxa"/>
            <w:tcBorders>
              <w:top w:val="outset" w:sz="6" w:space="0" w:color="auto"/>
              <w:left w:val="outset" w:sz="6" w:space="0" w:color="auto"/>
              <w:bottom w:val="outset" w:sz="6" w:space="0" w:color="auto"/>
              <w:right w:val="outset" w:sz="6" w:space="0" w:color="auto"/>
            </w:tcBorders>
          </w:tcPr>
          <w:p w:rsidR="00924B53" w:rsidRPr="000C7511" w:rsidRDefault="00C73A37" w:rsidP="00A274EE">
            <w:pPr>
              <w:pStyle w:val="NoSpacing"/>
              <w:rPr>
                <w:sz w:val="24"/>
                <w:szCs w:val="24"/>
                <w:lang w:val="lv-LV" w:eastAsia="lv-LV"/>
              </w:rPr>
            </w:pPr>
            <w:r w:rsidRPr="000C7511">
              <w:rPr>
                <w:sz w:val="24"/>
                <w:szCs w:val="24"/>
                <w:lang w:val="lv-LV" w:eastAsia="lv-LV"/>
              </w:rPr>
              <w:t>Nacionālais tiesību akts neparedz stingrākas prasības</w:t>
            </w:r>
          </w:p>
        </w:tc>
      </w:tr>
      <w:tr w:rsidR="006B2B45" w:rsidRPr="000C7511" w:rsidTr="006B2B45">
        <w:trPr>
          <w:trHeight w:val="427"/>
          <w:tblCellSpacing w:w="0" w:type="dxa"/>
        </w:trPr>
        <w:tc>
          <w:tcPr>
            <w:tcW w:w="3984" w:type="dxa"/>
            <w:gridSpan w:val="10"/>
            <w:tcBorders>
              <w:top w:val="outset" w:sz="6" w:space="0" w:color="auto"/>
              <w:left w:val="outset" w:sz="6" w:space="0" w:color="auto"/>
              <w:bottom w:val="outset" w:sz="6" w:space="0" w:color="auto"/>
              <w:right w:val="outset" w:sz="6" w:space="0" w:color="auto"/>
            </w:tcBorders>
          </w:tcPr>
          <w:p w:rsidR="00393B95" w:rsidRPr="000C7511" w:rsidRDefault="00393B95" w:rsidP="000C7511">
            <w:pPr>
              <w:pStyle w:val="NoSpacing"/>
              <w:ind w:left="142" w:right="126"/>
              <w:jc w:val="both"/>
              <w:rPr>
                <w:sz w:val="24"/>
                <w:szCs w:val="24"/>
                <w:lang w:val="lv-LV" w:eastAsia="lv-LV"/>
              </w:rPr>
            </w:pPr>
            <w:r w:rsidRPr="000C7511">
              <w:rPr>
                <w:sz w:val="24"/>
                <w:szCs w:val="24"/>
                <w:lang w:val="lv-LV" w:eastAsia="lv-LV"/>
              </w:rPr>
              <w:t>Kā izmantota ES tiesību aktā paredzētā rīcības</w:t>
            </w:r>
            <w:r w:rsidR="00B9471E" w:rsidRPr="000C7511">
              <w:rPr>
                <w:sz w:val="24"/>
                <w:szCs w:val="24"/>
                <w:lang w:val="lv-LV" w:eastAsia="lv-LV"/>
              </w:rPr>
              <w:t xml:space="preserve"> </w:t>
            </w:r>
            <w:r w:rsidRPr="000C7511">
              <w:rPr>
                <w:sz w:val="24"/>
                <w:szCs w:val="24"/>
                <w:lang w:val="lv-LV" w:eastAsia="lv-LV"/>
              </w:rPr>
              <w:t>brīvība dalībvalstij pārņemt vai ieviest noteiktas ES tiesību akta normas?</w:t>
            </w:r>
          </w:p>
          <w:p w:rsidR="00393B95" w:rsidRPr="000C7511" w:rsidRDefault="00393B95" w:rsidP="000C7511">
            <w:pPr>
              <w:pStyle w:val="NoSpacing"/>
              <w:ind w:left="142" w:right="126"/>
              <w:jc w:val="both"/>
              <w:rPr>
                <w:sz w:val="24"/>
                <w:szCs w:val="24"/>
                <w:lang w:val="lv-LV" w:eastAsia="lv-LV"/>
              </w:rPr>
            </w:pPr>
            <w:r w:rsidRPr="000C7511">
              <w:rPr>
                <w:sz w:val="24"/>
                <w:szCs w:val="24"/>
                <w:lang w:val="lv-LV" w:eastAsia="lv-LV"/>
              </w:rPr>
              <w:t>Kādēļ?</w:t>
            </w:r>
          </w:p>
        </w:tc>
        <w:tc>
          <w:tcPr>
            <w:tcW w:w="5103" w:type="dxa"/>
            <w:gridSpan w:val="3"/>
            <w:tcBorders>
              <w:top w:val="outset" w:sz="6" w:space="0" w:color="auto"/>
              <w:left w:val="outset" w:sz="6" w:space="0" w:color="auto"/>
              <w:bottom w:val="outset" w:sz="6" w:space="0" w:color="auto"/>
              <w:right w:val="outset" w:sz="6" w:space="0" w:color="auto"/>
            </w:tcBorders>
          </w:tcPr>
          <w:p w:rsidR="00AB68BB" w:rsidRPr="000C7511" w:rsidRDefault="00D852DE" w:rsidP="000C7511">
            <w:pPr>
              <w:pStyle w:val="NoSpacing"/>
              <w:ind w:left="127" w:right="126"/>
              <w:jc w:val="both"/>
              <w:rPr>
                <w:sz w:val="24"/>
                <w:szCs w:val="24"/>
                <w:lang w:val="lv-LV" w:eastAsia="lv-LV"/>
              </w:rPr>
            </w:pPr>
            <w:r w:rsidRPr="000C7511">
              <w:rPr>
                <w:sz w:val="24"/>
                <w:szCs w:val="24"/>
                <w:lang w:val="lv-LV" w:eastAsia="lv-LV"/>
              </w:rPr>
              <w:t>R</w:t>
            </w:r>
            <w:r w:rsidR="00AB609E" w:rsidRPr="000C7511">
              <w:rPr>
                <w:sz w:val="24"/>
                <w:szCs w:val="24"/>
                <w:lang w:val="lv-LV" w:eastAsia="lv-LV"/>
              </w:rPr>
              <w:t>egulas Nr.2913/92 51.panta 1.apakšpunkt</w:t>
            </w:r>
            <w:r w:rsidR="00A274EE" w:rsidRPr="000C7511">
              <w:rPr>
                <w:sz w:val="24"/>
                <w:szCs w:val="24"/>
                <w:lang w:val="lv-LV" w:eastAsia="lv-LV"/>
              </w:rPr>
              <w:t>ā</w:t>
            </w:r>
            <w:r w:rsidR="00AB609E" w:rsidRPr="000C7511">
              <w:rPr>
                <w:sz w:val="24"/>
                <w:szCs w:val="24"/>
                <w:lang w:val="lv-LV" w:eastAsia="lv-LV"/>
              </w:rPr>
              <w:t xml:space="preserve"> no</w:t>
            </w:r>
            <w:r w:rsidR="00A274EE" w:rsidRPr="000C7511">
              <w:rPr>
                <w:sz w:val="24"/>
                <w:szCs w:val="24"/>
                <w:lang w:val="lv-LV" w:eastAsia="lv-LV"/>
              </w:rPr>
              <w:t>teikts</w:t>
            </w:r>
            <w:r w:rsidR="00AB609E" w:rsidRPr="000C7511">
              <w:rPr>
                <w:sz w:val="24"/>
                <w:szCs w:val="24"/>
                <w:lang w:val="lv-LV" w:eastAsia="lv-LV"/>
              </w:rPr>
              <w:t xml:space="preserve">, ka preces pagaidu glabāšanā atļauts glabāt vienīgi muitas iestāžu atļautās vietās šo iestāžu noteiktā kārtībā. </w:t>
            </w:r>
            <w:r w:rsidR="000F6C63" w:rsidRPr="000C7511">
              <w:rPr>
                <w:sz w:val="24"/>
                <w:szCs w:val="24"/>
                <w:lang w:val="lv-LV" w:eastAsia="lv-LV"/>
              </w:rPr>
              <w:t>I</w:t>
            </w:r>
            <w:r w:rsidR="00AB609E" w:rsidRPr="000C7511">
              <w:rPr>
                <w:sz w:val="24"/>
                <w:szCs w:val="24"/>
                <w:lang w:val="lv-LV" w:eastAsia="lv-LV"/>
              </w:rPr>
              <w:t xml:space="preserve">r </w:t>
            </w:r>
            <w:r w:rsidR="000F6C63" w:rsidRPr="000C7511">
              <w:rPr>
                <w:sz w:val="24"/>
                <w:szCs w:val="24"/>
                <w:lang w:val="lv-LV" w:eastAsia="lv-LV"/>
              </w:rPr>
              <w:t xml:space="preserve">noteikta jauna </w:t>
            </w:r>
            <w:r w:rsidR="00AB609E" w:rsidRPr="000C7511">
              <w:rPr>
                <w:sz w:val="24"/>
                <w:szCs w:val="24"/>
                <w:lang w:val="lv-LV" w:eastAsia="lv-LV"/>
              </w:rPr>
              <w:t>kārtīb</w:t>
            </w:r>
            <w:r w:rsidR="000F6C63" w:rsidRPr="000C7511">
              <w:rPr>
                <w:sz w:val="24"/>
                <w:szCs w:val="24"/>
                <w:lang w:val="lv-LV" w:eastAsia="lv-LV"/>
              </w:rPr>
              <w:t>a</w:t>
            </w:r>
            <w:r w:rsidR="00AB609E" w:rsidRPr="000C7511">
              <w:rPr>
                <w:sz w:val="24"/>
                <w:szCs w:val="24"/>
                <w:lang w:val="lv-LV" w:eastAsia="lv-LV"/>
              </w:rPr>
              <w:t xml:space="preserve">, kādā persona </w:t>
            </w:r>
            <w:r w:rsidR="00CD7133" w:rsidRPr="000C7511">
              <w:rPr>
                <w:sz w:val="24"/>
                <w:szCs w:val="24"/>
                <w:lang w:val="lv-LV" w:eastAsia="lv-LV"/>
              </w:rPr>
              <w:t xml:space="preserve">iesniegs deklarāciju par preču pagaidu uzglabāšanu </w:t>
            </w:r>
            <w:r w:rsidR="00AB609E" w:rsidRPr="000C7511">
              <w:rPr>
                <w:sz w:val="24"/>
                <w:szCs w:val="24"/>
                <w:lang w:val="lv-LV" w:eastAsia="lv-LV"/>
              </w:rPr>
              <w:t>atļaujā preču pagaidu uzglabāšanas vietas turēšanai norādītajā uzraudzības muitas iestādē.</w:t>
            </w:r>
          </w:p>
          <w:p w:rsidR="00393B95" w:rsidRPr="000C7511" w:rsidRDefault="0078111D" w:rsidP="000C7511">
            <w:pPr>
              <w:pStyle w:val="NoSpacing"/>
              <w:ind w:left="127" w:right="126"/>
              <w:jc w:val="both"/>
              <w:rPr>
                <w:sz w:val="24"/>
                <w:szCs w:val="24"/>
                <w:lang w:val="lv-LV" w:eastAsia="lv-LV"/>
              </w:rPr>
            </w:pPr>
            <w:r w:rsidRPr="000C7511">
              <w:rPr>
                <w:sz w:val="24"/>
                <w:szCs w:val="24"/>
                <w:lang w:val="lv-LV" w:eastAsia="lv-LV"/>
              </w:rPr>
              <w:t>R</w:t>
            </w:r>
            <w:r w:rsidR="00AB68BB" w:rsidRPr="000C7511">
              <w:rPr>
                <w:sz w:val="24"/>
                <w:szCs w:val="24"/>
                <w:lang w:val="lv-LV" w:eastAsia="lv-LV"/>
              </w:rPr>
              <w:t>egulas Nr.2454/93 185.panta 2.punkta b</w:t>
            </w:r>
            <w:r w:rsidR="00A274EE" w:rsidRPr="000C7511">
              <w:rPr>
                <w:sz w:val="24"/>
                <w:szCs w:val="24"/>
                <w:lang w:val="lv-LV" w:eastAsia="lv-LV"/>
              </w:rPr>
              <w:t>) </w:t>
            </w:r>
            <w:r w:rsidR="00AB68BB" w:rsidRPr="000C7511">
              <w:rPr>
                <w:sz w:val="24"/>
                <w:szCs w:val="24"/>
                <w:lang w:val="lv-LV" w:eastAsia="lv-LV"/>
              </w:rPr>
              <w:t>apakšpunkt</w:t>
            </w:r>
            <w:r w:rsidR="00A274EE" w:rsidRPr="000C7511">
              <w:rPr>
                <w:sz w:val="24"/>
                <w:szCs w:val="24"/>
                <w:lang w:val="lv-LV" w:eastAsia="lv-LV"/>
              </w:rPr>
              <w:t>ā</w:t>
            </w:r>
            <w:r w:rsidR="00AB68BB" w:rsidRPr="000C7511">
              <w:rPr>
                <w:sz w:val="24"/>
                <w:szCs w:val="24"/>
                <w:lang w:val="lv-LV" w:eastAsia="lv-LV"/>
              </w:rPr>
              <w:t xml:space="preserve"> no</w:t>
            </w:r>
            <w:r w:rsidR="00A274EE" w:rsidRPr="000C7511">
              <w:rPr>
                <w:sz w:val="24"/>
                <w:szCs w:val="24"/>
                <w:lang w:val="lv-LV" w:eastAsia="lv-LV"/>
              </w:rPr>
              <w:t>tei</w:t>
            </w:r>
            <w:r w:rsidR="00AB68BB" w:rsidRPr="000C7511">
              <w:rPr>
                <w:sz w:val="24"/>
                <w:szCs w:val="24"/>
                <w:lang w:val="lv-LV" w:eastAsia="lv-LV"/>
              </w:rPr>
              <w:t>k</w:t>
            </w:r>
            <w:r w:rsidR="00A274EE" w:rsidRPr="000C7511">
              <w:rPr>
                <w:sz w:val="24"/>
                <w:szCs w:val="24"/>
                <w:lang w:val="lv-LV" w:eastAsia="lv-LV"/>
              </w:rPr>
              <w:t>ts</w:t>
            </w:r>
            <w:r w:rsidR="00AB68BB" w:rsidRPr="000C7511">
              <w:rPr>
                <w:sz w:val="24"/>
                <w:szCs w:val="24"/>
                <w:lang w:val="lv-LV" w:eastAsia="lv-LV"/>
              </w:rPr>
              <w:t>, ka persona, kas saimnieko pagaidu glabāšanas vietā, uzskaita krājumus tā, lai būtu iespējams izsekot preču apritei.</w:t>
            </w:r>
          </w:p>
          <w:p w:rsidR="00AB68BB" w:rsidRPr="000C7511" w:rsidRDefault="0078111D" w:rsidP="000C7511">
            <w:pPr>
              <w:pStyle w:val="NoSpacing"/>
              <w:ind w:left="127" w:right="126"/>
              <w:jc w:val="both"/>
              <w:rPr>
                <w:sz w:val="24"/>
                <w:szCs w:val="24"/>
                <w:lang w:val="lv-LV" w:eastAsia="lv-LV"/>
              </w:rPr>
            </w:pPr>
            <w:r w:rsidRPr="000C7511">
              <w:rPr>
                <w:sz w:val="24"/>
                <w:szCs w:val="24"/>
                <w:lang w:val="lv-LV" w:eastAsia="lv-LV"/>
              </w:rPr>
              <w:t>R</w:t>
            </w:r>
            <w:r w:rsidR="00AB68BB" w:rsidRPr="000C7511">
              <w:rPr>
                <w:sz w:val="24"/>
                <w:szCs w:val="24"/>
                <w:lang w:val="lv-LV" w:eastAsia="lv-LV"/>
              </w:rPr>
              <w:t>egulas Nr.2454/93 186.pant</w:t>
            </w:r>
            <w:r w:rsidR="00A274EE" w:rsidRPr="000C7511">
              <w:rPr>
                <w:sz w:val="24"/>
                <w:szCs w:val="24"/>
                <w:lang w:val="lv-LV" w:eastAsia="lv-LV"/>
              </w:rPr>
              <w:t>ā</w:t>
            </w:r>
            <w:r w:rsidR="00AB68BB" w:rsidRPr="000C7511">
              <w:rPr>
                <w:sz w:val="24"/>
                <w:szCs w:val="24"/>
                <w:lang w:val="lv-LV" w:eastAsia="lv-LV"/>
              </w:rPr>
              <w:t xml:space="preserve"> no</w:t>
            </w:r>
            <w:r w:rsidR="00A274EE" w:rsidRPr="000C7511">
              <w:rPr>
                <w:sz w:val="24"/>
                <w:szCs w:val="24"/>
                <w:lang w:val="lv-LV" w:eastAsia="lv-LV"/>
              </w:rPr>
              <w:t>teikts</w:t>
            </w:r>
            <w:r w:rsidR="00AB68BB" w:rsidRPr="000C7511">
              <w:rPr>
                <w:sz w:val="24"/>
                <w:szCs w:val="24"/>
                <w:lang w:val="lv-LV" w:eastAsia="lv-LV"/>
              </w:rPr>
              <w:t>, ka uz ārpuskopienas precēm, ko uzrāda muitai, attiecas kopsavilkuma deklarācija par pagaidu uzglabāšanu</w:t>
            </w:r>
            <w:r w:rsidR="00A274EE" w:rsidRPr="000C7511">
              <w:rPr>
                <w:sz w:val="24"/>
                <w:szCs w:val="24"/>
                <w:lang w:val="lv-LV" w:eastAsia="lv-LV"/>
              </w:rPr>
              <w:t>,</w:t>
            </w:r>
            <w:r w:rsidR="00AB68BB" w:rsidRPr="000C7511">
              <w:rPr>
                <w:sz w:val="24"/>
                <w:szCs w:val="24"/>
                <w:lang w:val="lv-LV" w:eastAsia="lv-LV"/>
              </w:rPr>
              <w:t xml:space="preserve"> kā noteikuši muitas dienesti. Tādējādi, lai pieteiktu preces</w:t>
            </w:r>
            <w:r w:rsidR="00B9471E" w:rsidRPr="000C7511">
              <w:rPr>
                <w:sz w:val="24"/>
                <w:szCs w:val="24"/>
                <w:lang w:val="lv-LV" w:eastAsia="lv-LV"/>
              </w:rPr>
              <w:t xml:space="preserve"> </w:t>
            </w:r>
            <w:r w:rsidR="00AB68BB" w:rsidRPr="000C7511">
              <w:rPr>
                <w:sz w:val="24"/>
                <w:szCs w:val="24"/>
                <w:lang w:val="lv-LV" w:eastAsia="lv-LV"/>
              </w:rPr>
              <w:t>pagaidu uzglabāšanai, turpmāk persona Elektroniskā</w:t>
            </w:r>
            <w:r w:rsidR="00A320BB" w:rsidRPr="000C7511">
              <w:rPr>
                <w:sz w:val="24"/>
                <w:szCs w:val="24"/>
                <w:lang w:val="lv-LV" w:eastAsia="lv-LV"/>
              </w:rPr>
              <w:t>s</w:t>
            </w:r>
            <w:r w:rsidR="00AB68BB" w:rsidRPr="000C7511">
              <w:rPr>
                <w:sz w:val="24"/>
                <w:szCs w:val="24"/>
                <w:lang w:val="lv-LV" w:eastAsia="lv-LV"/>
              </w:rPr>
              <w:t xml:space="preserve"> deklarēšanas sistēmā elektroniski iesniegs </w:t>
            </w:r>
            <w:r w:rsidR="00CD7133" w:rsidRPr="000C7511">
              <w:rPr>
                <w:sz w:val="24"/>
                <w:szCs w:val="24"/>
                <w:lang w:val="lv-LV" w:eastAsia="lv-LV"/>
              </w:rPr>
              <w:t xml:space="preserve">deklarāciju par preču </w:t>
            </w:r>
            <w:r w:rsidR="00AB68BB" w:rsidRPr="000C7511">
              <w:rPr>
                <w:sz w:val="24"/>
                <w:szCs w:val="24"/>
                <w:lang w:val="lv-LV" w:eastAsia="lv-LV"/>
              </w:rPr>
              <w:t>pagaidu uzglabāšan</w:t>
            </w:r>
            <w:r w:rsidR="00CD7133" w:rsidRPr="000C7511">
              <w:rPr>
                <w:sz w:val="24"/>
                <w:szCs w:val="24"/>
                <w:lang w:val="lv-LV" w:eastAsia="lv-LV"/>
              </w:rPr>
              <w:t>u</w:t>
            </w:r>
          </w:p>
        </w:tc>
      </w:tr>
      <w:tr w:rsidR="006B2B45" w:rsidRPr="000C7511" w:rsidTr="006B2B45">
        <w:trPr>
          <w:trHeight w:val="427"/>
          <w:tblCellSpacing w:w="0" w:type="dxa"/>
        </w:trPr>
        <w:tc>
          <w:tcPr>
            <w:tcW w:w="3984" w:type="dxa"/>
            <w:gridSpan w:val="10"/>
            <w:tcBorders>
              <w:top w:val="outset" w:sz="6" w:space="0" w:color="auto"/>
              <w:left w:val="outset" w:sz="6" w:space="0" w:color="auto"/>
              <w:bottom w:val="outset" w:sz="6" w:space="0" w:color="auto"/>
              <w:right w:val="outset" w:sz="6" w:space="0" w:color="auto"/>
            </w:tcBorders>
          </w:tcPr>
          <w:p w:rsidR="00393B95" w:rsidRPr="000C7511" w:rsidRDefault="00393B95" w:rsidP="000C7511">
            <w:pPr>
              <w:pStyle w:val="NoSpacing"/>
              <w:ind w:left="142" w:right="126"/>
              <w:jc w:val="both"/>
              <w:rPr>
                <w:sz w:val="24"/>
                <w:szCs w:val="24"/>
                <w:lang w:val="lv-LV" w:eastAsia="lv-LV"/>
              </w:rPr>
            </w:pPr>
            <w:r w:rsidRPr="000C7511">
              <w:rPr>
                <w:sz w:val="24"/>
                <w:szCs w:val="24"/>
                <w:lang w:val="lv-LV" w:eastAsia="lv-LV"/>
              </w:rPr>
              <w:t>Saistības sniegt paziņojumu ES</w:t>
            </w:r>
            <w:r w:rsidR="00B9471E" w:rsidRPr="000C7511">
              <w:rPr>
                <w:sz w:val="24"/>
                <w:szCs w:val="24"/>
                <w:lang w:val="lv-LV" w:eastAsia="lv-LV"/>
              </w:rPr>
              <w:t xml:space="preserve"> </w:t>
            </w:r>
            <w:r w:rsidRPr="000C7511">
              <w:rPr>
                <w:sz w:val="24"/>
                <w:szCs w:val="24"/>
                <w:lang w:val="lv-LV" w:eastAsia="lv-LV"/>
              </w:rPr>
              <w:t>institūcijām un ES dalībvalstīm</w:t>
            </w:r>
            <w:r w:rsidR="00B9471E" w:rsidRPr="000C7511">
              <w:rPr>
                <w:sz w:val="24"/>
                <w:szCs w:val="24"/>
                <w:lang w:val="lv-LV" w:eastAsia="lv-LV"/>
              </w:rPr>
              <w:t xml:space="preserve"> </w:t>
            </w:r>
            <w:r w:rsidRPr="000C7511">
              <w:rPr>
                <w:sz w:val="24"/>
                <w:szCs w:val="24"/>
                <w:lang w:val="lv-LV" w:eastAsia="lv-LV"/>
              </w:rPr>
              <w:t>atbilstoši normatīvajiem aktiem, kas regulē</w:t>
            </w:r>
            <w:r w:rsidR="00B9471E" w:rsidRPr="000C7511">
              <w:rPr>
                <w:sz w:val="24"/>
                <w:szCs w:val="24"/>
                <w:lang w:val="lv-LV" w:eastAsia="lv-LV"/>
              </w:rPr>
              <w:t xml:space="preserve"> </w:t>
            </w:r>
            <w:r w:rsidRPr="000C7511">
              <w:rPr>
                <w:sz w:val="24"/>
                <w:szCs w:val="24"/>
                <w:lang w:val="lv-LV" w:eastAsia="lv-LV"/>
              </w:rPr>
              <w:t>informācijas sniegšanu par tehnisko noteikumu, valsts atbalsta piešķiršanas un finanšu noteikumu (attiecībā uz monetāro politiku) projektiem</w:t>
            </w:r>
          </w:p>
        </w:tc>
        <w:tc>
          <w:tcPr>
            <w:tcW w:w="5103" w:type="dxa"/>
            <w:gridSpan w:val="3"/>
            <w:tcBorders>
              <w:top w:val="outset" w:sz="6" w:space="0" w:color="auto"/>
              <w:left w:val="outset" w:sz="6" w:space="0" w:color="auto"/>
              <w:bottom w:val="outset" w:sz="6" w:space="0" w:color="auto"/>
              <w:right w:val="outset" w:sz="6" w:space="0" w:color="auto"/>
            </w:tcBorders>
          </w:tcPr>
          <w:p w:rsidR="00393B95" w:rsidRPr="000C7511" w:rsidRDefault="00393B95" w:rsidP="00A274EE">
            <w:pPr>
              <w:pStyle w:val="NoSpacing"/>
              <w:rPr>
                <w:sz w:val="24"/>
                <w:szCs w:val="24"/>
                <w:lang w:val="lv-LV" w:eastAsia="lv-LV"/>
              </w:rPr>
            </w:pPr>
            <w:r w:rsidRPr="000C7511">
              <w:rPr>
                <w:sz w:val="24"/>
                <w:szCs w:val="24"/>
                <w:lang w:val="lv-LV" w:eastAsia="lv-LV"/>
              </w:rPr>
              <w:t>Projekts šo jomu neskar</w:t>
            </w:r>
          </w:p>
        </w:tc>
      </w:tr>
      <w:tr w:rsidR="006B2B45" w:rsidRPr="000C7511" w:rsidTr="006B2B45">
        <w:trPr>
          <w:trHeight w:val="427"/>
          <w:tblCellSpacing w:w="0" w:type="dxa"/>
        </w:trPr>
        <w:tc>
          <w:tcPr>
            <w:tcW w:w="3984" w:type="dxa"/>
            <w:gridSpan w:val="10"/>
            <w:tcBorders>
              <w:top w:val="outset" w:sz="6" w:space="0" w:color="auto"/>
              <w:left w:val="outset" w:sz="6" w:space="0" w:color="auto"/>
              <w:bottom w:val="outset" w:sz="6" w:space="0" w:color="auto"/>
              <w:right w:val="outset" w:sz="6" w:space="0" w:color="auto"/>
            </w:tcBorders>
          </w:tcPr>
          <w:p w:rsidR="00393B95" w:rsidRPr="000C7511" w:rsidRDefault="00393B95" w:rsidP="00C624E8">
            <w:pPr>
              <w:pStyle w:val="NoSpacing"/>
              <w:rPr>
                <w:sz w:val="24"/>
                <w:szCs w:val="24"/>
                <w:lang w:val="lv-LV" w:eastAsia="lv-LV"/>
              </w:rPr>
            </w:pPr>
            <w:r w:rsidRPr="000C7511">
              <w:rPr>
                <w:sz w:val="24"/>
                <w:szCs w:val="24"/>
                <w:lang w:val="lv-LV" w:eastAsia="lv-LV"/>
              </w:rPr>
              <w:t>Cita informācija</w:t>
            </w:r>
          </w:p>
        </w:tc>
        <w:tc>
          <w:tcPr>
            <w:tcW w:w="5103" w:type="dxa"/>
            <w:gridSpan w:val="3"/>
            <w:tcBorders>
              <w:top w:val="outset" w:sz="6" w:space="0" w:color="auto"/>
              <w:left w:val="outset" w:sz="6" w:space="0" w:color="auto"/>
              <w:bottom w:val="outset" w:sz="6" w:space="0" w:color="auto"/>
              <w:right w:val="outset" w:sz="6" w:space="0" w:color="auto"/>
            </w:tcBorders>
          </w:tcPr>
          <w:p w:rsidR="00393B95" w:rsidRPr="000C7511" w:rsidRDefault="00393B95" w:rsidP="00A274EE">
            <w:pPr>
              <w:pStyle w:val="NoSpacing"/>
              <w:rPr>
                <w:sz w:val="24"/>
                <w:szCs w:val="24"/>
                <w:lang w:val="lv-LV" w:eastAsia="lv-LV"/>
              </w:rPr>
            </w:pPr>
            <w:r w:rsidRPr="000C7511">
              <w:rPr>
                <w:sz w:val="24"/>
                <w:szCs w:val="24"/>
                <w:lang w:val="lv-LV" w:eastAsia="lv-LV"/>
              </w:rPr>
              <w:t>Nav</w:t>
            </w:r>
          </w:p>
        </w:tc>
      </w:tr>
      <w:tr w:rsidR="00393B95" w:rsidRPr="000C7511" w:rsidTr="006B2B45">
        <w:trPr>
          <w:trHeight w:val="427"/>
          <w:tblCellSpacing w:w="0" w:type="dxa"/>
        </w:trPr>
        <w:tc>
          <w:tcPr>
            <w:tcW w:w="9087" w:type="dxa"/>
            <w:gridSpan w:val="13"/>
            <w:tcBorders>
              <w:top w:val="outset" w:sz="6" w:space="0" w:color="auto"/>
              <w:left w:val="outset" w:sz="6" w:space="0" w:color="auto"/>
              <w:bottom w:val="outset" w:sz="6" w:space="0" w:color="auto"/>
              <w:right w:val="outset" w:sz="6" w:space="0" w:color="auto"/>
            </w:tcBorders>
          </w:tcPr>
          <w:p w:rsidR="00393B95" w:rsidRPr="000C7511" w:rsidRDefault="00A42A77" w:rsidP="008F215A">
            <w:pPr>
              <w:pStyle w:val="NoSpacing"/>
              <w:jc w:val="right"/>
              <w:rPr>
                <w:sz w:val="24"/>
                <w:szCs w:val="24"/>
                <w:lang w:val="lv-LV" w:eastAsia="lv-LV"/>
              </w:rPr>
            </w:pPr>
            <w:r w:rsidRPr="000C7511">
              <w:rPr>
                <w:sz w:val="24"/>
                <w:szCs w:val="24"/>
                <w:lang w:val="lv-LV" w:eastAsia="lv-LV"/>
              </w:rPr>
              <w:t>2.tabula</w:t>
            </w:r>
          </w:p>
          <w:p w:rsidR="00A42A77" w:rsidRPr="000C7511" w:rsidRDefault="00A42A77" w:rsidP="008F215A">
            <w:pPr>
              <w:pStyle w:val="NoSpacing"/>
              <w:jc w:val="center"/>
              <w:rPr>
                <w:sz w:val="24"/>
                <w:szCs w:val="24"/>
                <w:lang w:val="lv-LV" w:eastAsia="lv-LV"/>
              </w:rPr>
            </w:pPr>
            <w:r w:rsidRPr="000C7511">
              <w:rPr>
                <w:sz w:val="24"/>
                <w:szCs w:val="24"/>
                <w:lang w:val="lv-LV" w:eastAsia="lv-LV"/>
              </w:rPr>
              <w:t>Ar tiesību akta projektu uzņemtās saistības, kas izriet no starptautiskajiem tiesību aktiem vai starptautiskas institūcijas vai organizācijas dokumentiem</w:t>
            </w:r>
          </w:p>
        </w:tc>
      </w:tr>
      <w:tr w:rsidR="006B2B45" w:rsidRPr="000C7511" w:rsidTr="006B2B45">
        <w:trPr>
          <w:trHeight w:val="427"/>
          <w:tblCellSpacing w:w="0" w:type="dxa"/>
        </w:trPr>
        <w:tc>
          <w:tcPr>
            <w:tcW w:w="5754" w:type="dxa"/>
            <w:gridSpan w:val="11"/>
            <w:tcBorders>
              <w:top w:val="outset" w:sz="6" w:space="0" w:color="auto"/>
              <w:left w:val="outset" w:sz="6" w:space="0" w:color="auto"/>
              <w:bottom w:val="outset" w:sz="6" w:space="0" w:color="auto"/>
              <w:right w:val="outset" w:sz="6" w:space="0" w:color="auto"/>
            </w:tcBorders>
          </w:tcPr>
          <w:p w:rsidR="00A42A77" w:rsidRPr="000C7511" w:rsidRDefault="00A42A77" w:rsidP="000C7511">
            <w:pPr>
              <w:pStyle w:val="NoSpacing"/>
              <w:ind w:left="142" w:right="54"/>
              <w:jc w:val="both"/>
              <w:rPr>
                <w:sz w:val="24"/>
                <w:szCs w:val="24"/>
                <w:lang w:val="lv-LV" w:eastAsia="lv-LV"/>
              </w:rPr>
            </w:pPr>
            <w:r w:rsidRPr="000C7511">
              <w:rPr>
                <w:sz w:val="24"/>
                <w:szCs w:val="24"/>
                <w:lang w:val="lv-LV" w:eastAsia="lv-LV"/>
              </w:rPr>
              <w:t>Attiecīgā starptautiskā tiesību akta vai starptautiskas institūcijas vai organizācijas dokumenta datums, numurs un nosaukums</w:t>
            </w:r>
            <w:r w:rsidR="000C7511" w:rsidRPr="000C7511">
              <w:rPr>
                <w:sz w:val="24"/>
                <w:szCs w:val="24"/>
                <w:lang w:val="lv-LV" w:eastAsia="lv-LV"/>
              </w:rPr>
              <w:t>.</w:t>
            </w:r>
          </w:p>
        </w:tc>
        <w:tc>
          <w:tcPr>
            <w:tcW w:w="3333" w:type="dxa"/>
            <w:gridSpan w:val="2"/>
            <w:tcBorders>
              <w:top w:val="outset" w:sz="6" w:space="0" w:color="auto"/>
              <w:left w:val="outset" w:sz="6" w:space="0" w:color="auto"/>
              <w:bottom w:val="outset" w:sz="6" w:space="0" w:color="auto"/>
              <w:right w:val="outset" w:sz="6" w:space="0" w:color="auto"/>
            </w:tcBorders>
          </w:tcPr>
          <w:p w:rsidR="00A274EE" w:rsidRPr="000C7511" w:rsidRDefault="00A42A77" w:rsidP="00A274EE">
            <w:pPr>
              <w:pStyle w:val="NoSpacing"/>
              <w:rPr>
                <w:sz w:val="24"/>
                <w:szCs w:val="24"/>
                <w:lang w:val="lv-LV" w:eastAsia="lv-LV"/>
              </w:rPr>
            </w:pPr>
            <w:r w:rsidRPr="000C7511">
              <w:rPr>
                <w:sz w:val="24"/>
                <w:szCs w:val="24"/>
                <w:lang w:val="lv-LV" w:eastAsia="lv-LV"/>
              </w:rPr>
              <w:t>Projekts šo jomu neskar</w:t>
            </w:r>
            <w:r w:rsidR="000C7511" w:rsidRPr="000C7511">
              <w:rPr>
                <w:sz w:val="24"/>
                <w:szCs w:val="24"/>
                <w:lang w:val="lv-LV" w:eastAsia="lv-LV"/>
              </w:rPr>
              <w:t>.</w:t>
            </w:r>
          </w:p>
          <w:p w:rsidR="00A274EE" w:rsidRPr="000C7511" w:rsidRDefault="00A274EE" w:rsidP="00A274EE">
            <w:pPr>
              <w:pStyle w:val="NoSpacing"/>
              <w:rPr>
                <w:sz w:val="24"/>
                <w:szCs w:val="24"/>
                <w:lang w:val="lv-LV" w:eastAsia="lv-LV"/>
              </w:rPr>
            </w:pPr>
          </w:p>
          <w:p w:rsidR="00A42A77" w:rsidRPr="000C7511" w:rsidRDefault="00A42A77" w:rsidP="00A274EE">
            <w:pPr>
              <w:pStyle w:val="NoSpacing"/>
              <w:rPr>
                <w:sz w:val="24"/>
                <w:szCs w:val="24"/>
                <w:lang w:val="lv-LV" w:eastAsia="lv-LV"/>
              </w:rPr>
            </w:pPr>
          </w:p>
        </w:tc>
      </w:tr>
      <w:tr w:rsidR="00A42A77" w:rsidRPr="000C7511" w:rsidTr="006B2B45">
        <w:trPr>
          <w:trHeight w:val="427"/>
          <w:tblCellSpacing w:w="0" w:type="dxa"/>
        </w:trPr>
        <w:tc>
          <w:tcPr>
            <w:tcW w:w="9087" w:type="dxa"/>
            <w:gridSpan w:val="13"/>
            <w:tcBorders>
              <w:top w:val="outset" w:sz="6" w:space="0" w:color="auto"/>
              <w:left w:val="outset" w:sz="6" w:space="0" w:color="auto"/>
              <w:bottom w:val="outset" w:sz="6" w:space="0" w:color="auto"/>
              <w:right w:val="outset" w:sz="6" w:space="0" w:color="auto"/>
            </w:tcBorders>
          </w:tcPr>
          <w:p w:rsidR="00A42A77" w:rsidRPr="000C7511" w:rsidRDefault="00A42A77" w:rsidP="00A274EE">
            <w:pPr>
              <w:pStyle w:val="NoSpacing"/>
              <w:jc w:val="center"/>
              <w:rPr>
                <w:sz w:val="24"/>
                <w:szCs w:val="24"/>
                <w:lang w:val="lv-LV" w:eastAsia="lv-LV"/>
              </w:rPr>
            </w:pPr>
            <w:r w:rsidRPr="000C7511">
              <w:rPr>
                <w:rFonts w:eastAsia="Times New Roman"/>
                <w:b/>
                <w:bCs/>
                <w:sz w:val="24"/>
                <w:szCs w:val="24"/>
                <w:lang w:val="lv-LV" w:eastAsia="lv-LV"/>
              </w:rPr>
              <w:t>VI. Sabiedrības l</w:t>
            </w:r>
            <w:r w:rsidR="00606114" w:rsidRPr="000C7511">
              <w:rPr>
                <w:rFonts w:eastAsia="Times New Roman"/>
                <w:b/>
                <w:bCs/>
                <w:sz w:val="24"/>
                <w:szCs w:val="24"/>
                <w:lang w:val="lv-LV" w:eastAsia="lv-LV"/>
              </w:rPr>
              <w:t>īdzdalība un šīs līdzdalības rezultāti</w:t>
            </w:r>
          </w:p>
        </w:tc>
      </w:tr>
      <w:tr w:rsidR="006B2B45" w:rsidRPr="000C7511" w:rsidTr="006B2B45">
        <w:trPr>
          <w:trHeight w:val="427"/>
          <w:tblCellSpacing w:w="0" w:type="dxa"/>
        </w:trPr>
        <w:tc>
          <w:tcPr>
            <w:tcW w:w="724" w:type="dxa"/>
            <w:tcBorders>
              <w:top w:val="outset" w:sz="6" w:space="0" w:color="auto"/>
              <w:left w:val="outset" w:sz="6" w:space="0" w:color="auto"/>
              <w:bottom w:val="outset" w:sz="6" w:space="0" w:color="auto"/>
              <w:right w:val="outset" w:sz="6" w:space="0" w:color="auto"/>
            </w:tcBorders>
          </w:tcPr>
          <w:p w:rsidR="00393B95" w:rsidRPr="000C7511" w:rsidRDefault="00465029" w:rsidP="008F215A">
            <w:pPr>
              <w:spacing w:after="0"/>
              <w:ind w:left="0"/>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 </w:t>
            </w:r>
            <w:r w:rsidR="00606114" w:rsidRPr="000C7511">
              <w:rPr>
                <w:rFonts w:ascii="Times New Roman" w:eastAsia="Times New Roman" w:hAnsi="Times New Roman" w:cs="Times New Roman"/>
                <w:sz w:val="24"/>
                <w:szCs w:val="24"/>
                <w:lang w:eastAsia="lv-LV"/>
              </w:rPr>
              <w:t>1.</w:t>
            </w:r>
          </w:p>
        </w:tc>
        <w:tc>
          <w:tcPr>
            <w:tcW w:w="2126" w:type="dxa"/>
            <w:gridSpan w:val="4"/>
            <w:tcBorders>
              <w:top w:val="outset" w:sz="6" w:space="0" w:color="auto"/>
              <w:left w:val="outset" w:sz="6" w:space="0" w:color="auto"/>
              <w:bottom w:val="outset" w:sz="6" w:space="0" w:color="auto"/>
              <w:right w:val="outset" w:sz="6" w:space="0" w:color="auto"/>
            </w:tcBorders>
          </w:tcPr>
          <w:p w:rsidR="00393B95" w:rsidRPr="000C7511" w:rsidRDefault="00606114" w:rsidP="00C624E8">
            <w:pPr>
              <w:pStyle w:val="NoSpacing"/>
              <w:rPr>
                <w:sz w:val="24"/>
                <w:szCs w:val="24"/>
                <w:lang w:val="lv-LV" w:eastAsia="lv-LV"/>
              </w:rPr>
            </w:pPr>
            <w:r w:rsidRPr="000C7511">
              <w:rPr>
                <w:sz w:val="24"/>
                <w:szCs w:val="24"/>
                <w:lang w:val="lv-LV" w:eastAsia="lv-LV"/>
              </w:rPr>
              <w:t>Sabiedrības informēšana par projekta izstrādes uzsākšanu</w:t>
            </w:r>
          </w:p>
        </w:tc>
        <w:tc>
          <w:tcPr>
            <w:tcW w:w="6237" w:type="dxa"/>
            <w:gridSpan w:val="8"/>
            <w:tcBorders>
              <w:top w:val="outset" w:sz="6" w:space="0" w:color="auto"/>
              <w:left w:val="outset" w:sz="6" w:space="0" w:color="auto"/>
              <w:bottom w:val="outset" w:sz="6" w:space="0" w:color="auto"/>
              <w:right w:val="outset" w:sz="6" w:space="0" w:color="auto"/>
            </w:tcBorders>
          </w:tcPr>
          <w:p w:rsidR="00393B95" w:rsidRPr="000C7511" w:rsidRDefault="00D400B7" w:rsidP="000C7511">
            <w:pPr>
              <w:pStyle w:val="NoSpacing"/>
              <w:ind w:left="127" w:right="126"/>
              <w:jc w:val="both"/>
              <w:rPr>
                <w:sz w:val="24"/>
                <w:szCs w:val="24"/>
                <w:lang w:val="lv-LV" w:eastAsia="lv-LV"/>
              </w:rPr>
            </w:pPr>
            <w:r w:rsidRPr="000C7511">
              <w:rPr>
                <w:sz w:val="24"/>
                <w:szCs w:val="24"/>
                <w:lang w:val="lv-LV" w:eastAsia="lv-LV"/>
              </w:rPr>
              <w:t>2012.gada martā pagaidu uzglabāšanas atļauju turētāji tika informēti par plānoto pagaidu uzglabāšanas elektronizāciju. 2012.gada septembrī pagaidu uzglabāšanas turētāji</w:t>
            </w:r>
            <w:r w:rsidR="00A274EE" w:rsidRPr="000C7511">
              <w:rPr>
                <w:sz w:val="24"/>
                <w:szCs w:val="24"/>
                <w:lang w:val="lv-LV" w:eastAsia="lv-LV"/>
              </w:rPr>
              <w:t>em</w:t>
            </w:r>
            <w:r w:rsidRPr="000C7511">
              <w:rPr>
                <w:sz w:val="24"/>
                <w:szCs w:val="24"/>
                <w:lang w:val="lv-LV" w:eastAsia="lv-LV"/>
              </w:rPr>
              <w:t>, kuri veic savu darbību lidostās, tika nosūtīta informācija par plānoto kravu manifestu iesniegšanu Ministru kabineta noteikumu projekt</w:t>
            </w:r>
            <w:r w:rsidR="00FC1659" w:rsidRPr="000C7511">
              <w:rPr>
                <w:sz w:val="24"/>
                <w:szCs w:val="24"/>
                <w:lang w:val="lv-LV" w:eastAsia="lv-LV"/>
              </w:rPr>
              <w:t>ā</w:t>
            </w:r>
            <w:r w:rsidRPr="000C7511">
              <w:rPr>
                <w:sz w:val="24"/>
                <w:szCs w:val="24"/>
                <w:lang w:val="lv-LV" w:eastAsia="lv-LV"/>
              </w:rPr>
              <w:t xml:space="preserve"> minētajā sistēmā.</w:t>
            </w:r>
          </w:p>
          <w:p w:rsidR="00D400B7" w:rsidRPr="000C7511" w:rsidRDefault="00D400B7" w:rsidP="000C7511">
            <w:pPr>
              <w:pStyle w:val="NoSpacing"/>
              <w:ind w:left="127" w:right="126"/>
              <w:jc w:val="both"/>
              <w:rPr>
                <w:sz w:val="24"/>
                <w:szCs w:val="24"/>
                <w:lang w:val="lv-LV" w:eastAsia="lv-LV"/>
              </w:rPr>
            </w:pPr>
            <w:r w:rsidRPr="000C7511">
              <w:rPr>
                <w:sz w:val="24"/>
                <w:szCs w:val="24"/>
                <w:lang w:val="lv-LV" w:eastAsia="lv-LV"/>
              </w:rPr>
              <w:t>2012.gada 19.decembrī V</w:t>
            </w:r>
            <w:r w:rsidR="00A274EE" w:rsidRPr="000C7511">
              <w:rPr>
                <w:sz w:val="24"/>
                <w:szCs w:val="24"/>
                <w:lang w:val="lv-LV" w:eastAsia="lv-LV"/>
              </w:rPr>
              <w:t>ID</w:t>
            </w:r>
            <w:r w:rsidRPr="000C7511">
              <w:rPr>
                <w:sz w:val="24"/>
                <w:szCs w:val="24"/>
                <w:lang w:val="lv-LV" w:eastAsia="lv-LV"/>
              </w:rPr>
              <w:t xml:space="preserve"> Muitas pārvaldē tika prezentētas manifestu iesniegšanas iespējas EMDAS un datu turpmāko izmantošanu </w:t>
            </w:r>
            <w:r w:rsidR="00FC04CC" w:rsidRPr="000C7511">
              <w:rPr>
                <w:sz w:val="24"/>
                <w:szCs w:val="24"/>
                <w:u w:val="single"/>
                <w:lang w:val="lv-LV" w:eastAsia="lv-LV"/>
              </w:rPr>
              <w:t>kopsavilkuma deklarācijas par pagaidu uzglabāšanu</w:t>
            </w:r>
            <w:r w:rsidR="00FC04CC" w:rsidRPr="000C7511" w:rsidDel="00FC04CC">
              <w:rPr>
                <w:sz w:val="24"/>
                <w:szCs w:val="24"/>
                <w:lang w:val="lv-LV" w:eastAsia="lv-LV"/>
              </w:rPr>
              <w:t xml:space="preserve"> </w:t>
            </w:r>
            <w:r w:rsidRPr="000C7511">
              <w:rPr>
                <w:sz w:val="24"/>
                <w:szCs w:val="24"/>
                <w:lang w:val="lv-LV" w:eastAsia="lv-LV"/>
              </w:rPr>
              <w:t>noformēšanai.</w:t>
            </w:r>
          </w:p>
          <w:p w:rsidR="00D400B7" w:rsidRPr="000C7511" w:rsidRDefault="00D400B7" w:rsidP="000C7511">
            <w:pPr>
              <w:pStyle w:val="NoSpacing"/>
              <w:ind w:left="127" w:right="126"/>
              <w:jc w:val="both"/>
              <w:rPr>
                <w:sz w:val="24"/>
                <w:szCs w:val="24"/>
                <w:lang w:val="lv-LV" w:eastAsia="lv-LV"/>
              </w:rPr>
            </w:pPr>
            <w:r w:rsidRPr="000C7511">
              <w:rPr>
                <w:sz w:val="24"/>
                <w:szCs w:val="24"/>
                <w:lang w:val="lv-LV" w:eastAsia="lv-LV"/>
              </w:rPr>
              <w:t xml:space="preserve">2013.gada februārī Latvijas nacionālās kravas ekspeditoru un loģistikas asociācijas LAFF biedriem tika nosūtītas e-vēstules ar kravu manifestu un </w:t>
            </w:r>
            <w:r w:rsidR="002C4AC8" w:rsidRPr="000C7511">
              <w:rPr>
                <w:sz w:val="24"/>
                <w:szCs w:val="24"/>
                <w:u w:val="single"/>
                <w:lang w:val="lv-LV" w:eastAsia="lv-LV"/>
              </w:rPr>
              <w:t>kopsavilkuma deklarācijas par pagaidu uzglabāšanu</w:t>
            </w:r>
            <w:r w:rsidR="002C4AC8" w:rsidRPr="000C7511" w:rsidDel="002C4AC8">
              <w:rPr>
                <w:sz w:val="24"/>
                <w:szCs w:val="24"/>
                <w:lang w:val="lv-LV" w:eastAsia="lv-LV"/>
              </w:rPr>
              <w:t xml:space="preserve"> </w:t>
            </w:r>
            <w:r w:rsidRPr="000C7511">
              <w:rPr>
                <w:sz w:val="24"/>
                <w:szCs w:val="24"/>
                <w:lang w:val="lv-LV" w:eastAsia="lv-LV"/>
              </w:rPr>
              <w:t>elektroniskās iesniegšanas aprakstu</w:t>
            </w:r>
            <w:r w:rsidR="000C7511" w:rsidRPr="000C7511">
              <w:rPr>
                <w:sz w:val="24"/>
                <w:szCs w:val="24"/>
                <w:lang w:val="lv-LV" w:eastAsia="lv-LV"/>
              </w:rPr>
              <w:t>.</w:t>
            </w:r>
          </w:p>
        </w:tc>
      </w:tr>
      <w:tr w:rsidR="006B2B45" w:rsidRPr="000C7511" w:rsidTr="006B2B45">
        <w:trPr>
          <w:trHeight w:val="427"/>
          <w:tblCellSpacing w:w="0" w:type="dxa"/>
        </w:trPr>
        <w:tc>
          <w:tcPr>
            <w:tcW w:w="724" w:type="dxa"/>
            <w:tcBorders>
              <w:top w:val="outset" w:sz="6" w:space="0" w:color="auto"/>
              <w:left w:val="outset" w:sz="6" w:space="0" w:color="auto"/>
              <w:bottom w:val="outset" w:sz="6" w:space="0" w:color="auto"/>
              <w:right w:val="outset" w:sz="6" w:space="0" w:color="auto"/>
            </w:tcBorders>
          </w:tcPr>
          <w:p w:rsidR="00A42A77" w:rsidRPr="000C7511" w:rsidRDefault="00465029" w:rsidP="008F215A">
            <w:pPr>
              <w:spacing w:after="0"/>
              <w:ind w:left="0"/>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 </w:t>
            </w:r>
            <w:r w:rsidR="00606114" w:rsidRPr="000C7511">
              <w:rPr>
                <w:rFonts w:ascii="Times New Roman" w:eastAsia="Times New Roman" w:hAnsi="Times New Roman" w:cs="Times New Roman"/>
                <w:sz w:val="24"/>
                <w:szCs w:val="24"/>
                <w:lang w:eastAsia="lv-LV"/>
              </w:rPr>
              <w:t>2.</w:t>
            </w:r>
          </w:p>
        </w:tc>
        <w:tc>
          <w:tcPr>
            <w:tcW w:w="2126" w:type="dxa"/>
            <w:gridSpan w:val="4"/>
            <w:tcBorders>
              <w:top w:val="outset" w:sz="6" w:space="0" w:color="auto"/>
              <w:left w:val="outset" w:sz="6" w:space="0" w:color="auto"/>
              <w:bottom w:val="outset" w:sz="6" w:space="0" w:color="auto"/>
              <w:right w:val="outset" w:sz="6" w:space="0" w:color="auto"/>
            </w:tcBorders>
          </w:tcPr>
          <w:p w:rsidR="00A42A77" w:rsidRPr="000C7511" w:rsidRDefault="00606114" w:rsidP="00C624E8">
            <w:pPr>
              <w:pStyle w:val="NoSpacing"/>
              <w:rPr>
                <w:sz w:val="24"/>
                <w:szCs w:val="24"/>
                <w:lang w:val="lv-LV" w:eastAsia="lv-LV"/>
              </w:rPr>
            </w:pPr>
            <w:r w:rsidRPr="000C7511">
              <w:rPr>
                <w:sz w:val="24"/>
                <w:szCs w:val="24"/>
                <w:lang w:val="lv-LV" w:eastAsia="lv-LV"/>
              </w:rPr>
              <w:t>Sabiedrības līdzdalība</w:t>
            </w:r>
            <w:r w:rsidR="00B9471E" w:rsidRPr="000C7511">
              <w:rPr>
                <w:sz w:val="24"/>
                <w:szCs w:val="24"/>
                <w:lang w:val="lv-LV" w:eastAsia="lv-LV"/>
              </w:rPr>
              <w:t xml:space="preserve"> </w:t>
            </w:r>
            <w:r w:rsidRPr="000C7511">
              <w:rPr>
                <w:sz w:val="24"/>
                <w:szCs w:val="24"/>
                <w:lang w:val="lv-LV" w:eastAsia="lv-LV"/>
              </w:rPr>
              <w:t>projekta izstrādē</w:t>
            </w:r>
          </w:p>
        </w:tc>
        <w:tc>
          <w:tcPr>
            <w:tcW w:w="6237" w:type="dxa"/>
            <w:gridSpan w:val="8"/>
            <w:tcBorders>
              <w:top w:val="outset" w:sz="6" w:space="0" w:color="auto"/>
              <w:left w:val="outset" w:sz="6" w:space="0" w:color="auto"/>
              <w:bottom w:val="outset" w:sz="6" w:space="0" w:color="auto"/>
              <w:right w:val="outset" w:sz="6" w:space="0" w:color="auto"/>
            </w:tcBorders>
          </w:tcPr>
          <w:p w:rsidR="00A42A77" w:rsidRPr="000C7511" w:rsidRDefault="00FC1659" w:rsidP="000C7511">
            <w:pPr>
              <w:pStyle w:val="NoSpacing"/>
              <w:ind w:left="127" w:right="126"/>
              <w:jc w:val="both"/>
              <w:rPr>
                <w:sz w:val="24"/>
                <w:szCs w:val="24"/>
                <w:lang w:val="lv-LV" w:eastAsia="lv-LV"/>
              </w:rPr>
            </w:pPr>
            <w:r w:rsidRPr="000C7511">
              <w:rPr>
                <w:sz w:val="24"/>
                <w:szCs w:val="24"/>
                <w:lang w:val="lv-LV" w:eastAsia="lv-LV"/>
              </w:rPr>
              <w:t>Ar pagaidu uzglabāšanas atļauju turētājiem, kuri  interes</w:t>
            </w:r>
            <w:r w:rsidR="00A274EE" w:rsidRPr="000C7511">
              <w:rPr>
                <w:sz w:val="24"/>
                <w:szCs w:val="24"/>
                <w:lang w:val="lv-LV" w:eastAsia="lv-LV"/>
              </w:rPr>
              <w:t>ējās</w:t>
            </w:r>
            <w:r w:rsidRPr="000C7511">
              <w:rPr>
                <w:sz w:val="24"/>
                <w:szCs w:val="24"/>
                <w:lang w:val="lv-LV" w:eastAsia="lv-LV"/>
              </w:rPr>
              <w:t xml:space="preserve">, sarakstes laikā tika precizēts pagaidu uzglabāšanas biznesa process, kā arī </w:t>
            </w:r>
            <w:r w:rsidR="00D754A9" w:rsidRPr="000C7511">
              <w:rPr>
                <w:sz w:val="24"/>
                <w:szCs w:val="24"/>
                <w:lang w:val="lv-LV" w:eastAsia="lv-LV"/>
              </w:rPr>
              <w:t>Ministru kabineta noteikumu projektā minētās sistēmas izstrādē</w:t>
            </w:r>
            <w:r w:rsidR="00D754A9" w:rsidRPr="000C7511" w:rsidDel="00D754A9">
              <w:rPr>
                <w:sz w:val="24"/>
                <w:szCs w:val="24"/>
                <w:lang w:val="lv-LV" w:eastAsia="lv-LV"/>
              </w:rPr>
              <w:t xml:space="preserve"> </w:t>
            </w:r>
            <w:r w:rsidRPr="000C7511">
              <w:rPr>
                <w:sz w:val="24"/>
                <w:szCs w:val="24"/>
                <w:lang w:val="lv-LV" w:eastAsia="lv-LV"/>
              </w:rPr>
              <w:t xml:space="preserve">ņemts vērā </w:t>
            </w:r>
            <w:r w:rsidR="00D754A9" w:rsidRPr="000C7511">
              <w:rPr>
                <w:sz w:val="24"/>
                <w:szCs w:val="24"/>
                <w:lang w:val="lv-LV" w:eastAsia="lv-LV"/>
              </w:rPr>
              <w:t>viņu viedoklis</w:t>
            </w:r>
            <w:r w:rsidRPr="000C7511">
              <w:rPr>
                <w:sz w:val="24"/>
                <w:szCs w:val="24"/>
                <w:lang w:val="lv-LV" w:eastAsia="lv-LV"/>
              </w:rPr>
              <w:t>.</w:t>
            </w:r>
            <w:r w:rsidR="006B17A5" w:rsidRPr="000C7511">
              <w:rPr>
                <w:sz w:val="24"/>
                <w:szCs w:val="24"/>
                <w:lang w:val="lv-LV" w:eastAsia="lv-LV"/>
              </w:rPr>
              <w:t xml:space="preserve"> Sarakstes laikā tika konstatēts, ka</w:t>
            </w:r>
            <w:r w:rsidR="00D754A9" w:rsidRPr="000C7511">
              <w:rPr>
                <w:sz w:val="24"/>
                <w:szCs w:val="24"/>
                <w:lang w:val="lv-LV" w:eastAsia="lv-LV"/>
              </w:rPr>
              <w:t>,</w:t>
            </w:r>
            <w:r w:rsidR="006B17A5" w:rsidRPr="000C7511">
              <w:rPr>
                <w:sz w:val="24"/>
                <w:szCs w:val="24"/>
                <w:lang w:val="lv-LV" w:eastAsia="lv-LV"/>
              </w:rPr>
              <w:t xml:space="preserve"> piesakot pagaidu uzglabāšanu, komersanti iesniedz muitā kravas manifestu. Lai paātrinātu pagaidu uzglabāšanas noformēšanas procesu, tika uzsākts darbs pie elektroniskās manifestu iesniegšanas un apstrādes, nodrošinot atkārtotu</w:t>
            </w:r>
            <w:r w:rsidR="00B9471E" w:rsidRPr="000C7511">
              <w:rPr>
                <w:sz w:val="24"/>
                <w:szCs w:val="24"/>
                <w:lang w:val="lv-LV" w:eastAsia="lv-LV"/>
              </w:rPr>
              <w:t xml:space="preserve"> </w:t>
            </w:r>
            <w:r w:rsidR="006B17A5" w:rsidRPr="000C7511">
              <w:rPr>
                <w:sz w:val="24"/>
                <w:szCs w:val="24"/>
                <w:lang w:val="lv-LV" w:eastAsia="lv-LV"/>
              </w:rPr>
              <w:t>datu izmantošanu pagaidu uzglabāšanas noformēšanai. Sadarbībā ar komersantiem</w:t>
            </w:r>
            <w:r w:rsidR="00B9471E" w:rsidRPr="000C7511">
              <w:rPr>
                <w:sz w:val="24"/>
                <w:szCs w:val="24"/>
                <w:lang w:val="lv-LV" w:eastAsia="lv-LV"/>
              </w:rPr>
              <w:t xml:space="preserve"> tika </w:t>
            </w:r>
            <w:r w:rsidR="0093179B" w:rsidRPr="000C7511">
              <w:rPr>
                <w:sz w:val="24"/>
                <w:szCs w:val="24"/>
                <w:lang w:val="lv-LV" w:eastAsia="lv-LV"/>
              </w:rPr>
              <w:t>precizētas prasības avio</w:t>
            </w:r>
            <w:r w:rsidR="00D852C6" w:rsidRPr="000C7511">
              <w:rPr>
                <w:sz w:val="24"/>
                <w:szCs w:val="24"/>
                <w:lang w:val="lv-LV" w:eastAsia="lv-LV"/>
              </w:rPr>
              <w:t xml:space="preserve"> </w:t>
            </w:r>
            <w:r w:rsidR="0093179B" w:rsidRPr="000C7511">
              <w:rPr>
                <w:sz w:val="24"/>
                <w:szCs w:val="24"/>
                <w:lang w:val="lv-LV" w:eastAsia="lv-LV"/>
              </w:rPr>
              <w:t xml:space="preserve">kravu manifestu iesniegšanai un apstrādei sistēmā. Latvijas nacionālās kravas ekspeditoru un loģistikas asociācijas </w:t>
            </w:r>
            <w:r w:rsidR="0093179B" w:rsidRPr="000C7511">
              <w:rPr>
                <w:i/>
                <w:sz w:val="24"/>
                <w:szCs w:val="24"/>
                <w:lang w:val="lv-LV" w:eastAsia="lv-LV"/>
              </w:rPr>
              <w:t>LAFF</w:t>
            </w:r>
            <w:r w:rsidR="0093179B" w:rsidRPr="000C7511">
              <w:rPr>
                <w:sz w:val="24"/>
                <w:szCs w:val="24"/>
                <w:lang w:val="lv-LV" w:eastAsia="lv-LV"/>
              </w:rPr>
              <w:t xml:space="preserve"> biedri</w:t>
            </w:r>
            <w:r w:rsidR="00D754A9" w:rsidRPr="000C7511">
              <w:rPr>
                <w:sz w:val="24"/>
                <w:szCs w:val="24"/>
                <w:lang w:val="lv-LV" w:eastAsia="lv-LV"/>
              </w:rPr>
              <w:t xml:space="preserve"> par šiem jautājumiem</w:t>
            </w:r>
            <w:r w:rsidR="0093179B" w:rsidRPr="000C7511">
              <w:rPr>
                <w:sz w:val="24"/>
                <w:szCs w:val="24"/>
                <w:lang w:val="lv-LV" w:eastAsia="lv-LV"/>
              </w:rPr>
              <w:t xml:space="preserve"> </w:t>
            </w:r>
            <w:r w:rsidR="00465029" w:rsidRPr="000C7511">
              <w:rPr>
                <w:sz w:val="24"/>
                <w:szCs w:val="24"/>
                <w:lang w:val="lv-LV" w:eastAsia="lv-LV"/>
              </w:rPr>
              <w:t>ne</w:t>
            </w:r>
            <w:r w:rsidR="0093179B" w:rsidRPr="000C7511">
              <w:rPr>
                <w:sz w:val="24"/>
                <w:szCs w:val="24"/>
                <w:lang w:val="lv-LV" w:eastAsia="lv-LV"/>
              </w:rPr>
              <w:t>interes</w:t>
            </w:r>
            <w:r w:rsidR="00465029" w:rsidRPr="000C7511">
              <w:rPr>
                <w:sz w:val="24"/>
                <w:szCs w:val="24"/>
                <w:lang w:val="lv-LV" w:eastAsia="lv-LV"/>
              </w:rPr>
              <w:t>ējās</w:t>
            </w:r>
            <w:r w:rsidR="0093179B" w:rsidRPr="000C7511">
              <w:rPr>
                <w:sz w:val="24"/>
                <w:szCs w:val="24"/>
                <w:lang w:val="lv-LV" w:eastAsia="lv-LV"/>
              </w:rPr>
              <w:t xml:space="preserve">. </w:t>
            </w:r>
          </w:p>
          <w:p w:rsidR="0093179B" w:rsidRPr="000C7511" w:rsidRDefault="0093179B" w:rsidP="000C7511">
            <w:pPr>
              <w:pStyle w:val="NoSpacing"/>
              <w:ind w:left="127" w:right="126"/>
              <w:jc w:val="both"/>
              <w:rPr>
                <w:sz w:val="24"/>
                <w:szCs w:val="24"/>
                <w:lang w:val="lv-LV" w:eastAsia="lv-LV"/>
              </w:rPr>
            </w:pPr>
            <w:r w:rsidRPr="000C7511">
              <w:rPr>
                <w:sz w:val="24"/>
                <w:szCs w:val="24"/>
                <w:lang w:val="lv-LV" w:eastAsia="lv-LV"/>
              </w:rPr>
              <w:t>2013.gada 5.septembrī V</w:t>
            </w:r>
            <w:r w:rsidR="00D754A9" w:rsidRPr="000C7511">
              <w:rPr>
                <w:sz w:val="24"/>
                <w:szCs w:val="24"/>
                <w:lang w:val="lv-LV" w:eastAsia="lv-LV"/>
              </w:rPr>
              <w:t>ID</w:t>
            </w:r>
            <w:r w:rsidRPr="000C7511">
              <w:rPr>
                <w:sz w:val="24"/>
                <w:szCs w:val="24"/>
                <w:lang w:val="lv-LV" w:eastAsia="lv-LV"/>
              </w:rPr>
              <w:t xml:space="preserve"> mājas</w:t>
            </w:r>
            <w:r w:rsidR="00D852C6" w:rsidRPr="000C7511">
              <w:rPr>
                <w:sz w:val="24"/>
                <w:szCs w:val="24"/>
                <w:lang w:val="lv-LV" w:eastAsia="lv-LV"/>
              </w:rPr>
              <w:t xml:space="preserve"> </w:t>
            </w:r>
            <w:r w:rsidRPr="000C7511">
              <w:rPr>
                <w:sz w:val="24"/>
                <w:szCs w:val="24"/>
                <w:lang w:val="lv-LV" w:eastAsia="lv-LV"/>
              </w:rPr>
              <w:t xml:space="preserve">lapā sadaļā </w:t>
            </w:r>
            <w:r w:rsidR="00D754A9" w:rsidRPr="000C7511">
              <w:rPr>
                <w:sz w:val="24"/>
                <w:szCs w:val="24"/>
                <w:lang w:val="lv-LV" w:eastAsia="lv-LV"/>
              </w:rPr>
              <w:t>“</w:t>
            </w:r>
            <w:r w:rsidRPr="000C7511">
              <w:rPr>
                <w:sz w:val="24"/>
                <w:szCs w:val="24"/>
                <w:lang w:val="lv-LV" w:eastAsia="lv-LV"/>
              </w:rPr>
              <w:t>E-muita</w:t>
            </w:r>
            <w:r w:rsidR="00D754A9" w:rsidRPr="000C7511">
              <w:rPr>
                <w:sz w:val="24"/>
                <w:szCs w:val="24"/>
                <w:lang w:val="lv-LV" w:eastAsia="lv-LV"/>
              </w:rPr>
              <w:t>”</w:t>
            </w:r>
            <w:r w:rsidRPr="000C7511">
              <w:rPr>
                <w:sz w:val="24"/>
                <w:szCs w:val="24"/>
                <w:lang w:val="lv-LV" w:eastAsia="lv-LV"/>
              </w:rPr>
              <w:t xml:space="preserve"> tika publicēta informācija par pieteikšanās iespējām</w:t>
            </w:r>
            <w:r w:rsidR="00D754A9" w:rsidRPr="000C7511">
              <w:rPr>
                <w:sz w:val="24"/>
                <w:szCs w:val="24"/>
                <w:lang w:val="lv-LV" w:eastAsia="lv-LV"/>
              </w:rPr>
              <w:t xml:space="preserve"> pagaidu uzglabāšanas sistēmas testēšanai</w:t>
            </w:r>
          </w:p>
        </w:tc>
      </w:tr>
      <w:tr w:rsidR="006B2B45" w:rsidRPr="000C7511" w:rsidTr="006B2B45">
        <w:trPr>
          <w:trHeight w:val="427"/>
          <w:tblCellSpacing w:w="0" w:type="dxa"/>
        </w:trPr>
        <w:tc>
          <w:tcPr>
            <w:tcW w:w="724" w:type="dxa"/>
            <w:tcBorders>
              <w:top w:val="outset" w:sz="6" w:space="0" w:color="auto"/>
              <w:left w:val="outset" w:sz="6" w:space="0" w:color="auto"/>
              <w:bottom w:val="outset" w:sz="6" w:space="0" w:color="auto"/>
              <w:right w:val="outset" w:sz="6" w:space="0" w:color="auto"/>
            </w:tcBorders>
          </w:tcPr>
          <w:p w:rsidR="00A42A77" w:rsidRPr="000C7511" w:rsidRDefault="00465029" w:rsidP="008F215A">
            <w:pPr>
              <w:spacing w:after="0"/>
              <w:ind w:left="0"/>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 </w:t>
            </w:r>
            <w:r w:rsidR="00606114" w:rsidRPr="000C7511">
              <w:rPr>
                <w:rFonts w:ascii="Times New Roman" w:eastAsia="Times New Roman" w:hAnsi="Times New Roman" w:cs="Times New Roman"/>
                <w:sz w:val="24"/>
                <w:szCs w:val="24"/>
                <w:lang w:eastAsia="lv-LV"/>
              </w:rPr>
              <w:t>3.</w:t>
            </w:r>
          </w:p>
        </w:tc>
        <w:tc>
          <w:tcPr>
            <w:tcW w:w="2126" w:type="dxa"/>
            <w:gridSpan w:val="4"/>
            <w:tcBorders>
              <w:top w:val="outset" w:sz="6" w:space="0" w:color="auto"/>
              <w:left w:val="outset" w:sz="6" w:space="0" w:color="auto"/>
              <w:bottom w:val="outset" w:sz="6" w:space="0" w:color="auto"/>
              <w:right w:val="outset" w:sz="6" w:space="0" w:color="auto"/>
            </w:tcBorders>
          </w:tcPr>
          <w:p w:rsidR="00A42A77" w:rsidRPr="000C7511" w:rsidRDefault="00606114" w:rsidP="00C624E8">
            <w:pPr>
              <w:pStyle w:val="NoSpacing"/>
              <w:rPr>
                <w:sz w:val="24"/>
                <w:szCs w:val="24"/>
                <w:lang w:val="lv-LV" w:eastAsia="lv-LV"/>
              </w:rPr>
            </w:pPr>
            <w:r w:rsidRPr="000C7511">
              <w:rPr>
                <w:sz w:val="24"/>
                <w:szCs w:val="24"/>
                <w:lang w:val="lv-LV" w:eastAsia="lv-LV"/>
              </w:rPr>
              <w:t>Sabiedrības līdzdalības rezultāti</w:t>
            </w:r>
          </w:p>
        </w:tc>
        <w:tc>
          <w:tcPr>
            <w:tcW w:w="6237" w:type="dxa"/>
            <w:gridSpan w:val="8"/>
            <w:tcBorders>
              <w:top w:val="outset" w:sz="6" w:space="0" w:color="auto"/>
              <w:left w:val="outset" w:sz="6" w:space="0" w:color="auto"/>
              <w:bottom w:val="outset" w:sz="6" w:space="0" w:color="auto"/>
              <w:right w:val="outset" w:sz="6" w:space="0" w:color="auto"/>
            </w:tcBorders>
          </w:tcPr>
          <w:p w:rsidR="00A42A77" w:rsidRPr="000C7511" w:rsidRDefault="00AC4FB0" w:rsidP="000C7511">
            <w:pPr>
              <w:pStyle w:val="NoSpacing"/>
              <w:ind w:left="127" w:right="126"/>
              <w:jc w:val="both"/>
              <w:rPr>
                <w:sz w:val="24"/>
                <w:szCs w:val="24"/>
                <w:lang w:val="lv-LV" w:eastAsia="lv-LV"/>
              </w:rPr>
            </w:pPr>
            <w:r w:rsidRPr="000C7511">
              <w:rPr>
                <w:sz w:val="24"/>
                <w:szCs w:val="24"/>
                <w:lang w:val="lv-LV" w:eastAsia="lv-LV"/>
              </w:rPr>
              <w:t>Ministru kabineta noteikumu projekta izstrādes gaitā tika ņemti vērā komersantu viedokļi saistībā ar minētās sistēmas ieviešanu</w:t>
            </w:r>
          </w:p>
        </w:tc>
      </w:tr>
      <w:tr w:rsidR="006B2B45" w:rsidRPr="000C7511" w:rsidTr="006B2B45">
        <w:trPr>
          <w:trHeight w:val="427"/>
          <w:tblCellSpacing w:w="0" w:type="dxa"/>
        </w:trPr>
        <w:tc>
          <w:tcPr>
            <w:tcW w:w="724" w:type="dxa"/>
            <w:tcBorders>
              <w:top w:val="outset" w:sz="6" w:space="0" w:color="auto"/>
              <w:left w:val="outset" w:sz="6" w:space="0" w:color="auto"/>
              <w:bottom w:val="outset" w:sz="6" w:space="0" w:color="auto"/>
              <w:right w:val="outset" w:sz="6" w:space="0" w:color="auto"/>
            </w:tcBorders>
          </w:tcPr>
          <w:p w:rsidR="00A42A77" w:rsidRPr="000C7511" w:rsidRDefault="00465029" w:rsidP="008F215A">
            <w:pPr>
              <w:spacing w:after="0"/>
              <w:ind w:left="0"/>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 </w:t>
            </w:r>
            <w:r w:rsidR="00606114" w:rsidRPr="000C7511">
              <w:rPr>
                <w:rFonts w:ascii="Times New Roman" w:eastAsia="Times New Roman" w:hAnsi="Times New Roman" w:cs="Times New Roman"/>
                <w:sz w:val="24"/>
                <w:szCs w:val="24"/>
                <w:lang w:eastAsia="lv-LV"/>
              </w:rPr>
              <w:t>4.</w:t>
            </w:r>
          </w:p>
        </w:tc>
        <w:tc>
          <w:tcPr>
            <w:tcW w:w="2126" w:type="dxa"/>
            <w:gridSpan w:val="4"/>
            <w:tcBorders>
              <w:top w:val="outset" w:sz="6" w:space="0" w:color="auto"/>
              <w:left w:val="outset" w:sz="6" w:space="0" w:color="auto"/>
              <w:bottom w:val="outset" w:sz="6" w:space="0" w:color="auto"/>
              <w:right w:val="outset" w:sz="6" w:space="0" w:color="auto"/>
            </w:tcBorders>
          </w:tcPr>
          <w:p w:rsidR="00A42A77" w:rsidRPr="000C7511" w:rsidRDefault="00606114" w:rsidP="00C624E8">
            <w:pPr>
              <w:pStyle w:val="NoSpacing"/>
              <w:rPr>
                <w:sz w:val="24"/>
                <w:szCs w:val="24"/>
                <w:lang w:val="lv-LV" w:eastAsia="lv-LV"/>
              </w:rPr>
            </w:pPr>
            <w:r w:rsidRPr="000C7511">
              <w:rPr>
                <w:sz w:val="24"/>
                <w:szCs w:val="24"/>
                <w:lang w:val="lv-LV" w:eastAsia="lv-LV"/>
              </w:rPr>
              <w:t>Saeimas un ekspertu līdzdalība</w:t>
            </w:r>
          </w:p>
        </w:tc>
        <w:tc>
          <w:tcPr>
            <w:tcW w:w="6237" w:type="dxa"/>
            <w:gridSpan w:val="8"/>
            <w:tcBorders>
              <w:top w:val="outset" w:sz="6" w:space="0" w:color="auto"/>
              <w:left w:val="outset" w:sz="6" w:space="0" w:color="auto"/>
              <w:bottom w:val="outset" w:sz="6" w:space="0" w:color="auto"/>
              <w:right w:val="outset" w:sz="6" w:space="0" w:color="auto"/>
            </w:tcBorders>
          </w:tcPr>
          <w:p w:rsidR="00A42A77" w:rsidRPr="000C7511" w:rsidRDefault="00AC4FB0" w:rsidP="000C7511">
            <w:pPr>
              <w:pStyle w:val="NoSpacing"/>
              <w:ind w:left="127" w:right="126"/>
              <w:rPr>
                <w:sz w:val="24"/>
                <w:szCs w:val="24"/>
                <w:lang w:val="lv-LV" w:eastAsia="lv-LV"/>
              </w:rPr>
            </w:pPr>
            <w:r w:rsidRPr="000C7511">
              <w:rPr>
                <w:sz w:val="24"/>
                <w:szCs w:val="24"/>
                <w:lang w:val="lv-LV" w:eastAsia="lv-LV"/>
              </w:rPr>
              <w:t>Projekts šo jomu neskar</w:t>
            </w:r>
          </w:p>
        </w:tc>
      </w:tr>
      <w:tr w:rsidR="006B2B45" w:rsidRPr="000C7511" w:rsidTr="006B2B45">
        <w:trPr>
          <w:trHeight w:val="427"/>
          <w:tblCellSpacing w:w="0" w:type="dxa"/>
        </w:trPr>
        <w:tc>
          <w:tcPr>
            <w:tcW w:w="724" w:type="dxa"/>
            <w:tcBorders>
              <w:top w:val="outset" w:sz="6" w:space="0" w:color="auto"/>
              <w:left w:val="outset" w:sz="6" w:space="0" w:color="auto"/>
              <w:bottom w:val="outset" w:sz="6" w:space="0" w:color="auto"/>
              <w:right w:val="outset" w:sz="6" w:space="0" w:color="auto"/>
            </w:tcBorders>
          </w:tcPr>
          <w:p w:rsidR="00A42A77" w:rsidRPr="000C7511" w:rsidRDefault="00465029" w:rsidP="008F215A">
            <w:pPr>
              <w:spacing w:after="0"/>
              <w:ind w:left="0"/>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 </w:t>
            </w:r>
            <w:r w:rsidR="00606114" w:rsidRPr="000C7511">
              <w:rPr>
                <w:rFonts w:ascii="Times New Roman" w:eastAsia="Times New Roman" w:hAnsi="Times New Roman" w:cs="Times New Roman"/>
                <w:sz w:val="24"/>
                <w:szCs w:val="24"/>
                <w:lang w:eastAsia="lv-LV"/>
              </w:rPr>
              <w:t>5.</w:t>
            </w:r>
          </w:p>
        </w:tc>
        <w:tc>
          <w:tcPr>
            <w:tcW w:w="2126" w:type="dxa"/>
            <w:gridSpan w:val="4"/>
            <w:tcBorders>
              <w:top w:val="outset" w:sz="6" w:space="0" w:color="auto"/>
              <w:left w:val="outset" w:sz="6" w:space="0" w:color="auto"/>
              <w:bottom w:val="outset" w:sz="6" w:space="0" w:color="auto"/>
              <w:right w:val="outset" w:sz="6" w:space="0" w:color="auto"/>
            </w:tcBorders>
          </w:tcPr>
          <w:p w:rsidR="00A42A77" w:rsidRPr="000C7511" w:rsidRDefault="00606114" w:rsidP="00C624E8">
            <w:pPr>
              <w:pStyle w:val="NoSpacing"/>
              <w:rPr>
                <w:sz w:val="24"/>
                <w:szCs w:val="24"/>
                <w:lang w:val="lv-LV" w:eastAsia="lv-LV"/>
              </w:rPr>
            </w:pPr>
            <w:r w:rsidRPr="000C7511">
              <w:rPr>
                <w:sz w:val="24"/>
                <w:szCs w:val="24"/>
                <w:lang w:val="lv-LV" w:eastAsia="lv-LV"/>
              </w:rPr>
              <w:t>Cita informācija</w:t>
            </w:r>
          </w:p>
        </w:tc>
        <w:tc>
          <w:tcPr>
            <w:tcW w:w="6237" w:type="dxa"/>
            <w:gridSpan w:val="8"/>
            <w:tcBorders>
              <w:top w:val="outset" w:sz="6" w:space="0" w:color="auto"/>
              <w:left w:val="outset" w:sz="6" w:space="0" w:color="auto"/>
              <w:bottom w:val="outset" w:sz="6" w:space="0" w:color="auto"/>
              <w:right w:val="outset" w:sz="6" w:space="0" w:color="auto"/>
            </w:tcBorders>
          </w:tcPr>
          <w:p w:rsidR="00A42A77" w:rsidRPr="000C7511" w:rsidRDefault="00B9471E" w:rsidP="000C7511">
            <w:pPr>
              <w:pStyle w:val="NoSpacing"/>
              <w:ind w:left="127" w:right="126"/>
              <w:jc w:val="both"/>
              <w:rPr>
                <w:sz w:val="24"/>
                <w:szCs w:val="24"/>
                <w:lang w:val="lv-LV" w:eastAsia="lv-LV"/>
              </w:rPr>
            </w:pPr>
            <w:r w:rsidRPr="000C7511">
              <w:rPr>
                <w:sz w:val="24"/>
                <w:szCs w:val="24"/>
                <w:lang w:val="lv-LV" w:eastAsia="lv-LV"/>
              </w:rPr>
              <w:t>V</w:t>
            </w:r>
            <w:r w:rsidR="00465029" w:rsidRPr="000C7511">
              <w:rPr>
                <w:sz w:val="24"/>
                <w:szCs w:val="24"/>
                <w:lang w:val="lv-LV" w:eastAsia="lv-LV"/>
              </w:rPr>
              <w:t>ID</w:t>
            </w:r>
            <w:r w:rsidRPr="000C7511">
              <w:rPr>
                <w:sz w:val="24"/>
                <w:szCs w:val="24"/>
                <w:lang w:val="lv-LV" w:eastAsia="lv-LV"/>
              </w:rPr>
              <w:t xml:space="preserve"> veic pārrunas ar komersantu par pilotprojektu saistībā ar Ministru kabineta noteikumu projektā minēto sistēmu. </w:t>
            </w:r>
          </w:p>
          <w:p w:rsidR="00B9471E" w:rsidRPr="000C7511" w:rsidRDefault="00B9471E" w:rsidP="000C7511">
            <w:pPr>
              <w:pStyle w:val="NoSpacing"/>
              <w:ind w:left="127" w:right="126"/>
              <w:jc w:val="both"/>
              <w:rPr>
                <w:sz w:val="24"/>
                <w:szCs w:val="24"/>
                <w:lang w:val="lv-LV" w:eastAsia="lv-LV"/>
              </w:rPr>
            </w:pPr>
            <w:r w:rsidRPr="000C7511">
              <w:rPr>
                <w:sz w:val="24"/>
                <w:szCs w:val="24"/>
                <w:lang w:val="lv-LV" w:eastAsia="lv-LV"/>
              </w:rPr>
              <w:t>Lai komersanti varētu iepazīties ar sistēmu, ir sagatavota informācija presei</w:t>
            </w:r>
          </w:p>
        </w:tc>
      </w:tr>
      <w:tr w:rsidR="00434DD4" w:rsidRPr="000C7511" w:rsidTr="006B2B45">
        <w:trPr>
          <w:trHeight w:val="427"/>
          <w:tblCellSpacing w:w="0" w:type="dxa"/>
        </w:trPr>
        <w:tc>
          <w:tcPr>
            <w:tcW w:w="9087" w:type="dxa"/>
            <w:gridSpan w:val="13"/>
            <w:tcBorders>
              <w:top w:val="outset" w:sz="6" w:space="0" w:color="auto"/>
              <w:left w:val="outset" w:sz="6" w:space="0" w:color="auto"/>
              <w:bottom w:val="outset" w:sz="6" w:space="0" w:color="auto"/>
              <w:right w:val="outset" w:sz="6" w:space="0" w:color="auto"/>
            </w:tcBorders>
          </w:tcPr>
          <w:p w:rsidR="00434DD4" w:rsidRPr="000C7511" w:rsidRDefault="00434DD4" w:rsidP="008F215A">
            <w:pPr>
              <w:spacing w:after="0"/>
              <w:ind w:left="0"/>
              <w:jc w:val="center"/>
              <w:rPr>
                <w:rFonts w:ascii="Times New Roman" w:eastAsia="Times New Roman" w:hAnsi="Times New Roman" w:cs="Times New Roman"/>
                <w:sz w:val="24"/>
                <w:szCs w:val="24"/>
                <w:lang w:eastAsia="lv-LV"/>
              </w:rPr>
            </w:pPr>
            <w:r w:rsidRPr="000C7511">
              <w:rPr>
                <w:rFonts w:ascii="Times New Roman" w:eastAsia="Times New Roman" w:hAnsi="Times New Roman" w:cs="Times New Roman"/>
                <w:b/>
                <w:bCs/>
                <w:sz w:val="24"/>
                <w:szCs w:val="24"/>
                <w:lang w:eastAsia="lv-LV"/>
              </w:rPr>
              <w:t>VII. Tiesību akta projekta izpildes nodrošināšana un tās ietekme uz institūcijām</w:t>
            </w:r>
          </w:p>
        </w:tc>
      </w:tr>
      <w:tr w:rsidR="006B2B45" w:rsidRPr="000C7511" w:rsidTr="006B2B45">
        <w:trPr>
          <w:trHeight w:val="427"/>
          <w:tblCellSpacing w:w="0" w:type="dxa"/>
        </w:trPr>
        <w:tc>
          <w:tcPr>
            <w:tcW w:w="724" w:type="dxa"/>
            <w:tcBorders>
              <w:top w:val="outset" w:sz="6" w:space="0" w:color="auto"/>
              <w:left w:val="outset" w:sz="6" w:space="0" w:color="auto"/>
              <w:bottom w:val="outset" w:sz="6" w:space="0" w:color="auto"/>
              <w:right w:val="outset" w:sz="6" w:space="0" w:color="auto"/>
            </w:tcBorders>
          </w:tcPr>
          <w:p w:rsidR="00434DD4" w:rsidRPr="000C7511" w:rsidRDefault="00434DD4" w:rsidP="008F215A">
            <w:pPr>
              <w:spacing w:after="0"/>
              <w:ind w:left="0"/>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 1.</w:t>
            </w:r>
          </w:p>
        </w:tc>
        <w:tc>
          <w:tcPr>
            <w:tcW w:w="2977" w:type="dxa"/>
            <w:gridSpan w:val="8"/>
            <w:tcBorders>
              <w:top w:val="outset" w:sz="6" w:space="0" w:color="auto"/>
              <w:left w:val="outset" w:sz="6" w:space="0" w:color="auto"/>
              <w:bottom w:val="outset" w:sz="6" w:space="0" w:color="auto"/>
              <w:right w:val="outset" w:sz="6" w:space="0" w:color="auto"/>
            </w:tcBorders>
          </w:tcPr>
          <w:p w:rsidR="00434DD4" w:rsidRPr="000C7511" w:rsidRDefault="00434DD4" w:rsidP="000442EC">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Projekta izpildē iesaistītās institūcijas</w:t>
            </w:r>
          </w:p>
        </w:tc>
        <w:tc>
          <w:tcPr>
            <w:tcW w:w="5386" w:type="dxa"/>
            <w:gridSpan w:val="4"/>
            <w:tcBorders>
              <w:top w:val="outset" w:sz="6" w:space="0" w:color="auto"/>
              <w:left w:val="outset" w:sz="6" w:space="0" w:color="auto"/>
              <w:bottom w:val="outset" w:sz="6" w:space="0" w:color="auto"/>
              <w:right w:val="outset" w:sz="6" w:space="0" w:color="auto"/>
            </w:tcBorders>
          </w:tcPr>
          <w:p w:rsidR="00434DD4" w:rsidRPr="000C7511" w:rsidRDefault="00F76388" w:rsidP="000C7511">
            <w:pPr>
              <w:spacing w:before="100" w:beforeAutospacing="1" w:after="100" w:afterAutospacing="1" w:line="40" w:lineRule="atLeast"/>
              <w:ind w:left="127" w:right="126"/>
              <w:jc w:val="left"/>
              <w:rPr>
                <w:rFonts w:ascii="Times New Roman" w:eastAsia="Times New Roman" w:hAnsi="Times New Roman" w:cs="Times New Roman"/>
                <w:sz w:val="24"/>
                <w:szCs w:val="24"/>
                <w:lang w:eastAsia="lv-LV"/>
              </w:rPr>
            </w:pPr>
            <w:r w:rsidRPr="000C7511">
              <w:rPr>
                <w:rFonts w:ascii="Times New Roman" w:hAnsi="Times New Roman" w:cs="Times New Roman"/>
                <w:sz w:val="24"/>
                <w:szCs w:val="24"/>
              </w:rPr>
              <w:t xml:space="preserve">Normatīvā akta izpildi nodrošinās </w:t>
            </w:r>
            <w:r w:rsidR="007A4AE2" w:rsidRPr="000C7511">
              <w:rPr>
                <w:rFonts w:ascii="Times New Roman" w:hAnsi="Times New Roman" w:cs="Times New Roman"/>
                <w:sz w:val="24"/>
                <w:szCs w:val="24"/>
              </w:rPr>
              <w:t>VID</w:t>
            </w:r>
          </w:p>
        </w:tc>
      </w:tr>
      <w:tr w:rsidR="006B2B45" w:rsidRPr="000C7511" w:rsidTr="006B2B45">
        <w:trPr>
          <w:trHeight w:val="463"/>
          <w:tblCellSpacing w:w="0" w:type="dxa"/>
        </w:trPr>
        <w:tc>
          <w:tcPr>
            <w:tcW w:w="724" w:type="dxa"/>
            <w:tcBorders>
              <w:top w:val="outset" w:sz="6" w:space="0" w:color="auto"/>
              <w:left w:val="outset" w:sz="6" w:space="0" w:color="auto"/>
              <w:bottom w:val="outset" w:sz="6" w:space="0" w:color="auto"/>
              <w:right w:val="outset" w:sz="6" w:space="0" w:color="auto"/>
            </w:tcBorders>
            <w:hideMark/>
          </w:tcPr>
          <w:p w:rsidR="00434DD4" w:rsidRPr="000C7511" w:rsidRDefault="00434DD4" w:rsidP="008F215A">
            <w:pPr>
              <w:spacing w:after="0"/>
              <w:ind w:left="0"/>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 2.</w:t>
            </w:r>
          </w:p>
        </w:tc>
        <w:tc>
          <w:tcPr>
            <w:tcW w:w="2977" w:type="dxa"/>
            <w:gridSpan w:val="8"/>
            <w:tcBorders>
              <w:top w:val="outset" w:sz="6" w:space="0" w:color="auto"/>
              <w:left w:val="outset" w:sz="6" w:space="0" w:color="auto"/>
              <w:bottom w:val="outset" w:sz="6" w:space="0" w:color="auto"/>
              <w:right w:val="outset" w:sz="6" w:space="0" w:color="auto"/>
            </w:tcBorders>
            <w:hideMark/>
          </w:tcPr>
          <w:p w:rsidR="007A4AE2" w:rsidRPr="000C7511" w:rsidRDefault="007A4AE2" w:rsidP="007A4AE2">
            <w:pPr>
              <w:spacing w:after="0"/>
              <w:ind w:left="0"/>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 xml:space="preserve">Projekta izpildes ietekme uz pārvaldes funkcijām un institucionālo struktūru. </w:t>
            </w:r>
          </w:p>
          <w:p w:rsidR="00434DD4" w:rsidRPr="000C7511" w:rsidRDefault="007A4AE2" w:rsidP="00C80F5D">
            <w:pPr>
              <w:spacing w:before="100" w:beforeAutospacing="1" w:after="100" w:afterAutospacing="1"/>
              <w:ind w:left="0"/>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5386" w:type="dxa"/>
            <w:gridSpan w:val="4"/>
            <w:tcBorders>
              <w:top w:val="outset" w:sz="6" w:space="0" w:color="auto"/>
              <w:left w:val="outset" w:sz="6" w:space="0" w:color="auto"/>
              <w:bottom w:val="outset" w:sz="6" w:space="0" w:color="auto"/>
              <w:right w:val="outset" w:sz="6" w:space="0" w:color="auto"/>
            </w:tcBorders>
            <w:hideMark/>
          </w:tcPr>
          <w:p w:rsidR="00434DD4" w:rsidRPr="000C7511" w:rsidRDefault="007A4AE2" w:rsidP="000C7511">
            <w:pPr>
              <w:pStyle w:val="NoSpacing"/>
              <w:ind w:left="127" w:right="126"/>
              <w:jc w:val="both"/>
              <w:rPr>
                <w:sz w:val="24"/>
                <w:szCs w:val="24"/>
                <w:lang w:val="lv-LV"/>
              </w:rPr>
            </w:pPr>
            <w:r w:rsidRPr="000C7511">
              <w:rPr>
                <w:sz w:val="24"/>
                <w:szCs w:val="24"/>
                <w:lang w:val="lv-LV"/>
              </w:rPr>
              <w:t>Noteikumu projekta izpilde nepaplašina un nesašaurina VID līdzšinējās funkcijas un uzdevumus, neietekmē pieejamos cilvēkresursus, kā arī noteikumu projekts nenosaka jaunas institūcijas veidošanu, vai institūciju reorganizāciju un likvidāciju</w:t>
            </w:r>
            <w:r w:rsidR="00F76388" w:rsidRPr="000C7511">
              <w:rPr>
                <w:sz w:val="24"/>
                <w:szCs w:val="24"/>
                <w:lang w:val="lv-LV"/>
              </w:rPr>
              <w:t>.</w:t>
            </w:r>
          </w:p>
        </w:tc>
      </w:tr>
      <w:tr w:rsidR="006B2B45" w:rsidRPr="000C7511" w:rsidTr="006B2B45">
        <w:trPr>
          <w:trHeight w:val="476"/>
          <w:tblCellSpacing w:w="0" w:type="dxa"/>
        </w:trPr>
        <w:tc>
          <w:tcPr>
            <w:tcW w:w="724" w:type="dxa"/>
            <w:tcBorders>
              <w:top w:val="outset" w:sz="6" w:space="0" w:color="auto"/>
              <w:left w:val="outset" w:sz="6" w:space="0" w:color="auto"/>
              <w:bottom w:val="outset" w:sz="6" w:space="0" w:color="auto"/>
              <w:right w:val="outset" w:sz="6" w:space="0" w:color="auto"/>
            </w:tcBorders>
            <w:hideMark/>
          </w:tcPr>
          <w:p w:rsidR="00434DD4" w:rsidRPr="000C7511" w:rsidRDefault="00434DD4" w:rsidP="008F215A">
            <w:pPr>
              <w:spacing w:after="0"/>
              <w:ind w:left="0"/>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 </w:t>
            </w:r>
            <w:r w:rsidR="007A4AE2" w:rsidRPr="000C7511">
              <w:rPr>
                <w:rFonts w:ascii="Times New Roman" w:eastAsia="Times New Roman" w:hAnsi="Times New Roman" w:cs="Times New Roman"/>
                <w:sz w:val="24"/>
                <w:szCs w:val="24"/>
                <w:lang w:eastAsia="lv-LV"/>
              </w:rPr>
              <w:t>3</w:t>
            </w:r>
            <w:r w:rsidRPr="000C7511">
              <w:rPr>
                <w:rFonts w:ascii="Times New Roman" w:eastAsia="Times New Roman" w:hAnsi="Times New Roman" w:cs="Times New Roman"/>
                <w:sz w:val="24"/>
                <w:szCs w:val="24"/>
                <w:lang w:eastAsia="lv-LV"/>
              </w:rPr>
              <w:t>.</w:t>
            </w:r>
          </w:p>
        </w:tc>
        <w:tc>
          <w:tcPr>
            <w:tcW w:w="2977" w:type="dxa"/>
            <w:gridSpan w:val="8"/>
            <w:tcBorders>
              <w:top w:val="outset" w:sz="6" w:space="0" w:color="auto"/>
              <w:left w:val="outset" w:sz="6" w:space="0" w:color="auto"/>
              <w:bottom w:val="outset" w:sz="6" w:space="0" w:color="auto"/>
              <w:right w:val="outset" w:sz="6" w:space="0" w:color="auto"/>
            </w:tcBorders>
            <w:hideMark/>
          </w:tcPr>
          <w:p w:rsidR="00434DD4" w:rsidRPr="000C7511" w:rsidRDefault="00434DD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Cita informācija</w:t>
            </w:r>
          </w:p>
        </w:tc>
        <w:tc>
          <w:tcPr>
            <w:tcW w:w="5386" w:type="dxa"/>
            <w:gridSpan w:val="4"/>
            <w:tcBorders>
              <w:top w:val="outset" w:sz="6" w:space="0" w:color="auto"/>
              <w:left w:val="outset" w:sz="6" w:space="0" w:color="auto"/>
              <w:bottom w:val="outset" w:sz="6" w:space="0" w:color="auto"/>
              <w:right w:val="outset" w:sz="6" w:space="0" w:color="auto"/>
            </w:tcBorders>
            <w:hideMark/>
          </w:tcPr>
          <w:p w:rsidR="00434DD4" w:rsidRPr="000C7511" w:rsidRDefault="00434DD4" w:rsidP="000C7511">
            <w:pPr>
              <w:spacing w:before="100" w:beforeAutospacing="1" w:after="100" w:afterAutospacing="1" w:line="40" w:lineRule="atLeast"/>
              <w:ind w:left="127" w:right="126"/>
              <w:jc w:val="left"/>
              <w:rPr>
                <w:rFonts w:ascii="Times New Roman" w:eastAsia="Times New Roman" w:hAnsi="Times New Roman" w:cs="Times New Roman"/>
                <w:sz w:val="24"/>
                <w:szCs w:val="24"/>
                <w:lang w:eastAsia="lv-LV"/>
              </w:rPr>
            </w:pPr>
            <w:r w:rsidRPr="000C7511">
              <w:rPr>
                <w:rFonts w:ascii="Times New Roman" w:eastAsia="Times New Roman" w:hAnsi="Times New Roman" w:cs="Times New Roman"/>
                <w:sz w:val="24"/>
                <w:szCs w:val="24"/>
                <w:lang w:eastAsia="lv-LV"/>
              </w:rPr>
              <w:t>Nav</w:t>
            </w:r>
          </w:p>
        </w:tc>
      </w:tr>
    </w:tbl>
    <w:p w:rsidR="00B9471E" w:rsidRPr="000C7511" w:rsidRDefault="00B9471E" w:rsidP="00B9471E">
      <w:pPr>
        <w:pStyle w:val="NoSpacing"/>
        <w:rPr>
          <w:sz w:val="24"/>
          <w:szCs w:val="24"/>
          <w:lang w:val="lv-LV" w:eastAsia="lv-LV"/>
        </w:rPr>
      </w:pPr>
    </w:p>
    <w:p w:rsidR="00653B8C" w:rsidRPr="000C7511" w:rsidRDefault="00653B8C" w:rsidP="00B9471E">
      <w:pPr>
        <w:pStyle w:val="NoSpacing"/>
        <w:rPr>
          <w:sz w:val="24"/>
          <w:szCs w:val="24"/>
          <w:lang w:val="lv-LV" w:eastAsia="lv-LV"/>
        </w:rPr>
      </w:pPr>
    </w:p>
    <w:p w:rsidR="00E04202" w:rsidRPr="00A30250" w:rsidRDefault="00986403" w:rsidP="00B9471E">
      <w:pPr>
        <w:pStyle w:val="NoSpacing"/>
        <w:rPr>
          <w:lang w:val="lv-LV" w:eastAsia="lv-LV"/>
        </w:rPr>
      </w:pPr>
      <w:r w:rsidRPr="00A30250">
        <w:rPr>
          <w:lang w:val="lv-LV" w:eastAsia="lv-LV"/>
        </w:rPr>
        <w:t>Finanšu ministrs</w:t>
      </w:r>
      <w:r w:rsidRPr="00A30250">
        <w:rPr>
          <w:lang w:val="lv-LV" w:eastAsia="lv-LV"/>
        </w:rPr>
        <w:tab/>
      </w:r>
      <w:r w:rsidRPr="00A30250">
        <w:rPr>
          <w:lang w:val="lv-LV" w:eastAsia="lv-LV"/>
        </w:rPr>
        <w:tab/>
      </w:r>
      <w:r w:rsidRPr="00A30250">
        <w:rPr>
          <w:lang w:val="lv-LV" w:eastAsia="lv-LV"/>
        </w:rPr>
        <w:tab/>
      </w:r>
      <w:r w:rsidR="00B9471E" w:rsidRPr="00A30250">
        <w:rPr>
          <w:lang w:val="lv-LV" w:eastAsia="lv-LV"/>
        </w:rPr>
        <w:tab/>
      </w:r>
      <w:r w:rsidR="00B9471E" w:rsidRPr="00A30250">
        <w:rPr>
          <w:lang w:val="lv-LV" w:eastAsia="lv-LV"/>
        </w:rPr>
        <w:tab/>
      </w:r>
      <w:r w:rsidR="00B9471E" w:rsidRPr="00A30250">
        <w:rPr>
          <w:lang w:val="lv-LV" w:eastAsia="lv-LV"/>
        </w:rPr>
        <w:tab/>
      </w:r>
      <w:r w:rsidR="00B9471E" w:rsidRPr="00A30250">
        <w:rPr>
          <w:lang w:val="lv-LV" w:eastAsia="lv-LV"/>
        </w:rPr>
        <w:tab/>
      </w:r>
      <w:r w:rsidR="00B9471E" w:rsidRPr="00A30250">
        <w:rPr>
          <w:lang w:val="lv-LV" w:eastAsia="lv-LV"/>
        </w:rPr>
        <w:tab/>
      </w:r>
      <w:r w:rsidRPr="00A30250">
        <w:rPr>
          <w:lang w:val="lv-LV" w:eastAsia="lv-LV"/>
        </w:rPr>
        <w:t>A.Vilks</w:t>
      </w:r>
    </w:p>
    <w:p w:rsidR="00C77195" w:rsidRDefault="00C77195" w:rsidP="00407F01">
      <w:pPr>
        <w:spacing w:after="0" w:line="40" w:lineRule="atLeast"/>
        <w:ind w:left="0"/>
        <w:jc w:val="left"/>
        <w:rPr>
          <w:rFonts w:ascii="Times New Roman" w:eastAsia="Times New Roman" w:hAnsi="Times New Roman" w:cs="Times New Roman"/>
          <w:sz w:val="24"/>
          <w:szCs w:val="24"/>
          <w:lang w:eastAsia="lv-LV"/>
        </w:rPr>
      </w:pPr>
    </w:p>
    <w:p w:rsidR="000C7511" w:rsidRDefault="000C7511" w:rsidP="00407F01">
      <w:pPr>
        <w:spacing w:after="0" w:line="40" w:lineRule="atLeast"/>
        <w:ind w:left="0"/>
        <w:jc w:val="left"/>
        <w:rPr>
          <w:rFonts w:ascii="Times New Roman" w:eastAsia="Times New Roman" w:hAnsi="Times New Roman" w:cs="Times New Roman"/>
          <w:sz w:val="24"/>
          <w:szCs w:val="24"/>
          <w:lang w:eastAsia="lv-LV"/>
        </w:rPr>
      </w:pPr>
    </w:p>
    <w:p w:rsidR="000C7511" w:rsidRDefault="000C7511" w:rsidP="00407F01">
      <w:pPr>
        <w:spacing w:after="0" w:line="40" w:lineRule="atLeast"/>
        <w:ind w:left="0"/>
        <w:jc w:val="left"/>
        <w:rPr>
          <w:rFonts w:ascii="Times New Roman" w:eastAsia="Times New Roman" w:hAnsi="Times New Roman" w:cs="Times New Roman"/>
          <w:sz w:val="24"/>
          <w:szCs w:val="24"/>
          <w:lang w:eastAsia="lv-LV"/>
        </w:rPr>
      </w:pPr>
    </w:p>
    <w:p w:rsidR="00145066" w:rsidRPr="000C7511" w:rsidRDefault="001B2230" w:rsidP="00407F01">
      <w:pPr>
        <w:spacing w:after="0" w:line="40" w:lineRule="atLeast"/>
        <w:ind w:left="0"/>
        <w:jc w:val="left"/>
        <w:rPr>
          <w:rFonts w:ascii="Times New Roman" w:eastAsia="Times New Roman" w:hAnsi="Times New Roman" w:cs="Times New Roman"/>
          <w:sz w:val="20"/>
          <w:szCs w:val="20"/>
          <w:lang w:eastAsia="lv-LV"/>
        </w:rPr>
      </w:pPr>
      <w:r w:rsidRPr="000C7511">
        <w:rPr>
          <w:rFonts w:ascii="Times New Roman" w:eastAsia="Times New Roman" w:hAnsi="Times New Roman" w:cs="Times New Roman"/>
          <w:sz w:val="20"/>
          <w:szCs w:val="20"/>
          <w:lang w:eastAsia="lv-LV"/>
        </w:rPr>
        <w:t>26</w:t>
      </w:r>
      <w:r w:rsidR="00EF2BB6" w:rsidRPr="000C7511">
        <w:rPr>
          <w:rFonts w:ascii="Times New Roman" w:eastAsia="Times New Roman" w:hAnsi="Times New Roman" w:cs="Times New Roman"/>
          <w:sz w:val="20"/>
          <w:szCs w:val="20"/>
          <w:lang w:eastAsia="lv-LV"/>
        </w:rPr>
        <w:t>.</w:t>
      </w:r>
      <w:r w:rsidR="00DD322A" w:rsidRPr="000C7511">
        <w:rPr>
          <w:rFonts w:ascii="Times New Roman" w:eastAsia="Times New Roman" w:hAnsi="Times New Roman" w:cs="Times New Roman"/>
          <w:sz w:val="20"/>
          <w:szCs w:val="20"/>
          <w:lang w:eastAsia="lv-LV"/>
        </w:rPr>
        <w:t>09</w:t>
      </w:r>
      <w:r w:rsidR="00EF2BB6" w:rsidRPr="000C7511">
        <w:rPr>
          <w:rFonts w:ascii="Times New Roman" w:eastAsia="Times New Roman" w:hAnsi="Times New Roman" w:cs="Times New Roman"/>
          <w:sz w:val="20"/>
          <w:szCs w:val="20"/>
          <w:lang w:eastAsia="lv-LV"/>
        </w:rPr>
        <w:t>.</w:t>
      </w:r>
      <w:r w:rsidR="00AC1145" w:rsidRPr="000C7511">
        <w:rPr>
          <w:rFonts w:ascii="Times New Roman" w:eastAsia="Times New Roman" w:hAnsi="Times New Roman" w:cs="Times New Roman"/>
          <w:sz w:val="20"/>
          <w:szCs w:val="20"/>
          <w:lang w:eastAsia="lv-LV"/>
        </w:rPr>
        <w:t>2014</w:t>
      </w:r>
      <w:r w:rsidR="00145066" w:rsidRPr="000C7511">
        <w:rPr>
          <w:rFonts w:ascii="Times New Roman" w:eastAsia="Times New Roman" w:hAnsi="Times New Roman" w:cs="Times New Roman"/>
          <w:sz w:val="20"/>
          <w:szCs w:val="20"/>
          <w:lang w:eastAsia="lv-LV"/>
        </w:rPr>
        <w:t xml:space="preserve">. </w:t>
      </w:r>
      <w:r w:rsidR="00522A1D" w:rsidRPr="000C7511">
        <w:rPr>
          <w:rFonts w:ascii="Times New Roman" w:eastAsia="Times New Roman" w:hAnsi="Times New Roman" w:cs="Times New Roman"/>
          <w:sz w:val="20"/>
          <w:szCs w:val="20"/>
          <w:lang w:eastAsia="lv-LV"/>
        </w:rPr>
        <w:t>9</w:t>
      </w:r>
      <w:r w:rsidR="006C3408" w:rsidRPr="000C7511">
        <w:rPr>
          <w:rFonts w:ascii="Times New Roman" w:eastAsia="Times New Roman" w:hAnsi="Times New Roman" w:cs="Times New Roman"/>
          <w:sz w:val="20"/>
          <w:szCs w:val="20"/>
          <w:lang w:eastAsia="lv-LV"/>
        </w:rPr>
        <w:t>.</w:t>
      </w:r>
      <w:r w:rsidR="00522A1D" w:rsidRPr="000C7511">
        <w:rPr>
          <w:rFonts w:ascii="Times New Roman" w:eastAsia="Times New Roman" w:hAnsi="Times New Roman" w:cs="Times New Roman"/>
          <w:sz w:val="20"/>
          <w:szCs w:val="20"/>
          <w:lang w:eastAsia="lv-LV"/>
        </w:rPr>
        <w:t>15</w:t>
      </w:r>
    </w:p>
    <w:p w:rsidR="00E670E5" w:rsidRPr="000C7511" w:rsidRDefault="00F5694F" w:rsidP="001B2230">
      <w:pPr>
        <w:pStyle w:val="NoSpacing"/>
        <w:tabs>
          <w:tab w:val="left" w:pos="6749"/>
        </w:tabs>
        <w:rPr>
          <w:rFonts w:eastAsia="Times New Roman"/>
          <w:sz w:val="20"/>
          <w:szCs w:val="20"/>
          <w:lang w:val="lv-LV" w:eastAsia="lv-LV"/>
        </w:rPr>
      </w:pPr>
      <w:r w:rsidRPr="000C7511">
        <w:rPr>
          <w:rFonts w:eastAsia="Times New Roman"/>
          <w:sz w:val="20"/>
          <w:szCs w:val="20"/>
          <w:lang w:val="lv-LV" w:eastAsia="lv-LV"/>
        </w:rPr>
        <w:t>3633</w:t>
      </w:r>
      <w:r w:rsidR="001B2230" w:rsidRPr="000C7511">
        <w:rPr>
          <w:rFonts w:eastAsia="Times New Roman"/>
          <w:sz w:val="20"/>
          <w:szCs w:val="20"/>
          <w:lang w:val="lv-LV" w:eastAsia="lv-LV"/>
        </w:rPr>
        <w:tab/>
      </w:r>
    </w:p>
    <w:p w:rsidR="006F6104" w:rsidRPr="000C7511" w:rsidRDefault="006F6104" w:rsidP="006F6104">
      <w:pPr>
        <w:pStyle w:val="NoSpacing"/>
        <w:rPr>
          <w:sz w:val="20"/>
          <w:szCs w:val="20"/>
          <w:lang w:val="lv-LV"/>
        </w:rPr>
      </w:pPr>
      <w:r w:rsidRPr="000C7511">
        <w:rPr>
          <w:sz w:val="20"/>
          <w:szCs w:val="20"/>
          <w:lang w:val="lv-LV"/>
        </w:rPr>
        <w:t>V.Smagare</w:t>
      </w:r>
    </w:p>
    <w:p w:rsidR="006F6104" w:rsidRPr="000C7511" w:rsidRDefault="006F6104" w:rsidP="006F6104">
      <w:pPr>
        <w:pStyle w:val="NoSpacing"/>
        <w:rPr>
          <w:sz w:val="20"/>
          <w:szCs w:val="20"/>
          <w:lang w:val="lv-LV"/>
        </w:rPr>
      </w:pPr>
      <w:r w:rsidRPr="000C7511">
        <w:rPr>
          <w:rFonts w:eastAsia="Times New Roman"/>
          <w:sz w:val="20"/>
          <w:szCs w:val="20"/>
          <w:lang w:val="lv-LV" w:eastAsia="lv-LV"/>
        </w:rPr>
        <w:t>67111266,</w:t>
      </w:r>
      <w:r w:rsidR="00465029" w:rsidRPr="000C7511">
        <w:rPr>
          <w:rFonts w:eastAsia="Times New Roman"/>
          <w:sz w:val="20"/>
          <w:szCs w:val="20"/>
          <w:lang w:val="lv-LV" w:eastAsia="lv-LV"/>
        </w:rPr>
        <w:t xml:space="preserve"> </w:t>
      </w:r>
      <w:r w:rsidR="00D12AB1" w:rsidRPr="000C7511">
        <w:rPr>
          <w:rStyle w:val="Hyperlink"/>
          <w:rFonts w:eastAsia="Times New Roman"/>
          <w:color w:val="auto"/>
          <w:sz w:val="20"/>
          <w:szCs w:val="20"/>
          <w:u w:val="none"/>
          <w:lang w:val="lv-LV" w:eastAsia="lv-LV"/>
        </w:rPr>
        <w:t>Viktorija.Smagare@vid.gov.lv</w:t>
      </w:r>
    </w:p>
    <w:p w:rsidR="006F6104" w:rsidRPr="000C7511" w:rsidRDefault="006F6104" w:rsidP="006F6104">
      <w:pPr>
        <w:spacing w:after="0" w:line="40" w:lineRule="atLeast"/>
        <w:ind w:left="0"/>
        <w:jc w:val="left"/>
        <w:rPr>
          <w:rFonts w:ascii="Times New Roman" w:eastAsia="Calibri" w:hAnsi="Times New Roman" w:cs="Times New Roman"/>
          <w:sz w:val="20"/>
          <w:szCs w:val="20"/>
        </w:rPr>
      </w:pPr>
      <w:r w:rsidRPr="000C7511">
        <w:rPr>
          <w:rFonts w:ascii="Times New Roman" w:eastAsia="Calibri" w:hAnsi="Times New Roman" w:cs="Times New Roman"/>
          <w:sz w:val="20"/>
          <w:szCs w:val="20"/>
        </w:rPr>
        <w:t>I.Rone</w:t>
      </w:r>
    </w:p>
    <w:p w:rsidR="003F4905" w:rsidRPr="000C7511" w:rsidRDefault="006F6104" w:rsidP="0043361E">
      <w:pPr>
        <w:spacing w:after="0" w:line="40" w:lineRule="atLeast"/>
        <w:ind w:left="0"/>
        <w:jc w:val="left"/>
        <w:rPr>
          <w:rFonts w:ascii="Times New Roman" w:hAnsi="Times New Roman" w:cs="Times New Roman"/>
          <w:sz w:val="20"/>
          <w:szCs w:val="20"/>
        </w:rPr>
      </w:pPr>
      <w:r w:rsidRPr="000C7511">
        <w:rPr>
          <w:rFonts w:ascii="Times New Roman" w:eastAsia="Times New Roman" w:hAnsi="Times New Roman" w:cs="Times New Roman"/>
          <w:sz w:val="20"/>
          <w:szCs w:val="20"/>
          <w:lang w:eastAsia="lv-LV"/>
        </w:rPr>
        <w:t>67111447</w:t>
      </w:r>
      <w:r w:rsidR="007D750C" w:rsidRPr="000C7511">
        <w:rPr>
          <w:rFonts w:ascii="Times New Roman" w:eastAsia="Times New Roman" w:hAnsi="Times New Roman" w:cs="Times New Roman"/>
          <w:sz w:val="20"/>
          <w:szCs w:val="20"/>
          <w:lang w:eastAsia="lv-LV"/>
        </w:rPr>
        <w:t>,</w:t>
      </w:r>
      <w:r w:rsidR="00465029" w:rsidRPr="000C7511">
        <w:rPr>
          <w:rFonts w:ascii="Times New Roman" w:eastAsia="Times New Roman" w:hAnsi="Times New Roman" w:cs="Times New Roman"/>
          <w:sz w:val="20"/>
          <w:szCs w:val="20"/>
          <w:lang w:eastAsia="lv-LV"/>
        </w:rPr>
        <w:t xml:space="preserve"> </w:t>
      </w:r>
      <w:hyperlink r:id="rId9" w:history="1">
        <w:r w:rsidRPr="000C7511">
          <w:rPr>
            <w:rStyle w:val="Hyperlink"/>
            <w:rFonts w:ascii="Times New Roman" w:eastAsia="Times New Roman" w:hAnsi="Times New Roman" w:cs="Times New Roman"/>
            <w:color w:val="auto"/>
            <w:sz w:val="20"/>
            <w:szCs w:val="20"/>
            <w:u w:val="none"/>
            <w:lang w:eastAsia="lv-LV"/>
          </w:rPr>
          <w:t>Inga.Rone@vid.gov.lv</w:t>
        </w:r>
      </w:hyperlink>
    </w:p>
    <w:sectPr w:rsidR="003F4905" w:rsidRPr="000C7511" w:rsidSect="006B2B45">
      <w:headerReference w:type="default" r:id="rId10"/>
      <w:footerReference w:type="default" r:id="rId11"/>
      <w:footerReference w:type="first" r:id="rId12"/>
      <w:pgSz w:w="11906" w:h="16838"/>
      <w:pgMar w:top="1134" w:right="1134" w:bottom="1134" w:left="1701" w:header="709" w:footer="2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07E" w:rsidRDefault="00B7407E" w:rsidP="003B0A1E">
      <w:pPr>
        <w:spacing w:after="0"/>
      </w:pPr>
      <w:r>
        <w:separator/>
      </w:r>
    </w:p>
  </w:endnote>
  <w:endnote w:type="continuationSeparator" w:id="0">
    <w:p w:rsidR="00B7407E" w:rsidRDefault="00B7407E" w:rsidP="003B0A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1D" w:rsidRPr="00551EA6" w:rsidRDefault="0078111D" w:rsidP="00986403">
    <w:pPr>
      <w:ind w:left="0"/>
    </w:pPr>
    <w:r>
      <w:rPr>
        <w:rFonts w:ascii="Times New Roman" w:hAnsi="Times New Roman" w:cs="Times New Roman"/>
        <w:sz w:val="20"/>
        <w:szCs w:val="20"/>
      </w:rPr>
      <w:t>FMAnot_</w:t>
    </w:r>
    <w:r w:rsidR="001B2230">
      <w:rPr>
        <w:rFonts w:ascii="Times New Roman" w:hAnsi="Times New Roman" w:cs="Times New Roman"/>
        <w:sz w:val="20"/>
        <w:szCs w:val="20"/>
      </w:rPr>
      <w:t>260914</w:t>
    </w:r>
    <w:r>
      <w:rPr>
        <w:rFonts w:ascii="Times New Roman" w:hAnsi="Times New Roman" w:cs="Times New Roman"/>
        <w:sz w:val="20"/>
        <w:szCs w:val="20"/>
      </w:rPr>
      <w:t>_paguzgl</w:t>
    </w:r>
    <w:r w:rsidRPr="002E2B4C">
      <w:rPr>
        <w:rFonts w:ascii="Times New Roman" w:hAnsi="Times New Roman" w:cs="Times New Roman"/>
        <w:sz w:val="20"/>
        <w:szCs w:val="20"/>
      </w:rPr>
      <w:t xml:space="preserve">; </w:t>
    </w:r>
    <w:r w:rsidRPr="00F16193">
      <w:rPr>
        <w:rFonts w:ascii="Times New Roman" w:hAnsi="Times New Roman" w:cs="Times New Roman"/>
        <w:sz w:val="20"/>
        <w:szCs w:val="20"/>
      </w:rPr>
      <w:t>Ministru kabineta noteikumu projekt</w:t>
    </w:r>
    <w:r>
      <w:rPr>
        <w:rFonts w:ascii="Times New Roman" w:hAnsi="Times New Roman" w:cs="Times New Roman"/>
        <w:sz w:val="20"/>
        <w:szCs w:val="20"/>
      </w:rPr>
      <w:t xml:space="preserve">a “Pagaidu uzglabāšanas noteikumi” </w:t>
    </w:r>
    <w:r w:rsidRPr="005A32AC">
      <w:rPr>
        <w:rFonts w:ascii="Times New Roman" w:eastAsia="Times New Roman" w:hAnsi="Times New Roman"/>
        <w:bCs/>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1D" w:rsidRPr="002E2B4C" w:rsidRDefault="0078111D" w:rsidP="003677B2">
    <w:pPr>
      <w:ind w:left="0"/>
      <w:rPr>
        <w:rFonts w:ascii="Times New Roman" w:hAnsi="Times New Roman" w:cs="Times New Roman"/>
        <w:sz w:val="20"/>
        <w:szCs w:val="20"/>
      </w:rPr>
    </w:pPr>
    <w:r>
      <w:rPr>
        <w:rFonts w:ascii="Times New Roman" w:hAnsi="Times New Roman" w:cs="Times New Roman"/>
        <w:sz w:val="20"/>
        <w:szCs w:val="20"/>
      </w:rPr>
      <w:t>FMAnot_</w:t>
    </w:r>
    <w:r w:rsidR="001B2230">
      <w:rPr>
        <w:rFonts w:ascii="Times New Roman" w:hAnsi="Times New Roman" w:cs="Times New Roman"/>
        <w:sz w:val="20"/>
        <w:szCs w:val="20"/>
      </w:rPr>
      <w:t>260914</w:t>
    </w:r>
    <w:r>
      <w:rPr>
        <w:rFonts w:ascii="Times New Roman" w:hAnsi="Times New Roman" w:cs="Times New Roman"/>
        <w:sz w:val="20"/>
        <w:szCs w:val="20"/>
      </w:rPr>
      <w:t>_paguzgl</w:t>
    </w:r>
    <w:r w:rsidRPr="002E2B4C">
      <w:rPr>
        <w:rFonts w:ascii="Times New Roman" w:hAnsi="Times New Roman" w:cs="Times New Roman"/>
        <w:sz w:val="20"/>
        <w:szCs w:val="20"/>
      </w:rPr>
      <w:t xml:space="preserve">; </w:t>
    </w:r>
    <w:r w:rsidRPr="00F16193">
      <w:rPr>
        <w:rFonts w:ascii="Times New Roman" w:hAnsi="Times New Roman" w:cs="Times New Roman"/>
        <w:sz w:val="20"/>
        <w:szCs w:val="20"/>
      </w:rPr>
      <w:t>Ministru kabineta noteikumu projekt</w:t>
    </w:r>
    <w:r>
      <w:rPr>
        <w:rFonts w:ascii="Times New Roman" w:hAnsi="Times New Roman" w:cs="Times New Roman"/>
        <w:sz w:val="20"/>
        <w:szCs w:val="20"/>
      </w:rPr>
      <w:t xml:space="preserve">a “Pagaidu uzglabāšanas noteikumi” </w:t>
    </w:r>
    <w:r w:rsidRPr="005A32AC">
      <w:rPr>
        <w:rFonts w:ascii="Times New Roman" w:eastAsia="Times New Roman" w:hAnsi="Times New Roman"/>
        <w:bCs/>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07E" w:rsidRDefault="00B7407E" w:rsidP="003B0A1E">
      <w:pPr>
        <w:spacing w:after="0"/>
      </w:pPr>
      <w:r>
        <w:separator/>
      </w:r>
    </w:p>
  </w:footnote>
  <w:footnote w:type="continuationSeparator" w:id="0">
    <w:p w:rsidR="00B7407E" w:rsidRDefault="00B7407E" w:rsidP="003B0A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078954"/>
      <w:docPartObj>
        <w:docPartGallery w:val="Page Numbers (Top of Page)"/>
        <w:docPartUnique/>
      </w:docPartObj>
    </w:sdtPr>
    <w:sdtEndPr>
      <w:rPr>
        <w:sz w:val="24"/>
        <w:szCs w:val="24"/>
      </w:rPr>
    </w:sdtEndPr>
    <w:sdtContent>
      <w:p w:rsidR="0078111D" w:rsidRPr="008F215A" w:rsidRDefault="0078111D">
        <w:pPr>
          <w:pStyle w:val="Header"/>
          <w:jc w:val="center"/>
          <w:rPr>
            <w:sz w:val="24"/>
            <w:szCs w:val="24"/>
          </w:rPr>
        </w:pPr>
        <w:r w:rsidRPr="008F215A">
          <w:rPr>
            <w:sz w:val="24"/>
            <w:szCs w:val="24"/>
          </w:rPr>
          <w:fldChar w:fldCharType="begin"/>
        </w:r>
        <w:r w:rsidRPr="008F215A">
          <w:rPr>
            <w:sz w:val="24"/>
            <w:szCs w:val="24"/>
          </w:rPr>
          <w:instrText xml:space="preserve"> PAGE   \* MERGEFORMAT </w:instrText>
        </w:r>
        <w:r w:rsidRPr="008F215A">
          <w:rPr>
            <w:sz w:val="24"/>
            <w:szCs w:val="24"/>
          </w:rPr>
          <w:fldChar w:fldCharType="separate"/>
        </w:r>
        <w:r w:rsidR="000C7511">
          <w:rPr>
            <w:noProof/>
            <w:sz w:val="24"/>
            <w:szCs w:val="24"/>
          </w:rPr>
          <w:t>10</w:t>
        </w:r>
        <w:r w:rsidRPr="008F215A">
          <w:rPr>
            <w:noProof/>
            <w:sz w:val="24"/>
            <w:szCs w:val="24"/>
          </w:rPr>
          <w:fldChar w:fldCharType="end"/>
        </w:r>
      </w:p>
    </w:sdtContent>
  </w:sdt>
  <w:p w:rsidR="0078111D" w:rsidRDefault="00781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0341A"/>
    <w:multiLevelType w:val="hybridMultilevel"/>
    <w:tmpl w:val="2B5029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3FC5759"/>
    <w:multiLevelType w:val="hybridMultilevel"/>
    <w:tmpl w:val="908CF1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1FD1420"/>
    <w:multiLevelType w:val="hybridMultilevel"/>
    <w:tmpl w:val="BC6CF7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3633866"/>
    <w:multiLevelType w:val="hybridMultilevel"/>
    <w:tmpl w:val="3FE8134C"/>
    <w:lvl w:ilvl="0" w:tplc="DC0EC6E2">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4">
    <w:nsid w:val="28D106AC"/>
    <w:multiLevelType w:val="hybridMultilevel"/>
    <w:tmpl w:val="2B92F0BC"/>
    <w:lvl w:ilvl="0" w:tplc="D5EA12DE">
      <w:start w:val="1"/>
      <w:numFmt w:val="decimal"/>
      <w:lvlText w:val="%1)"/>
      <w:lvlJc w:val="left"/>
      <w:pPr>
        <w:ind w:left="720" w:hanging="360"/>
      </w:pPr>
      <w:rPr>
        <w:color w:val="1F497D"/>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67D064D5"/>
    <w:multiLevelType w:val="hybridMultilevel"/>
    <w:tmpl w:val="6A409C22"/>
    <w:lvl w:ilvl="0" w:tplc="5B727F98">
      <w:start w:val="1"/>
      <w:numFmt w:val="decimal"/>
      <w:lvlText w:val="%1."/>
      <w:lvlJc w:val="left"/>
      <w:pPr>
        <w:ind w:left="750" w:hanging="39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70"/>
    <w:rsid w:val="000015B0"/>
    <w:rsid w:val="0000257C"/>
    <w:rsid w:val="000065E5"/>
    <w:rsid w:val="00006635"/>
    <w:rsid w:val="00006E0E"/>
    <w:rsid w:val="00007BDA"/>
    <w:rsid w:val="0001074A"/>
    <w:rsid w:val="00011999"/>
    <w:rsid w:val="00011D19"/>
    <w:rsid w:val="0001413F"/>
    <w:rsid w:val="00014352"/>
    <w:rsid w:val="000152C5"/>
    <w:rsid w:val="00015E16"/>
    <w:rsid w:val="00016355"/>
    <w:rsid w:val="000164AC"/>
    <w:rsid w:val="00016716"/>
    <w:rsid w:val="0001683D"/>
    <w:rsid w:val="00016BF6"/>
    <w:rsid w:val="00017063"/>
    <w:rsid w:val="0002635C"/>
    <w:rsid w:val="0003110D"/>
    <w:rsid w:val="000333A4"/>
    <w:rsid w:val="00033AB9"/>
    <w:rsid w:val="00037C0F"/>
    <w:rsid w:val="00037C26"/>
    <w:rsid w:val="0004072A"/>
    <w:rsid w:val="00041339"/>
    <w:rsid w:val="000426CC"/>
    <w:rsid w:val="00042B9F"/>
    <w:rsid w:val="000432DC"/>
    <w:rsid w:val="000442EC"/>
    <w:rsid w:val="000455CC"/>
    <w:rsid w:val="000462BB"/>
    <w:rsid w:val="0004669A"/>
    <w:rsid w:val="00046EA6"/>
    <w:rsid w:val="00047EAB"/>
    <w:rsid w:val="00050E8F"/>
    <w:rsid w:val="000516E6"/>
    <w:rsid w:val="00052654"/>
    <w:rsid w:val="000541B9"/>
    <w:rsid w:val="00054DDF"/>
    <w:rsid w:val="0005520E"/>
    <w:rsid w:val="000567A6"/>
    <w:rsid w:val="00057AA2"/>
    <w:rsid w:val="00057D5C"/>
    <w:rsid w:val="0006100D"/>
    <w:rsid w:val="000615AF"/>
    <w:rsid w:val="00062F42"/>
    <w:rsid w:val="0006347C"/>
    <w:rsid w:val="00063C76"/>
    <w:rsid w:val="00064612"/>
    <w:rsid w:val="000650CE"/>
    <w:rsid w:val="0006547A"/>
    <w:rsid w:val="00065A31"/>
    <w:rsid w:val="0006671A"/>
    <w:rsid w:val="00066772"/>
    <w:rsid w:val="00066DD7"/>
    <w:rsid w:val="00070186"/>
    <w:rsid w:val="00070992"/>
    <w:rsid w:val="00070ADC"/>
    <w:rsid w:val="00070FEA"/>
    <w:rsid w:val="00071E07"/>
    <w:rsid w:val="00075AE3"/>
    <w:rsid w:val="00081806"/>
    <w:rsid w:val="00081BFC"/>
    <w:rsid w:val="00082B1E"/>
    <w:rsid w:val="00082BE2"/>
    <w:rsid w:val="00083CBA"/>
    <w:rsid w:val="000847D9"/>
    <w:rsid w:val="00084BA3"/>
    <w:rsid w:val="00085163"/>
    <w:rsid w:val="0008538C"/>
    <w:rsid w:val="0008556E"/>
    <w:rsid w:val="0008617C"/>
    <w:rsid w:val="00086821"/>
    <w:rsid w:val="00086C4E"/>
    <w:rsid w:val="00087155"/>
    <w:rsid w:val="00091396"/>
    <w:rsid w:val="0009378E"/>
    <w:rsid w:val="000939D5"/>
    <w:rsid w:val="00094113"/>
    <w:rsid w:val="00094D2F"/>
    <w:rsid w:val="00096D18"/>
    <w:rsid w:val="000A05CC"/>
    <w:rsid w:val="000A0A9C"/>
    <w:rsid w:val="000A573B"/>
    <w:rsid w:val="000A7E86"/>
    <w:rsid w:val="000B0BF5"/>
    <w:rsid w:val="000B1464"/>
    <w:rsid w:val="000B29AA"/>
    <w:rsid w:val="000B2BA5"/>
    <w:rsid w:val="000B2BDF"/>
    <w:rsid w:val="000B624E"/>
    <w:rsid w:val="000B7436"/>
    <w:rsid w:val="000B7C36"/>
    <w:rsid w:val="000C1D23"/>
    <w:rsid w:val="000C30E6"/>
    <w:rsid w:val="000C32C9"/>
    <w:rsid w:val="000C418B"/>
    <w:rsid w:val="000C4E21"/>
    <w:rsid w:val="000C54B0"/>
    <w:rsid w:val="000C5CEF"/>
    <w:rsid w:val="000C5D71"/>
    <w:rsid w:val="000C7511"/>
    <w:rsid w:val="000D12CC"/>
    <w:rsid w:val="000D23EF"/>
    <w:rsid w:val="000D2B46"/>
    <w:rsid w:val="000D2C98"/>
    <w:rsid w:val="000D359D"/>
    <w:rsid w:val="000D4B99"/>
    <w:rsid w:val="000E208D"/>
    <w:rsid w:val="000E24D7"/>
    <w:rsid w:val="000E262F"/>
    <w:rsid w:val="000E2B34"/>
    <w:rsid w:val="000E3353"/>
    <w:rsid w:val="000E34FF"/>
    <w:rsid w:val="000E5CA5"/>
    <w:rsid w:val="000E6230"/>
    <w:rsid w:val="000E6718"/>
    <w:rsid w:val="000E6DF8"/>
    <w:rsid w:val="000E7006"/>
    <w:rsid w:val="000E784A"/>
    <w:rsid w:val="000F0E77"/>
    <w:rsid w:val="000F17FF"/>
    <w:rsid w:val="000F4292"/>
    <w:rsid w:val="000F6C63"/>
    <w:rsid w:val="000F7BE7"/>
    <w:rsid w:val="00100644"/>
    <w:rsid w:val="00101542"/>
    <w:rsid w:val="001037CC"/>
    <w:rsid w:val="0010543F"/>
    <w:rsid w:val="00107EC3"/>
    <w:rsid w:val="00111723"/>
    <w:rsid w:val="00114097"/>
    <w:rsid w:val="00114B94"/>
    <w:rsid w:val="001171B7"/>
    <w:rsid w:val="001172C7"/>
    <w:rsid w:val="00117E73"/>
    <w:rsid w:val="00122AC1"/>
    <w:rsid w:val="00123A7B"/>
    <w:rsid w:val="001247C0"/>
    <w:rsid w:val="00124882"/>
    <w:rsid w:val="0012596F"/>
    <w:rsid w:val="001263C1"/>
    <w:rsid w:val="00131F5F"/>
    <w:rsid w:val="00133CD4"/>
    <w:rsid w:val="00133F5C"/>
    <w:rsid w:val="00136854"/>
    <w:rsid w:val="001368FA"/>
    <w:rsid w:val="00136A66"/>
    <w:rsid w:val="001428D1"/>
    <w:rsid w:val="00142C3D"/>
    <w:rsid w:val="00142DE1"/>
    <w:rsid w:val="00144523"/>
    <w:rsid w:val="00144B5B"/>
    <w:rsid w:val="00145066"/>
    <w:rsid w:val="00145BC2"/>
    <w:rsid w:val="00145CA5"/>
    <w:rsid w:val="00146856"/>
    <w:rsid w:val="00146D2C"/>
    <w:rsid w:val="00150280"/>
    <w:rsid w:val="00150E6B"/>
    <w:rsid w:val="0015424F"/>
    <w:rsid w:val="00154763"/>
    <w:rsid w:val="00154D04"/>
    <w:rsid w:val="001566F5"/>
    <w:rsid w:val="00161B6F"/>
    <w:rsid w:val="0016210B"/>
    <w:rsid w:val="00163F65"/>
    <w:rsid w:val="00164545"/>
    <w:rsid w:val="00167646"/>
    <w:rsid w:val="00167BF2"/>
    <w:rsid w:val="00167D58"/>
    <w:rsid w:val="00170A13"/>
    <w:rsid w:val="00171CED"/>
    <w:rsid w:val="00171FEF"/>
    <w:rsid w:val="001726FA"/>
    <w:rsid w:val="001731CD"/>
    <w:rsid w:val="00173D17"/>
    <w:rsid w:val="00177142"/>
    <w:rsid w:val="00177184"/>
    <w:rsid w:val="001803D6"/>
    <w:rsid w:val="00180440"/>
    <w:rsid w:val="001808AE"/>
    <w:rsid w:val="0018127F"/>
    <w:rsid w:val="00182329"/>
    <w:rsid w:val="00182F58"/>
    <w:rsid w:val="00185959"/>
    <w:rsid w:val="00186B74"/>
    <w:rsid w:val="00190155"/>
    <w:rsid w:val="00192156"/>
    <w:rsid w:val="001A10E9"/>
    <w:rsid w:val="001A1FF9"/>
    <w:rsid w:val="001B0211"/>
    <w:rsid w:val="001B0E49"/>
    <w:rsid w:val="001B2230"/>
    <w:rsid w:val="001B238A"/>
    <w:rsid w:val="001B416A"/>
    <w:rsid w:val="001B4FDF"/>
    <w:rsid w:val="001B50C6"/>
    <w:rsid w:val="001B514E"/>
    <w:rsid w:val="001B6CF5"/>
    <w:rsid w:val="001C0AFC"/>
    <w:rsid w:val="001C373F"/>
    <w:rsid w:val="001C47AE"/>
    <w:rsid w:val="001D0AAA"/>
    <w:rsid w:val="001D14B5"/>
    <w:rsid w:val="001D1731"/>
    <w:rsid w:val="001D2776"/>
    <w:rsid w:val="001D31BF"/>
    <w:rsid w:val="001D381D"/>
    <w:rsid w:val="001D3DF0"/>
    <w:rsid w:val="001E0C45"/>
    <w:rsid w:val="001E313B"/>
    <w:rsid w:val="001E6143"/>
    <w:rsid w:val="001F17EB"/>
    <w:rsid w:val="001F249E"/>
    <w:rsid w:val="001F2957"/>
    <w:rsid w:val="001F3523"/>
    <w:rsid w:val="001F4489"/>
    <w:rsid w:val="001F54B3"/>
    <w:rsid w:val="001F5A28"/>
    <w:rsid w:val="001F6D21"/>
    <w:rsid w:val="002019A7"/>
    <w:rsid w:val="00201A4D"/>
    <w:rsid w:val="00202442"/>
    <w:rsid w:val="00202E8F"/>
    <w:rsid w:val="002078C5"/>
    <w:rsid w:val="00207D4F"/>
    <w:rsid w:val="00212388"/>
    <w:rsid w:val="00212DF2"/>
    <w:rsid w:val="00213214"/>
    <w:rsid w:val="0021348C"/>
    <w:rsid w:val="00215DFB"/>
    <w:rsid w:val="00216320"/>
    <w:rsid w:val="00216F28"/>
    <w:rsid w:val="0021754D"/>
    <w:rsid w:val="002202F9"/>
    <w:rsid w:val="00220B8F"/>
    <w:rsid w:val="00221224"/>
    <w:rsid w:val="00223646"/>
    <w:rsid w:val="00226526"/>
    <w:rsid w:val="00226F01"/>
    <w:rsid w:val="00227178"/>
    <w:rsid w:val="002305F7"/>
    <w:rsid w:val="00230FB4"/>
    <w:rsid w:val="002327EA"/>
    <w:rsid w:val="002334D5"/>
    <w:rsid w:val="00233C74"/>
    <w:rsid w:val="00233E8D"/>
    <w:rsid w:val="002352B9"/>
    <w:rsid w:val="002400F2"/>
    <w:rsid w:val="002406F3"/>
    <w:rsid w:val="00240865"/>
    <w:rsid w:val="00241038"/>
    <w:rsid w:val="0024350A"/>
    <w:rsid w:val="002438F4"/>
    <w:rsid w:val="00246508"/>
    <w:rsid w:val="00246B36"/>
    <w:rsid w:val="0024715B"/>
    <w:rsid w:val="0025045D"/>
    <w:rsid w:val="002522D4"/>
    <w:rsid w:val="00253090"/>
    <w:rsid w:val="00254E4F"/>
    <w:rsid w:val="00256D75"/>
    <w:rsid w:val="0026022E"/>
    <w:rsid w:val="00261BD4"/>
    <w:rsid w:val="002660ED"/>
    <w:rsid w:val="00266487"/>
    <w:rsid w:val="002703FC"/>
    <w:rsid w:val="00275380"/>
    <w:rsid w:val="002760BC"/>
    <w:rsid w:val="00276147"/>
    <w:rsid w:val="002766E2"/>
    <w:rsid w:val="00281684"/>
    <w:rsid w:val="00281944"/>
    <w:rsid w:val="00282E3B"/>
    <w:rsid w:val="00283F58"/>
    <w:rsid w:val="00284C81"/>
    <w:rsid w:val="00284FEB"/>
    <w:rsid w:val="00285B54"/>
    <w:rsid w:val="00290545"/>
    <w:rsid w:val="002910D2"/>
    <w:rsid w:val="0029116E"/>
    <w:rsid w:val="00292AC0"/>
    <w:rsid w:val="002930E7"/>
    <w:rsid w:val="002941B7"/>
    <w:rsid w:val="0029537B"/>
    <w:rsid w:val="002A0748"/>
    <w:rsid w:val="002A319B"/>
    <w:rsid w:val="002A3474"/>
    <w:rsid w:val="002A385C"/>
    <w:rsid w:val="002A5DF2"/>
    <w:rsid w:val="002A75C6"/>
    <w:rsid w:val="002A7913"/>
    <w:rsid w:val="002B0942"/>
    <w:rsid w:val="002B1476"/>
    <w:rsid w:val="002B5591"/>
    <w:rsid w:val="002B55E6"/>
    <w:rsid w:val="002B5E20"/>
    <w:rsid w:val="002B60F5"/>
    <w:rsid w:val="002B629E"/>
    <w:rsid w:val="002B7871"/>
    <w:rsid w:val="002B7959"/>
    <w:rsid w:val="002C0A46"/>
    <w:rsid w:val="002C0D2E"/>
    <w:rsid w:val="002C1711"/>
    <w:rsid w:val="002C2643"/>
    <w:rsid w:val="002C2F0E"/>
    <w:rsid w:val="002C3D74"/>
    <w:rsid w:val="002C4963"/>
    <w:rsid w:val="002C4AC8"/>
    <w:rsid w:val="002C7EEF"/>
    <w:rsid w:val="002D10FE"/>
    <w:rsid w:val="002D1FC1"/>
    <w:rsid w:val="002D3734"/>
    <w:rsid w:val="002D712A"/>
    <w:rsid w:val="002D7215"/>
    <w:rsid w:val="002D72D6"/>
    <w:rsid w:val="002D7CF6"/>
    <w:rsid w:val="002D7DCA"/>
    <w:rsid w:val="002E2B4C"/>
    <w:rsid w:val="002E4045"/>
    <w:rsid w:val="002E455A"/>
    <w:rsid w:val="002E484B"/>
    <w:rsid w:val="002E7084"/>
    <w:rsid w:val="002E73A3"/>
    <w:rsid w:val="002E7824"/>
    <w:rsid w:val="002F0097"/>
    <w:rsid w:val="002F24FE"/>
    <w:rsid w:val="002F4778"/>
    <w:rsid w:val="002F5294"/>
    <w:rsid w:val="002F659C"/>
    <w:rsid w:val="003010FA"/>
    <w:rsid w:val="00301151"/>
    <w:rsid w:val="00302B00"/>
    <w:rsid w:val="00303D42"/>
    <w:rsid w:val="00304EC6"/>
    <w:rsid w:val="00306617"/>
    <w:rsid w:val="003069BB"/>
    <w:rsid w:val="00311269"/>
    <w:rsid w:val="00311AD9"/>
    <w:rsid w:val="00311FCB"/>
    <w:rsid w:val="0031215B"/>
    <w:rsid w:val="00313DD0"/>
    <w:rsid w:val="00314239"/>
    <w:rsid w:val="00315DC5"/>
    <w:rsid w:val="00316D0B"/>
    <w:rsid w:val="00316D9E"/>
    <w:rsid w:val="003209D4"/>
    <w:rsid w:val="00325D73"/>
    <w:rsid w:val="003272CE"/>
    <w:rsid w:val="00327556"/>
    <w:rsid w:val="00330029"/>
    <w:rsid w:val="0033227E"/>
    <w:rsid w:val="0033264E"/>
    <w:rsid w:val="0033269B"/>
    <w:rsid w:val="00332BF6"/>
    <w:rsid w:val="00333667"/>
    <w:rsid w:val="00333A3E"/>
    <w:rsid w:val="00334621"/>
    <w:rsid w:val="00340A83"/>
    <w:rsid w:val="00341FDE"/>
    <w:rsid w:val="0034695B"/>
    <w:rsid w:val="00346AE0"/>
    <w:rsid w:val="00346CA9"/>
    <w:rsid w:val="003527F8"/>
    <w:rsid w:val="00353957"/>
    <w:rsid w:val="003555EC"/>
    <w:rsid w:val="003562AF"/>
    <w:rsid w:val="00356689"/>
    <w:rsid w:val="00356A57"/>
    <w:rsid w:val="003575D0"/>
    <w:rsid w:val="003611B4"/>
    <w:rsid w:val="0036181C"/>
    <w:rsid w:val="00362468"/>
    <w:rsid w:val="003629E8"/>
    <w:rsid w:val="00363DB3"/>
    <w:rsid w:val="003641E8"/>
    <w:rsid w:val="00365978"/>
    <w:rsid w:val="00365DF2"/>
    <w:rsid w:val="00366104"/>
    <w:rsid w:val="0036629C"/>
    <w:rsid w:val="003677B2"/>
    <w:rsid w:val="00367A5D"/>
    <w:rsid w:val="003701AC"/>
    <w:rsid w:val="003703B1"/>
    <w:rsid w:val="0037077D"/>
    <w:rsid w:val="00370ABE"/>
    <w:rsid w:val="00370CB2"/>
    <w:rsid w:val="00371A60"/>
    <w:rsid w:val="00371D1E"/>
    <w:rsid w:val="0037378B"/>
    <w:rsid w:val="00374251"/>
    <w:rsid w:val="0037544A"/>
    <w:rsid w:val="00376A25"/>
    <w:rsid w:val="003770DD"/>
    <w:rsid w:val="00377C82"/>
    <w:rsid w:val="003801FE"/>
    <w:rsid w:val="00380F42"/>
    <w:rsid w:val="0038166F"/>
    <w:rsid w:val="0038206D"/>
    <w:rsid w:val="00382C9B"/>
    <w:rsid w:val="003843DB"/>
    <w:rsid w:val="00385C01"/>
    <w:rsid w:val="00385C57"/>
    <w:rsid w:val="00385E78"/>
    <w:rsid w:val="003862DA"/>
    <w:rsid w:val="003868F2"/>
    <w:rsid w:val="003873CB"/>
    <w:rsid w:val="00393B95"/>
    <w:rsid w:val="00394693"/>
    <w:rsid w:val="00394CFF"/>
    <w:rsid w:val="00395096"/>
    <w:rsid w:val="003A0C55"/>
    <w:rsid w:val="003A2FEC"/>
    <w:rsid w:val="003A31C2"/>
    <w:rsid w:val="003A3B3C"/>
    <w:rsid w:val="003A3CBB"/>
    <w:rsid w:val="003A40C3"/>
    <w:rsid w:val="003A4836"/>
    <w:rsid w:val="003A5D1F"/>
    <w:rsid w:val="003A621F"/>
    <w:rsid w:val="003A674C"/>
    <w:rsid w:val="003B0A1E"/>
    <w:rsid w:val="003B0E1A"/>
    <w:rsid w:val="003B1005"/>
    <w:rsid w:val="003B196C"/>
    <w:rsid w:val="003B3A42"/>
    <w:rsid w:val="003B3CCA"/>
    <w:rsid w:val="003B52F8"/>
    <w:rsid w:val="003B5E90"/>
    <w:rsid w:val="003B720D"/>
    <w:rsid w:val="003B72BA"/>
    <w:rsid w:val="003B7EEC"/>
    <w:rsid w:val="003C253F"/>
    <w:rsid w:val="003C498A"/>
    <w:rsid w:val="003C62FD"/>
    <w:rsid w:val="003C74FD"/>
    <w:rsid w:val="003C7C16"/>
    <w:rsid w:val="003D0EE4"/>
    <w:rsid w:val="003D5463"/>
    <w:rsid w:val="003D5E0A"/>
    <w:rsid w:val="003D611E"/>
    <w:rsid w:val="003D6A1C"/>
    <w:rsid w:val="003D7E8C"/>
    <w:rsid w:val="003E06B6"/>
    <w:rsid w:val="003E0DE6"/>
    <w:rsid w:val="003E1072"/>
    <w:rsid w:val="003E1798"/>
    <w:rsid w:val="003E181C"/>
    <w:rsid w:val="003E1B62"/>
    <w:rsid w:val="003E2032"/>
    <w:rsid w:val="003E21F9"/>
    <w:rsid w:val="003E52C6"/>
    <w:rsid w:val="003E55A8"/>
    <w:rsid w:val="003F0903"/>
    <w:rsid w:val="003F1AF6"/>
    <w:rsid w:val="003F4905"/>
    <w:rsid w:val="003F4AA2"/>
    <w:rsid w:val="003F5366"/>
    <w:rsid w:val="003F537C"/>
    <w:rsid w:val="003F5B02"/>
    <w:rsid w:val="003F7060"/>
    <w:rsid w:val="00400236"/>
    <w:rsid w:val="004009E1"/>
    <w:rsid w:val="0040143E"/>
    <w:rsid w:val="00401FF6"/>
    <w:rsid w:val="00402A28"/>
    <w:rsid w:val="00402CDE"/>
    <w:rsid w:val="0040354D"/>
    <w:rsid w:val="0040403D"/>
    <w:rsid w:val="00404FB8"/>
    <w:rsid w:val="004061B2"/>
    <w:rsid w:val="00406B05"/>
    <w:rsid w:val="00406F46"/>
    <w:rsid w:val="00407219"/>
    <w:rsid w:val="00407E46"/>
    <w:rsid w:val="00407F01"/>
    <w:rsid w:val="0041017F"/>
    <w:rsid w:val="00411B6B"/>
    <w:rsid w:val="004124C3"/>
    <w:rsid w:val="00413FA9"/>
    <w:rsid w:val="0041439F"/>
    <w:rsid w:val="00414AF6"/>
    <w:rsid w:val="00415AA3"/>
    <w:rsid w:val="0041672F"/>
    <w:rsid w:val="00416ABD"/>
    <w:rsid w:val="00416B68"/>
    <w:rsid w:val="0041746F"/>
    <w:rsid w:val="004205AD"/>
    <w:rsid w:val="00420C2A"/>
    <w:rsid w:val="00423709"/>
    <w:rsid w:val="004248AC"/>
    <w:rsid w:val="00424CCB"/>
    <w:rsid w:val="0042549B"/>
    <w:rsid w:val="00426CFA"/>
    <w:rsid w:val="0043324E"/>
    <w:rsid w:val="0043361E"/>
    <w:rsid w:val="00434DD4"/>
    <w:rsid w:val="00435971"/>
    <w:rsid w:val="004361BF"/>
    <w:rsid w:val="0043683B"/>
    <w:rsid w:val="004378AA"/>
    <w:rsid w:val="004414BC"/>
    <w:rsid w:val="00443C88"/>
    <w:rsid w:val="00444DA2"/>
    <w:rsid w:val="004456CC"/>
    <w:rsid w:val="0044596D"/>
    <w:rsid w:val="00446881"/>
    <w:rsid w:val="00447E2F"/>
    <w:rsid w:val="0045077C"/>
    <w:rsid w:val="00452512"/>
    <w:rsid w:val="004534A5"/>
    <w:rsid w:val="0045353C"/>
    <w:rsid w:val="00455DC7"/>
    <w:rsid w:val="00456C1B"/>
    <w:rsid w:val="00457709"/>
    <w:rsid w:val="0046137B"/>
    <w:rsid w:val="00463E19"/>
    <w:rsid w:val="00465029"/>
    <w:rsid w:val="00465B8D"/>
    <w:rsid w:val="0046650E"/>
    <w:rsid w:val="004675B9"/>
    <w:rsid w:val="0046796D"/>
    <w:rsid w:val="00470E3A"/>
    <w:rsid w:val="0047142C"/>
    <w:rsid w:val="004719C5"/>
    <w:rsid w:val="00472C1E"/>
    <w:rsid w:val="00473577"/>
    <w:rsid w:val="004735B5"/>
    <w:rsid w:val="00473B3A"/>
    <w:rsid w:val="00473F0B"/>
    <w:rsid w:val="00476455"/>
    <w:rsid w:val="00481672"/>
    <w:rsid w:val="00481EF6"/>
    <w:rsid w:val="0048257B"/>
    <w:rsid w:val="00485FB6"/>
    <w:rsid w:val="00487932"/>
    <w:rsid w:val="00487E71"/>
    <w:rsid w:val="00490599"/>
    <w:rsid w:val="004917FE"/>
    <w:rsid w:val="00492D0D"/>
    <w:rsid w:val="0049490C"/>
    <w:rsid w:val="004954F4"/>
    <w:rsid w:val="004A0401"/>
    <w:rsid w:val="004A13E6"/>
    <w:rsid w:val="004A28AD"/>
    <w:rsid w:val="004A2B40"/>
    <w:rsid w:val="004A5059"/>
    <w:rsid w:val="004A5186"/>
    <w:rsid w:val="004A6B56"/>
    <w:rsid w:val="004A6EE6"/>
    <w:rsid w:val="004A7EFA"/>
    <w:rsid w:val="004B1CC8"/>
    <w:rsid w:val="004B2DFA"/>
    <w:rsid w:val="004B4AAF"/>
    <w:rsid w:val="004B53C7"/>
    <w:rsid w:val="004B5F1D"/>
    <w:rsid w:val="004B6E10"/>
    <w:rsid w:val="004B78B6"/>
    <w:rsid w:val="004B7C32"/>
    <w:rsid w:val="004C0359"/>
    <w:rsid w:val="004C0E02"/>
    <w:rsid w:val="004C0EBB"/>
    <w:rsid w:val="004C310D"/>
    <w:rsid w:val="004C3FB5"/>
    <w:rsid w:val="004C423E"/>
    <w:rsid w:val="004C4FE4"/>
    <w:rsid w:val="004D079F"/>
    <w:rsid w:val="004D1D86"/>
    <w:rsid w:val="004D38C7"/>
    <w:rsid w:val="004D3FFA"/>
    <w:rsid w:val="004D42FE"/>
    <w:rsid w:val="004D75F2"/>
    <w:rsid w:val="004E13B1"/>
    <w:rsid w:val="004E1D7E"/>
    <w:rsid w:val="004E2C36"/>
    <w:rsid w:val="004E44A2"/>
    <w:rsid w:val="004E4ED0"/>
    <w:rsid w:val="004E5C63"/>
    <w:rsid w:val="004F29B5"/>
    <w:rsid w:val="004F2CF1"/>
    <w:rsid w:val="004F5C6E"/>
    <w:rsid w:val="004F5F66"/>
    <w:rsid w:val="00500221"/>
    <w:rsid w:val="00500BF0"/>
    <w:rsid w:val="005012F9"/>
    <w:rsid w:val="00501916"/>
    <w:rsid w:val="005037C2"/>
    <w:rsid w:val="00503DE5"/>
    <w:rsid w:val="00504B34"/>
    <w:rsid w:val="00504C9C"/>
    <w:rsid w:val="00505801"/>
    <w:rsid w:val="00506ED2"/>
    <w:rsid w:val="00510066"/>
    <w:rsid w:val="00510E20"/>
    <w:rsid w:val="0051149C"/>
    <w:rsid w:val="00512D0C"/>
    <w:rsid w:val="00513CB4"/>
    <w:rsid w:val="0051448B"/>
    <w:rsid w:val="00514906"/>
    <w:rsid w:val="00516DF6"/>
    <w:rsid w:val="00517418"/>
    <w:rsid w:val="005174BE"/>
    <w:rsid w:val="005178C8"/>
    <w:rsid w:val="005201A4"/>
    <w:rsid w:val="00522A1D"/>
    <w:rsid w:val="0052471D"/>
    <w:rsid w:val="00525980"/>
    <w:rsid w:val="00526592"/>
    <w:rsid w:val="00527EF8"/>
    <w:rsid w:val="00534C3E"/>
    <w:rsid w:val="00541863"/>
    <w:rsid w:val="00541DB9"/>
    <w:rsid w:val="00541F04"/>
    <w:rsid w:val="00542171"/>
    <w:rsid w:val="0054468C"/>
    <w:rsid w:val="00546323"/>
    <w:rsid w:val="00546F17"/>
    <w:rsid w:val="005477A6"/>
    <w:rsid w:val="00551798"/>
    <w:rsid w:val="00551EA6"/>
    <w:rsid w:val="0055303D"/>
    <w:rsid w:val="0055453F"/>
    <w:rsid w:val="00555BC8"/>
    <w:rsid w:val="00556F6F"/>
    <w:rsid w:val="00565BA7"/>
    <w:rsid w:val="00566BDF"/>
    <w:rsid w:val="00570357"/>
    <w:rsid w:val="005713BB"/>
    <w:rsid w:val="0057147B"/>
    <w:rsid w:val="0057223A"/>
    <w:rsid w:val="005725DD"/>
    <w:rsid w:val="00572784"/>
    <w:rsid w:val="00572C7A"/>
    <w:rsid w:val="005750E1"/>
    <w:rsid w:val="00575F4D"/>
    <w:rsid w:val="00577512"/>
    <w:rsid w:val="005808DA"/>
    <w:rsid w:val="00580A8B"/>
    <w:rsid w:val="0058144F"/>
    <w:rsid w:val="00584631"/>
    <w:rsid w:val="005847B2"/>
    <w:rsid w:val="00584C46"/>
    <w:rsid w:val="00587441"/>
    <w:rsid w:val="00590EEB"/>
    <w:rsid w:val="00592C65"/>
    <w:rsid w:val="005938F0"/>
    <w:rsid w:val="00593DEB"/>
    <w:rsid w:val="005940FD"/>
    <w:rsid w:val="005A0ECD"/>
    <w:rsid w:val="005A11AD"/>
    <w:rsid w:val="005A2614"/>
    <w:rsid w:val="005A2AC1"/>
    <w:rsid w:val="005A3FDB"/>
    <w:rsid w:val="005A4B68"/>
    <w:rsid w:val="005A6D2D"/>
    <w:rsid w:val="005A7637"/>
    <w:rsid w:val="005A7763"/>
    <w:rsid w:val="005A79E1"/>
    <w:rsid w:val="005B0400"/>
    <w:rsid w:val="005B0B38"/>
    <w:rsid w:val="005B0DE6"/>
    <w:rsid w:val="005B174D"/>
    <w:rsid w:val="005B2D48"/>
    <w:rsid w:val="005B31D3"/>
    <w:rsid w:val="005B3604"/>
    <w:rsid w:val="005B3F4F"/>
    <w:rsid w:val="005B4016"/>
    <w:rsid w:val="005B41B1"/>
    <w:rsid w:val="005B6683"/>
    <w:rsid w:val="005B77F4"/>
    <w:rsid w:val="005C1304"/>
    <w:rsid w:val="005C2253"/>
    <w:rsid w:val="005C3ACA"/>
    <w:rsid w:val="005C4B5B"/>
    <w:rsid w:val="005C5709"/>
    <w:rsid w:val="005D03AF"/>
    <w:rsid w:val="005D1165"/>
    <w:rsid w:val="005D18CA"/>
    <w:rsid w:val="005D2C81"/>
    <w:rsid w:val="005D3C99"/>
    <w:rsid w:val="005D4A18"/>
    <w:rsid w:val="005E15DC"/>
    <w:rsid w:val="005E40FC"/>
    <w:rsid w:val="005E6653"/>
    <w:rsid w:val="005E7E6F"/>
    <w:rsid w:val="005F0609"/>
    <w:rsid w:val="005F0910"/>
    <w:rsid w:val="005F500C"/>
    <w:rsid w:val="005F60E8"/>
    <w:rsid w:val="005F6973"/>
    <w:rsid w:val="005F7857"/>
    <w:rsid w:val="005F7CD2"/>
    <w:rsid w:val="00603101"/>
    <w:rsid w:val="00603FF4"/>
    <w:rsid w:val="00606114"/>
    <w:rsid w:val="00607794"/>
    <w:rsid w:val="0060791D"/>
    <w:rsid w:val="00607E84"/>
    <w:rsid w:val="00610B9D"/>
    <w:rsid w:val="006110C5"/>
    <w:rsid w:val="006111B8"/>
    <w:rsid w:val="0061494F"/>
    <w:rsid w:val="006156FB"/>
    <w:rsid w:val="006173DB"/>
    <w:rsid w:val="00622CDC"/>
    <w:rsid w:val="00624D1C"/>
    <w:rsid w:val="0062545E"/>
    <w:rsid w:val="00627ED6"/>
    <w:rsid w:val="0063157A"/>
    <w:rsid w:val="0063421A"/>
    <w:rsid w:val="0063594D"/>
    <w:rsid w:val="0063624D"/>
    <w:rsid w:val="0063732D"/>
    <w:rsid w:val="00640D66"/>
    <w:rsid w:val="0064198C"/>
    <w:rsid w:val="00642068"/>
    <w:rsid w:val="006436AF"/>
    <w:rsid w:val="00643A5A"/>
    <w:rsid w:val="00643BC9"/>
    <w:rsid w:val="00644B41"/>
    <w:rsid w:val="00646E1E"/>
    <w:rsid w:val="00647CCD"/>
    <w:rsid w:val="00650D22"/>
    <w:rsid w:val="00653B8C"/>
    <w:rsid w:val="006558F6"/>
    <w:rsid w:val="00655D50"/>
    <w:rsid w:val="00660550"/>
    <w:rsid w:val="006613DA"/>
    <w:rsid w:val="00661DAA"/>
    <w:rsid w:val="00662C53"/>
    <w:rsid w:val="006630ED"/>
    <w:rsid w:val="00663914"/>
    <w:rsid w:val="00666169"/>
    <w:rsid w:val="00666CB0"/>
    <w:rsid w:val="0066751E"/>
    <w:rsid w:val="00676F20"/>
    <w:rsid w:val="00682304"/>
    <w:rsid w:val="00683B03"/>
    <w:rsid w:val="00683FF3"/>
    <w:rsid w:val="00685905"/>
    <w:rsid w:val="00690CDA"/>
    <w:rsid w:val="00691BDF"/>
    <w:rsid w:val="00692697"/>
    <w:rsid w:val="00693B36"/>
    <w:rsid w:val="00694472"/>
    <w:rsid w:val="006977F2"/>
    <w:rsid w:val="00697D8B"/>
    <w:rsid w:val="006A148F"/>
    <w:rsid w:val="006A176A"/>
    <w:rsid w:val="006A2EF9"/>
    <w:rsid w:val="006A3C8F"/>
    <w:rsid w:val="006A479A"/>
    <w:rsid w:val="006A669F"/>
    <w:rsid w:val="006B00A3"/>
    <w:rsid w:val="006B0FFF"/>
    <w:rsid w:val="006B12AD"/>
    <w:rsid w:val="006B17A5"/>
    <w:rsid w:val="006B1BCF"/>
    <w:rsid w:val="006B2047"/>
    <w:rsid w:val="006B20FD"/>
    <w:rsid w:val="006B2269"/>
    <w:rsid w:val="006B25EA"/>
    <w:rsid w:val="006B2B45"/>
    <w:rsid w:val="006B40A0"/>
    <w:rsid w:val="006B706D"/>
    <w:rsid w:val="006C1577"/>
    <w:rsid w:val="006C247B"/>
    <w:rsid w:val="006C2740"/>
    <w:rsid w:val="006C3408"/>
    <w:rsid w:val="006C5277"/>
    <w:rsid w:val="006C5DEE"/>
    <w:rsid w:val="006C674F"/>
    <w:rsid w:val="006D0336"/>
    <w:rsid w:val="006D0D3A"/>
    <w:rsid w:val="006D3957"/>
    <w:rsid w:val="006D4119"/>
    <w:rsid w:val="006D4DA7"/>
    <w:rsid w:val="006D517D"/>
    <w:rsid w:val="006E074E"/>
    <w:rsid w:val="006E10D7"/>
    <w:rsid w:val="006E239F"/>
    <w:rsid w:val="006E35D1"/>
    <w:rsid w:val="006E5D36"/>
    <w:rsid w:val="006E63B4"/>
    <w:rsid w:val="006E7A84"/>
    <w:rsid w:val="006F0BF7"/>
    <w:rsid w:val="006F1EDC"/>
    <w:rsid w:val="006F329C"/>
    <w:rsid w:val="006F3E66"/>
    <w:rsid w:val="006F6104"/>
    <w:rsid w:val="0070093B"/>
    <w:rsid w:val="00700A79"/>
    <w:rsid w:val="0070219C"/>
    <w:rsid w:val="007029F5"/>
    <w:rsid w:val="0070340E"/>
    <w:rsid w:val="00704752"/>
    <w:rsid w:val="00705BA7"/>
    <w:rsid w:val="007113F0"/>
    <w:rsid w:val="007153F1"/>
    <w:rsid w:val="00717783"/>
    <w:rsid w:val="00717B54"/>
    <w:rsid w:val="0072121B"/>
    <w:rsid w:val="00722B4F"/>
    <w:rsid w:val="00722F9D"/>
    <w:rsid w:val="0072732E"/>
    <w:rsid w:val="00730F9A"/>
    <w:rsid w:val="007310A0"/>
    <w:rsid w:val="00732268"/>
    <w:rsid w:val="007323C3"/>
    <w:rsid w:val="00732690"/>
    <w:rsid w:val="00732AF6"/>
    <w:rsid w:val="00734F2A"/>
    <w:rsid w:val="0073754B"/>
    <w:rsid w:val="00740CA7"/>
    <w:rsid w:val="007411D3"/>
    <w:rsid w:val="00741E33"/>
    <w:rsid w:val="007428FA"/>
    <w:rsid w:val="0074329F"/>
    <w:rsid w:val="007435D5"/>
    <w:rsid w:val="00743E89"/>
    <w:rsid w:val="0074686B"/>
    <w:rsid w:val="00746B6C"/>
    <w:rsid w:val="00747858"/>
    <w:rsid w:val="00750E0B"/>
    <w:rsid w:val="0075166E"/>
    <w:rsid w:val="007561B4"/>
    <w:rsid w:val="00757B51"/>
    <w:rsid w:val="00757DB4"/>
    <w:rsid w:val="00760247"/>
    <w:rsid w:val="00760C28"/>
    <w:rsid w:val="007611D3"/>
    <w:rsid w:val="0076213C"/>
    <w:rsid w:val="00765D60"/>
    <w:rsid w:val="00766BE3"/>
    <w:rsid w:val="007708FB"/>
    <w:rsid w:val="0077354C"/>
    <w:rsid w:val="00776CAE"/>
    <w:rsid w:val="0078111D"/>
    <w:rsid w:val="00781413"/>
    <w:rsid w:val="007817B5"/>
    <w:rsid w:val="00781BEF"/>
    <w:rsid w:val="00782BA8"/>
    <w:rsid w:val="0078304F"/>
    <w:rsid w:val="007852AF"/>
    <w:rsid w:val="00792D51"/>
    <w:rsid w:val="00793F2A"/>
    <w:rsid w:val="00794ADD"/>
    <w:rsid w:val="0079609A"/>
    <w:rsid w:val="00796116"/>
    <w:rsid w:val="007964EB"/>
    <w:rsid w:val="00797556"/>
    <w:rsid w:val="007A065A"/>
    <w:rsid w:val="007A0E3D"/>
    <w:rsid w:val="007A2CEF"/>
    <w:rsid w:val="007A40AA"/>
    <w:rsid w:val="007A4AE2"/>
    <w:rsid w:val="007A5F32"/>
    <w:rsid w:val="007B04AC"/>
    <w:rsid w:val="007B303B"/>
    <w:rsid w:val="007B3914"/>
    <w:rsid w:val="007B3DF6"/>
    <w:rsid w:val="007B4906"/>
    <w:rsid w:val="007B797E"/>
    <w:rsid w:val="007C2BA3"/>
    <w:rsid w:val="007C31D1"/>
    <w:rsid w:val="007C3CC2"/>
    <w:rsid w:val="007C3E4A"/>
    <w:rsid w:val="007C3EEE"/>
    <w:rsid w:val="007C4344"/>
    <w:rsid w:val="007C488A"/>
    <w:rsid w:val="007C5A61"/>
    <w:rsid w:val="007C6831"/>
    <w:rsid w:val="007C7503"/>
    <w:rsid w:val="007C7E6C"/>
    <w:rsid w:val="007D0714"/>
    <w:rsid w:val="007D0A7C"/>
    <w:rsid w:val="007D1D4A"/>
    <w:rsid w:val="007D1F94"/>
    <w:rsid w:val="007D3BF4"/>
    <w:rsid w:val="007D416B"/>
    <w:rsid w:val="007D4B6C"/>
    <w:rsid w:val="007D7066"/>
    <w:rsid w:val="007D750C"/>
    <w:rsid w:val="007D7FA7"/>
    <w:rsid w:val="007E3719"/>
    <w:rsid w:val="007E3E3C"/>
    <w:rsid w:val="007E45B3"/>
    <w:rsid w:val="007E531B"/>
    <w:rsid w:val="007E6000"/>
    <w:rsid w:val="007E6EA4"/>
    <w:rsid w:val="007E71F1"/>
    <w:rsid w:val="007F13F6"/>
    <w:rsid w:val="007F1E4E"/>
    <w:rsid w:val="007F22FF"/>
    <w:rsid w:val="007F557E"/>
    <w:rsid w:val="007F58F0"/>
    <w:rsid w:val="008015AC"/>
    <w:rsid w:val="008015B5"/>
    <w:rsid w:val="00802222"/>
    <w:rsid w:val="00803074"/>
    <w:rsid w:val="0080364E"/>
    <w:rsid w:val="0080388B"/>
    <w:rsid w:val="00804715"/>
    <w:rsid w:val="0080773D"/>
    <w:rsid w:val="0081061E"/>
    <w:rsid w:val="00815841"/>
    <w:rsid w:val="00816DD0"/>
    <w:rsid w:val="008178F8"/>
    <w:rsid w:val="00817FAC"/>
    <w:rsid w:val="0082055F"/>
    <w:rsid w:val="00820829"/>
    <w:rsid w:val="0082185D"/>
    <w:rsid w:val="00822662"/>
    <w:rsid w:val="00822B09"/>
    <w:rsid w:val="0083065E"/>
    <w:rsid w:val="00831172"/>
    <w:rsid w:val="00832470"/>
    <w:rsid w:val="0083266B"/>
    <w:rsid w:val="008341B4"/>
    <w:rsid w:val="0083478F"/>
    <w:rsid w:val="008352F1"/>
    <w:rsid w:val="00835746"/>
    <w:rsid w:val="00836187"/>
    <w:rsid w:val="0083695F"/>
    <w:rsid w:val="008376B8"/>
    <w:rsid w:val="008378D5"/>
    <w:rsid w:val="0084082E"/>
    <w:rsid w:val="008456D3"/>
    <w:rsid w:val="00846C64"/>
    <w:rsid w:val="00846E5C"/>
    <w:rsid w:val="0084711D"/>
    <w:rsid w:val="00847995"/>
    <w:rsid w:val="008557BD"/>
    <w:rsid w:val="008575B5"/>
    <w:rsid w:val="0086376E"/>
    <w:rsid w:val="00863891"/>
    <w:rsid w:val="0086407D"/>
    <w:rsid w:val="008644C7"/>
    <w:rsid w:val="008654C8"/>
    <w:rsid w:val="00866ACB"/>
    <w:rsid w:val="00867DBD"/>
    <w:rsid w:val="00873286"/>
    <w:rsid w:val="00873AE8"/>
    <w:rsid w:val="008806A2"/>
    <w:rsid w:val="00881489"/>
    <w:rsid w:val="00881FCE"/>
    <w:rsid w:val="008821B1"/>
    <w:rsid w:val="00882993"/>
    <w:rsid w:val="00883160"/>
    <w:rsid w:val="0088408A"/>
    <w:rsid w:val="008861E2"/>
    <w:rsid w:val="00886629"/>
    <w:rsid w:val="00886BA3"/>
    <w:rsid w:val="008876FE"/>
    <w:rsid w:val="00887B1D"/>
    <w:rsid w:val="0089006A"/>
    <w:rsid w:val="00893D2B"/>
    <w:rsid w:val="00894262"/>
    <w:rsid w:val="008973F3"/>
    <w:rsid w:val="00897AAD"/>
    <w:rsid w:val="008A3AF5"/>
    <w:rsid w:val="008A64BD"/>
    <w:rsid w:val="008B00AD"/>
    <w:rsid w:val="008B2510"/>
    <w:rsid w:val="008B2D1E"/>
    <w:rsid w:val="008B326C"/>
    <w:rsid w:val="008B3AAA"/>
    <w:rsid w:val="008B7D3E"/>
    <w:rsid w:val="008C05BD"/>
    <w:rsid w:val="008C16FF"/>
    <w:rsid w:val="008C2643"/>
    <w:rsid w:val="008C4461"/>
    <w:rsid w:val="008C468F"/>
    <w:rsid w:val="008C48B5"/>
    <w:rsid w:val="008C4AF7"/>
    <w:rsid w:val="008C5285"/>
    <w:rsid w:val="008C54F4"/>
    <w:rsid w:val="008C5E23"/>
    <w:rsid w:val="008C61CE"/>
    <w:rsid w:val="008C6393"/>
    <w:rsid w:val="008C6890"/>
    <w:rsid w:val="008C741C"/>
    <w:rsid w:val="008D2B1D"/>
    <w:rsid w:val="008D3A42"/>
    <w:rsid w:val="008D539B"/>
    <w:rsid w:val="008D5BA3"/>
    <w:rsid w:val="008D670D"/>
    <w:rsid w:val="008D6A3D"/>
    <w:rsid w:val="008E1CC9"/>
    <w:rsid w:val="008E39CE"/>
    <w:rsid w:val="008E5C04"/>
    <w:rsid w:val="008E7FA7"/>
    <w:rsid w:val="008F0146"/>
    <w:rsid w:val="008F0A9D"/>
    <w:rsid w:val="008F215A"/>
    <w:rsid w:val="008F25D9"/>
    <w:rsid w:val="008F2869"/>
    <w:rsid w:val="008F3371"/>
    <w:rsid w:val="008F3EFA"/>
    <w:rsid w:val="008F462A"/>
    <w:rsid w:val="008F55D9"/>
    <w:rsid w:val="008F5A76"/>
    <w:rsid w:val="008F77DC"/>
    <w:rsid w:val="008F7EB5"/>
    <w:rsid w:val="00902034"/>
    <w:rsid w:val="00903E11"/>
    <w:rsid w:val="009046A7"/>
    <w:rsid w:val="00904E1F"/>
    <w:rsid w:val="009138A2"/>
    <w:rsid w:val="00913C8A"/>
    <w:rsid w:val="009140F5"/>
    <w:rsid w:val="00914234"/>
    <w:rsid w:val="009154AA"/>
    <w:rsid w:val="00915E68"/>
    <w:rsid w:val="009166C8"/>
    <w:rsid w:val="00920186"/>
    <w:rsid w:val="00921387"/>
    <w:rsid w:val="00922661"/>
    <w:rsid w:val="00922766"/>
    <w:rsid w:val="00922C98"/>
    <w:rsid w:val="00924B53"/>
    <w:rsid w:val="00924CF2"/>
    <w:rsid w:val="009257ED"/>
    <w:rsid w:val="0092701A"/>
    <w:rsid w:val="00930595"/>
    <w:rsid w:val="00930B0A"/>
    <w:rsid w:val="0093179B"/>
    <w:rsid w:val="00931A5D"/>
    <w:rsid w:val="00931A71"/>
    <w:rsid w:val="0093459D"/>
    <w:rsid w:val="00934EDC"/>
    <w:rsid w:val="009351DE"/>
    <w:rsid w:val="00937388"/>
    <w:rsid w:val="00937F13"/>
    <w:rsid w:val="00940112"/>
    <w:rsid w:val="00940D80"/>
    <w:rsid w:val="00942319"/>
    <w:rsid w:val="00942E85"/>
    <w:rsid w:val="00945853"/>
    <w:rsid w:val="0094635D"/>
    <w:rsid w:val="00946B94"/>
    <w:rsid w:val="009518B2"/>
    <w:rsid w:val="00952531"/>
    <w:rsid w:val="0095254C"/>
    <w:rsid w:val="00953D0D"/>
    <w:rsid w:val="00956C24"/>
    <w:rsid w:val="00956FE4"/>
    <w:rsid w:val="00960A47"/>
    <w:rsid w:val="00960AEB"/>
    <w:rsid w:val="00961381"/>
    <w:rsid w:val="0096142B"/>
    <w:rsid w:val="009615EA"/>
    <w:rsid w:val="0096204E"/>
    <w:rsid w:val="009628D2"/>
    <w:rsid w:val="00962DB9"/>
    <w:rsid w:val="009656B9"/>
    <w:rsid w:val="00965BA7"/>
    <w:rsid w:val="009669A0"/>
    <w:rsid w:val="009672A1"/>
    <w:rsid w:val="00970480"/>
    <w:rsid w:val="00972334"/>
    <w:rsid w:val="0097287D"/>
    <w:rsid w:val="00972D21"/>
    <w:rsid w:val="00972E6D"/>
    <w:rsid w:val="00974B49"/>
    <w:rsid w:val="0097790F"/>
    <w:rsid w:val="00977FEA"/>
    <w:rsid w:val="00983649"/>
    <w:rsid w:val="00984053"/>
    <w:rsid w:val="00986403"/>
    <w:rsid w:val="00986956"/>
    <w:rsid w:val="00987582"/>
    <w:rsid w:val="00987C50"/>
    <w:rsid w:val="00990310"/>
    <w:rsid w:val="009903EF"/>
    <w:rsid w:val="0099297C"/>
    <w:rsid w:val="00993129"/>
    <w:rsid w:val="00993F64"/>
    <w:rsid w:val="009A028B"/>
    <w:rsid w:val="009A0548"/>
    <w:rsid w:val="009A0FCD"/>
    <w:rsid w:val="009A2509"/>
    <w:rsid w:val="009A33AF"/>
    <w:rsid w:val="009A3783"/>
    <w:rsid w:val="009B0CB1"/>
    <w:rsid w:val="009B4C3D"/>
    <w:rsid w:val="009B513A"/>
    <w:rsid w:val="009B5E95"/>
    <w:rsid w:val="009B66A5"/>
    <w:rsid w:val="009B6C43"/>
    <w:rsid w:val="009B785C"/>
    <w:rsid w:val="009C2FE6"/>
    <w:rsid w:val="009C5880"/>
    <w:rsid w:val="009D0B7B"/>
    <w:rsid w:val="009D2739"/>
    <w:rsid w:val="009D3BE0"/>
    <w:rsid w:val="009D4669"/>
    <w:rsid w:val="009D482F"/>
    <w:rsid w:val="009D4AD8"/>
    <w:rsid w:val="009D50B2"/>
    <w:rsid w:val="009E1163"/>
    <w:rsid w:val="009E1604"/>
    <w:rsid w:val="009E25FE"/>
    <w:rsid w:val="009E4DFF"/>
    <w:rsid w:val="009E6759"/>
    <w:rsid w:val="009F12CA"/>
    <w:rsid w:val="009F266B"/>
    <w:rsid w:val="009F2EE9"/>
    <w:rsid w:val="009F35F0"/>
    <w:rsid w:val="009F3890"/>
    <w:rsid w:val="009F3FC3"/>
    <w:rsid w:val="009F57DC"/>
    <w:rsid w:val="009F5CB9"/>
    <w:rsid w:val="00A00771"/>
    <w:rsid w:val="00A01D84"/>
    <w:rsid w:val="00A0425A"/>
    <w:rsid w:val="00A04650"/>
    <w:rsid w:val="00A15566"/>
    <w:rsid w:val="00A15C5E"/>
    <w:rsid w:val="00A16ED3"/>
    <w:rsid w:val="00A17C5F"/>
    <w:rsid w:val="00A21EAC"/>
    <w:rsid w:val="00A22599"/>
    <w:rsid w:val="00A225C5"/>
    <w:rsid w:val="00A226D7"/>
    <w:rsid w:val="00A22FE6"/>
    <w:rsid w:val="00A2699E"/>
    <w:rsid w:val="00A274EE"/>
    <w:rsid w:val="00A27A38"/>
    <w:rsid w:val="00A27CD8"/>
    <w:rsid w:val="00A301A4"/>
    <w:rsid w:val="00A30250"/>
    <w:rsid w:val="00A3060B"/>
    <w:rsid w:val="00A320BB"/>
    <w:rsid w:val="00A34550"/>
    <w:rsid w:val="00A34CE2"/>
    <w:rsid w:val="00A40133"/>
    <w:rsid w:val="00A40211"/>
    <w:rsid w:val="00A42A77"/>
    <w:rsid w:val="00A43E12"/>
    <w:rsid w:val="00A43E7A"/>
    <w:rsid w:val="00A44D4F"/>
    <w:rsid w:val="00A4687A"/>
    <w:rsid w:val="00A47166"/>
    <w:rsid w:val="00A47322"/>
    <w:rsid w:val="00A47E89"/>
    <w:rsid w:val="00A514B3"/>
    <w:rsid w:val="00A5165E"/>
    <w:rsid w:val="00A52037"/>
    <w:rsid w:val="00A523C6"/>
    <w:rsid w:val="00A52508"/>
    <w:rsid w:val="00A5425B"/>
    <w:rsid w:val="00A55478"/>
    <w:rsid w:val="00A555BE"/>
    <w:rsid w:val="00A5596C"/>
    <w:rsid w:val="00A56CAD"/>
    <w:rsid w:val="00A56D06"/>
    <w:rsid w:val="00A57794"/>
    <w:rsid w:val="00A60FEE"/>
    <w:rsid w:val="00A61519"/>
    <w:rsid w:val="00A61F8A"/>
    <w:rsid w:val="00A62321"/>
    <w:rsid w:val="00A63848"/>
    <w:rsid w:val="00A66A2F"/>
    <w:rsid w:val="00A66B9C"/>
    <w:rsid w:val="00A672E0"/>
    <w:rsid w:val="00A7044C"/>
    <w:rsid w:val="00A7675B"/>
    <w:rsid w:val="00A77745"/>
    <w:rsid w:val="00A817CA"/>
    <w:rsid w:val="00A81BFB"/>
    <w:rsid w:val="00A8478E"/>
    <w:rsid w:val="00A84954"/>
    <w:rsid w:val="00A849F1"/>
    <w:rsid w:val="00A84B38"/>
    <w:rsid w:val="00A856D6"/>
    <w:rsid w:val="00A85F66"/>
    <w:rsid w:val="00A87103"/>
    <w:rsid w:val="00A90226"/>
    <w:rsid w:val="00A902BC"/>
    <w:rsid w:val="00A91A60"/>
    <w:rsid w:val="00A94D51"/>
    <w:rsid w:val="00A951B6"/>
    <w:rsid w:val="00AA2944"/>
    <w:rsid w:val="00AA2ABC"/>
    <w:rsid w:val="00AA2D82"/>
    <w:rsid w:val="00AA6A9D"/>
    <w:rsid w:val="00AA795E"/>
    <w:rsid w:val="00AA7E67"/>
    <w:rsid w:val="00AB05BE"/>
    <w:rsid w:val="00AB4E20"/>
    <w:rsid w:val="00AB51B0"/>
    <w:rsid w:val="00AB5E0D"/>
    <w:rsid w:val="00AB609E"/>
    <w:rsid w:val="00AB68BB"/>
    <w:rsid w:val="00AB6EEB"/>
    <w:rsid w:val="00AC1145"/>
    <w:rsid w:val="00AC196C"/>
    <w:rsid w:val="00AC2B91"/>
    <w:rsid w:val="00AC2C5F"/>
    <w:rsid w:val="00AC4FB0"/>
    <w:rsid w:val="00AC57DC"/>
    <w:rsid w:val="00AC5A84"/>
    <w:rsid w:val="00AD0042"/>
    <w:rsid w:val="00AD043A"/>
    <w:rsid w:val="00AD16A9"/>
    <w:rsid w:val="00AD214C"/>
    <w:rsid w:val="00AD38FB"/>
    <w:rsid w:val="00AD3B59"/>
    <w:rsid w:val="00AD43F2"/>
    <w:rsid w:val="00AD5890"/>
    <w:rsid w:val="00AD5B55"/>
    <w:rsid w:val="00AD637E"/>
    <w:rsid w:val="00AD6D34"/>
    <w:rsid w:val="00AD6F89"/>
    <w:rsid w:val="00AE0F4C"/>
    <w:rsid w:val="00AE18E9"/>
    <w:rsid w:val="00AE29E7"/>
    <w:rsid w:val="00AE7C5B"/>
    <w:rsid w:val="00AF064D"/>
    <w:rsid w:val="00AF0A6C"/>
    <w:rsid w:val="00AF119F"/>
    <w:rsid w:val="00AF1FB3"/>
    <w:rsid w:val="00AF3991"/>
    <w:rsid w:val="00AF4160"/>
    <w:rsid w:val="00AF5601"/>
    <w:rsid w:val="00B00016"/>
    <w:rsid w:val="00B025C1"/>
    <w:rsid w:val="00B028C5"/>
    <w:rsid w:val="00B03933"/>
    <w:rsid w:val="00B03F04"/>
    <w:rsid w:val="00B063D0"/>
    <w:rsid w:val="00B10E38"/>
    <w:rsid w:val="00B1276D"/>
    <w:rsid w:val="00B14E71"/>
    <w:rsid w:val="00B15D57"/>
    <w:rsid w:val="00B16AF0"/>
    <w:rsid w:val="00B172EB"/>
    <w:rsid w:val="00B202A5"/>
    <w:rsid w:val="00B2086C"/>
    <w:rsid w:val="00B20F7C"/>
    <w:rsid w:val="00B21E19"/>
    <w:rsid w:val="00B22F63"/>
    <w:rsid w:val="00B24517"/>
    <w:rsid w:val="00B24C73"/>
    <w:rsid w:val="00B2573B"/>
    <w:rsid w:val="00B26175"/>
    <w:rsid w:val="00B26F78"/>
    <w:rsid w:val="00B32A3A"/>
    <w:rsid w:val="00B32FA1"/>
    <w:rsid w:val="00B33756"/>
    <w:rsid w:val="00B34263"/>
    <w:rsid w:val="00B346A1"/>
    <w:rsid w:val="00B3688E"/>
    <w:rsid w:val="00B373C2"/>
    <w:rsid w:val="00B41AFE"/>
    <w:rsid w:val="00B42309"/>
    <w:rsid w:val="00B433BC"/>
    <w:rsid w:val="00B446E0"/>
    <w:rsid w:val="00B46848"/>
    <w:rsid w:val="00B47DAE"/>
    <w:rsid w:val="00B50AE8"/>
    <w:rsid w:val="00B524BB"/>
    <w:rsid w:val="00B537CE"/>
    <w:rsid w:val="00B54459"/>
    <w:rsid w:val="00B550E7"/>
    <w:rsid w:val="00B55757"/>
    <w:rsid w:val="00B55846"/>
    <w:rsid w:val="00B56AC1"/>
    <w:rsid w:val="00B56C9D"/>
    <w:rsid w:val="00B56E35"/>
    <w:rsid w:val="00B6123B"/>
    <w:rsid w:val="00B628A6"/>
    <w:rsid w:val="00B67E7E"/>
    <w:rsid w:val="00B7253F"/>
    <w:rsid w:val="00B7407E"/>
    <w:rsid w:val="00B7511F"/>
    <w:rsid w:val="00B76112"/>
    <w:rsid w:val="00B81197"/>
    <w:rsid w:val="00B8165F"/>
    <w:rsid w:val="00B820DD"/>
    <w:rsid w:val="00B828E5"/>
    <w:rsid w:val="00B8491F"/>
    <w:rsid w:val="00B8619E"/>
    <w:rsid w:val="00B9003E"/>
    <w:rsid w:val="00B92E1F"/>
    <w:rsid w:val="00B933D6"/>
    <w:rsid w:val="00B93D4E"/>
    <w:rsid w:val="00B94096"/>
    <w:rsid w:val="00B9471E"/>
    <w:rsid w:val="00B94AAB"/>
    <w:rsid w:val="00B960C9"/>
    <w:rsid w:val="00BA03E9"/>
    <w:rsid w:val="00BA100E"/>
    <w:rsid w:val="00BB17BD"/>
    <w:rsid w:val="00BB1EA1"/>
    <w:rsid w:val="00BB4F61"/>
    <w:rsid w:val="00BB78A0"/>
    <w:rsid w:val="00BB7CD5"/>
    <w:rsid w:val="00BC08F5"/>
    <w:rsid w:val="00BC1D0C"/>
    <w:rsid w:val="00BC25DF"/>
    <w:rsid w:val="00BC5AA9"/>
    <w:rsid w:val="00BC78C6"/>
    <w:rsid w:val="00BD283A"/>
    <w:rsid w:val="00BD2E23"/>
    <w:rsid w:val="00BD36B1"/>
    <w:rsid w:val="00BE0048"/>
    <w:rsid w:val="00BE0193"/>
    <w:rsid w:val="00BE1B8F"/>
    <w:rsid w:val="00BE2742"/>
    <w:rsid w:val="00BE29C8"/>
    <w:rsid w:val="00BE4179"/>
    <w:rsid w:val="00BE42A1"/>
    <w:rsid w:val="00BE445F"/>
    <w:rsid w:val="00BE5BFC"/>
    <w:rsid w:val="00BE5DB6"/>
    <w:rsid w:val="00BE725F"/>
    <w:rsid w:val="00BF045F"/>
    <w:rsid w:val="00BF0A99"/>
    <w:rsid w:val="00BF1B20"/>
    <w:rsid w:val="00BF2A03"/>
    <w:rsid w:val="00BF2ECB"/>
    <w:rsid w:val="00BF32F1"/>
    <w:rsid w:val="00BF3C85"/>
    <w:rsid w:val="00BF4463"/>
    <w:rsid w:val="00BF4521"/>
    <w:rsid w:val="00BF5281"/>
    <w:rsid w:val="00BF5773"/>
    <w:rsid w:val="00BF67D5"/>
    <w:rsid w:val="00BF6DA8"/>
    <w:rsid w:val="00C01AFD"/>
    <w:rsid w:val="00C0468E"/>
    <w:rsid w:val="00C04F50"/>
    <w:rsid w:val="00C059E0"/>
    <w:rsid w:val="00C060DC"/>
    <w:rsid w:val="00C06FFA"/>
    <w:rsid w:val="00C07036"/>
    <w:rsid w:val="00C1178D"/>
    <w:rsid w:val="00C12672"/>
    <w:rsid w:val="00C12CAF"/>
    <w:rsid w:val="00C16361"/>
    <w:rsid w:val="00C200EB"/>
    <w:rsid w:val="00C21FCD"/>
    <w:rsid w:val="00C23AE7"/>
    <w:rsid w:val="00C2445E"/>
    <w:rsid w:val="00C2502F"/>
    <w:rsid w:val="00C2510A"/>
    <w:rsid w:val="00C25433"/>
    <w:rsid w:val="00C25484"/>
    <w:rsid w:val="00C258D8"/>
    <w:rsid w:val="00C26070"/>
    <w:rsid w:val="00C26427"/>
    <w:rsid w:val="00C27D63"/>
    <w:rsid w:val="00C3082A"/>
    <w:rsid w:val="00C32362"/>
    <w:rsid w:val="00C32DF1"/>
    <w:rsid w:val="00C3335E"/>
    <w:rsid w:val="00C33917"/>
    <w:rsid w:val="00C34327"/>
    <w:rsid w:val="00C36712"/>
    <w:rsid w:val="00C37354"/>
    <w:rsid w:val="00C37BC7"/>
    <w:rsid w:val="00C4001B"/>
    <w:rsid w:val="00C4071F"/>
    <w:rsid w:val="00C42093"/>
    <w:rsid w:val="00C42F1D"/>
    <w:rsid w:val="00C44609"/>
    <w:rsid w:val="00C44B82"/>
    <w:rsid w:val="00C44C5D"/>
    <w:rsid w:val="00C450C4"/>
    <w:rsid w:val="00C457D4"/>
    <w:rsid w:val="00C46C28"/>
    <w:rsid w:val="00C501B8"/>
    <w:rsid w:val="00C50F3D"/>
    <w:rsid w:val="00C51427"/>
    <w:rsid w:val="00C52C82"/>
    <w:rsid w:val="00C5306D"/>
    <w:rsid w:val="00C542EA"/>
    <w:rsid w:val="00C558DC"/>
    <w:rsid w:val="00C568BF"/>
    <w:rsid w:val="00C56C72"/>
    <w:rsid w:val="00C574BF"/>
    <w:rsid w:val="00C57D19"/>
    <w:rsid w:val="00C607B2"/>
    <w:rsid w:val="00C61761"/>
    <w:rsid w:val="00C61B2A"/>
    <w:rsid w:val="00C624E8"/>
    <w:rsid w:val="00C62904"/>
    <w:rsid w:val="00C6328B"/>
    <w:rsid w:val="00C6495A"/>
    <w:rsid w:val="00C64CEB"/>
    <w:rsid w:val="00C67568"/>
    <w:rsid w:val="00C67A2D"/>
    <w:rsid w:val="00C71AFD"/>
    <w:rsid w:val="00C73A37"/>
    <w:rsid w:val="00C75B55"/>
    <w:rsid w:val="00C761A1"/>
    <w:rsid w:val="00C76DCE"/>
    <w:rsid w:val="00C77195"/>
    <w:rsid w:val="00C77EB8"/>
    <w:rsid w:val="00C800F6"/>
    <w:rsid w:val="00C8066B"/>
    <w:rsid w:val="00C80F5D"/>
    <w:rsid w:val="00C81617"/>
    <w:rsid w:val="00C81E8C"/>
    <w:rsid w:val="00C84B38"/>
    <w:rsid w:val="00C86E6E"/>
    <w:rsid w:val="00C872E0"/>
    <w:rsid w:val="00C9035C"/>
    <w:rsid w:val="00C90DC0"/>
    <w:rsid w:val="00C9275F"/>
    <w:rsid w:val="00C9491C"/>
    <w:rsid w:val="00C97E24"/>
    <w:rsid w:val="00C97F27"/>
    <w:rsid w:val="00CA1EA0"/>
    <w:rsid w:val="00CA2AAA"/>
    <w:rsid w:val="00CA2FD4"/>
    <w:rsid w:val="00CA649E"/>
    <w:rsid w:val="00CB1101"/>
    <w:rsid w:val="00CB42A4"/>
    <w:rsid w:val="00CB65CD"/>
    <w:rsid w:val="00CB6EA8"/>
    <w:rsid w:val="00CB7F1D"/>
    <w:rsid w:val="00CC007C"/>
    <w:rsid w:val="00CC060A"/>
    <w:rsid w:val="00CC148C"/>
    <w:rsid w:val="00CC243A"/>
    <w:rsid w:val="00CC31CD"/>
    <w:rsid w:val="00CC74EF"/>
    <w:rsid w:val="00CD0FDA"/>
    <w:rsid w:val="00CD10F2"/>
    <w:rsid w:val="00CD219E"/>
    <w:rsid w:val="00CD2FF1"/>
    <w:rsid w:val="00CD30F3"/>
    <w:rsid w:val="00CD39AA"/>
    <w:rsid w:val="00CD4129"/>
    <w:rsid w:val="00CD43B2"/>
    <w:rsid w:val="00CD4E4A"/>
    <w:rsid w:val="00CD68DC"/>
    <w:rsid w:val="00CD7133"/>
    <w:rsid w:val="00CE09F6"/>
    <w:rsid w:val="00CE137A"/>
    <w:rsid w:val="00CE73A1"/>
    <w:rsid w:val="00CF059C"/>
    <w:rsid w:val="00CF236E"/>
    <w:rsid w:val="00CF3848"/>
    <w:rsid w:val="00CF3DFF"/>
    <w:rsid w:val="00CF4192"/>
    <w:rsid w:val="00CF4705"/>
    <w:rsid w:val="00CF5AA3"/>
    <w:rsid w:val="00CF661C"/>
    <w:rsid w:val="00D01496"/>
    <w:rsid w:val="00D02C55"/>
    <w:rsid w:val="00D04427"/>
    <w:rsid w:val="00D06B75"/>
    <w:rsid w:val="00D1112C"/>
    <w:rsid w:val="00D1158A"/>
    <w:rsid w:val="00D115E0"/>
    <w:rsid w:val="00D12AB1"/>
    <w:rsid w:val="00D1738A"/>
    <w:rsid w:val="00D20F94"/>
    <w:rsid w:val="00D2475B"/>
    <w:rsid w:val="00D2487F"/>
    <w:rsid w:val="00D27A56"/>
    <w:rsid w:val="00D30816"/>
    <w:rsid w:val="00D31041"/>
    <w:rsid w:val="00D31A80"/>
    <w:rsid w:val="00D3234B"/>
    <w:rsid w:val="00D3372F"/>
    <w:rsid w:val="00D3501F"/>
    <w:rsid w:val="00D35106"/>
    <w:rsid w:val="00D361F8"/>
    <w:rsid w:val="00D36684"/>
    <w:rsid w:val="00D368B9"/>
    <w:rsid w:val="00D400B7"/>
    <w:rsid w:val="00D43EB7"/>
    <w:rsid w:val="00D45331"/>
    <w:rsid w:val="00D45ABB"/>
    <w:rsid w:val="00D46A86"/>
    <w:rsid w:val="00D503E9"/>
    <w:rsid w:val="00D52B66"/>
    <w:rsid w:val="00D547D5"/>
    <w:rsid w:val="00D54AB5"/>
    <w:rsid w:val="00D54D95"/>
    <w:rsid w:val="00D56850"/>
    <w:rsid w:val="00D57E89"/>
    <w:rsid w:val="00D62315"/>
    <w:rsid w:val="00D63B73"/>
    <w:rsid w:val="00D63FF6"/>
    <w:rsid w:val="00D66441"/>
    <w:rsid w:val="00D671BC"/>
    <w:rsid w:val="00D67B1F"/>
    <w:rsid w:val="00D70EB1"/>
    <w:rsid w:val="00D71067"/>
    <w:rsid w:val="00D7124D"/>
    <w:rsid w:val="00D728A0"/>
    <w:rsid w:val="00D754A9"/>
    <w:rsid w:val="00D75D34"/>
    <w:rsid w:val="00D7606B"/>
    <w:rsid w:val="00D7660E"/>
    <w:rsid w:val="00D77A0C"/>
    <w:rsid w:val="00D77DD3"/>
    <w:rsid w:val="00D80538"/>
    <w:rsid w:val="00D82FE1"/>
    <w:rsid w:val="00D84E78"/>
    <w:rsid w:val="00D852C6"/>
    <w:rsid w:val="00D852DE"/>
    <w:rsid w:val="00D85406"/>
    <w:rsid w:val="00D85C90"/>
    <w:rsid w:val="00D85E45"/>
    <w:rsid w:val="00D86252"/>
    <w:rsid w:val="00D87689"/>
    <w:rsid w:val="00D91B80"/>
    <w:rsid w:val="00D93BFD"/>
    <w:rsid w:val="00D94F67"/>
    <w:rsid w:val="00D9629D"/>
    <w:rsid w:val="00D96A72"/>
    <w:rsid w:val="00D97C40"/>
    <w:rsid w:val="00DA2403"/>
    <w:rsid w:val="00DA391B"/>
    <w:rsid w:val="00DA3D69"/>
    <w:rsid w:val="00DA3D7E"/>
    <w:rsid w:val="00DA46BB"/>
    <w:rsid w:val="00DA4DFD"/>
    <w:rsid w:val="00DA5773"/>
    <w:rsid w:val="00DA57C1"/>
    <w:rsid w:val="00DB01AF"/>
    <w:rsid w:val="00DB16B4"/>
    <w:rsid w:val="00DB25A2"/>
    <w:rsid w:val="00DB57AB"/>
    <w:rsid w:val="00DC0DC4"/>
    <w:rsid w:val="00DC3873"/>
    <w:rsid w:val="00DC4A69"/>
    <w:rsid w:val="00DC6048"/>
    <w:rsid w:val="00DC6D32"/>
    <w:rsid w:val="00DC7DD9"/>
    <w:rsid w:val="00DD2811"/>
    <w:rsid w:val="00DD322A"/>
    <w:rsid w:val="00DD4665"/>
    <w:rsid w:val="00DD64FF"/>
    <w:rsid w:val="00DD65CF"/>
    <w:rsid w:val="00DD68AF"/>
    <w:rsid w:val="00DD7877"/>
    <w:rsid w:val="00DE0407"/>
    <w:rsid w:val="00DE06D2"/>
    <w:rsid w:val="00DE0728"/>
    <w:rsid w:val="00DE1D4F"/>
    <w:rsid w:val="00DE2DED"/>
    <w:rsid w:val="00DE3BD4"/>
    <w:rsid w:val="00DE5E20"/>
    <w:rsid w:val="00DF1ACF"/>
    <w:rsid w:val="00DF257D"/>
    <w:rsid w:val="00DF2603"/>
    <w:rsid w:val="00DF4DF3"/>
    <w:rsid w:val="00DF5C04"/>
    <w:rsid w:val="00DF7C56"/>
    <w:rsid w:val="00E01D8C"/>
    <w:rsid w:val="00E0251B"/>
    <w:rsid w:val="00E04030"/>
    <w:rsid w:val="00E04202"/>
    <w:rsid w:val="00E0438B"/>
    <w:rsid w:val="00E05EF2"/>
    <w:rsid w:val="00E062D6"/>
    <w:rsid w:val="00E06F03"/>
    <w:rsid w:val="00E1495A"/>
    <w:rsid w:val="00E14CAB"/>
    <w:rsid w:val="00E15A10"/>
    <w:rsid w:val="00E15DED"/>
    <w:rsid w:val="00E16243"/>
    <w:rsid w:val="00E1656F"/>
    <w:rsid w:val="00E165F0"/>
    <w:rsid w:val="00E21176"/>
    <w:rsid w:val="00E211D9"/>
    <w:rsid w:val="00E23A53"/>
    <w:rsid w:val="00E23B60"/>
    <w:rsid w:val="00E25E72"/>
    <w:rsid w:val="00E26445"/>
    <w:rsid w:val="00E27964"/>
    <w:rsid w:val="00E3028A"/>
    <w:rsid w:val="00E32419"/>
    <w:rsid w:val="00E34C26"/>
    <w:rsid w:val="00E358F9"/>
    <w:rsid w:val="00E35BFB"/>
    <w:rsid w:val="00E3661C"/>
    <w:rsid w:val="00E37521"/>
    <w:rsid w:val="00E415A4"/>
    <w:rsid w:val="00E42C93"/>
    <w:rsid w:val="00E4473D"/>
    <w:rsid w:val="00E44C9F"/>
    <w:rsid w:val="00E44D08"/>
    <w:rsid w:val="00E46000"/>
    <w:rsid w:val="00E47F5D"/>
    <w:rsid w:val="00E52DE4"/>
    <w:rsid w:val="00E54E9B"/>
    <w:rsid w:val="00E568AA"/>
    <w:rsid w:val="00E576D5"/>
    <w:rsid w:val="00E605B7"/>
    <w:rsid w:val="00E607F3"/>
    <w:rsid w:val="00E60B13"/>
    <w:rsid w:val="00E60C01"/>
    <w:rsid w:val="00E62141"/>
    <w:rsid w:val="00E636BF"/>
    <w:rsid w:val="00E64F60"/>
    <w:rsid w:val="00E65214"/>
    <w:rsid w:val="00E66019"/>
    <w:rsid w:val="00E670E5"/>
    <w:rsid w:val="00E67253"/>
    <w:rsid w:val="00E67295"/>
    <w:rsid w:val="00E706B2"/>
    <w:rsid w:val="00E716B0"/>
    <w:rsid w:val="00E72369"/>
    <w:rsid w:val="00E72C99"/>
    <w:rsid w:val="00E7709B"/>
    <w:rsid w:val="00E80E7E"/>
    <w:rsid w:val="00E81398"/>
    <w:rsid w:val="00E829E0"/>
    <w:rsid w:val="00E8328F"/>
    <w:rsid w:val="00E83C60"/>
    <w:rsid w:val="00E84C6A"/>
    <w:rsid w:val="00E86AD9"/>
    <w:rsid w:val="00E86FE9"/>
    <w:rsid w:val="00E87435"/>
    <w:rsid w:val="00E87CF7"/>
    <w:rsid w:val="00E9063B"/>
    <w:rsid w:val="00E91D83"/>
    <w:rsid w:val="00E91DF9"/>
    <w:rsid w:val="00E9229C"/>
    <w:rsid w:val="00E93646"/>
    <w:rsid w:val="00E95FC8"/>
    <w:rsid w:val="00E970C6"/>
    <w:rsid w:val="00E973CF"/>
    <w:rsid w:val="00EA0F5D"/>
    <w:rsid w:val="00EA36B5"/>
    <w:rsid w:val="00EA67A7"/>
    <w:rsid w:val="00EA67E1"/>
    <w:rsid w:val="00EB1473"/>
    <w:rsid w:val="00EB334C"/>
    <w:rsid w:val="00EB402E"/>
    <w:rsid w:val="00EC0AF8"/>
    <w:rsid w:val="00EC2F08"/>
    <w:rsid w:val="00EC4213"/>
    <w:rsid w:val="00EC5615"/>
    <w:rsid w:val="00EC5DA9"/>
    <w:rsid w:val="00ED06BE"/>
    <w:rsid w:val="00ED0C9E"/>
    <w:rsid w:val="00ED2D53"/>
    <w:rsid w:val="00ED32F8"/>
    <w:rsid w:val="00ED473C"/>
    <w:rsid w:val="00ED47FD"/>
    <w:rsid w:val="00ED5857"/>
    <w:rsid w:val="00ED6E6A"/>
    <w:rsid w:val="00ED709E"/>
    <w:rsid w:val="00ED78F6"/>
    <w:rsid w:val="00EE19B7"/>
    <w:rsid w:val="00EE1BC8"/>
    <w:rsid w:val="00EE2D34"/>
    <w:rsid w:val="00EE43DE"/>
    <w:rsid w:val="00EE4861"/>
    <w:rsid w:val="00EE5B50"/>
    <w:rsid w:val="00EE698D"/>
    <w:rsid w:val="00EE73D4"/>
    <w:rsid w:val="00EE7566"/>
    <w:rsid w:val="00EE76A1"/>
    <w:rsid w:val="00EF24B7"/>
    <w:rsid w:val="00EF2BB6"/>
    <w:rsid w:val="00EF31E5"/>
    <w:rsid w:val="00EF3C2F"/>
    <w:rsid w:val="00EF4015"/>
    <w:rsid w:val="00EF4D65"/>
    <w:rsid w:val="00EF4F42"/>
    <w:rsid w:val="00EF5AD9"/>
    <w:rsid w:val="00EF63D5"/>
    <w:rsid w:val="00EF65A2"/>
    <w:rsid w:val="00EF6D45"/>
    <w:rsid w:val="00F0113B"/>
    <w:rsid w:val="00F03EF2"/>
    <w:rsid w:val="00F0553C"/>
    <w:rsid w:val="00F057FB"/>
    <w:rsid w:val="00F06171"/>
    <w:rsid w:val="00F06276"/>
    <w:rsid w:val="00F071DA"/>
    <w:rsid w:val="00F07851"/>
    <w:rsid w:val="00F0791D"/>
    <w:rsid w:val="00F1151B"/>
    <w:rsid w:val="00F1194E"/>
    <w:rsid w:val="00F126C0"/>
    <w:rsid w:val="00F16125"/>
    <w:rsid w:val="00F16193"/>
    <w:rsid w:val="00F22E54"/>
    <w:rsid w:val="00F23EA1"/>
    <w:rsid w:val="00F2434B"/>
    <w:rsid w:val="00F26B30"/>
    <w:rsid w:val="00F300E9"/>
    <w:rsid w:val="00F311C4"/>
    <w:rsid w:val="00F323D1"/>
    <w:rsid w:val="00F32B0E"/>
    <w:rsid w:val="00F334F0"/>
    <w:rsid w:val="00F34223"/>
    <w:rsid w:val="00F3587F"/>
    <w:rsid w:val="00F36198"/>
    <w:rsid w:val="00F3654F"/>
    <w:rsid w:val="00F37049"/>
    <w:rsid w:val="00F379B6"/>
    <w:rsid w:val="00F419D5"/>
    <w:rsid w:val="00F41F89"/>
    <w:rsid w:val="00F4326B"/>
    <w:rsid w:val="00F4332B"/>
    <w:rsid w:val="00F440E4"/>
    <w:rsid w:val="00F451A2"/>
    <w:rsid w:val="00F46BA7"/>
    <w:rsid w:val="00F46FC5"/>
    <w:rsid w:val="00F47E92"/>
    <w:rsid w:val="00F50334"/>
    <w:rsid w:val="00F50D04"/>
    <w:rsid w:val="00F531A0"/>
    <w:rsid w:val="00F53B48"/>
    <w:rsid w:val="00F56620"/>
    <w:rsid w:val="00F5694F"/>
    <w:rsid w:val="00F575C7"/>
    <w:rsid w:val="00F6094E"/>
    <w:rsid w:val="00F63992"/>
    <w:rsid w:val="00F64550"/>
    <w:rsid w:val="00F647BC"/>
    <w:rsid w:val="00F65F31"/>
    <w:rsid w:val="00F673C9"/>
    <w:rsid w:val="00F718F5"/>
    <w:rsid w:val="00F72005"/>
    <w:rsid w:val="00F722F4"/>
    <w:rsid w:val="00F72528"/>
    <w:rsid w:val="00F735DB"/>
    <w:rsid w:val="00F73B38"/>
    <w:rsid w:val="00F74728"/>
    <w:rsid w:val="00F7482C"/>
    <w:rsid w:val="00F751A3"/>
    <w:rsid w:val="00F75551"/>
    <w:rsid w:val="00F75921"/>
    <w:rsid w:val="00F7617C"/>
    <w:rsid w:val="00F76388"/>
    <w:rsid w:val="00F773D4"/>
    <w:rsid w:val="00F773FA"/>
    <w:rsid w:val="00F77B27"/>
    <w:rsid w:val="00F77BD1"/>
    <w:rsid w:val="00F800BD"/>
    <w:rsid w:val="00F855BE"/>
    <w:rsid w:val="00F863E6"/>
    <w:rsid w:val="00F8668C"/>
    <w:rsid w:val="00F8700A"/>
    <w:rsid w:val="00F870D5"/>
    <w:rsid w:val="00F8765B"/>
    <w:rsid w:val="00F92E91"/>
    <w:rsid w:val="00F92FC8"/>
    <w:rsid w:val="00F96D29"/>
    <w:rsid w:val="00FA0AFB"/>
    <w:rsid w:val="00FA1776"/>
    <w:rsid w:val="00FA4113"/>
    <w:rsid w:val="00FA429B"/>
    <w:rsid w:val="00FA4FF5"/>
    <w:rsid w:val="00FB16DD"/>
    <w:rsid w:val="00FB1EA5"/>
    <w:rsid w:val="00FB2887"/>
    <w:rsid w:val="00FB4A70"/>
    <w:rsid w:val="00FB50B2"/>
    <w:rsid w:val="00FB51CE"/>
    <w:rsid w:val="00FB62F6"/>
    <w:rsid w:val="00FC03B7"/>
    <w:rsid w:val="00FC04CC"/>
    <w:rsid w:val="00FC1659"/>
    <w:rsid w:val="00FC17D0"/>
    <w:rsid w:val="00FC2F52"/>
    <w:rsid w:val="00FC3D5A"/>
    <w:rsid w:val="00FC638D"/>
    <w:rsid w:val="00FC63E4"/>
    <w:rsid w:val="00FC6603"/>
    <w:rsid w:val="00FC6C47"/>
    <w:rsid w:val="00FC7181"/>
    <w:rsid w:val="00FC7CF6"/>
    <w:rsid w:val="00FD1504"/>
    <w:rsid w:val="00FD1686"/>
    <w:rsid w:val="00FD42E4"/>
    <w:rsid w:val="00FD5F8C"/>
    <w:rsid w:val="00FD7464"/>
    <w:rsid w:val="00FE03BC"/>
    <w:rsid w:val="00FE08F3"/>
    <w:rsid w:val="00FE0F02"/>
    <w:rsid w:val="00FE10D8"/>
    <w:rsid w:val="00FE28BF"/>
    <w:rsid w:val="00FE451F"/>
    <w:rsid w:val="00FE5BE7"/>
    <w:rsid w:val="00FE7497"/>
    <w:rsid w:val="00FF3766"/>
    <w:rsid w:val="00FF3785"/>
    <w:rsid w:val="00FF4A0E"/>
    <w:rsid w:val="00FF4D3A"/>
    <w:rsid w:val="00FF5CB1"/>
    <w:rsid w:val="00FF65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4097"/>
    <o:shapelayout v:ext="edit">
      <o:idmap v:ext="edit" data="1"/>
    </o:shapelayout>
  </w:shapeDefaults>
  <w:decimalSymbol w:val=","/>
  <w:listSeparator w:val=";"/>
  <w15:docId w15:val="{350DE7AF-6533-422B-B423-5BACDE98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621"/>
  </w:style>
  <w:style w:type="paragraph" w:styleId="Heading4">
    <w:name w:val="heading 4"/>
    <w:basedOn w:val="Normal"/>
    <w:link w:val="Heading4Char"/>
    <w:uiPriority w:val="9"/>
    <w:qFormat/>
    <w:rsid w:val="0015424F"/>
    <w:pPr>
      <w:spacing w:before="100" w:beforeAutospacing="1" w:after="100" w:afterAutospacing="1"/>
      <w:ind w:left="0"/>
      <w:jc w:val="left"/>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CommentReference">
    <w:name w:val="annotation reference"/>
    <w:basedOn w:val="DefaultParagraphFont"/>
    <w:uiPriority w:val="99"/>
    <w:semiHidden/>
    <w:unhideWhenUsed/>
    <w:rsid w:val="00ED473C"/>
    <w:rPr>
      <w:sz w:val="16"/>
      <w:szCs w:val="16"/>
    </w:rPr>
  </w:style>
  <w:style w:type="paragraph" w:styleId="CommentText">
    <w:name w:val="annotation text"/>
    <w:basedOn w:val="Normal"/>
    <w:link w:val="CommentTextChar"/>
    <w:uiPriority w:val="99"/>
    <w:semiHidden/>
    <w:unhideWhenUsed/>
    <w:rsid w:val="00ED473C"/>
    <w:rPr>
      <w:sz w:val="20"/>
      <w:szCs w:val="20"/>
    </w:rPr>
  </w:style>
  <w:style w:type="character" w:customStyle="1" w:styleId="CommentTextChar">
    <w:name w:val="Comment Text Char"/>
    <w:basedOn w:val="DefaultParagraphFont"/>
    <w:link w:val="CommentText"/>
    <w:uiPriority w:val="99"/>
    <w:semiHidden/>
    <w:rsid w:val="00ED473C"/>
    <w:rPr>
      <w:sz w:val="20"/>
      <w:szCs w:val="20"/>
    </w:rPr>
  </w:style>
  <w:style w:type="paragraph" w:styleId="CommentSubject">
    <w:name w:val="annotation subject"/>
    <w:basedOn w:val="CommentText"/>
    <w:next w:val="CommentText"/>
    <w:link w:val="CommentSubjectChar"/>
    <w:uiPriority w:val="99"/>
    <w:semiHidden/>
    <w:unhideWhenUsed/>
    <w:rsid w:val="00ED473C"/>
    <w:rPr>
      <w:b/>
      <w:bCs/>
    </w:rPr>
  </w:style>
  <w:style w:type="character" w:customStyle="1" w:styleId="CommentSubjectChar">
    <w:name w:val="Comment Subject Char"/>
    <w:basedOn w:val="CommentTextChar"/>
    <w:link w:val="CommentSubject"/>
    <w:uiPriority w:val="99"/>
    <w:semiHidden/>
    <w:rsid w:val="00ED473C"/>
    <w:rPr>
      <w:b/>
      <w:bCs/>
      <w:sz w:val="20"/>
      <w:szCs w:val="20"/>
    </w:rPr>
  </w:style>
  <w:style w:type="character" w:styleId="Hyperlink">
    <w:name w:val="Hyperlink"/>
    <w:basedOn w:val="DefaultParagraphFont"/>
    <w:uiPriority w:val="99"/>
    <w:unhideWhenUsed/>
    <w:rsid w:val="00F3587F"/>
    <w:rPr>
      <w:color w:val="0000FF" w:themeColor="hyperlink"/>
      <w:u w:val="single"/>
    </w:rPr>
  </w:style>
  <w:style w:type="paragraph" w:styleId="ListParagraph">
    <w:name w:val="List Paragraph"/>
    <w:basedOn w:val="Normal"/>
    <w:uiPriority w:val="34"/>
    <w:qFormat/>
    <w:rsid w:val="002E2B4C"/>
    <w:pPr>
      <w:spacing w:after="0"/>
      <w:ind w:left="720"/>
      <w:jc w:val="left"/>
    </w:pPr>
    <w:rPr>
      <w:rFonts w:ascii="Calibri" w:hAnsi="Calibri" w:cs="Calibri"/>
      <w:lang w:eastAsia="lv-LV"/>
    </w:rPr>
  </w:style>
  <w:style w:type="character" w:customStyle="1" w:styleId="Heading4Char">
    <w:name w:val="Heading 4 Char"/>
    <w:basedOn w:val="DefaultParagraphFont"/>
    <w:link w:val="Heading4"/>
    <w:uiPriority w:val="9"/>
    <w:rsid w:val="0015424F"/>
    <w:rPr>
      <w:rFonts w:ascii="Times New Roman" w:eastAsia="Times New Roman" w:hAnsi="Times New Roman" w:cs="Times New Roman"/>
      <w:b/>
      <w:bCs/>
      <w:sz w:val="24"/>
      <w:szCs w:val="24"/>
      <w:lang w:eastAsia="lv-LV"/>
    </w:rPr>
  </w:style>
  <w:style w:type="paragraph" w:customStyle="1" w:styleId="Default">
    <w:name w:val="Default"/>
    <w:basedOn w:val="Normal"/>
    <w:uiPriority w:val="99"/>
    <w:rsid w:val="00DC4A69"/>
    <w:pPr>
      <w:autoSpaceDE w:val="0"/>
      <w:autoSpaceDN w:val="0"/>
      <w:spacing w:after="0"/>
      <w:ind w:left="0"/>
      <w:jc w:val="left"/>
    </w:pPr>
    <w:rPr>
      <w:rFonts w:ascii="EUAlbertina" w:eastAsia="Calibri" w:hAnsi="EUAlbertina" w:cs="Times New Roman"/>
      <w:color w:val="000000"/>
      <w:sz w:val="24"/>
      <w:szCs w:val="24"/>
      <w:lang w:eastAsia="lv-LV"/>
    </w:rPr>
  </w:style>
  <w:style w:type="paragraph" w:styleId="NoSpacing">
    <w:name w:val="No Spacing"/>
    <w:uiPriority w:val="1"/>
    <w:qFormat/>
    <w:rsid w:val="00F32B0E"/>
    <w:pPr>
      <w:spacing w:after="0"/>
      <w:ind w:left="0"/>
      <w:jc w:val="left"/>
    </w:pPr>
    <w:rPr>
      <w:rFonts w:ascii="Times New Roman" w:eastAsia="Calibri" w:hAnsi="Times New Roman" w:cs="Times New Roman"/>
      <w:sz w:val="28"/>
      <w:szCs w:val="28"/>
      <w:lang w:val="en-GB"/>
    </w:rPr>
  </w:style>
  <w:style w:type="paragraph" w:customStyle="1" w:styleId="tv2131">
    <w:name w:val="tv2131"/>
    <w:basedOn w:val="Normal"/>
    <w:rsid w:val="002A0748"/>
    <w:pPr>
      <w:spacing w:after="0" w:line="360" w:lineRule="auto"/>
      <w:ind w:left="0" w:firstLine="300"/>
      <w:jc w:val="left"/>
    </w:pPr>
    <w:rPr>
      <w:rFonts w:ascii="Times New Roman" w:eastAsia="Times New Roman" w:hAnsi="Times New Roman" w:cs="Times New Roman"/>
      <w:color w:val="414142"/>
      <w:sz w:val="20"/>
      <w:szCs w:val="20"/>
      <w:lang w:eastAsia="lv-LV"/>
    </w:rPr>
  </w:style>
  <w:style w:type="paragraph" w:customStyle="1" w:styleId="zvabri">
    <w:name w:val="zvabri"/>
    <w:basedOn w:val="Normal"/>
    <w:uiPriority w:val="99"/>
    <w:rsid w:val="006F1EDC"/>
    <w:pPr>
      <w:spacing w:before="100" w:beforeAutospacing="1" w:after="100" w:afterAutospacing="1"/>
      <w:ind w:left="0"/>
      <w:jc w:val="left"/>
    </w:pPr>
    <w:rPr>
      <w:rFonts w:ascii="Times New Roman" w:eastAsia="Times New Roman" w:hAnsi="Times New Roman" w:cs="Times New Roman"/>
      <w:color w:val="FF0000"/>
      <w:sz w:val="24"/>
      <w:szCs w:val="24"/>
      <w:lang w:eastAsia="lv-LV"/>
    </w:rPr>
  </w:style>
  <w:style w:type="paragraph" w:customStyle="1" w:styleId="tvhtml">
    <w:name w:val="tv_html"/>
    <w:basedOn w:val="Normal"/>
    <w:rsid w:val="007A4AE2"/>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styleId="Revision">
    <w:name w:val="Revision"/>
    <w:hidden/>
    <w:uiPriority w:val="99"/>
    <w:semiHidden/>
    <w:rsid w:val="007A4AE2"/>
    <w:pPr>
      <w:spacing w:after="0"/>
      <w:ind w:left="0"/>
      <w:jc w:val="left"/>
    </w:pPr>
  </w:style>
  <w:style w:type="paragraph" w:customStyle="1" w:styleId="tv213">
    <w:name w:val="tv213"/>
    <w:basedOn w:val="Normal"/>
    <w:rsid w:val="007708FB"/>
    <w:pPr>
      <w:spacing w:before="100" w:beforeAutospacing="1" w:after="100" w:afterAutospacing="1"/>
      <w:ind w:left="0"/>
      <w:jc w:val="lef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0595">
      <w:bodyDiv w:val="1"/>
      <w:marLeft w:val="0"/>
      <w:marRight w:val="0"/>
      <w:marTop w:val="0"/>
      <w:marBottom w:val="0"/>
      <w:divBdr>
        <w:top w:val="none" w:sz="0" w:space="0" w:color="auto"/>
        <w:left w:val="none" w:sz="0" w:space="0" w:color="auto"/>
        <w:bottom w:val="none" w:sz="0" w:space="0" w:color="auto"/>
        <w:right w:val="none" w:sz="0" w:space="0" w:color="auto"/>
      </w:divBdr>
    </w:div>
    <w:div w:id="150408506">
      <w:bodyDiv w:val="1"/>
      <w:marLeft w:val="0"/>
      <w:marRight w:val="0"/>
      <w:marTop w:val="0"/>
      <w:marBottom w:val="0"/>
      <w:divBdr>
        <w:top w:val="none" w:sz="0" w:space="0" w:color="auto"/>
        <w:left w:val="none" w:sz="0" w:space="0" w:color="auto"/>
        <w:bottom w:val="none" w:sz="0" w:space="0" w:color="auto"/>
        <w:right w:val="none" w:sz="0" w:space="0" w:color="auto"/>
      </w:divBdr>
    </w:div>
    <w:div w:id="164904401">
      <w:bodyDiv w:val="1"/>
      <w:marLeft w:val="0"/>
      <w:marRight w:val="0"/>
      <w:marTop w:val="0"/>
      <w:marBottom w:val="0"/>
      <w:divBdr>
        <w:top w:val="none" w:sz="0" w:space="0" w:color="auto"/>
        <w:left w:val="none" w:sz="0" w:space="0" w:color="auto"/>
        <w:bottom w:val="none" w:sz="0" w:space="0" w:color="auto"/>
        <w:right w:val="none" w:sz="0" w:space="0" w:color="auto"/>
      </w:divBdr>
    </w:div>
    <w:div w:id="370421638">
      <w:bodyDiv w:val="1"/>
      <w:marLeft w:val="0"/>
      <w:marRight w:val="0"/>
      <w:marTop w:val="0"/>
      <w:marBottom w:val="0"/>
      <w:divBdr>
        <w:top w:val="none" w:sz="0" w:space="0" w:color="auto"/>
        <w:left w:val="none" w:sz="0" w:space="0" w:color="auto"/>
        <w:bottom w:val="none" w:sz="0" w:space="0" w:color="auto"/>
        <w:right w:val="none" w:sz="0" w:space="0" w:color="auto"/>
      </w:divBdr>
    </w:div>
    <w:div w:id="460542577">
      <w:bodyDiv w:val="1"/>
      <w:marLeft w:val="0"/>
      <w:marRight w:val="0"/>
      <w:marTop w:val="0"/>
      <w:marBottom w:val="0"/>
      <w:divBdr>
        <w:top w:val="none" w:sz="0" w:space="0" w:color="auto"/>
        <w:left w:val="none" w:sz="0" w:space="0" w:color="auto"/>
        <w:bottom w:val="none" w:sz="0" w:space="0" w:color="auto"/>
        <w:right w:val="none" w:sz="0" w:space="0" w:color="auto"/>
      </w:divBdr>
      <w:divsChild>
        <w:div w:id="1633487096">
          <w:marLeft w:val="0"/>
          <w:marRight w:val="0"/>
          <w:marTop w:val="0"/>
          <w:marBottom w:val="100"/>
          <w:divBdr>
            <w:top w:val="none" w:sz="0" w:space="0" w:color="auto"/>
            <w:left w:val="none" w:sz="0" w:space="0" w:color="auto"/>
            <w:bottom w:val="none" w:sz="0" w:space="0" w:color="auto"/>
            <w:right w:val="none" w:sz="0" w:space="0" w:color="auto"/>
          </w:divBdr>
          <w:divsChild>
            <w:div w:id="1729567541">
              <w:marLeft w:val="0"/>
              <w:marRight w:val="0"/>
              <w:marTop w:val="0"/>
              <w:marBottom w:val="0"/>
              <w:divBdr>
                <w:top w:val="none" w:sz="0" w:space="0" w:color="auto"/>
                <w:left w:val="single" w:sz="6" w:space="0" w:color="E4E4E4"/>
                <w:bottom w:val="single" w:sz="6" w:space="0" w:color="E4E4E4"/>
                <w:right w:val="single" w:sz="6" w:space="0" w:color="E4E4E4"/>
              </w:divBdr>
              <w:divsChild>
                <w:div w:id="244344311">
                  <w:marLeft w:val="0"/>
                  <w:marRight w:val="0"/>
                  <w:marTop w:val="0"/>
                  <w:marBottom w:val="100"/>
                  <w:divBdr>
                    <w:top w:val="none" w:sz="0" w:space="0" w:color="auto"/>
                    <w:left w:val="none" w:sz="0" w:space="0" w:color="auto"/>
                    <w:bottom w:val="none" w:sz="0" w:space="0" w:color="auto"/>
                    <w:right w:val="none" w:sz="0" w:space="0" w:color="auto"/>
                  </w:divBdr>
                  <w:divsChild>
                    <w:div w:id="817384413">
                      <w:marLeft w:val="0"/>
                      <w:marRight w:val="0"/>
                      <w:marTop w:val="0"/>
                      <w:marBottom w:val="0"/>
                      <w:divBdr>
                        <w:top w:val="none" w:sz="0" w:space="0" w:color="auto"/>
                        <w:left w:val="none" w:sz="0" w:space="0" w:color="auto"/>
                        <w:bottom w:val="none" w:sz="0" w:space="0" w:color="auto"/>
                        <w:right w:val="none" w:sz="0" w:space="0" w:color="auto"/>
                      </w:divBdr>
                      <w:divsChild>
                        <w:div w:id="1213227179">
                          <w:marLeft w:val="0"/>
                          <w:marRight w:val="0"/>
                          <w:marTop w:val="0"/>
                          <w:marBottom w:val="0"/>
                          <w:divBdr>
                            <w:top w:val="none" w:sz="0" w:space="0" w:color="auto"/>
                            <w:left w:val="none" w:sz="0" w:space="0" w:color="auto"/>
                            <w:bottom w:val="none" w:sz="0" w:space="0" w:color="auto"/>
                            <w:right w:val="none" w:sz="0" w:space="0" w:color="auto"/>
                          </w:divBdr>
                          <w:divsChild>
                            <w:div w:id="399912428">
                              <w:marLeft w:val="0"/>
                              <w:marRight w:val="0"/>
                              <w:marTop w:val="0"/>
                              <w:marBottom w:val="0"/>
                              <w:divBdr>
                                <w:top w:val="none" w:sz="0" w:space="0" w:color="auto"/>
                                <w:left w:val="none" w:sz="0" w:space="0" w:color="auto"/>
                                <w:bottom w:val="none" w:sz="0" w:space="0" w:color="auto"/>
                                <w:right w:val="none" w:sz="0" w:space="0" w:color="auto"/>
                              </w:divBdr>
                              <w:divsChild>
                                <w:div w:id="8495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353586">
      <w:bodyDiv w:val="1"/>
      <w:marLeft w:val="45"/>
      <w:marRight w:val="45"/>
      <w:marTop w:val="90"/>
      <w:marBottom w:val="90"/>
      <w:divBdr>
        <w:top w:val="none" w:sz="0" w:space="0" w:color="auto"/>
        <w:left w:val="none" w:sz="0" w:space="0" w:color="auto"/>
        <w:bottom w:val="none" w:sz="0" w:space="0" w:color="auto"/>
        <w:right w:val="none" w:sz="0" w:space="0" w:color="auto"/>
      </w:divBdr>
      <w:divsChild>
        <w:div w:id="529533366">
          <w:marLeft w:val="0"/>
          <w:marRight w:val="0"/>
          <w:marTop w:val="240"/>
          <w:marBottom w:val="0"/>
          <w:divBdr>
            <w:top w:val="none" w:sz="0" w:space="0" w:color="auto"/>
            <w:left w:val="none" w:sz="0" w:space="0" w:color="auto"/>
            <w:bottom w:val="none" w:sz="0" w:space="0" w:color="auto"/>
            <w:right w:val="none" w:sz="0" w:space="0" w:color="auto"/>
          </w:divBdr>
        </w:div>
      </w:divsChild>
    </w:div>
    <w:div w:id="666517488">
      <w:bodyDiv w:val="1"/>
      <w:marLeft w:val="0"/>
      <w:marRight w:val="0"/>
      <w:marTop w:val="0"/>
      <w:marBottom w:val="0"/>
      <w:divBdr>
        <w:top w:val="none" w:sz="0" w:space="0" w:color="auto"/>
        <w:left w:val="none" w:sz="0" w:space="0" w:color="auto"/>
        <w:bottom w:val="none" w:sz="0" w:space="0" w:color="auto"/>
        <w:right w:val="none" w:sz="0" w:space="0" w:color="auto"/>
      </w:divBdr>
      <w:divsChild>
        <w:div w:id="1204168574">
          <w:marLeft w:val="0"/>
          <w:marRight w:val="0"/>
          <w:marTop w:val="0"/>
          <w:marBottom w:val="100"/>
          <w:divBdr>
            <w:top w:val="none" w:sz="0" w:space="0" w:color="auto"/>
            <w:left w:val="none" w:sz="0" w:space="0" w:color="auto"/>
            <w:bottom w:val="none" w:sz="0" w:space="0" w:color="auto"/>
            <w:right w:val="none" w:sz="0" w:space="0" w:color="auto"/>
          </w:divBdr>
          <w:divsChild>
            <w:div w:id="2089224771">
              <w:marLeft w:val="0"/>
              <w:marRight w:val="0"/>
              <w:marTop w:val="0"/>
              <w:marBottom w:val="0"/>
              <w:divBdr>
                <w:top w:val="none" w:sz="0" w:space="0" w:color="auto"/>
                <w:left w:val="single" w:sz="6" w:space="0" w:color="E4E4E4"/>
                <w:bottom w:val="single" w:sz="6" w:space="0" w:color="E4E4E4"/>
                <w:right w:val="single" w:sz="6" w:space="0" w:color="E4E4E4"/>
              </w:divBdr>
              <w:divsChild>
                <w:div w:id="549657985">
                  <w:marLeft w:val="0"/>
                  <w:marRight w:val="0"/>
                  <w:marTop w:val="0"/>
                  <w:marBottom w:val="100"/>
                  <w:divBdr>
                    <w:top w:val="none" w:sz="0" w:space="0" w:color="auto"/>
                    <w:left w:val="none" w:sz="0" w:space="0" w:color="auto"/>
                    <w:bottom w:val="none" w:sz="0" w:space="0" w:color="auto"/>
                    <w:right w:val="none" w:sz="0" w:space="0" w:color="auto"/>
                  </w:divBdr>
                  <w:divsChild>
                    <w:div w:id="2047873993">
                      <w:marLeft w:val="0"/>
                      <w:marRight w:val="0"/>
                      <w:marTop w:val="0"/>
                      <w:marBottom w:val="0"/>
                      <w:divBdr>
                        <w:top w:val="none" w:sz="0" w:space="0" w:color="auto"/>
                        <w:left w:val="none" w:sz="0" w:space="0" w:color="auto"/>
                        <w:bottom w:val="none" w:sz="0" w:space="0" w:color="auto"/>
                        <w:right w:val="none" w:sz="0" w:space="0" w:color="auto"/>
                      </w:divBdr>
                      <w:divsChild>
                        <w:div w:id="513375831">
                          <w:marLeft w:val="0"/>
                          <w:marRight w:val="0"/>
                          <w:marTop w:val="0"/>
                          <w:marBottom w:val="0"/>
                          <w:divBdr>
                            <w:top w:val="none" w:sz="0" w:space="0" w:color="auto"/>
                            <w:left w:val="none" w:sz="0" w:space="0" w:color="auto"/>
                            <w:bottom w:val="none" w:sz="0" w:space="0" w:color="auto"/>
                            <w:right w:val="none" w:sz="0" w:space="0" w:color="auto"/>
                          </w:divBdr>
                          <w:divsChild>
                            <w:div w:id="652175662">
                              <w:marLeft w:val="0"/>
                              <w:marRight w:val="0"/>
                              <w:marTop w:val="0"/>
                              <w:marBottom w:val="0"/>
                              <w:divBdr>
                                <w:top w:val="none" w:sz="0" w:space="0" w:color="auto"/>
                                <w:left w:val="none" w:sz="0" w:space="0" w:color="auto"/>
                                <w:bottom w:val="none" w:sz="0" w:space="0" w:color="auto"/>
                                <w:right w:val="none" w:sz="0" w:space="0" w:color="auto"/>
                              </w:divBdr>
                              <w:divsChild>
                                <w:div w:id="16230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208735">
      <w:bodyDiv w:val="1"/>
      <w:marLeft w:val="0"/>
      <w:marRight w:val="0"/>
      <w:marTop w:val="0"/>
      <w:marBottom w:val="0"/>
      <w:divBdr>
        <w:top w:val="none" w:sz="0" w:space="0" w:color="auto"/>
        <w:left w:val="none" w:sz="0" w:space="0" w:color="auto"/>
        <w:bottom w:val="none" w:sz="0" w:space="0" w:color="auto"/>
        <w:right w:val="none" w:sz="0" w:space="0" w:color="auto"/>
      </w:divBdr>
    </w:div>
    <w:div w:id="936520946">
      <w:bodyDiv w:val="1"/>
      <w:marLeft w:val="0"/>
      <w:marRight w:val="0"/>
      <w:marTop w:val="0"/>
      <w:marBottom w:val="0"/>
      <w:divBdr>
        <w:top w:val="none" w:sz="0" w:space="0" w:color="auto"/>
        <w:left w:val="none" w:sz="0" w:space="0" w:color="auto"/>
        <w:bottom w:val="none" w:sz="0" w:space="0" w:color="auto"/>
        <w:right w:val="none" w:sz="0" w:space="0" w:color="auto"/>
      </w:divBdr>
    </w:div>
    <w:div w:id="1014267600">
      <w:bodyDiv w:val="1"/>
      <w:marLeft w:val="0"/>
      <w:marRight w:val="0"/>
      <w:marTop w:val="0"/>
      <w:marBottom w:val="0"/>
      <w:divBdr>
        <w:top w:val="none" w:sz="0" w:space="0" w:color="auto"/>
        <w:left w:val="none" w:sz="0" w:space="0" w:color="auto"/>
        <w:bottom w:val="none" w:sz="0" w:space="0" w:color="auto"/>
        <w:right w:val="none" w:sz="0" w:space="0" w:color="auto"/>
      </w:divBdr>
    </w:div>
    <w:div w:id="1104574226">
      <w:bodyDiv w:val="1"/>
      <w:marLeft w:val="0"/>
      <w:marRight w:val="0"/>
      <w:marTop w:val="0"/>
      <w:marBottom w:val="0"/>
      <w:divBdr>
        <w:top w:val="none" w:sz="0" w:space="0" w:color="auto"/>
        <w:left w:val="none" w:sz="0" w:space="0" w:color="auto"/>
        <w:bottom w:val="none" w:sz="0" w:space="0" w:color="auto"/>
        <w:right w:val="none" w:sz="0" w:space="0" w:color="auto"/>
      </w:divBdr>
      <w:divsChild>
        <w:div w:id="1607347448">
          <w:marLeft w:val="0"/>
          <w:marRight w:val="0"/>
          <w:marTop w:val="0"/>
          <w:marBottom w:val="0"/>
          <w:divBdr>
            <w:top w:val="none" w:sz="0" w:space="0" w:color="auto"/>
            <w:left w:val="none" w:sz="0" w:space="0" w:color="auto"/>
            <w:bottom w:val="none" w:sz="0" w:space="0" w:color="auto"/>
            <w:right w:val="none" w:sz="0" w:space="0" w:color="auto"/>
          </w:divBdr>
          <w:divsChild>
            <w:div w:id="423377553">
              <w:marLeft w:val="0"/>
              <w:marRight w:val="0"/>
              <w:marTop w:val="0"/>
              <w:marBottom w:val="0"/>
              <w:divBdr>
                <w:top w:val="none" w:sz="0" w:space="0" w:color="auto"/>
                <w:left w:val="none" w:sz="0" w:space="0" w:color="auto"/>
                <w:bottom w:val="none" w:sz="0" w:space="0" w:color="auto"/>
                <w:right w:val="none" w:sz="0" w:space="0" w:color="auto"/>
              </w:divBdr>
              <w:divsChild>
                <w:div w:id="1235629470">
                  <w:marLeft w:val="0"/>
                  <w:marRight w:val="0"/>
                  <w:marTop w:val="0"/>
                  <w:marBottom w:val="0"/>
                  <w:divBdr>
                    <w:top w:val="none" w:sz="0" w:space="0" w:color="auto"/>
                    <w:left w:val="none" w:sz="0" w:space="0" w:color="auto"/>
                    <w:bottom w:val="none" w:sz="0" w:space="0" w:color="auto"/>
                    <w:right w:val="none" w:sz="0" w:space="0" w:color="auto"/>
                  </w:divBdr>
                  <w:divsChild>
                    <w:div w:id="1498231723">
                      <w:marLeft w:val="0"/>
                      <w:marRight w:val="0"/>
                      <w:marTop w:val="0"/>
                      <w:marBottom w:val="0"/>
                      <w:divBdr>
                        <w:top w:val="none" w:sz="0" w:space="0" w:color="auto"/>
                        <w:left w:val="none" w:sz="0" w:space="0" w:color="auto"/>
                        <w:bottom w:val="none" w:sz="0" w:space="0" w:color="auto"/>
                        <w:right w:val="none" w:sz="0" w:space="0" w:color="auto"/>
                      </w:divBdr>
                      <w:divsChild>
                        <w:div w:id="277876678">
                          <w:marLeft w:val="0"/>
                          <w:marRight w:val="0"/>
                          <w:marTop w:val="300"/>
                          <w:marBottom w:val="0"/>
                          <w:divBdr>
                            <w:top w:val="none" w:sz="0" w:space="0" w:color="auto"/>
                            <w:left w:val="none" w:sz="0" w:space="0" w:color="auto"/>
                            <w:bottom w:val="none" w:sz="0" w:space="0" w:color="auto"/>
                            <w:right w:val="none" w:sz="0" w:space="0" w:color="auto"/>
                          </w:divBdr>
                          <w:divsChild>
                            <w:div w:id="5341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62706">
      <w:bodyDiv w:val="1"/>
      <w:marLeft w:val="0"/>
      <w:marRight w:val="0"/>
      <w:marTop w:val="0"/>
      <w:marBottom w:val="0"/>
      <w:divBdr>
        <w:top w:val="none" w:sz="0" w:space="0" w:color="auto"/>
        <w:left w:val="none" w:sz="0" w:space="0" w:color="auto"/>
        <w:bottom w:val="none" w:sz="0" w:space="0" w:color="auto"/>
        <w:right w:val="none" w:sz="0" w:space="0" w:color="auto"/>
      </w:divBdr>
    </w:div>
    <w:div w:id="1600749177">
      <w:bodyDiv w:val="1"/>
      <w:marLeft w:val="0"/>
      <w:marRight w:val="0"/>
      <w:marTop w:val="0"/>
      <w:marBottom w:val="0"/>
      <w:divBdr>
        <w:top w:val="none" w:sz="0" w:space="0" w:color="auto"/>
        <w:left w:val="none" w:sz="0" w:space="0" w:color="auto"/>
        <w:bottom w:val="none" w:sz="0" w:space="0" w:color="auto"/>
        <w:right w:val="none" w:sz="0" w:space="0" w:color="auto"/>
      </w:divBdr>
    </w:div>
    <w:div w:id="1781952251">
      <w:bodyDiv w:val="1"/>
      <w:marLeft w:val="0"/>
      <w:marRight w:val="0"/>
      <w:marTop w:val="0"/>
      <w:marBottom w:val="0"/>
      <w:divBdr>
        <w:top w:val="none" w:sz="0" w:space="0" w:color="auto"/>
        <w:left w:val="none" w:sz="0" w:space="0" w:color="auto"/>
        <w:bottom w:val="none" w:sz="0" w:space="0" w:color="auto"/>
        <w:right w:val="none" w:sz="0" w:space="0" w:color="auto"/>
      </w:divBdr>
    </w:div>
    <w:div w:id="1865746961">
      <w:bodyDiv w:val="1"/>
      <w:marLeft w:val="0"/>
      <w:marRight w:val="0"/>
      <w:marTop w:val="0"/>
      <w:marBottom w:val="0"/>
      <w:divBdr>
        <w:top w:val="none" w:sz="0" w:space="0" w:color="auto"/>
        <w:left w:val="none" w:sz="0" w:space="0" w:color="auto"/>
        <w:bottom w:val="none" w:sz="0" w:space="0" w:color="auto"/>
        <w:right w:val="none" w:sz="0" w:space="0" w:color="auto"/>
      </w:divBdr>
    </w:div>
    <w:div w:id="1943800387">
      <w:bodyDiv w:val="1"/>
      <w:marLeft w:val="0"/>
      <w:marRight w:val="0"/>
      <w:marTop w:val="0"/>
      <w:marBottom w:val="0"/>
      <w:divBdr>
        <w:top w:val="none" w:sz="0" w:space="0" w:color="auto"/>
        <w:left w:val="none" w:sz="0" w:space="0" w:color="auto"/>
        <w:bottom w:val="none" w:sz="0" w:space="0" w:color="auto"/>
        <w:right w:val="none" w:sz="0" w:space="0" w:color="auto"/>
      </w:divBdr>
    </w:div>
    <w:div w:id="1976836856">
      <w:bodyDiv w:val="1"/>
      <w:marLeft w:val="0"/>
      <w:marRight w:val="0"/>
      <w:marTop w:val="0"/>
      <w:marBottom w:val="0"/>
      <w:divBdr>
        <w:top w:val="none" w:sz="0" w:space="0" w:color="auto"/>
        <w:left w:val="none" w:sz="0" w:space="0" w:color="auto"/>
        <w:bottom w:val="none" w:sz="0" w:space="0" w:color="auto"/>
        <w:right w:val="none" w:sz="0" w:space="0" w:color="auto"/>
      </w:divBdr>
      <w:divsChild>
        <w:div w:id="114175936">
          <w:marLeft w:val="0"/>
          <w:marRight w:val="0"/>
          <w:marTop w:val="0"/>
          <w:marBottom w:val="0"/>
          <w:divBdr>
            <w:top w:val="none" w:sz="0" w:space="0" w:color="auto"/>
            <w:left w:val="none" w:sz="0" w:space="0" w:color="auto"/>
            <w:bottom w:val="none" w:sz="0" w:space="0" w:color="auto"/>
            <w:right w:val="none" w:sz="0" w:space="0" w:color="auto"/>
          </w:divBdr>
          <w:divsChild>
            <w:div w:id="1956061089">
              <w:marLeft w:val="0"/>
              <w:marRight w:val="0"/>
              <w:marTop w:val="0"/>
              <w:marBottom w:val="0"/>
              <w:divBdr>
                <w:top w:val="none" w:sz="0" w:space="0" w:color="auto"/>
                <w:left w:val="none" w:sz="0" w:space="0" w:color="auto"/>
                <w:bottom w:val="none" w:sz="0" w:space="0" w:color="auto"/>
                <w:right w:val="none" w:sz="0" w:space="0" w:color="auto"/>
              </w:divBdr>
              <w:divsChild>
                <w:div w:id="168910210">
                  <w:marLeft w:val="0"/>
                  <w:marRight w:val="0"/>
                  <w:marTop w:val="0"/>
                  <w:marBottom w:val="0"/>
                  <w:divBdr>
                    <w:top w:val="none" w:sz="0" w:space="0" w:color="auto"/>
                    <w:left w:val="none" w:sz="0" w:space="0" w:color="auto"/>
                    <w:bottom w:val="none" w:sz="0" w:space="0" w:color="auto"/>
                    <w:right w:val="none" w:sz="0" w:space="0" w:color="auto"/>
                  </w:divBdr>
                  <w:divsChild>
                    <w:div w:id="1384987666">
                      <w:marLeft w:val="0"/>
                      <w:marRight w:val="0"/>
                      <w:marTop w:val="0"/>
                      <w:marBottom w:val="0"/>
                      <w:divBdr>
                        <w:top w:val="none" w:sz="0" w:space="0" w:color="auto"/>
                        <w:left w:val="none" w:sz="0" w:space="0" w:color="auto"/>
                        <w:bottom w:val="none" w:sz="0" w:space="0" w:color="auto"/>
                        <w:right w:val="none" w:sz="0" w:space="0" w:color="auto"/>
                      </w:divBdr>
                      <w:divsChild>
                        <w:div w:id="1097948582">
                          <w:marLeft w:val="0"/>
                          <w:marRight w:val="0"/>
                          <w:marTop w:val="300"/>
                          <w:marBottom w:val="0"/>
                          <w:divBdr>
                            <w:top w:val="none" w:sz="0" w:space="0" w:color="auto"/>
                            <w:left w:val="none" w:sz="0" w:space="0" w:color="auto"/>
                            <w:bottom w:val="none" w:sz="0" w:space="0" w:color="auto"/>
                            <w:right w:val="none" w:sz="0" w:space="0" w:color="auto"/>
                          </w:divBdr>
                          <w:divsChild>
                            <w:div w:id="1205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esdoc.cfm?esid=31993R24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a.Rone@vi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0B12E-34BC-4519-9DA3-AC24A9A0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19188</Words>
  <Characters>10938</Characters>
  <Application>Microsoft Office Word</Application>
  <DocSecurity>4</DocSecurity>
  <Lines>91</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 "Pagaidu uzglabāšanas noteikumi"</vt:lpstr>
      <vt:lpstr>Noteikumi par vienkāršoto deklarēšanu un vietējo muitošanu, atzītā nosūtītāja un atzītā saņēmēja statusu, vienoto atļauju un atzītā komersanta sertifikātu</vt:lpstr>
    </vt:vector>
  </TitlesOfParts>
  <Manager>Irēna Knoka</Manager>
  <Company>Valsts ieņēmumu dienests</Company>
  <LinksUpToDate>false</LinksUpToDate>
  <CharactersWithSpaces>30066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"Pagaidu uzglabāšanas noteikumi"</dc:title>
  <dc:subject>Anotācija</dc:subject>
  <dc:creator>Viktorija Smagare, Inga Rone</dc:creator>
  <dc:description>Viktorija smagare_x000d_
Viktorija.Smagare@vid.gov.lv_x000d_
Tālr.67120813_x000d_
Inga Rone_x000d_
Inga.Rone@vid.gov.lv_x000d_
tālr.67120821</dc:description>
  <cp:lastModifiedBy>Irita Tomiņa</cp:lastModifiedBy>
  <cp:revision>2</cp:revision>
  <cp:lastPrinted>2013-10-24T08:24:00Z</cp:lastPrinted>
  <dcterms:created xsi:type="dcterms:W3CDTF">2014-09-26T10:19:00Z</dcterms:created>
  <dcterms:modified xsi:type="dcterms:W3CDTF">2014-09-26T10:19:00Z</dcterms:modified>
  <cp:category>Anotācija</cp:category>
</cp:coreProperties>
</file>