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6DA62" w14:textId="0390BE4D" w:rsidR="005D4AE6" w:rsidRPr="00941A48" w:rsidRDefault="00AA6327" w:rsidP="00A26729">
      <w:pPr>
        <w:spacing w:before="100" w:beforeAutospacing="1" w:after="100" w:afterAutospacing="1" w:line="240" w:lineRule="auto"/>
        <w:jc w:val="center"/>
        <w:rPr>
          <w:rFonts w:eastAsia="Times New Roman" w:cs="Times New Roman"/>
          <w:b/>
          <w:bCs/>
          <w:sz w:val="28"/>
          <w:szCs w:val="28"/>
          <w:lang w:eastAsia="lv-LV"/>
        </w:rPr>
      </w:pPr>
      <w:bookmarkStart w:id="0" w:name="OLE_LINK2"/>
      <w:bookmarkStart w:id="1" w:name="OLE_LINK1"/>
      <w:r>
        <w:rPr>
          <w:rFonts w:eastAsia="Times New Roman"/>
          <w:b/>
          <w:bCs/>
          <w:sz w:val="28"/>
          <w:szCs w:val="28"/>
          <w:lang w:eastAsia="lv-LV"/>
        </w:rPr>
        <w:t xml:space="preserve"> </w:t>
      </w:r>
      <w:r w:rsidR="00A26729" w:rsidRPr="00941A48">
        <w:rPr>
          <w:rFonts w:eastAsia="Times New Roman"/>
          <w:b/>
          <w:bCs/>
          <w:sz w:val="28"/>
          <w:szCs w:val="28"/>
          <w:lang w:eastAsia="lv-LV"/>
        </w:rPr>
        <w:t xml:space="preserve">Noteikumu projekta </w:t>
      </w:r>
      <w:bookmarkStart w:id="2" w:name="OLE_LINK7"/>
      <w:bookmarkStart w:id="3" w:name="OLE_LINK4"/>
      <w:bookmarkStart w:id="4" w:name="OLE_LINK3"/>
      <w:bookmarkStart w:id="5" w:name="OLE_LINK5"/>
      <w:bookmarkStart w:id="6" w:name="OLE_LINK6"/>
      <w:r w:rsidR="00A26729" w:rsidRPr="00941A48">
        <w:rPr>
          <w:rFonts w:eastAsia="Times New Roman" w:cs="Times New Roman"/>
          <w:b/>
          <w:bCs/>
          <w:sz w:val="28"/>
          <w:szCs w:val="28"/>
          <w:lang w:eastAsia="lv-LV"/>
        </w:rPr>
        <w:t>“</w:t>
      </w:r>
      <w:r w:rsidR="00A26729" w:rsidRPr="00941A48">
        <w:rPr>
          <w:rFonts w:eastAsia="Times New Roman"/>
          <w:b/>
          <w:bCs/>
          <w:sz w:val="28"/>
          <w:szCs w:val="28"/>
          <w:lang w:eastAsia="lv-LV"/>
        </w:rPr>
        <w:t>Muitas procedūras – tranzīts – piemērošanas kārtība”</w:t>
      </w:r>
      <w:bookmarkEnd w:id="2"/>
      <w:bookmarkEnd w:id="3"/>
      <w:bookmarkEnd w:id="4"/>
      <w:r w:rsidR="00A26729" w:rsidRPr="00941A48">
        <w:rPr>
          <w:rFonts w:eastAsia="Times New Roman"/>
          <w:b/>
          <w:bCs/>
          <w:sz w:val="28"/>
          <w:szCs w:val="28"/>
          <w:lang w:eastAsia="lv-LV"/>
        </w:rPr>
        <w:t xml:space="preserve"> </w:t>
      </w:r>
      <w:bookmarkEnd w:id="0"/>
      <w:bookmarkEnd w:id="1"/>
      <w:bookmarkEnd w:id="5"/>
      <w:bookmarkEnd w:id="6"/>
      <w:r w:rsidR="005D4AE6" w:rsidRPr="00941A48">
        <w:rPr>
          <w:rFonts w:eastAsia="Times New Roman" w:cs="Times New Roman"/>
          <w:b/>
          <w:bCs/>
          <w:sz w:val="28"/>
          <w:szCs w:val="28"/>
          <w:lang w:eastAsia="lv-LV"/>
        </w:rPr>
        <w:t>sākotnējās ietekmes novērtējuma ziņojums (anotācija)</w:t>
      </w:r>
    </w:p>
    <w:tbl>
      <w:tblPr>
        <w:tblpPr w:leftFromText="180" w:rightFromText="180" w:vertAnchor="text" w:tblpY="1"/>
        <w:tblOverlap w:val="neve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1"/>
        <w:gridCol w:w="1672"/>
        <w:gridCol w:w="7012"/>
      </w:tblGrid>
      <w:tr w:rsidR="005D4AE6" w:rsidRPr="005D4AE6" w14:paraId="24938C61" w14:textId="77777777" w:rsidTr="00D520A7">
        <w:trPr>
          <w:trHeight w:val="405"/>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2A44984D" w14:textId="77777777" w:rsidR="005D4AE6" w:rsidRPr="005D4AE6" w:rsidRDefault="005D4AE6" w:rsidP="00D72CAC">
            <w:pPr>
              <w:spacing w:before="100" w:beforeAutospacing="1" w:after="100" w:afterAutospacing="1" w:line="240" w:lineRule="auto"/>
              <w:rPr>
                <w:rFonts w:eastAsia="Times New Roman" w:cs="Times New Roman"/>
                <w:szCs w:val="24"/>
                <w:lang w:eastAsia="lv-LV"/>
              </w:rPr>
            </w:pPr>
            <w:r w:rsidRPr="005D4AE6">
              <w:rPr>
                <w:rFonts w:eastAsia="Times New Roman" w:cs="Times New Roman"/>
                <w:b/>
                <w:bCs/>
                <w:szCs w:val="24"/>
                <w:lang w:eastAsia="lv-LV"/>
              </w:rPr>
              <w:t>I. Tiesību akta projekta izstrādes nepieciešamība</w:t>
            </w:r>
          </w:p>
        </w:tc>
      </w:tr>
      <w:tr w:rsidR="005D4AE6" w:rsidRPr="005D4AE6" w14:paraId="3AE657E2" w14:textId="77777777" w:rsidTr="006617B4">
        <w:trPr>
          <w:trHeight w:val="405"/>
        </w:trPr>
        <w:tc>
          <w:tcPr>
            <w:tcW w:w="231" w:type="pct"/>
            <w:tcBorders>
              <w:top w:val="outset" w:sz="6" w:space="0" w:color="auto"/>
              <w:left w:val="outset" w:sz="6" w:space="0" w:color="auto"/>
              <w:bottom w:val="outset" w:sz="6" w:space="0" w:color="auto"/>
              <w:right w:val="outset" w:sz="6" w:space="0" w:color="auto"/>
            </w:tcBorders>
            <w:hideMark/>
          </w:tcPr>
          <w:p w14:paraId="4B7D26E0" w14:textId="77777777" w:rsidR="005D4AE6" w:rsidRPr="005D4AE6" w:rsidRDefault="005D4AE6" w:rsidP="00D72CAC">
            <w:pPr>
              <w:spacing w:before="100" w:beforeAutospacing="1" w:after="100" w:afterAutospacing="1" w:line="240" w:lineRule="auto"/>
              <w:rPr>
                <w:rFonts w:eastAsia="Times New Roman" w:cs="Times New Roman"/>
                <w:szCs w:val="24"/>
                <w:lang w:eastAsia="lv-LV"/>
              </w:rPr>
            </w:pPr>
            <w:r w:rsidRPr="005D4AE6">
              <w:rPr>
                <w:rFonts w:eastAsia="Times New Roman" w:cs="Times New Roman"/>
                <w:szCs w:val="24"/>
                <w:lang w:eastAsia="lv-LV"/>
              </w:rPr>
              <w:t>1.</w:t>
            </w:r>
          </w:p>
        </w:tc>
        <w:tc>
          <w:tcPr>
            <w:tcW w:w="949" w:type="pct"/>
            <w:tcBorders>
              <w:top w:val="outset" w:sz="6" w:space="0" w:color="auto"/>
              <w:left w:val="outset" w:sz="6" w:space="0" w:color="auto"/>
              <w:bottom w:val="outset" w:sz="6" w:space="0" w:color="auto"/>
              <w:right w:val="outset" w:sz="6" w:space="0" w:color="auto"/>
            </w:tcBorders>
            <w:hideMark/>
          </w:tcPr>
          <w:p w14:paraId="1B493DB6" w14:textId="64081FE6" w:rsidR="00EB1032" w:rsidRDefault="005D4AE6" w:rsidP="00D72CAC">
            <w:pPr>
              <w:spacing w:after="0" w:line="240" w:lineRule="auto"/>
              <w:rPr>
                <w:rFonts w:eastAsia="Times New Roman" w:cs="Times New Roman"/>
                <w:szCs w:val="24"/>
                <w:lang w:eastAsia="lv-LV"/>
              </w:rPr>
            </w:pPr>
            <w:r w:rsidRPr="005D4AE6">
              <w:rPr>
                <w:rFonts w:eastAsia="Times New Roman" w:cs="Times New Roman"/>
                <w:szCs w:val="24"/>
                <w:lang w:eastAsia="lv-LV"/>
              </w:rPr>
              <w:t>Pamatojums</w:t>
            </w:r>
          </w:p>
          <w:p w14:paraId="26BCAA6D" w14:textId="77777777" w:rsidR="005D4AE6" w:rsidRPr="00EB1032" w:rsidRDefault="005D4AE6" w:rsidP="00D72CAC">
            <w:pPr>
              <w:rPr>
                <w:rFonts w:eastAsia="Times New Roman" w:cs="Times New Roman"/>
                <w:szCs w:val="24"/>
                <w:lang w:eastAsia="lv-LV"/>
              </w:rPr>
            </w:pPr>
          </w:p>
        </w:tc>
        <w:tc>
          <w:tcPr>
            <w:tcW w:w="3821" w:type="pct"/>
            <w:tcBorders>
              <w:top w:val="outset" w:sz="6" w:space="0" w:color="auto"/>
              <w:left w:val="outset" w:sz="6" w:space="0" w:color="auto"/>
              <w:bottom w:val="outset" w:sz="6" w:space="0" w:color="auto"/>
              <w:right w:val="outset" w:sz="6" w:space="0" w:color="auto"/>
            </w:tcBorders>
            <w:hideMark/>
          </w:tcPr>
          <w:p w14:paraId="19202684" w14:textId="13B2DDA5" w:rsidR="00D62D8A" w:rsidRPr="00542025" w:rsidRDefault="00B92F3E" w:rsidP="006868B7">
            <w:pPr>
              <w:spacing w:after="0" w:line="240" w:lineRule="auto"/>
              <w:ind w:firstLine="530"/>
              <w:jc w:val="both"/>
              <w:rPr>
                <w:rFonts w:eastAsia="Times New Roman" w:cs="Times New Roman"/>
                <w:szCs w:val="24"/>
                <w:lang w:eastAsia="lv-LV"/>
              </w:rPr>
            </w:pPr>
            <w:r w:rsidRPr="00542025">
              <w:rPr>
                <w:szCs w:val="24"/>
              </w:rPr>
              <w:t xml:space="preserve">Saskaņā </w:t>
            </w:r>
            <w:r w:rsidR="00D62D8A" w:rsidRPr="00542025">
              <w:rPr>
                <w:szCs w:val="24"/>
              </w:rPr>
              <w:t xml:space="preserve">ar 1993.gada 19.oktobra </w:t>
            </w:r>
            <w:r w:rsidRPr="00542025">
              <w:rPr>
                <w:szCs w:val="24"/>
              </w:rPr>
              <w:t>Ministru kabineta rīkojumu Nr.</w:t>
            </w:r>
            <w:r w:rsidR="00D62D8A" w:rsidRPr="00542025">
              <w:rPr>
                <w:szCs w:val="24"/>
              </w:rPr>
              <w:t>62</w:t>
            </w:r>
            <w:r w:rsidRPr="00542025">
              <w:rPr>
                <w:szCs w:val="24"/>
              </w:rPr>
              <w:t xml:space="preserve"> </w:t>
            </w:r>
            <w:r w:rsidRPr="00542025">
              <w:rPr>
                <w:rFonts w:cs="Times New Roman"/>
                <w:szCs w:val="24"/>
              </w:rPr>
              <w:t>“</w:t>
            </w:r>
            <w:r w:rsidRPr="00542025">
              <w:rPr>
                <w:szCs w:val="24"/>
              </w:rPr>
              <w:t>Par Muitas konvencijas par kravu starptautiskajiem autopārvadājumiem, lietojot TIR grāmatiņu (TIR konvencija), izpildes nodrošināšanu” 2.punktu noteikts, ka TIR karnetes izsniedz nacionālā garantējošā asociācija - biedrība “Autopārvadātāju asociācija “Latvijas Auto”” (turpmāk arī - garantējošā asociācija)</w:t>
            </w:r>
            <w:r w:rsidR="0052383B" w:rsidRPr="00542025">
              <w:rPr>
                <w:szCs w:val="24"/>
              </w:rPr>
              <w:t>.</w:t>
            </w:r>
          </w:p>
          <w:p w14:paraId="6D19E57F" w14:textId="4FE517A7" w:rsidR="005A2137" w:rsidRPr="005A2137" w:rsidRDefault="005A2137" w:rsidP="006868B7">
            <w:pPr>
              <w:spacing w:after="0" w:line="240" w:lineRule="auto"/>
              <w:ind w:firstLine="530"/>
              <w:jc w:val="both"/>
              <w:rPr>
                <w:rFonts w:eastAsia="Times New Roman" w:cs="Times New Roman"/>
                <w:szCs w:val="24"/>
                <w:lang w:eastAsia="lv-LV"/>
              </w:rPr>
            </w:pPr>
            <w:r w:rsidRPr="005A2137">
              <w:rPr>
                <w:rFonts w:eastAsia="Times New Roman" w:cs="Times New Roman"/>
                <w:szCs w:val="24"/>
                <w:lang w:eastAsia="lv-LV"/>
              </w:rPr>
              <w:t>Saskaņā ar 1975.gada 14.novembra Muitas konvencijas par starptautiskajiem kravu pārvadājumiem, izmantojot TIR karneti (turpmāk – TIR konvencija)</w:t>
            </w:r>
            <w:r w:rsidR="009A2998">
              <w:rPr>
                <w:rFonts w:eastAsia="Times New Roman" w:cs="Times New Roman"/>
                <w:szCs w:val="24"/>
                <w:lang w:eastAsia="lv-LV"/>
              </w:rPr>
              <w:t>,</w:t>
            </w:r>
            <w:r w:rsidRPr="005A2137">
              <w:rPr>
                <w:rFonts w:eastAsia="Times New Roman" w:cs="Times New Roman"/>
                <w:szCs w:val="24"/>
                <w:lang w:eastAsia="lv-LV"/>
              </w:rPr>
              <w:t xml:space="preserve"> 49.pantu TIR konvencijas Līgumslēdzējas puses (pamatojoties uz vienpusējiem noteikumiem, divpusējiem vai daudzpusējiem nolīgumiem) ir tiesīgas piešķirt lielākus atvieglojumus nekā ir paredzēti TIR konvencijā, pie nosacījuma, ka šādi atvieglojumi neierobežo TIR konvencijas noteikumu piemērošanu, jo īpaši TIR procedūras veikšanu. Savukārt, atbilstoši TIR konvencijas 19.panta noteikumiem, muitas dienests var pilnvarot </w:t>
            </w:r>
            <w:r w:rsidR="00D62F74">
              <w:rPr>
                <w:rFonts w:eastAsia="Times New Roman" w:cs="Times New Roman"/>
                <w:szCs w:val="24"/>
                <w:lang w:eastAsia="lv-LV"/>
              </w:rPr>
              <w:t>personas</w:t>
            </w:r>
            <w:r w:rsidRPr="005A2137">
              <w:rPr>
                <w:rFonts w:eastAsia="Times New Roman" w:cs="Times New Roman"/>
                <w:szCs w:val="24"/>
                <w:lang w:eastAsia="lv-LV"/>
              </w:rPr>
              <w:t xml:space="preserve"> muitas nodrošinājumu uzlikšanai transportlīdzeklim, piemērojot precēm TIR procedūru.</w:t>
            </w:r>
          </w:p>
          <w:p w14:paraId="15861DD8" w14:textId="0EB1DF20" w:rsidR="007700B4" w:rsidRDefault="00D13F2A" w:rsidP="006868B7">
            <w:pPr>
              <w:spacing w:after="0" w:line="240" w:lineRule="auto"/>
              <w:ind w:firstLine="530"/>
              <w:jc w:val="both"/>
              <w:rPr>
                <w:rFonts w:eastAsia="Times New Roman" w:cs="Times New Roman"/>
                <w:szCs w:val="24"/>
                <w:lang w:eastAsia="lv-LV"/>
              </w:rPr>
            </w:pPr>
            <w:r w:rsidRPr="00D13F2A">
              <w:rPr>
                <w:rFonts w:eastAsia="Times New Roman" w:cs="Times New Roman"/>
                <w:szCs w:val="24"/>
                <w:lang w:eastAsia="lv-LV"/>
              </w:rPr>
              <w:t xml:space="preserve">Latvijas Ostu, tranzīta un loģistikas padomes </w:t>
            </w:r>
            <w:r w:rsidR="00425C3E">
              <w:rPr>
                <w:rFonts w:eastAsia="Times New Roman" w:cs="Times New Roman"/>
                <w:szCs w:val="24"/>
                <w:lang w:eastAsia="lv-LV"/>
              </w:rPr>
              <w:t xml:space="preserve">2013.gada 17. aprīļa </w:t>
            </w:r>
            <w:r w:rsidRPr="00D13F2A">
              <w:rPr>
                <w:rFonts w:eastAsia="Times New Roman" w:cs="Times New Roman"/>
                <w:szCs w:val="24"/>
                <w:lang w:eastAsia="lv-LV"/>
              </w:rPr>
              <w:t xml:space="preserve">sēdē </w:t>
            </w:r>
            <w:r>
              <w:rPr>
                <w:rFonts w:eastAsia="Times New Roman" w:cs="Times New Roman"/>
                <w:szCs w:val="24"/>
                <w:lang w:eastAsia="lv-LV"/>
              </w:rPr>
              <w:t>tika izskatīts j</w:t>
            </w:r>
            <w:r w:rsidR="005A2137" w:rsidRPr="005A2137">
              <w:rPr>
                <w:rFonts w:eastAsia="Times New Roman" w:cs="Times New Roman"/>
                <w:szCs w:val="24"/>
                <w:lang w:eastAsia="lv-LV"/>
              </w:rPr>
              <w:t>autājums par TIR procedūras nacionālā vienkāršojuma</w:t>
            </w:r>
            <w:r w:rsidR="007700B4" w:rsidRPr="007700B4">
              <w:rPr>
                <w:rFonts w:eastAsia="Times New Roman" w:cs="Times New Roman"/>
                <w:szCs w:val="24"/>
                <w:lang w:eastAsia="lv-LV"/>
              </w:rPr>
              <w:t xml:space="preserve"> izstrādi</w:t>
            </w:r>
            <w:r w:rsidR="005A2137" w:rsidRPr="005A2137">
              <w:rPr>
                <w:rFonts w:eastAsia="Times New Roman" w:cs="Times New Roman"/>
                <w:szCs w:val="24"/>
                <w:lang w:eastAsia="lv-LV"/>
              </w:rPr>
              <w:t xml:space="preserve"> – </w:t>
            </w:r>
            <w:r w:rsidRPr="00D13F2A">
              <w:rPr>
                <w:rFonts w:eastAsia="Times New Roman" w:cs="Times New Roman"/>
                <w:szCs w:val="24"/>
                <w:lang w:eastAsia="lv-LV"/>
              </w:rPr>
              <w:t>Valsts ieņēmumu dienesta</w:t>
            </w:r>
            <w:r>
              <w:rPr>
                <w:rFonts w:eastAsia="Times New Roman" w:cs="Times New Roman"/>
                <w:szCs w:val="24"/>
                <w:lang w:eastAsia="lv-LV"/>
              </w:rPr>
              <w:t xml:space="preserve"> </w:t>
            </w:r>
            <w:r w:rsidR="005A2137" w:rsidRPr="005A2137">
              <w:rPr>
                <w:rFonts w:eastAsia="Times New Roman" w:cs="Times New Roman"/>
                <w:szCs w:val="24"/>
                <w:lang w:eastAsia="lv-LV"/>
              </w:rPr>
              <w:t xml:space="preserve">atļauja personai uzlikt muitas nodrošinājumus transportlīdzeklim </w:t>
            </w:r>
            <w:r w:rsidR="007263F0" w:rsidRPr="007263F0">
              <w:rPr>
                <w:rFonts w:eastAsia="Times New Roman" w:cs="Times New Roman"/>
                <w:szCs w:val="24"/>
                <w:lang w:eastAsia="lv-LV"/>
              </w:rPr>
              <w:t>Valsts ieņēmumu dienesta</w:t>
            </w:r>
            <w:r w:rsidR="005A2137" w:rsidRPr="005A2137">
              <w:rPr>
                <w:rFonts w:eastAsia="Times New Roman" w:cs="Times New Roman"/>
                <w:szCs w:val="24"/>
                <w:lang w:eastAsia="lv-LV"/>
              </w:rPr>
              <w:t xml:space="preserve"> uzdevumā</w:t>
            </w:r>
            <w:r w:rsidR="007700B4">
              <w:rPr>
                <w:rFonts w:eastAsia="Times New Roman" w:cs="Times New Roman"/>
                <w:szCs w:val="24"/>
                <w:lang w:eastAsia="lv-LV"/>
              </w:rPr>
              <w:t>.</w:t>
            </w:r>
            <w:r w:rsidR="005A2137" w:rsidRPr="005A2137">
              <w:rPr>
                <w:rFonts w:eastAsia="Times New Roman" w:cs="Times New Roman"/>
                <w:szCs w:val="24"/>
                <w:lang w:eastAsia="lv-LV"/>
              </w:rPr>
              <w:t xml:space="preserve"> Latvijas Ostu, tranzīta un loģistikas padome nosūtīja lūgumu </w:t>
            </w:r>
            <w:r w:rsidR="00DD1302" w:rsidRPr="00D13F2A">
              <w:rPr>
                <w:rFonts w:eastAsia="Times New Roman" w:cs="Times New Roman"/>
                <w:szCs w:val="24"/>
                <w:lang w:eastAsia="lv-LV"/>
              </w:rPr>
              <w:t xml:space="preserve"> Valsts ieņēmumu dienesta</w:t>
            </w:r>
            <w:r w:rsidR="00DD1302">
              <w:rPr>
                <w:rFonts w:eastAsia="Times New Roman" w:cs="Times New Roman"/>
                <w:szCs w:val="24"/>
                <w:lang w:eastAsia="lv-LV"/>
              </w:rPr>
              <w:t xml:space="preserve"> </w:t>
            </w:r>
            <w:r w:rsidR="005A2137" w:rsidRPr="005A2137">
              <w:rPr>
                <w:rFonts w:eastAsia="Times New Roman" w:cs="Times New Roman"/>
                <w:szCs w:val="24"/>
                <w:lang w:eastAsia="lv-LV"/>
              </w:rPr>
              <w:t xml:space="preserve"> Muitas pārvaldei izskatīt minēto priekšlikumu</w:t>
            </w:r>
            <w:r w:rsidR="007700B4">
              <w:rPr>
                <w:rFonts w:eastAsia="Times New Roman" w:cs="Times New Roman"/>
                <w:szCs w:val="24"/>
                <w:lang w:eastAsia="lv-LV"/>
              </w:rPr>
              <w:t xml:space="preserve">. </w:t>
            </w:r>
          </w:p>
          <w:p w14:paraId="3883FF4F" w14:textId="66982FB2" w:rsidR="00802069" w:rsidRPr="005D4AE6" w:rsidRDefault="007700B4" w:rsidP="006617B4">
            <w:pPr>
              <w:spacing w:after="0" w:line="240" w:lineRule="auto"/>
              <w:ind w:firstLine="530"/>
              <w:jc w:val="both"/>
              <w:rPr>
                <w:rFonts w:eastAsia="Times New Roman" w:cs="Times New Roman"/>
                <w:szCs w:val="24"/>
                <w:lang w:eastAsia="lv-LV"/>
              </w:rPr>
            </w:pPr>
            <w:r w:rsidRPr="007700B4">
              <w:rPr>
                <w:rFonts w:eastAsia="Times New Roman" w:cs="Times New Roman"/>
                <w:szCs w:val="24"/>
                <w:lang w:eastAsia="lv-LV"/>
              </w:rPr>
              <w:t xml:space="preserve">Priekšlikumu, ieviest nacionālajos muitas normatīvajos aktos TIR procedūras vienkāršojumu - </w:t>
            </w:r>
            <w:r w:rsidR="003A68D0" w:rsidRPr="006617B4">
              <w:rPr>
                <w:rFonts w:eastAsia="Times New Roman" w:cs="Times New Roman"/>
                <w:szCs w:val="24"/>
                <w:lang w:eastAsia="lv-LV"/>
              </w:rPr>
              <w:t>pilnvarotais</w:t>
            </w:r>
            <w:r w:rsidR="003A68D0">
              <w:rPr>
                <w:rFonts w:eastAsia="Times New Roman" w:cs="Times New Roman"/>
                <w:szCs w:val="24"/>
                <w:lang w:eastAsia="lv-LV"/>
              </w:rPr>
              <w:t xml:space="preserve"> </w:t>
            </w:r>
            <w:r w:rsidR="00F16663">
              <w:rPr>
                <w:rFonts w:eastAsia="Times New Roman" w:cs="Times New Roman"/>
                <w:szCs w:val="24"/>
                <w:lang w:eastAsia="lv-LV"/>
              </w:rPr>
              <w:t xml:space="preserve">TIR </w:t>
            </w:r>
            <w:r w:rsidRPr="007700B4">
              <w:rPr>
                <w:rFonts w:eastAsia="Times New Roman" w:cs="Times New Roman"/>
                <w:szCs w:val="24"/>
                <w:lang w:eastAsia="lv-LV"/>
              </w:rPr>
              <w:t>nosūtītājs, atbalsta garantējošā asociācija.</w:t>
            </w:r>
            <w:r>
              <w:rPr>
                <w:rFonts w:eastAsia="Times New Roman" w:cs="Times New Roman"/>
                <w:szCs w:val="24"/>
                <w:lang w:eastAsia="lv-LV"/>
              </w:rPr>
              <w:t xml:space="preserve"> </w:t>
            </w:r>
            <w:r w:rsidRPr="007700B4">
              <w:rPr>
                <w:rFonts w:eastAsia="Times New Roman" w:cs="Times New Roman"/>
                <w:szCs w:val="24"/>
                <w:lang w:eastAsia="lv-LV"/>
              </w:rPr>
              <w:t>Eiropas Savienībā šāds nacionālais</w:t>
            </w:r>
            <w:r>
              <w:rPr>
                <w:rFonts w:eastAsia="Times New Roman" w:cs="Times New Roman"/>
                <w:szCs w:val="24"/>
                <w:lang w:eastAsia="lv-LV"/>
              </w:rPr>
              <w:t xml:space="preserve"> TIR procedūras</w:t>
            </w:r>
            <w:r w:rsidRPr="007700B4">
              <w:rPr>
                <w:rFonts w:eastAsia="Times New Roman" w:cs="Times New Roman"/>
                <w:szCs w:val="24"/>
                <w:lang w:eastAsia="lv-LV"/>
              </w:rPr>
              <w:t xml:space="preserve"> vienkāršojums ir noteikts Polijas Republikas normatīvajos aktos.</w:t>
            </w:r>
            <w:r w:rsidR="00C80999" w:rsidRPr="00C80999">
              <w:rPr>
                <w:rFonts w:eastAsia="Times New Roman" w:cs="Times New Roman"/>
                <w:szCs w:val="24"/>
                <w:lang w:eastAsia="lv-LV"/>
              </w:rPr>
              <w:t xml:space="preserve"> </w:t>
            </w:r>
          </w:p>
        </w:tc>
      </w:tr>
      <w:tr w:rsidR="005D4AE6" w:rsidRPr="005D4AE6" w14:paraId="382CF7D6" w14:textId="77777777" w:rsidTr="006617B4">
        <w:trPr>
          <w:trHeight w:val="465"/>
        </w:trPr>
        <w:tc>
          <w:tcPr>
            <w:tcW w:w="231" w:type="pct"/>
            <w:tcBorders>
              <w:top w:val="outset" w:sz="6" w:space="0" w:color="auto"/>
              <w:left w:val="outset" w:sz="6" w:space="0" w:color="auto"/>
              <w:bottom w:val="outset" w:sz="6" w:space="0" w:color="auto"/>
              <w:right w:val="outset" w:sz="6" w:space="0" w:color="auto"/>
            </w:tcBorders>
            <w:hideMark/>
          </w:tcPr>
          <w:p w14:paraId="31C65F4E" w14:textId="77777777" w:rsidR="005D4AE6" w:rsidRPr="005D4AE6" w:rsidRDefault="005D4AE6" w:rsidP="00D72CAC">
            <w:pPr>
              <w:spacing w:before="100" w:beforeAutospacing="1" w:after="100" w:afterAutospacing="1" w:line="240" w:lineRule="auto"/>
              <w:rPr>
                <w:rFonts w:eastAsia="Times New Roman" w:cs="Times New Roman"/>
                <w:szCs w:val="24"/>
                <w:lang w:eastAsia="lv-LV"/>
              </w:rPr>
            </w:pPr>
            <w:r w:rsidRPr="005D4AE6">
              <w:rPr>
                <w:rFonts w:eastAsia="Times New Roman" w:cs="Times New Roman"/>
                <w:szCs w:val="24"/>
                <w:lang w:eastAsia="lv-LV"/>
              </w:rPr>
              <w:t>2.</w:t>
            </w:r>
          </w:p>
        </w:tc>
        <w:tc>
          <w:tcPr>
            <w:tcW w:w="949" w:type="pct"/>
            <w:tcBorders>
              <w:top w:val="outset" w:sz="6" w:space="0" w:color="auto"/>
              <w:left w:val="outset" w:sz="6" w:space="0" w:color="auto"/>
              <w:bottom w:val="outset" w:sz="6" w:space="0" w:color="auto"/>
              <w:right w:val="outset" w:sz="6" w:space="0" w:color="auto"/>
            </w:tcBorders>
            <w:hideMark/>
          </w:tcPr>
          <w:p w14:paraId="224303E3" w14:textId="59BC99CD" w:rsidR="00AA60CE" w:rsidRDefault="005D4AE6" w:rsidP="00D72CAC">
            <w:pPr>
              <w:spacing w:after="0" w:line="240" w:lineRule="auto"/>
              <w:rPr>
                <w:rFonts w:eastAsia="Times New Roman" w:cs="Times New Roman"/>
                <w:szCs w:val="24"/>
                <w:lang w:eastAsia="lv-LV"/>
              </w:rPr>
            </w:pPr>
            <w:r w:rsidRPr="005D4AE6">
              <w:rPr>
                <w:rFonts w:eastAsia="Times New Roman" w:cs="Times New Roman"/>
                <w:szCs w:val="24"/>
                <w:lang w:eastAsia="lv-LV"/>
              </w:rPr>
              <w:t>Pašreizējā situācija un problēmas, kuru risināšanai tiesību akta projekts izstrādāts, tiesiskā regulējuma mērķis un būtība</w:t>
            </w:r>
          </w:p>
          <w:p w14:paraId="524CB84E" w14:textId="77777777" w:rsidR="00AA60CE" w:rsidRPr="00AA60CE" w:rsidRDefault="00AA60CE" w:rsidP="00AA60CE">
            <w:pPr>
              <w:rPr>
                <w:rFonts w:eastAsia="Times New Roman" w:cs="Times New Roman"/>
                <w:szCs w:val="24"/>
                <w:lang w:eastAsia="lv-LV"/>
              </w:rPr>
            </w:pPr>
          </w:p>
          <w:p w14:paraId="20D6324C" w14:textId="77777777" w:rsidR="00AA60CE" w:rsidRPr="00AA60CE" w:rsidRDefault="00AA60CE" w:rsidP="00AA60CE">
            <w:pPr>
              <w:rPr>
                <w:rFonts w:eastAsia="Times New Roman" w:cs="Times New Roman"/>
                <w:szCs w:val="24"/>
                <w:lang w:eastAsia="lv-LV"/>
              </w:rPr>
            </w:pPr>
          </w:p>
          <w:p w14:paraId="44484181" w14:textId="77777777" w:rsidR="00AA60CE" w:rsidRPr="00AA60CE" w:rsidRDefault="00AA60CE" w:rsidP="00AA60CE">
            <w:pPr>
              <w:rPr>
                <w:rFonts w:eastAsia="Times New Roman" w:cs="Times New Roman"/>
                <w:szCs w:val="24"/>
                <w:lang w:eastAsia="lv-LV"/>
              </w:rPr>
            </w:pPr>
          </w:p>
          <w:p w14:paraId="2D902AA7" w14:textId="77777777" w:rsidR="00AA60CE" w:rsidRPr="00AA60CE" w:rsidRDefault="00AA60CE" w:rsidP="00AA60CE">
            <w:pPr>
              <w:rPr>
                <w:rFonts w:eastAsia="Times New Roman" w:cs="Times New Roman"/>
                <w:szCs w:val="24"/>
                <w:lang w:eastAsia="lv-LV"/>
              </w:rPr>
            </w:pPr>
          </w:p>
          <w:p w14:paraId="22ABE305" w14:textId="77777777" w:rsidR="00AA60CE" w:rsidRPr="00AA60CE" w:rsidRDefault="00AA60CE" w:rsidP="00AA60CE">
            <w:pPr>
              <w:rPr>
                <w:rFonts w:eastAsia="Times New Roman" w:cs="Times New Roman"/>
                <w:szCs w:val="24"/>
                <w:lang w:eastAsia="lv-LV"/>
              </w:rPr>
            </w:pPr>
          </w:p>
          <w:p w14:paraId="6EFFDE38" w14:textId="77777777" w:rsidR="00AA60CE" w:rsidRPr="00AA60CE" w:rsidRDefault="00AA60CE" w:rsidP="00AA60CE">
            <w:pPr>
              <w:rPr>
                <w:rFonts w:eastAsia="Times New Roman" w:cs="Times New Roman"/>
                <w:szCs w:val="24"/>
                <w:lang w:eastAsia="lv-LV"/>
              </w:rPr>
            </w:pPr>
          </w:p>
          <w:p w14:paraId="4DD836A0" w14:textId="77777777" w:rsidR="00AA60CE" w:rsidRPr="00AA60CE" w:rsidRDefault="00AA60CE" w:rsidP="00AA60CE">
            <w:pPr>
              <w:rPr>
                <w:rFonts w:eastAsia="Times New Roman" w:cs="Times New Roman"/>
                <w:szCs w:val="24"/>
                <w:lang w:eastAsia="lv-LV"/>
              </w:rPr>
            </w:pPr>
          </w:p>
          <w:p w14:paraId="768ACDA7" w14:textId="77777777" w:rsidR="00AA60CE" w:rsidRPr="00AA60CE" w:rsidRDefault="00AA60CE" w:rsidP="00AA60CE">
            <w:pPr>
              <w:rPr>
                <w:rFonts w:eastAsia="Times New Roman" w:cs="Times New Roman"/>
                <w:szCs w:val="24"/>
                <w:lang w:eastAsia="lv-LV"/>
              </w:rPr>
            </w:pPr>
          </w:p>
          <w:p w14:paraId="18650BBB" w14:textId="77777777" w:rsidR="00AA60CE" w:rsidRPr="00AA60CE" w:rsidRDefault="00AA60CE" w:rsidP="00AA60CE">
            <w:pPr>
              <w:rPr>
                <w:rFonts w:eastAsia="Times New Roman" w:cs="Times New Roman"/>
                <w:szCs w:val="24"/>
                <w:lang w:eastAsia="lv-LV"/>
              </w:rPr>
            </w:pPr>
          </w:p>
          <w:p w14:paraId="7DCED7E7" w14:textId="77777777" w:rsidR="00AA60CE" w:rsidRPr="00AA60CE" w:rsidRDefault="00AA60CE" w:rsidP="00AA60CE">
            <w:pPr>
              <w:rPr>
                <w:rFonts w:eastAsia="Times New Roman" w:cs="Times New Roman"/>
                <w:szCs w:val="24"/>
                <w:lang w:eastAsia="lv-LV"/>
              </w:rPr>
            </w:pPr>
          </w:p>
          <w:p w14:paraId="711EF593" w14:textId="77777777" w:rsidR="00AA60CE" w:rsidRPr="00AA60CE" w:rsidRDefault="00AA60CE" w:rsidP="00AA60CE">
            <w:pPr>
              <w:rPr>
                <w:rFonts w:eastAsia="Times New Roman" w:cs="Times New Roman"/>
                <w:szCs w:val="24"/>
                <w:lang w:eastAsia="lv-LV"/>
              </w:rPr>
            </w:pPr>
          </w:p>
          <w:p w14:paraId="21C6632C" w14:textId="77777777" w:rsidR="00AA60CE" w:rsidRPr="00AA60CE" w:rsidRDefault="00AA60CE" w:rsidP="00AA60CE">
            <w:pPr>
              <w:rPr>
                <w:rFonts w:eastAsia="Times New Roman" w:cs="Times New Roman"/>
                <w:szCs w:val="24"/>
                <w:lang w:eastAsia="lv-LV"/>
              </w:rPr>
            </w:pPr>
          </w:p>
          <w:p w14:paraId="33653806" w14:textId="52D75112" w:rsidR="00AA60CE" w:rsidRDefault="00AA60CE" w:rsidP="00AA60CE">
            <w:pPr>
              <w:rPr>
                <w:rFonts w:eastAsia="Times New Roman" w:cs="Times New Roman"/>
                <w:szCs w:val="24"/>
                <w:lang w:eastAsia="lv-LV"/>
              </w:rPr>
            </w:pPr>
          </w:p>
          <w:p w14:paraId="294E0152" w14:textId="30958234" w:rsidR="00AA60CE" w:rsidRDefault="00AA60CE" w:rsidP="00AA60CE">
            <w:pPr>
              <w:rPr>
                <w:rFonts w:eastAsia="Times New Roman" w:cs="Times New Roman"/>
                <w:szCs w:val="24"/>
                <w:lang w:eastAsia="lv-LV"/>
              </w:rPr>
            </w:pPr>
          </w:p>
          <w:p w14:paraId="72B0CF71" w14:textId="77777777" w:rsidR="005D4AE6" w:rsidRPr="00AA60CE" w:rsidRDefault="005D4AE6" w:rsidP="00AA60CE">
            <w:pPr>
              <w:rPr>
                <w:rFonts w:eastAsia="Times New Roman" w:cs="Times New Roman"/>
                <w:szCs w:val="24"/>
                <w:lang w:eastAsia="lv-LV"/>
              </w:rPr>
            </w:pPr>
          </w:p>
        </w:tc>
        <w:tc>
          <w:tcPr>
            <w:tcW w:w="3821" w:type="pct"/>
            <w:tcBorders>
              <w:top w:val="outset" w:sz="6" w:space="0" w:color="auto"/>
              <w:left w:val="outset" w:sz="6" w:space="0" w:color="auto"/>
              <w:bottom w:val="outset" w:sz="6" w:space="0" w:color="auto"/>
              <w:right w:val="outset" w:sz="6" w:space="0" w:color="auto"/>
            </w:tcBorders>
            <w:hideMark/>
          </w:tcPr>
          <w:p w14:paraId="02150058" w14:textId="58AE7794" w:rsidR="00CC18B5" w:rsidRPr="006617B4" w:rsidRDefault="00DB665E" w:rsidP="00DB665E">
            <w:pPr>
              <w:tabs>
                <w:tab w:val="left" w:pos="381"/>
              </w:tabs>
              <w:spacing w:after="0" w:line="240" w:lineRule="auto"/>
              <w:jc w:val="both"/>
              <w:rPr>
                <w:rFonts w:cs="Times New Roman"/>
                <w:szCs w:val="24"/>
              </w:rPr>
            </w:pPr>
            <w:r w:rsidRPr="00DB665E">
              <w:rPr>
                <w:rFonts w:cs="Times New Roman"/>
                <w:szCs w:val="24"/>
              </w:rPr>
              <w:lastRenderedPageBreak/>
              <w:t xml:space="preserve">     </w:t>
            </w:r>
            <w:r>
              <w:rPr>
                <w:rFonts w:cs="Times New Roman"/>
                <w:szCs w:val="24"/>
              </w:rPr>
              <w:t xml:space="preserve"> </w:t>
            </w:r>
            <w:r w:rsidRPr="00DB665E">
              <w:rPr>
                <w:rFonts w:cs="Times New Roman"/>
                <w:szCs w:val="24"/>
              </w:rPr>
              <w:t xml:space="preserve"> </w:t>
            </w:r>
            <w:r w:rsidR="00CC18B5" w:rsidRPr="006617B4">
              <w:rPr>
                <w:rFonts w:cs="Times New Roman"/>
                <w:szCs w:val="24"/>
              </w:rPr>
              <w:t xml:space="preserve">Šobrīd </w:t>
            </w:r>
            <w:r w:rsidR="003223B0" w:rsidRPr="006617B4">
              <w:rPr>
                <w:rFonts w:cs="Times New Roman"/>
                <w:szCs w:val="24"/>
              </w:rPr>
              <w:t xml:space="preserve">muitas procedūras – tranzīts – piemērošanas </w:t>
            </w:r>
            <w:r w:rsidR="00CC18B5" w:rsidRPr="006617B4">
              <w:rPr>
                <w:rFonts w:cs="Times New Roman"/>
                <w:szCs w:val="24"/>
              </w:rPr>
              <w:t>kārtību</w:t>
            </w:r>
            <w:r w:rsidR="003223B0" w:rsidRPr="006617B4">
              <w:rPr>
                <w:rFonts w:cs="Times New Roman"/>
                <w:szCs w:val="24"/>
              </w:rPr>
              <w:t xml:space="preserve"> </w:t>
            </w:r>
            <w:r w:rsidR="00CC18B5" w:rsidRPr="006617B4">
              <w:rPr>
                <w:rFonts w:cs="Times New Roman"/>
                <w:szCs w:val="24"/>
              </w:rPr>
              <w:t xml:space="preserve">nosaka </w:t>
            </w:r>
            <w:r w:rsidR="003223B0" w:rsidRPr="006617B4">
              <w:rPr>
                <w:rFonts w:eastAsia="Times New Roman" w:cs="Times New Roman"/>
                <w:szCs w:val="24"/>
                <w:lang w:eastAsia="lv-LV"/>
              </w:rPr>
              <w:t xml:space="preserve"> Ministru kabineta 2010.gada 21.decembra noteikumi Nr.1135 “Muitas procedūras – tranzīts – piemērošanas kārtība”</w:t>
            </w:r>
            <w:r w:rsidR="00CC18B5" w:rsidRPr="006617B4">
              <w:rPr>
                <w:rFonts w:cs="Times New Roman"/>
                <w:szCs w:val="24"/>
              </w:rPr>
              <w:t xml:space="preserve">. Projekts paredz vairākus grozījumus pēc būtības un arī redakcionālus precizējumus un tā kā veicamo grozījumu apjoms sastāda vairāk kā 50% no teksta, saskaņā ar juridiskās tehnikas prasībām ir izstrādāts jauns Ministru kabineta noteikumu projekts. </w:t>
            </w:r>
          </w:p>
          <w:p w14:paraId="7ABAD7E7" w14:textId="7AE97FA4" w:rsidR="00CC18B5" w:rsidRPr="00DB665E" w:rsidRDefault="003223B0" w:rsidP="003223B0">
            <w:pPr>
              <w:pStyle w:val="ListParagraph"/>
              <w:tabs>
                <w:tab w:val="left" w:pos="381"/>
              </w:tabs>
              <w:spacing w:after="0" w:line="240" w:lineRule="auto"/>
              <w:ind w:left="-11"/>
              <w:contextualSpacing w:val="0"/>
              <w:jc w:val="both"/>
              <w:rPr>
                <w:rFonts w:cs="Times New Roman"/>
                <w:szCs w:val="24"/>
              </w:rPr>
            </w:pPr>
            <w:r w:rsidRPr="00371948">
              <w:rPr>
                <w:rFonts w:cs="Times New Roman"/>
                <w:szCs w:val="24"/>
              </w:rPr>
              <w:t>Līdz ar projekta pieņemšanu</w:t>
            </w:r>
            <w:r w:rsidRPr="00DB665E">
              <w:rPr>
                <w:rFonts w:eastAsia="Times New Roman"/>
                <w:szCs w:val="24"/>
                <w:lang w:eastAsia="lv-LV"/>
              </w:rPr>
              <w:t xml:space="preserve"> spēku zaudēs </w:t>
            </w:r>
            <w:r w:rsidRPr="00DB665E">
              <w:rPr>
                <w:rFonts w:cs="Times New Roman"/>
                <w:szCs w:val="24"/>
              </w:rPr>
              <w:t>Ministru kabineta 2010.gada 21.decembra noteikumi Nr.1135 "Muitas procedūras –</w:t>
            </w:r>
            <w:r w:rsidRPr="00DB665E">
              <w:rPr>
                <w:rFonts w:ascii="ArialMT" w:hAnsi="ArialMT" w:cs="ArialMT"/>
                <w:szCs w:val="24"/>
              </w:rPr>
              <w:t xml:space="preserve"> </w:t>
            </w:r>
            <w:r w:rsidRPr="00DB665E">
              <w:rPr>
                <w:rFonts w:cs="Times New Roman"/>
                <w:szCs w:val="24"/>
              </w:rPr>
              <w:t xml:space="preserve">tranzīts – piemērošanas kārtība" (Latvijas Vēstnesis, 2010, 204.nr., 2011, 125.nr., 2012, 104.nr.) </w:t>
            </w:r>
            <w:r w:rsidR="00CC18B5" w:rsidRPr="00DB665E">
              <w:rPr>
                <w:rFonts w:cs="Times New Roman"/>
                <w:szCs w:val="24"/>
              </w:rPr>
              <w:t>(turpmāk – MK noteikumi Nr.1</w:t>
            </w:r>
            <w:r w:rsidRPr="00DB665E">
              <w:rPr>
                <w:rFonts w:cs="Times New Roman"/>
                <w:szCs w:val="24"/>
              </w:rPr>
              <w:t>135</w:t>
            </w:r>
            <w:r w:rsidR="00CC18B5" w:rsidRPr="00DB665E">
              <w:rPr>
                <w:rFonts w:cs="Times New Roman"/>
                <w:szCs w:val="24"/>
              </w:rPr>
              <w:t>).</w:t>
            </w:r>
          </w:p>
          <w:p w14:paraId="7DA6FF06" w14:textId="77777777" w:rsidR="00CC18B5" w:rsidRPr="004D5FAD" w:rsidRDefault="00CC18B5" w:rsidP="004D5FAD">
            <w:pPr>
              <w:spacing w:after="0" w:line="240" w:lineRule="auto"/>
              <w:jc w:val="both"/>
              <w:rPr>
                <w:rFonts w:eastAsia="Times New Roman" w:cs="Times New Roman"/>
                <w:szCs w:val="24"/>
                <w:lang w:eastAsia="lv-LV"/>
              </w:rPr>
            </w:pPr>
          </w:p>
          <w:p w14:paraId="472990F0" w14:textId="77777777" w:rsidR="0072494A" w:rsidRDefault="00393573" w:rsidP="0072494A">
            <w:pPr>
              <w:pStyle w:val="ListParagraph"/>
              <w:numPr>
                <w:ilvl w:val="0"/>
                <w:numId w:val="7"/>
              </w:numPr>
              <w:spacing w:after="0" w:line="240" w:lineRule="auto"/>
              <w:ind w:left="46" w:firstLine="0"/>
              <w:jc w:val="both"/>
              <w:rPr>
                <w:rFonts w:eastAsia="Times New Roman" w:cs="Times New Roman"/>
                <w:szCs w:val="24"/>
                <w:lang w:eastAsia="lv-LV"/>
              </w:rPr>
            </w:pPr>
            <w:r w:rsidRPr="0072494A">
              <w:rPr>
                <w:rFonts w:eastAsia="Times New Roman" w:cs="Times New Roman"/>
                <w:szCs w:val="24"/>
                <w:lang w:eastAsia="lv-LV"/>
              </w:rPr>
              <w:t xml:space="preserve">Saskaņā ar </w:t>
            </w:r>
            <w:r w:rsidR="00EB1032" w:rsidRPr="0072494A">
              <w:rPr>
                <w:rFonts w:eastAsia="Times New Roman" w:cs="Times New Roman"/>
                <w:szCs w:val="24"/>
                <w:lang w:eastAsia="lv-LV"/>
              </w:rPr>
              <w:t>MK noteikum</w:t>
            </w:r>
            <w:r w:rsidR="00DD1302" w:rsidRPr="0072494A">
              <w:rPr>
                <w:rFonts w:eastAsia="Times New Roman" w:cs="Times New Roman"/>
                <w:szCs w:val="24"/>
                <w:lang w:eastAsia="lv-LV"/>
              </w:rPr>
              <w:t xml:space="preserve">u </w:t>
            </w:r>
            <w:r w:rsidR="00EB1032" w:rsidRPr="0072494A">
              <w:rPr>
                <w:rFonts w:eastAsia="Times New Roman" w:cs="Times New Roman"/>
                <w:szCs w:val="24"/>
                <w:lang w:eastAsia="lv-LV"/>
              </w:rPr>
              <w:t xml:space="preserve">Nr.1135 </w:t>
            </w:r>
            <w:r w:rsidRPr="0072494A">
              <w:rPr>
                <w:rFonts w:eastAsia="Times New Roman" w:cs="Times New Roman"/>
                <w:szCs w:val="24"/>
                <w:lang w:eastAsia="lv-LV"/>
              </w:rPr>
              <w:t>3.punktu principālam, piesakot tranzīta procedūru, jāiesniedz aprēķin</w:t>
            </w:r>
            <w:r w:rsidR="009A2998" w:rsidRPr="0072494A">
              <w:rPr>
                <w:rFonts w:eastAsia="Times New Roman" w:cs="Times New Roman"/>
                <w:szCs w:val="24"/>
                <w:lang w:eastAsia="lv-LV"/>
              </w:rPr>
              <w:t>s</w:t>
            </w:r>
            <w:r w:rsidRPr="0072494A">
              <w:rPr>
                <w:rFonts w:eastAsia="Times New Roman" w:cs="Times New Roman"/>
                <w:szCs w:val="24"/>
                <w:lang w:eastAsia="lv-LV"/>
              </w:rPr>
              <w:t xml:space="preserve"> par muitas nodokļa, pievienotās vērtības nodokļa un akcīzes nodokļa parādu, kas varētu </w:t>
            </w:r>
            <w:r w:rsidRPr="0072494A">
              <w:rPr>
                <w:rFonts w:eastAsia="Times New Roman" w:cs="Times New Roman"/>
                <w:szCs w:val="24"/>
                <w:lang w:eastAsia="lv-LV"/>
              </w:rPr>
              <w:lastRenderedPageBreak/>
              <w:t>rasties. Savukārt</w:t>
            </w:r>
            <w:r w:rsidR="00F22B1B" w:rsidRPr="0072494A">
              <w:rPr>
                <w:rFonts w:eastAsia="Times New Roman" w:cs="Times New Roman"/>
                <w:szCs w:val="24"/>
                <w:lang w:eastAsia="lv-LV"/>
              </w:rPr>
              <w:t>,</w:t>
            </w:r>
            <w:r w:rsidRPr="0072494A">
              <w:rPr>
                <w:rFonts w:eastAsia="Times New Roman" w:cs="Times New Roman"/>
                <w:szCs w:val="24"/>
                <w:lang w:eastAsia="lv-LV"/>
              </w:rPr>
              <w:t xml:space="preserve"> </w:t>
            </w:r>
            <w:r w:rsidR="00F22B1B" w:rsidRPr="0072494A">
              <w:rPr>
                <w:rFonts w:eastAsia="Times New Roman" w:cs="Times New Roman"/>
                <w:szCs w:val="24"/>
                <w:lang w:eastAsia="lv-LV"/>
              </w:rPr>
              <w:t>t</w:t>
            </w:r>
            <w:r w:rsidRPr="0072494A">
              <w:rPr>
                <w:rFonts w:eastAsia="Times New Roman" w:cs="Times New Roman"/>
                <w:szCs w:val="24"/>
                <w:lang w:eastAsia="lv-LV"/>
              </w:rPr>
              <w:t>ranzīta procedūras piemērošanas praksē, tiek konstatēti gadījumi – tranzīta proc</w:t>
            </w:r>
            <w:r w:rsidR="00F22B1B" w:rsidRPr="0072494A">
              <w:rPr>
                <w:rFonts w:eastAsia="Times New Roman" w:cs="Times New Roman"/>
                <w:szCs w:val="24"/>
                <w:lang w:eastAsia="lv-LV"/>
              </w:rPr>
              <w:t>edūras vienkāršojumi</w:t>
            </w:r>
            <w:r w:rsidRPr="0072494A">
              <w:rPr>
                <w:rFonts w:eastAsia="Times New Roman" w:cs="Times New Roman"/>
                <w:szCs w:val="24"/>
                <w:lang w:eastAsia="lv-LV"/>
              </w:rPr>
              <w:t>, kad</w:t>
            </w:r>
            <w:r w:rsidR="00F22B1B" w:rsidRPr="0072494A">
              <w:rPr>
                <w:rFonts w:eastAsia="Times New Roman" w:cs="Times New Roman"/>
                <w:szCs w:val="24"/>
                <w:lang w:eastAsia="lv-LV"/>
              </w:rPr>
              <w:t>,</w:t>
            </w:r>
            <w:r w:rsidRPr="0072494A">
              <w:rPr>
                <w:rFonts w:eastAsia="Times New Roman" w:cs="Times New Roman"/>
                <w:szCs w:val="24"/>
                <w:lang w:eastAsia="lv-LV"/>
              </w:rPr>
              <w:t xml:space="preserve"> piesakot </w:t>
            </w:r>
            <w:r w:rsidR="00F22B1B" w:rsidRPr="0072494A">
              <w:rPr>
                <w:rFonts w:eastAsia="Times New Roman" w:cs="Times New Roman"/>
                <w:szCs w:val="24"/>
                <w:lang w:eastAsia="lv-LV"/>
              </w:rPr>
              <w:t>tranzīta procedūru, aprēķins par muitas nodokļa, pievienotās vērtības nodokļa un akcīzes nodokļa parādu, kas varētu rasties</w:t>
            </w:r>
            <w:r w:rsidRPr="0072494A">
              <w:rPr>
                <w:rFonts w:eastAsia="Times New Roman" w:cs="Times New Roman"/>
                <w:szCs w:val="24"/>
                <w:lang w:eastAsia="lv-LV"/>
              </w:rPr>
              <w:t xml:space="preserve"> </w:t>
            </w:r>
            <w:r w:rsidR="00F22B1B" w:rsidRPr="0072494A">
              <w:rPr>
                <w:rFonts w:eastAsia="Times New Roman" w:cs="Times New Roman"/>
                <w:szCs w:val="24"/>
                <w:lang w:eastAsia="lv-LV"/>
              </w:rPr>
              <w:t>nav nepieciešams.</w:t>
            </w:r>
            <w:r w:rsidRPr="0072494A">
              <w:rPr>
                <w:rFonts w:eastAsia="Times New Roman" w:cs="Times New Roman"/>
                <w:szCs w:val="24"/>
                <w:lang w:eastAsia="lv-LV"/>
              </w:rPr>
              <w:t xml:space="preserve"> </w:t>
            </w:r>
            <w:r w:rsidR="00F22B1B" w:rsidRPr="0072494A">
              <w:rPr>
                <w:rFonts w:eastAsia="Times New Roman" w:cs="Times New Roman"/>
                <w:szCs w:val="24"/>
                <w:lang w:eastAsia="lv-LV"/>
              </w:rPr>
              <w:t>Atbilstoši minēt</w:t>
            </w:r>
            <w:r w:rsidR="00D36633" w:rsidRPr="0072494A">
              <w:rPr>
                <w:rFonts w:eastAsia="Times New Roman" w:cs="Times New Roman"/>
                <w:szCs w:val="24"/>
                <w:lang w:eastAsia="lv-LV"/>
              </w:rPr>
              <w:t>a</w:t>
            </w:r>
            <w:r w:rsidR="00F22B1B" w:rsidRPr="0072494A">
              <w:rPr>
                <w:rFonts w:eastAsia="Times New Roman" w:cs="Times New Roman"/>
                <w:szCs w:val="24"/>
                <w:lang w:eastAsia="lv-LV"/>
              </w:rPr>
              <w:t xml:space="preserve">jam, jāveic precizējumi </w:t>
            </w:r>
            <w:r w:rsidR="00EB1032" w:rsidRPr="0072494A">
              <w:rPr>
                <w:rFonts w:eastAsia="Times New Roman" w:cs="Times New Roman"/>
                <w:szCs w:val="24"/>
                <w:lang w:eastAsia="lv-LV"/>
              </w:rPr>
              <w:t xml:space="preserve">minētajā </w:t>
            </w:r>
            <w:r w:rsidR="00F22B1B" w:rsidRPr="0072494A">
              <w:rPr>
                <w:rFonts w:eastAsia="Times New Roman" w:cs="Times New Roman"/>
                <w:szCs w:val="24"/>
                <w:lang w:eastAsia="lv-LV"/>
              </w:rPr>
              <w:t>punktā, norādot tikai tos tranzīta procedūras piemērošanas veidus – Kopienas tranzīta procedūra, Kopīga tranzīta procedūra (saskaņā ar 1987.gada 20.maija Konvenciju par Kopīgu tranzīta procedūru), TIR procedūra, kad piesakot tranzīta procedūru, aprēķins par muitas nodokļa, pievienotās vērtības nodokļa un akcīzes nodokļa parādu, kas varētu rasties ir nepieciešams</w:t>
            </w:r>
            <w:r w:rsidR="00DD1302" w:rsidRPr="0072494A">
              <w:rPr>
                <w:rFonts w:eastAsia="Times New Roman" w:cs="Times New Roman"/>
                <w:szCs w:val="24"/>
                <w:lang w:eastAsia="lv-LV"/>
              </w:rPr>
              <w:t xml:space="preserve"> (projekta 3.</w:t>
            </w:r>
            <w:r w:rsidR="00277759" w:rsidRPr="0072494A">
              <w:rPr>
                <w:rFonts w:eastAsia="Times New Roman" w:cs="Times New Roman"/>
                <w:szCs w:val="24"/>
                <w:lang w:eastAsia="lv-LV"/>
              </w:rPr>
              <w:t xml:space="preserve"> un 4.</w:t>
            </w:r>
            <w:r w:rsidR="00DD1302" w:rsidRPr="0072494A">
              <w:rPr>
                <w:rFonts w:eastAsia="Times New Roman" w:cs="Times New Roman"/>
                <w:szCs w:val="24"/>
                <w:lang w:eastAsia="lv-LV"/>
              </w:rPr>
              <w:t>punkts)</w:t>
            </w:r>
            <w:r w:rsidR="00F22B1B" w:rsidRPr="0072494A">
              <w:rPr>
                <w:rFonts w:eastAsia="Times New Roman" w:cs="Times New Roman"/>
                <w:szCs w:val="24"/>
                <w:lang w:eastAsia="lv-LV"/>
              </w:rPr>
              <w:t>.</w:t>
            </w:r>
            <w:r w:rsidR="00EB1032" w:rsidRPr="0072494A">
              <w:rPr>
                <w:rFonts w:eastAsia="Times New Roman" w:cs="Times New Roman"/>
                <w:szCs w:val="24"/>
                <w:lang w:eastAsia="lv-LV"/>
              </w:rPr>
              <w:t xml:space="preserve"> </w:t>
            </w:r>
          </w:p>
          <w:p w14:paraId="1B84A461" w14:textId="77777777" w:rsidR="0072494A" w:rsidRDefault="00847DFC" w:rsidP="0072494A">
            <w:pPr>
              <w:pStyle w:val="ListParagraph"/>
              <w:numPr>
                <w:ilvl w:val="0"/>
                <w:numId w:val="7"/>
              </w:numPr>
              <w:spacing w:after="0" w:line="240" w:lineRule="auto"/>
              <w:ind w:left="46" w:firstLine="0"/>
              <w:jc w:val="both"/>
              <w:rPr>
                <w:rFonts w:eastAsia="Times New Roman" w:cs="Times New Roman"/>
                <w:szCs w:val="24"/>
                <w:lang w:eastAsia="lv-LV"/>
              </w:rPr>
            </w:pPr>
            <w:r w:rsidRPr="0072494A">
              <w:rPr>
                <w:rFonts w:eastAsia="Times New Roman" w:cs="Times New Roman"/>
                <w:szCs w:val="24"/>
                <w:lang w:eastAsia="lv-LV"/>
              </w:rPr>
              <w:t xml:space="preserve">Lai vienkāršotu </w:t>
            </w:r>
            <w:r w:rsidR="00EB1032" w:rsidRPr="0072494A">
              <w:rPr>
                <w:rFonts w:eastAsia="Times New Roman" w:cs="Times New Roman"/>
                <w:szCs w:val="24"/>
                <w:lang w:eastAsia="lv-LV"/>
              </w:rPr>
              <w:t xml:space="preserve"> MK noteikumu Nr.1135</w:t>
            </w:r>
            <w:r w:rsidR="00264AD1" w:rsidRPr="0072494A">
              <w:rPr>
                <w:rFonts w:eastAsia="Times New Roman" w:cs="Times New Roman"/>
                <w:szCs w:val="24"/>
                <w:lang w:eastAsia="lv-LV"/>
              </w:rPr>
              <w:t xml:space="preserve"> izmantošanu (teksta uztveri), nepieciešams strukturāli sadalīt minēto normatīvo aktu, izveidojot atbilstošās sadaļas (</w:t>
            </w:r>
            <w:r w:rsidR="00EB1032" w:rsidRPr="0072494A">
              <w:rPr>
                <w:rFonts w:eastAsia="Times New Roman" w:cs="Times New Roman"/>
                <w:szCs w:val="24"/>
                <w:lang w:eastAsia="lv-LV"/>
              </w:rPr>
              <w:t>I.</w:t>
            </w:r>
            <w:r w:rsidR="006F63A3" w:rsidRPr="0072494A">
              <w:rPr>
                <w:rFonts w:eastAsia="Times New Roman" w:cs="Times New Roman"/>
                <w:szCs w:val="24"/>
                <w:lang w:eastAsia="lv-LV"/>
              </w:rPr>
              <w:t> </w:t>
            </w:r>
            <w:r w:rsidR="00264AD1" w:rsidRPr="0072494A">
              <w:rPr>
                <w:rFonts w:eastAsia="Times New Roman" w:cs="Times New Roman"/>
                <w:szCs w:val="24"/>
                <w:lang w:eastAsia="lv-LV"/>
              </w:rPr>
              <w:t xml:space="preserve">Vispārīgie jautājumi, </w:t>
            </w:r>
            <w:r w:rsidR="00EB1032" w:rsidRPr="0072494A">
              <w:rPr>
                <w:rFonts w:eastAsia="Times New Roman" w:cs="Times New Roman"/>
                <w:szCs w:val="24"/>
                <w:lang w:eastAsia="lv-LV"/>
              </w:rPr>
              <w:t>II.</w:t>
            </w:r>
            <w:r w:rsidR="006F63A3" w:rsidRPr="0072494A">
              <w:rPr>
                <w:rFonts w:eastAsia="Times New Roman" w:cs="Times New Roman"/>
                <w:szCs w:val="24"/>
                <w:lang w:eastAsia="lv-LV"/>
              </w:rPr>
              <w:t> </w:t>
            </w:r>
            <w:r w:rsidR="00264AD1" w:rsidRPr="0072494A">
              <w:rPr>
                <w:rFonts w:eastAsia="Times New Roman" w:cs="Times New Roman"/>
                <w:szCs w:val="24"/>
                <w:lang w:eastAsia="lv-LV"/>
              </w:rPr>
              <w:t>TIR procedūra,</w:t>
            </w:r>
            <w:r w:rsidR="00264AD1">
              <w:t xml:space="preserve"> </w:t>
            </w:r>
            <w:r w:rsidR="00EB1032">
              <w:t>III.</w:t>
            </w:r>
            <w:r w:rsidR="006F63A3">
              <w:t> </w:t>
            </w:r>
            <w:r w:rsidR="00F16663" w:rsidRPr="0072494A">
              <w:rPr>
                <w:rFonts w:eastAsia="Times New Roman" w:cs="Times New Roman"/>
                <w:szCs w:val="24"/>
                <w:lang w:eastAsia="lv-LV"/>
              </w:rPr>
              <w:t xml:space="preserve">TIR procedūras vienkāršojums - </w:t>
            </w:r>
            <w:r w:rsidR="003A68D0" w:rsidRPr="0072494A">
              <w:rPr>
                <w:rFonts w:eastAsia="Times New Roman" w:cs="Times New Roman"/>
                <w:szCs w:val="24"/>
                <w:lang w:eastAsia="lv-LV"/>
              </w:rPr>
              <w:t>pilnvarotais</w:t>
            </w:r>
            <w:r w:rsidR="00264AD1" w:rsidRPr="0072494A">
              <w:rPr>
                <w:rFonts w:eastAsia="Times New Roman" w:cs="Times New Roman"/>
                <w:szCs w:val="24"/>
                <w:lang w:eastAsia="lv-LV"/>
              </w:rPr>
              <w:t xml:space="preserve"> nosūtītājs TIR procedūrā, </w:t>
            </w:r>
            <w:r w:rsidR="00EB1032" w:rsidRPr="0072494A">
              <w:rPr>
                <w:rFonts w:eastAsia="Times New Roman" w:cs="Times New Roman"/>
                <w:szCs w:val="24"/>
                <w:lang w:eastAsia="lv-LV"/>
              </w:rPr>
              <w:t>IV.</w:t>
            </w:r>
            <w:r w:rsidR="006F63A3" w:rsidRPr="0072494A">
              <w:rPr>
                <w:rFonts w:eastAsia="Times New Roman" w:cs="Times New Roman"/>
                <w:szCs w:val="24"/>
                <w:lang w:eastAsia="lv-LV"/>
              </w:rPr>
              <w:t> </w:t>
            </w:r>
            <w:r w:rsidR="00264AD1" w:rsidRPr="0072494A">
              <w:rPr>
                <w:rFonts w:eastAsia="Times New Roman" w:cs="Times New Roman"/>
                <w:szCs w:val="24"/>
                <w:lang w:eastAsia="lv-LV"/>
              </w:rPr>
              <w:t xml:space="preserve">Citi tranzīta procedūras vienkāršojumi, </w:t>
            </w:r>
            <w:r w:rsidR="009F32ED" w:rsidRPr="0072494A">
              <w:rPr>
                <w:rFonts w:eastAsia="Times New Roman" w:cs="Times New Roman"/>
                <w:szCs w:val="24"/>
                <w:lang w:eastAsia="lv-LV"/>
              </w:rPr>
              <w:t>V.</w:t>
            </w:r>
            <w:r w:rsidR="006F63A3" w:rsidRPr="0072494A">
              <w:rPr>
                <w:rFonts w:eastAsia="Times New Roman" w:cs="Times New Roman"/>
                <w:szCs w:val="24"/>
                <w:lang w:eastAsia="lv-LV"/>
              </w:rPr>
              <w:t> </w:t>
            </w:r>
            <w:r w:rsidR="00264AD1" w:rsidRPr="0072494A">
              <w:rPr>
                <w:rFonts w:eastAsia="Times New Roman" w:cs="Times New Roman"/>
                <w:szCs w:val="24"/>
                <w:lang w:eastAsia="lv-LV"/>
              </w:rPr>
              <w:t>Noslēguma jautājumi) un veikt grozījumus punktu numerācijā.</w:t>
            </w:r>
          </w:p>
          <w:p w14:paraId="58D068EA" w14:textId="4AA2E3AC" w:rsidR="00EB1032" w:rsidRPr="0072494A" w:rsidRDefault="00EB1032" w:rsidP="0072494A">
            <w:pPr>
              <w:pStyle w:val="ListParagraph"/>
              <w:numPr>
                <w:ilvl w:val="0"/>
                <w:numId w:val="7"/>
              </w:numPr>
              <w:spacing w:after="0" w:line="240" w:lineRule="auto"/>
              <w:ind w:left="46" w:firstLine="0"/>
              <w:jc w:val="both"/>
              <w:rPr>
                <w:rFonts w:eastAsia="Times New Roman" w:cs="Times New Roman"/>
                <w:szCs w:val="24"/>
                <w:lang w:eastAsia="lv-LV"/>
              </w:rPr>
            </w:pPr>
            <w:r w:rsidRPr="0072494A">
              <w:rPr>
                <w:rFonts w:eastAsia="Times New Roman" w:cs="Times New Roman"/>
                <w:szCs w:val="24"/>
                <w:lang w:eastAsia="lv-LV"/>
              </w:rPr>
              <w:t xml:space="preserve">Pārējais regulējums attiecībā uz </w:t>
            </w:r>
            <w:r w:rsidR="00515E8D" w:rsidRPr="0072494A">
              <w:rPr>
                <w:rFonts w:eastAsia="Times New Roman" w:cs="Times New Roman"/>
                <w:szCs w:val="24"/>
                <w:lang w:eastAsia="lv-LV"/>
              </w:rPr>
              <w:t xml:space="preserve"> MK noteikumu Nr.1135 </w:t>
            </w:r>
            <w:r w:rsidRPr="0072494A">
              <w:rPr>
                <w:rFonts w:eastAsia="Times New Roman" w:cs="Times New Roman"/>
                <w:szCs w:val="24"/>
                <w:lang w:eastAsia="lv-LV"/>
              </w:rPr>
              <w:t>I., II., IV. sadaļas jautājumiem nav mainīts</w:t>
            </w:r>
            <w:r w:rsidR="004F33A7" w:rsidRPr="0072494A">
              <w:rPr>
                <w:rFonts w:eastAsia="Times New Roman" w:cs="Times New Roman"/>
                <w:szCs w:val="24"/>
                <w:lang w:eastAsia="lv-LV"/>
              </w:rPr>
              <w:t>.</w:t>
            </w:r>
            <w:r w:rsidR="00515E8D" w:rsidRPr="0072494A">
              <w:rPr>
                <w:rFonts w:eastAsia="Times New Roman" w:cs="Times New Roman"/>
                <w:szCs w:val="24"/>
                <w:lang w:eastAsia="lv-LV"/>
              </w:rPr>
              <w:t xml:space="preserve"> Regulējuma būtība ir šāda:</w:t>
            </w:r>
            <w:r w:rsidRPr="0072494A">
              <w:rPr>
                <w:rFonts w:eastAsia="Times New Roman" w:cs="Times New Roman"/>
                <w:szCs w:val="24"/>
                <w:lang w:eastAsia="lv-LV"/>
              </w:rPr>
              <w:t xml:space="preserve"> </w:t>
            </w:r>
          </w:p>
          <w:p w14:paraId="24FA1226" w14:textId="6ED763CE" w:rsidR="00515E8D" w:rsidRPr="006868B7" w:rsidRDefault="006F63A3" w:rsidP="006617B4">
            <w:pPr>
              <w:pStyle w:val="Default"/>
              <w:numPr>
                <w:ilvl w:val="1"/>
                <w:numId w:val="7"/>
              </w:numPr>
              <w:tabs>
                <w:tab w:val="left" w:pos="1097"/>
              </w:tabs>
              <w:ind w:left="0" w:firstLine="530"/>
              <w:jc w:val="both"/>
              <w:rPr>
                <w:sz w:val="19"/>
                <w:szCs w:val="19"/>
              </w:rPr>
            </w:pPr>
            <w:r>
              <w:rPr>
                <w:rFonts w:eastAsia="Times New Roman" w:cs="Times New Roman"/>
                <w:lang w:eastAsia="lv-LV"/>
              </w:rPr>
              <w:t>P</w:t>
            </w:r>
            <w:r w:rsidR="00D72CAC" w:rsidRPr="004F33A7">
              <w:rPr>
                <w:rFonts w:eastAsia="Times New Roman" w:cs="Times New Roman"/>
                <w:lang w:eastAsia="lv-LV"/>
              </w:rPr>
              <w:t xml:space="preserve">rojektā ir noteikts, ka atļauju izmantot TIR procedūru un TIR karnetes izsniedz garantējošā asociācija (pilnvarojums šai asociācijai izsniegt TIR karnetes ir noteikts ar 1993.gada 19.oktobra Ministru kabineta rīkojumu Nr. 62) pēc Valsts ieņēmumu dienesta (turpmāk – VID) pozitīva atzinuma saņemšanas. VID atzinums tiek prasīts pēc tam, kad garantējošā asociācija ir novērtējusi komersanta atbilstību </w:t>
            </w:r>
            <w:r w:rsidR="00225B2B">
              <w:rPr>
                <w:rFonts w:eastAsia="Times New Roman" w:cs="Times New Roman"/>
                <w:lang w:eastAsia="lv-LV"/>
              </w:rPr>
              <w:t>TIR</w:t>
            </w:r>
            <w:r w:rsidR="00D72CAC" w:rsidRPr="004F33A7">
              <w:rPr>
                <w:rFonts w:eastAsia="Times New Roman" w:cs="Times New Roman"/>
                <w:lang w:eastAsia="lv-LV"/>
              </w:rPr>
              <w:t xml:space="preserve"> konvencijas 9.pielikumā noteiktajām prasībām, piemēram, ir pierādāma pieredze starptautisko pārvadājumu veikšanai un apliecinātas zināšanas par  iepriekš minētās konvencijas piemērošanu. VID sniedz pozitīvu atzinumu, ja personai nav nodokļu parādu, ja persona vai tās darbinieki nav sodīti par </w:t>
            </w:r>
            <w:r w:rsidR="00260167">
              <w:rPr>
                <w:rFonts w:eastAsia="Times New Roman" w:cs="Times New Roman"/>
                <w:lang w:eastAsia="lv-LV"/>
              </w:rPr>
              <w:t xml:space="preserve">smagiem vai atkārtotiem </w:t>
            </w:r>
            <w:r w:rsidR="00D72CAC" w:rsidRPr="004F33A7">
              <w:rPr>
                <w:rFonts w:eastAsia="Times New Roman" w:cs="Times New Roman"/>
                <w:lang w:eastAsia="lv-LV"/>
              </w:rPr>
              <w:t xml:space="preserve">muitas noteikumu pārkāpumiem. </w:t>
            </w:r>
            <w:r w:rsidR="00225B2B" w:rsidRPr="006868B7">
              <w:rPr>
                <w:rFonts w:eastAsia="Times New Roman" w:cs="Times New Roman"/>
                <w:lang w:eastAsia="lv-LV"/>
              </w:rPr>
              <w:t>Lai nodrošinātu, ka Valsts ieņēmumu dienests vienveidīgi piemērotu šo kritērijus, Finanšu ministrija ir izstrādājusi instrukciju (iekšējo normatīvo aktu, kas ir saistošs Valsts ieņēmumu dienestam) ar šo kritēriju skaidrojumu. Instrukcija ir publicēta Finanšu</w:t>
            </w:r>
            <w:r w:rsidR="00225B2B" w:rsidRPr="00491EDA">
              <w:rPr>
                <w:rFonts w:eastAsia="Times New Roman" w:cs="Times New Roman"/>
                <w:lang w:eastAsia="lv-LV"/>
              </w:rPr>
              <w:t xml:space="preserve"> </w:t>
            </w:r>
            <w:r w:rsidR="00225B2B" w:rsidRPr="006868B7">
              <w:rPr>
                <w:rFonts w:eastAsia="Times New Roman" w:cs="Times New Roman"/>
                <w:lang w:eastAsia="lv-LV"/>
              </w:rPr>
              <w:t>ministrija</w:t>
            </w:r>
            <w:r w:rsidR="00CA1570">
              <w:rPr>
                <w:rFonts w:eastAsia="Times New Roman" w:cs="Times New Roman"/>
                <w:lang w:eastAsia="lv-LV"/>
              </w:rPr>
              <w:t>s</w:t>
            </w:r>
            <w:r w:rsidR="00225B2B" w:rsidRPr="006868B7">
              <w:rPr>
                <w:rFonts w:eastAsia="Times New Roman" w:cs="Times New Roman"/>
                <w:lang w:eastAsia="lv-LV"/>
              </w:rPr>
              <w:t xml:space="preserve"> un Valsts ieņēmumu dienesta interneta mājas lapās.</w:t>
            </w:r>
          </w:p>
          <w:p w14:paraId="63CD75DF" w14:textId="581CDA9C" w:rsidR="00EB1032" w:rsidRPr="00515E8D" w:rsidRDefault="006F63A3" w:rsidP="006617B4">
            <w:pPr>
              <w:pStyle w:val="Default"/>
              <w:numPr>
                <w:ilvl w:val="1"/>
                <w:numId w:val="7"/>
              </w:numPr>
              <w:tabs>
                <w:tab w:val="left" w:pos="955"/>
              </w:tabs>
              <w:ind w:left="0" w:firstLine="426"/>
              <w:jc w:val="both"/>
              <w:rPr>
                <w:sz w:val="19"/>
                <w:szCs w:val="19"/>
              </w:rPr>
            </w:pPr>
            <w:r>
              <w:rPr>
                <w:rFonts w:eastAsia="Times New Roman" w:cs="Times New Roman"/>
                <w:lang w:eastAsia="lv-LV"/>
              </w:rPr>
              <w:t>P</w:t>
            </w:r>
            <w:r w:rsidR="00D72CAC" w:rsidRPr="00515E8D">
              <w:rPr>
                <w:rFonts w:eastAsia="Times New Roman" w:cs="Times New Roman"/>
                <w:lang w:eastAsia="lv-LV"/>
              </w:rPr>
              <w:t xml:space="preserve">rojektā ir lietots 1975. gada 14. novembra Muitas konvencijas par starptautiskajiem preču pārvadājumiem, izmantojot TIR karneti, nosaukums, lai arī Augstākās padomes 1993.gada 16.marta lēmumā (Latvijas Republikas Augstākās Padomes un Valdības Ziņotājs, 1993, 12.nr.), ar kuru Latvijas Republika pievienojas konvencijai ir lietots 1975. gada 14. novembra Muitas konvencijas par starptautiskajiem preču pārvadājumiem, izmantojot TIR grāmatiņu, nosaukums, jo tālāk visā konvencijas tekstā tiek lietots termins </w:t>
            </w:r>
            <w:r w:rsidR="000224F7">
              <w:rPr>
                <w:rFonts w:ascii="Times New Roman" w:eastAsia="Times New Roman" w:hAnsi="Times New Roman" w:cs="Times New Roman"/>
                <w:lang w:eastAsia="lv-LV"/>
              </w:rPr>
              <w:t>“</w:t>
            </w:r>
            <w:r w:rsidR="00D72CAC" w:rsidRPr="00515E8D">
              <w:rPr>
                <w:rFonts w:eastAsia="Times New Roman" w:cs="Times New Roman"/>
                <w:lang w:eastAsia="lv-LV"/>
              </w:rPr>
              <w:t xml:space="preserve">TIR karnete”, kā arī pielikumā pievienotās veidlapas nosaukums ir </w:t>
            </w:r>
            <w:r w:rsidR="000224F7">
              <w:rPr>
                <w:rFonts w:ascii="Times New Roman" w:eastAsia="Times New Roman" w:hAnsi="Times New Roman" w:cs="Times New Roman"/>
                <w:lang w:eastAsia="lv-LV"/>
              </w:rPr>
              <w:t>“</w:t>
            </w:r>
            <w:r w:rsidR="00D72CAC" w:rsidRPr="00515E8D">
              <w:rPr>
                <w:rFonts w:eastAsia="Times New Roman" w:cs="Times New Roman"/>
                <w:lang w:eastAsia="lv-LV"/>
              </w:rPr>
              <w:t xml:space="preserve">karnete”. Tāpat termins </w:t>
            </w:r>
            <w:r w:rsidR="000224F7">
              <w:rPr>
                <w:rFonts w:ascii="Times New Roman" w:eastAsia="Times New Roman" w:hAnsi="Times New Roman" w:cs="Times New Roman"/>
                <w:lang w:eastAsia="lv-LV"/>
              </w:rPr>
              <w:t>“</w:t>
            </w:r>
            <w:r w:rsidR="00D72CAC" w:rsidRPr="00515E8D">
              <w:rPr>
                <w:rFonts w:eastAsia="Times New Roman" w:cs="Times New Roman"/>
                <w:lang w:eastAsia="lv-LV"/>
              </w:rPr>
              <w:t xml:space="preserve">TIR karnete” tiek lietots Komisijas 1993.gada 2.jūlija regulā (EEK) Nr. 2454/93 ar ko nosaka īstenošanas noteikumus Padomes Regulai (EEK) Nr.2913/92 par </w:t>
            </w:r>
            <w:r w:rsidR="009B7879" w:rsidRPr="00515E8D">
              <w:rPr>
                <w:rFonts w:eastAsia="Times New Roman" w:cs="Times New Roman"/>
                <w:lang w:eastAsia="lv-LV"/>
              </w:rPr>
              <w:t>Kopienas Muitas kodeksa izveidi (</w:t>
            </w:r>
            <w:r w:rsidR="009B7879" w:rsidRPr="004F456B">
              <w:rPr>
                <w:rFonts w:eastAsia="Times New Roman" w:cs="Times New Roman"/>
                <w:lang w:eastAsia="lv-LV"/>
              </w:rPr>
              <w:t xml:space="preserve">turpmāk </w:t>
            </w:r>
            <w:r w:rsidR="000D29A0" w:rsidRPr="004F456B">
              <w:rPr>
                <w:rFonts w:eastAsia="Times New Roman" w:cs="Times New Roman"/>
                <w:lang w:eastAsia="lv-LV"/>
              </w:rPr>
              <w:t xml:space="preserve">arī </w:t>
            </w:r>
            <w:r w:rsidR="009B7879" w:rsidRPr="004F456B">
              <w:rPr>
                <w:rFonts w:eastAsia="Times New Roman" w:cs="Times New Roman"/>
                <w:lang w:eastAsia="lv-LV"/>
              </w:rPr>
              <w:t>– regula Nr.2454/93)</w:t>
            </w:r>
            <w:r w:rsidR="009B7879" w:rsidRPr="00515E8D">
              <w:rPr>
                <w:rFonts w:eastAsia="Times New Roman" w:cs="Times New Roman"/>
                <w:lang w:eastAsia="lv-LV"/>
              </w:rPr>
              <w:t>.</w:t>
            </w:r>
          </w:p>
          <w:p w14:paraId="120F2DFE" w14:textId="5D7228A8" w:rsidR="00515E8D" w:rsidRPr="00D6787E" w:rsidRDefault="0043222F" w:rsidP="00183C1F">
            <w:pPr>
              <w:pStyle w:val="ListParagraph"/>
              <w:numPr>
                <w:ilvl w:val="1"/>
                <w:numId w:val="7"/>
              </w:numPr>
              <w:tabs>
                <w:tab w:val="left" w:pos="955"/>
              </w:tabs>
              <w:spacing w:after="0" w:line="240" w:lineRule="auto"/>
              <w:ind w:left="46" w:firstLine="314"/>
              <w:jc w:val="both"/>
              <w:rPr>
                <w:rFonts w:eastAsia="Times New Roman" w:cs="Times New Roman"/>
                <w:szCs w:val="24"/>
                <w:lang w:eastAsia="lv-LV"/>
              </w:rPr>
            </w:pPr>
            <w:r w:rsidRPr="00D6787E">
              <w:rPr>
                <w:rFonts w:eastAsia="Times New Roman" w:cs="Times New Roman"/>
                <w:szCs w:val="24"/>
                <w:lang w:eastAsia="lv-LV"/>
              </w:rPr>
              <w:t xml:space="preserve">Projekta </w:t>
            </w:r>
            <w:r w:rsidR="00E053EE" w:rsidRPr="00D6787E">
              <w:rPr>
                <w:rFonts w:eastAsia="Times New Roman" w:cs="Times New Roman"/>
                <w:szCs w:val="24"/>
                <w:lang w:eastAsia="lv-LV"/>
              </w:rPr>
              <w:t>7</w:t>
            </w:r>
            <w:r w:rsidRPr="00D6787E">
              <w:rPr>
                <w:rFonts w:eastAsia="Times New Roman" w:cs="Times New Roman"/>
                <w:szCs w:val="24"/>
                <w:lang w:eastAsia="lv-LV"/>
              </w:rPr>
              <w:t>.-</w:t>
            </w:r>
            <w:r w:rsidR="00C220C0" w:rsidRPr="00D6787E">
              <w:rPr>
                <w:rFonts w:eastAsia="Times New Roman" w:cs="Times New Roman"/>
                <w:szCs w:val="24"/>
                <w:lang w:eastAsia="lv-LV"/>
              </w:rPr>
              <w:t>1</w:t>
            </w:r>
            <w:r w:rsidR="00E053EE" w:rsidRPr="00D6787E">
              <w:rPr>
                <w:rFonts w:eastAsia="Times New Roman" w:cs="Times New Roman"/>
                <w:szCs w:val="24"/>
                <w:lang w:eastAsia="lv-LV"/>
              </w:rPr>
              <w:t>7</w:t>
            </w:r>
            <w:r w:rsidRPr="00D6787E">
              <w:rPr>
                <w:rFonts w:eastAsia="Times New Roman" w:cs="Times New Roman"/>
                <w:szCs w:val="24"/>
                <w:lang w:eastAsia="lv-LV"/>
              </w:rPr>
              <w:t>.</w:t>
            </w:r>
            <w:r w:rsidR="004F456B" w:rsidRPr="00D6787E">
              <w:rPr>
                <w:rFonts w:eastAsia="Times New Roman" w:cs="Times New Roman"/>
                <w:szCs w:val="24"/>
                <w:lang w:eastAsia="lv-LV"/>
              </w:rPr>
              <w:t xml:space="preserve"> </w:t>
            </w:r>
            <w:r w:rsidRPr="00D6787E">
              <w:rPr>
                <w:rFonts w:eastAsia="Times New Roman" w:cs="Times New Roman"/>
                <w:szCs w:val="24"/>
                <w:lang w:eastAsia="lv-LV"/>
              </w:rPr>
              <w:t xml:space="preserve">punktā ir noteikta kārtība, kādā personai tiek piešķirta, apturēta un anulēta atļauja izmantot TIR procedūru un saņemt </w:t>
            </w:r>
            <w:r w:rsidRPr="00D6787E">
              <w:rPr>
                <w:rFonts w:eastAsia="Times New Roman" w:cs="Times New Roman"/>
                <w:szCs w:val="24"/>
                <w:lang w:eastAsia="lv-LV"/>
              </w:rPr>
              <w:lastRenderedPageBreak/>
              <w:t>TIR karnetes</w:t>
            </w:r>
            <w:r w:rsidR="00E053EE" w:rsidRPr="00D6787E">
              <w:rPr>
                <w:rFonts w:eastAsia="Times New Roman" w:cs="Times New Roman"/>
                <w:szCs w:val="24"/>
                <w:lang w:eastAsia="lv-LV"/>
              </w:rPr>
              <w:t xml:space="preserve"> un kā apstrīdēt nelabvēlīgu lēmumu</w:t>
            </w:r>
            <w:r w:rsidR="00946C29" w:rsidRPr="00D6787E">
              <w:rPr>
                <w:rFonts w:eastAsia="Times New Roman" w:cs="Times New Roman"/>
                <w:szCs w:val="24"/>
                <w:lang w:eastAsia="lv-LV"/>
              </w:rPr>
              <w:t xml:space="preserve">.  Saskaņā ar Biedrību un nodibinājumu likuma 40.pantu Garantējošās asociācijas nelabvēlīgo lēmumu var pārsūdzēt tiesā. </w:t>
            </w:r>
            <w:r w:rsidR="00183C1F" w:rsidRPr="00D6787E">
              <w:rPr>
                <w:rFonts w:eastAsia="Times New Roman" w:cs="Times New Roman"/>
                <w:szCs w:val="24"/>
                <w:lang w:eastAsia="lv-LV"/>
              </w:rPr>
              <w:t xml:space="preserve">Noteikumu projekta 17.punktā ir noteikts, ka </w:t>
            </w:r>
            <w:r w:rsidR="00183C1F" w:rsidRPr="00D6787E">
              <w:t xml:space="preserve"> </w:t>
            </w:r>
            <w:r w:rsidR="00183C1F" w:rsidRPr="00D6787E">
              <w:rPr>
                <w:rFonts w:eastAsia="Times New Roman" w:cs="Times New Roman"/>
                <w:szCs w:val="24"/>
                <w:lang w:eastAsia="lv-LV"/>
              </w:rPr>
              <w:t xml:space="preserve">Garantējošās asociācijas lēmumu par atteikumu izsniegt atļauju izmantot TIR procedūru un saņemt TIR karnetes, kā arī lēmumu apturēt vai anulēt atļauju izmantot TIR procedūru un saņemt TIR karnetes var pārsūdzēt Administratīvajā tiesā Administratīvā procesa likumā noteiktajā kārtībā. </w:t>
            </w:r>
            <w:r w:rsidR="00946C29" w:rsidRPr="00D6787E">
              <w:rPr>
                <w:rFonts w:eastAsia="Times New Roman" w:cs="Times New Roman"/>
                <w:szCs w:val="24"/>
                <w:lang w:eastAsia="lv-LV"/>
              </w:rPr>
              <w:t>Jāatzīmē, ka</w:t>
            </w:r>
            <w:r w:rsidR="00E053EE" w:rsidRPr="00D6787E">
              <w:rPr>
                <w:rFonts w:eastAsia="Times New Roman" w:cs="Times New Roman"/>
                <w:szCs w:val="24"/>
                <w:lang w:eastAsia="lv-LV"/>
              </w:rPr>
              <w:t xml:space="preserve"> atbilstoši  Garantējošās asociācijas sniegtajai informācijai </w:t>
            </w:r>
            <w:r w:rsidR="00946C29" w:rsidRPr="00D6787E">
              <w:rPr>
                <w:rFonts w:eastAsia="Times New Roman" w:cs="Times New Roman"/>
                <w:szCs w:val="24"/>
                <w:lang w:eastAsia="lv-LV"/>
              </w:rPr>
              <w:t>TIR karnešu izmantošanas praksē vēl nebija gadījumu, kad  Garantējošās asociācijas nelabvēlīgais lēmums ir pārsūdzēts tiesā.</w:t>
            </w:r>
          </w:p>
          <w:p w14:paraId="41B20E15" w14:textId="77777777" w:rsidR="00C955E6" w:rsidRPr="00885351" w:rsidRDefault="0043222F" w:rsidP="006617B4">
            <w:pPr>
              <w:pStyle w:val="ListParagraph"/>
              <w:numPr>
                <w:ilvl w:val="1"/>
                <w:numId w:val="7"/>
              </w:numPr>
              <w:tabs>
                <w:tab w:val="left" w:pos="813"/>
                <w:tab w:val="left" w:pos="955"/>
              </w:tabs>
              <w:spacing w:after="0" w:line="240" w:lineRule="auto"/>
              <w:ind w:left="0" w:firstLine="426"/>
              <w:jc w:val="both"/>
              <w:rPr>
                <w:rFonts w:eastAsia="Times New Roman" w:cs="Times New Roman"/>
                <w:szCs w:val="24"/>
                <w:lang w:eastAsia="lv-LV"/>
              </w:rPr>
            </w:pPr>
            <w:r w:rsidRPr="00515E8D">
              <w:rPr>
                <w:rFonts w:eastAsia="Times New Roman" w:cs="Times New Roman"/>
                <w:szCs w:val="24"/>
                <w:lang w:eastAsia="lv-LV"/>
              </w:rPr>
              <w:t xml:space="preserve">MK noteikumu </w:t>
            </w:r>
            <w:r w:rsidR="00515E8D" w:rsidRPr="00515E8D">
              <w:rPr>
                <w:rFonts w:eastAsia="Times New Roman" w:cs="Times New Roman"/>
                <w:szCs w:val="24"/>
                <w:lang w:eastAsia="lv-LV"/>
              </w:rPr>
              <w:t>Nr.</w:t>
            </w:r>
            <w:r w:rsidRPr="00515E8D">
              <w:rPr>
                <w:rFonts w:eastAsia="Times New Roman" w:cs="Times New Roman"/>
                <w:szCs w:val="24"/>
                <w:lang w:eastAsia="lv-LV"/>
              </w:rPr>
              <w:t>1135 6.2. apakšpunktā ir noteikts, ka šīs personas darba ņēmēju vidējie darba ienākumi par pirmajiem trim ceturkšņiem pēdējo četru ceturkšņu periodā līdz dienai, kad iesniegums iesniegts garantējošajā asociācijā, ir ne mazāki par 70 procentiem no darba ņēmēju vidējiem darba ienākumiem sauszemes transporta un cauruļvadu transporta nozarē (NACE 2.red. klasifikācijas 49.kods) pēc Valsts ieņēmumu dienesta apkopotajiem datiem, kas ir publicēti Valsts ieņēmumu dienesta mājaslapā internetā.</w:t>
            </w:r>
            <w:r w:rsidR="00204392" w:rsidRPr="00515E8D">
              <w:rPr>
                <w:rFonts w:cs="Times New Roman"/>
                <w:color w:val="000000"/>
                <w:szCs w:val="24"/>
              </w:rPr>
              <w:t xml:space="preserve"> Satversmes tiesa ar 2011.gada 3.novembra spriedumu lietā Nr.2011-05-01 ir atzinusi Publisko iepirkumu likuma 39. panta pirmās daļas 6.punktu</w:t>
            </w:r>
            <w:r w:rsidR="00056A7F">
              <w:rPr>
                <w:rFonts w:cs="Times New Roman"/>
                <w:color w:val="000000"/>
                <w:szCs w:val="24"/>
              </w:rPr>
              <w:t xml:space="preserve"> (bija noteikts tāds pats noteikums kā MK noteikumu Nr. 1135 6.2. apakšpunktā)</w:t>
            </w:r>
            <w:r w:rsidR="00204392" w:rsidRPr="00515E8D">
              <w:rPr>
                <w:rFonts w:cs="Times New Roman"/>
                <w:color w:val="000000"/>
                <w:szCs w:val="24"/>
              </w:rPr>
              <w:t xml:space="preserve">, ciktāl tas ierobežo nodokļus maksājošo iepirkuma procedūru kandidātu un pretendentu tiesības, par neatbilstošu Satversmes 91.pantam, ar kuru ir nostiprināts vienlīdzības princips. Ņemot </w:t>
            </w:r>
            <w:r w:rsidR="00056A7F">
              <w:rPr>
                <w:rFonts w:cs="Times New Roman"/>
                <w:color w:val="000000"/>
                <w:szCs w:val="24"/>
              </w:rPr>
              <w:t xml:space="preserve">vērā </w:t>
            </w:r>
            <w:r w:rsidR="00204392" w:rsidRPr="00515E8D">
              <w:rPr>
                <w:rFonts w:cs="Times New Roman"/>
                <w:color w:val="000000"/>
                <w:szCs w:val="24"/>
              </w:rPr>
              <w:t>Satversmes tiesas spriedumu šāds nosacījums vairs netiek paredzēts.</w:t>
            </w:r>
          </w:p>
          <w:p w14:paraId="6D5CFF82" w14:textId="0A0A3CD8" w:rsidR="0072494A" w:rsidRPr="0091678F" w:rsidRDefault="00C955E6" w:rsidP="0091678F">
            <w:pPr>
              <w:pStyle w:val="Default"/>
              <w:numPr>
                <w:ilvl w:val="1"/>
                <w:numId w:val="7"/>
              </w:numPr>
              <w:ind w:left="93" w:firstLine="330"/>
              <w:jc w:val="both"/>
              <w:rPr>
                <w:color w:val="auto"/>
                <w:lang w:eastAsia="lv-LV"/>
              </w:rPr>
            </w:pPr>
            <w:r w:rsidRPr="006617B4">
              <w:t xml:space="preserve">Projekta </w:t>
            </w:r>
            <w:r w:rsidR="00E10DEB" w:rsidRPr="006617B4">
              <w:t>8</w:t>
            </w:r>
            <w:r w:rsidRPr="006617B4">
              <w:t>.2. un 2</w:t>
            </w:r>
            <w:r w:rsidR="00E10DEB" w:rsidRPr="006617B4">
              <w:t>5</w:t>
            </w:r>
            <w:r w:rsidRPr="006617B4">
              <w:t>.2.</w:t>
            </w:r>
            <w:r w:rsidR="00EA7491" w:rsidRPr="006617B4">
              <w:t> </w:t>
            </w:r>
            <w:r w:rsidR="006F63A3" w:rsidRPr="006617B4">
              <w:t>apakš</w:t>
            </w:r>
            <w:r w:rsidRPr="006617B4">
              <w:t>punktā ir noteikts, ka  personai, kas vēlas saņemt atļauju izmantot TIR procedūru un saņemt TIR karnetes vai saņemt pilnvarotā</w:t>
            </w:r>
            <w:r w:rsidRPr="006617B4" w:rsidDel="00D34771">
              <w:t xml:space="preserve"> </w:t>
            </w:r>
            <w:r w:rsidRPr="006617B4">
              <w:t xml:space="preserve">nosūtītāja TIR procedūrā atļauju, un tās personas darbiniekiem, kam ir paraksta tiesības, nedrīkst būt sodāmības par smagiem vai atkārtotiem muitas </w:t>
            </w:r>
            <w:r w:rsidR="00856D7F" w:rsidRPr="006617B4">
              <w:t xml:space="preserve">vai nodokļu </w:t>
            </w:r>
            <w:r w:rsidRPr="006617B4">
              <w:t>noteikumu pārkāpumiem</w:t>
            </w:r>
            <w:r w:rsidR="00F110F5" w:rsidRPr="006617B4">
              <w:t>. Minēt</w:t>
            </w:r>
            <w:r w:rsidR="00885351" w:rsidRPr="006617B4">
              <w:t>a</w:t>
            </w:r>
            <w:r w:rsidR="00F110F5" w:rsidRPr="006617B4">
              <w:t xml:space="preserve"> prasība ir noteikta saskaņā ar TIR Konvencijas 9.pielikuma </w:t>
            </w:r>
            <w:proofErr w:type="spellStart"/>
            <w:r w:rsidR="00F110F5" w:rsidRPr="006617B4">
              <w:t>II.daļas</w:t>
            </w:r>
            <w:proofErr w:type="spellEnd"/>
            <w:r w:rsidR="00F110F5" w:rsidRPr="006617B4">
              <w:t xml:space="preserve"> </w:t>
            </w:r>
            <w:r w:rsidR="00885351" w:rsidRPr="006617B4">
              <w:t>1.punkta d) apakšpunktu.</w:t>
            </w:r>
            <w:r w:rsidR="00B74F0B" w:rsidRPr="006617B4">
              <w:t xml:space="preserve"> </w:t>
            </w:r>
            <w:r w:rsidR="00B74F0B" w:rsidRPr="006617B4">
              <w:rPr>
                <w:sz w:val="22"/>
                <w:lang w:eastAsia="lv-LV"/>
              </w:rPr>
              <w:t xml:space="preserve"> </w:t>
            </w:r>
            <w:r w:rsidR="00B74F0B" w:rsidRPr="006617B4">
              <w:rPr>
                <w:color w:val="auto"/>
                <w:lang w:eastAsia="lv-LV"/>
              </w:rPr>
              <w:t xml:space="preserve">Lai nodrošinātu, ka Valsts ieņēmumu dienests vienveidīgi piemērotu </w:t>
            </w:r>
            <w:r w:rsidR="00B74F0B" w:rsidRPr="006617B4">
              <w:rPr>
                <w:color w:val="auto"/>
              </w:rPr>
              <w:t xml:space="preserve">„smagu, nopietnu vai atkārtotu muitas pārkāpumu” </w:t>
            </w:r>
            <w:r w:rsidR="00B74F0B" w:rsidRPr="006617B4">
              <w:rPr>
                <w:color w:val="auto"/>
                <w:lang w:eastAsia="lv-LV"/>
              </w:rPr>
              <w:t xml:space="preserve">kritērijus, saskaņā ar Valsts pārvaldes iekārtas likuma 72.panta otro daļu Finanšu ministrija </w:t>
            </w:r>
            <w:r w:rsidR="00B74F0B" w:rsidRPr="006617B4">
              <w:rPr>
                <w:bCs/>
                <w:iCs/>
                <w:color w:val="auto"/>
                <w:lang w:eastAsia="lv-LV"/>
              </w:rPr>
              <w:t>ir sagatavojusi</w:t>
            </w:r>
            <w:r w:rsidR="00B74F0B" w:rsidRPr="006617B4">
              <w:rPr>
                <w:color w:val="auto"/>
                <w:lang w:eastAsia="lv-LV"/>
              </w:rPr>
              <w:t xml:space="preserve"> M</w:t>
            </w:r>
            <w:r w:rsidR="00B74F0B" w:rsidRPr="006617B4">
              <w:rPr>
                <w:color w:val="auto"/>
              </w:rPr>
              <w:t xml:space="preserve">uitas lietu jomā izmantotā nosacījuma „smagi, nopietni vai atkārtoti muitas vai nodokļu noteikumu pārkāpumi” piemērošanas </w:t>
            </w:r>
            <w:r w:rsidR="00B74F0B" w:rsidRPr="006617B4">
              <w:rPr>
                <w:color w:val="auto"/>
                <w:lang w:eastAsia="lv-LV"/>
              </w:rPr>
              <w:t xml:space="preserve">instrukciju, kura </w:t>
            </w:r>
            <w:r w:rsidR="00B74F0B" w:rsidRPr="006617B4">
              <w:rPr>
                <w:color w:val="auto"/>
              </w:rPr>
              <w:t xml:space="preserve">nosaka Komisijas 1993.gada 2.jūlija Regulas Nr.2454/93 ar ko nosaka īstenošanas noteikumus Padomes Regulai (EEK) Nr. 2913/92 par Kopienas Muitas kodeksa izveidi 253.g panta b) apakšpunktā minētā smagu, nopietnu vai atkārtotu muitas vai nodokļu noteikumu pārkāpumu nosacījuma piemērošanu. Saskaņā ar Valsts pārvaldes iekārtas likuma 72.panta ceturto daļu minētā instrukcija ir </w:t>
            </w:r>
            <w:r w:rsidR="00B74F0B" w:rsidRPr="006617B4">
              <w:rPr>
                <w:color w:val="auto"/>
                <w:lang w:eastAsia="lv-LV"/>
              </w:rPr>
              <w:t xml:space="preserve">saistoša Finanšu ministrijas padotības iestādei - Valsts ieņēmumu dienestam. Instrukcija </w:t>
            </w:r>
            <w:r w:rsidR="00B74F0B" w:rsidRPr="006617B4">
              <w:rPr>
                <w:bCs/>
                <w:iCs/>
                <w:color w:val="auto"/>
                <w:lang w:eastAsia="lv-LV"/>
              </w:rPr>
              <w:t>ir publicēta</w:t>
            </w:r>
            <w:r w:rsidR="00B74F0B" w:rsidRPr="006617B4">
              <w:rPr>
                <w:color w:val="auto"/>
                <w:lang w:eastAsia="lv-LV"/>
              </w:rPr>
              <w:t xml:space="preserve"> Finanšu ministrijas lapā</w:t>
            </w:r>
            <w:r w:rsidR="00B74F0B" w:rsidRPr="0091678F">
              <w:rPr>
                <w:color w:val="auto"/>
                <w:lang w:eastAsia="lv-LV"/>
              </w:rPr>
              <w:t xml:space="preserve"> </w:t>
            </w:r>
            <w:hyperlink r:id="rId8" w:history="1">
              <w:r w:rsidR="0072494A" w:rsidRPr="003A5E07">
                <w:rPr>
                  <w:rStyle w:val="Hyperlink"/>
                  <w:lang w:eastAsia="lv-LV"/>
                </w:rPr>
                <w:t>http://www.fm.gov.lv/lv/sadalas/muitas_politika/noderiga_informacija/</w:t>
              </w:r>
            </w:hyperlink>
          </w:p>
          <w:p w14:paraId="0439CF73" w14:textId="024D9DDE" w:rsidR="00B74F0B" w:rsidRPr="006617B4" w:rsidRDefault="00B74F0B" w:rsidP="0091678F">
            <w:pPr>
              <w:pStyle w:val="Default"/>
              <w:jc w:val="both"/>
              <w:rPr>
                <w:color w:val="auto"/>
                <w:lang w:eastAsia="lv-LV"/>
              </w:rPr>
            </w:pPr>
            <w:r w:rsidRPr="006617B4">
              <w:rPr>
                <w:color w:val="auto"/>
                <w:lang w:eastAsia="lv-LV"/>
              </w:rPr>
              <w:t>un Valsts ieņēmumu dienesta interneta mājaslapā.</w:t>
            </w:r>
          </w:p>
          <w:p w14:paraId="59B1F98F" w14:textId="798FBF6C" w:rsidR="005006B3" w:rsidRPr="006617B4" w:rsidRDefault="005006B3" w:rsidP="00D520A7">
            <w:pPr>
              <w:pStyle w:val="Default"/>
              <w:jc w:val="both"/>
              <w:rPr>
                <w:color w:val="auto"/>
                <w:lang w:eastAsia="lv-LV"/>
              </w:rPr>
            </w:pPr>
            <w:r w:rsidRPr="006617B4">
              <w:t xml:space="preserve">TIR konvencijas 9.pielikuma </w:t>
            </w:r>
            <w:proofErr w:type="spellStart"/>
            <w:r w:rsidRPr="006617B4">
              <w:t>II.daļas</w:t>
            </w:r>
            <w:proofErr w:type="spellEnd"/>
            <w:r w:rsidRPr="006617B4">
              <w:t xml:space="preserve"> 1.punktā tiek paredzēti tikai minimālie nosacījumi un prasības, kas ir obligātas fiziskām un juridiskām </w:t>
            </w:r>
            <w:r w:rsidRPr="006617B4">
              <w:lastRenderedPageBreak/>
              <w:t xml:space="preserve">personām, kas vēlas izmantot TIR procedūru. Savukārt TIR konvencijas 9.pielikuma </w:t>
            </w:r>
            <w:proofErr w:type="spellStart"/>
            <w:r w:rsidRPr="006617B4">
              <w:t>II.daļas</w:t>
            </w:r>
            <w:proofErr w:type="spellEnd"/>
            <w:r w:rsidRPr="006617B4">
              <w:t xml:space="preserve"> 2.punktā ir paredzētas TIR konvencijas dalībvalstu kompetento iestāžu un asociāciju tiesības noteikt papildu un daudz stingrākus nosacījumus un prasības TIR procedūras izmantošanai. Izmantojot personai Valsts ieņēmumu dienesta izsniegto TIR nosūtītāja atļauju, kas dod tai tiesības uzlikt muitas nodrošinājumu un neuzrādīt preces, transportlīdzekli un TIR karneti muitas iestādei (faktiski īpašas sadarbības programmas ietvaros komersantiem tiek atvieglota piekļuve tranzīta procedūrai), ir nepieciešams noteikt ierobežojošākus atļauju saņemšanas nosacījuma kritērijus – arī tādus gadījumus, kad persona ir atzīta par vainīgu </w:t>
            </w:r>
            <w:proofErr w:type="spellStart"/>
            <w:r w:rsidRPr="006617B4">
              <w:t>koruptīva</w:t>
            </w:r>
            <w:proofErr w:type="spellEnd"/>
            <w:r w:rsidRPr="006617B4">
              <w:t xml:space="preserve"> rakstura noziedzīgos nodarījumos – neatļauta labumu pieņemšana, komerciālā uzpirkšana, kukuļņemšana, kukuļdošana, kukuļa piesavināšanās vai starpniecība kukuļošanā</w:t>
            </w:r>
            <w:r w:rsidR="00CC50A7">
              <w:t xml:space="preserve">  (projekta 8.3. un 25.3. apakšpunkts).</w:t>
            </w:r>
            <w:r w:rsidRPr="006617B4">
              <w:t xml:space="preserve"> Korupcijas negatīvās sekas skar gan publisko, gan privāto sektoru, kā arī ietekmē visas tautsaimniecības nozares, tai skaitā transporta nozari. Tranzīta kontrolē korupcijas riski ir visaugstākie un to var uzskatīt par paaugstināta korupcijas riska zonu, jo TIR tranzīta režīma droša un efektīva darbība, kā arī pārvadātājiem piešķirto priekšrocību godprātīga izmantošana ir saistīta ar valsts institūciju darbību – uzraudzības, kontroles, izziņas vai sodīšanas funkcijām. </w:t>
            </w:r>
            <w:proofErr w:type="spellStart"/>
            <w:r w:rsidRPr="006617B4">
              <w:t>Koruptīva</w:t>
            </w:r>
            <w:proofErr w:type="spellEnd"/>
            <w:r w:rsidRPr="006617B4">
              <w:t xml:space="preserve"> rakstura noziedzīgi nodarījumi pēc būtības ir atzīstami par tīši (ar nodomu) izdarītiem nodarījumiem, proti, kad persona apzinājusies savas darbības kaitīgumu un paredzējusi nodarījuma kaitīgās sekas. Kukuļošanas objekts ir valsts institūciju, valsts dienesta normāla darbība, tai skaitā arī muitas kontroles jomā. </w:t>
            </w:r>
            <w:r w:rsidR="009C44A3" w:rsidRPr="006617B4">
              <w:t xml:space="preserve">Tā kā  </w:t>
            </w:r>
            <w:r w:rsidR="00D10460" w:rsidRPr="006617B4">
              <w:t>TIR karnetes un TIR nosūtītāja atļaujas saņēmēji ir juridiskas personas un tām par noziedzīgiem nodarījumiem Krimināllikuma 12.pantā noteiktais atbildības veids ir piespiedu ietekmēšanas līdzekļa piemērošana, tad par atļauju saņemšanas ierobežošanas kritēriju ir  jānosaka piespiedu ietekmēšanas līdzekļa piemērošanu.</w:t>
            </w:r>
          </w:p>
          <w:p w14:paraId="755E4F87" w14:textId="535D4632" w:rsidR="00B55D6A" w:rsidRPr="00D6787E" w:rsidRDefault="00856D7F" w:rsidP="006617B4">
            <w:pPr>
              <w:spacing w:line="240" w:lineRule="auto"/>
              <w:jc w:val="both"/>
            </w:pPr>
            <w:r w:rsidRPr="006617B4">
              <w:rPr>
                <w:rFonts w:eastAsia="Times New Roman" w:cs="Times New Roman"/>
                <w:szCs w:val="24"/>
                <w:lang w:eastAsia="lv-LV"/>
              </w:rPr>
              <w:t>D</w:t>
            </w:r>
            <w:r w:rsidR="00885351" w:rsidRPr="006617B4">
              <w:rPr>
                <w:rFonts w:eastAsia="Times New Roman" w:cs="Times New Roman"/>
                <w:szCs w:val="24"/>
                <w:lang w:eastAsia="lv-LV"/>
              </w:rPr>
              <w:t>atus par administratīvajiem pārkāpumiem muitas un nodokļu jomā</w:t>
            </w:r>
            <w:r w:rsidRPr="006617B4">
              <w:rPr>
                <w:rFonts w:eastAsia="Times New Roman" w:cs="Times New Roman"/>
                <w:szCs w:val="24"/>
                <w:lang w:eastAsia="lv-LV"/>
              </w:rPr>
              <w:t xml:space="preserve"> VID pārbauda Centrālajā muitas informācijas sistēmā</w:t>
            </w:r>
            <w:r w:rsidR="000E5A48" w:rsidRPr="006617B4">
              <w:rPr>
                <w:rFonts w:eastAsia="Times New Roman" w:cs="Times New Roman"/>
                <w:szCs w:val="24"/>
                <w:lang w:eastAsia="lv-LV"/>
              </w:rPr>
              <w:t xml:space="preserve"> un Nodokļu informācijas sistēmā</w:t>
            </w:r>
            <w:r w:rsidRPr="006617B4">
              <w:rPr>
                <w:rFonts w:eastAsia="Times New Roman" w:cs="Times New Roman"/>
                <w:szCs w:val="24"/>
                <w:lang w:eastAsia="lv-LV"/>
              </w:rPr>
              <w:t>.</w:t>
            </w:r>
            <w:r w:rsidR="00885351" w:rsidRPr="006617B4">
              <w:rPr>
                <w:rFonts w:eastAsia="Times New Roman" w:cs="Times New Roman"/>
                <w:szCs w:val="24"/>
                <w:lang w:eastAsia="lv-LV"/>
              </w:rPr>
              <w:t xml:space="preserve"> </w:t>
            </w:r>
            <w:r w:rsidRPr="006617B4">
              <w:rPr>
                <w:rFonts w:eastAsia="Times New Roman" w:cs="Times New Roman"/>
                <w:szCs w:val="24"/>
                <w:lang w:eastAsia="lv-LV"/>
              </w:rPr>
              <w:t>D</w:t>
            </w:r>
            <w:r w:rsidR="00885351" w:rsidRPr="006617B4">
              <w:rPr>
                <w:rFonts w:eastAsia="Times New Roman" w:cs="Times New Roman"/>
                <w:szCs w:val="24"/>
                <w:lang w:eastAsia="lv-LV"/>
              </w:rPr>
              <w:t xml:space="preserve">atus par </w:t>
            </w:r>
            <w:proofErr w:type="spellStart"/>
            <w:r w:rsidR="00885351" w:rsidRPr="006617B4">
              <w:rPr>
                <w:rFonts w:eastAsia="Times New Roman" w:cs="Times New Roman"/>
                <w:szCs w:val="24"/>
                <w:lang w:eastAsia="lv-LV"/>
              </w:rPr>
              <w:t>kriminālsod</w:t>
            </w:r>
            <w:r w:rsidR="006617B4">
              <w:rPr>
                <w:rFonts w:eastAsia="Times New Roman" w:cs="Times New Roman"/>
                <w:szCs w:val="24"/>
                <w:lang w:eastAsia="lv-LV"/>
              </w:rPr>
              <w:t>ā</w:t>
            </w:r>
            <w:r w:rsidR="00885351" w:rsidRPr="006617B4">
              <w:rPr>
                <w:rFonts w:eastAsia="Times New Roman" w:cs="Times New Roman"/>
                <w:szCs w:val="24"/>
                <w:lang w:eastAsia="lv-LV"/>
              </w:rPr>
              <w:t>mību</w:t>
            </w:r>
            <w:proofErr w:type="spellEnd"/>
            <w:r w:rsidR="00885351" w:rsidRPr="006617B4">
              <w:rPr>
                <w:rFonts w:eastAsia="Times New Roman" w:cs="Times New Roman"/>
                <w:szCs w:val="24"/>
                <w:lang w:eastAsia="lv-LV"/>
              </w:rPr>
              <w:t xml:space="preserve"> </w:t>
            </w:r>
            <w:r w:rsidRPr="006617B4">
              <w:rPr>
                <w:rFonts w:eastAsia="Times New Roman" w:cs="Times New Roman"/>
                <w:szCs w:val="24"/>
                <w:lang w:eastAsia="lv-LV"/>
              </w:rPr>
              <w:t xml:space="preserve">VID pārbauda </w:t>
            </w:r>
            <w:r w:rsidR="00885351" w:rsidRPr="006617B4">
              <w:rPr>
                <w:rFonts w:eastAsia="Times New Roman" w:cs="Times New Roman"/>
                <w:szCs w:val="24"/>
                <w:lang w:eastAsia="lv-LV"/>
              </w:rPr>
              <w:t xml:space="preserve">Latvijas Republikas </w:t>
            </w:r>
            <w:proofErr w:type="spellStart"/>
            <w:r w:rsidR="00885351" w:rsidRPr="006617B4">
              <w:rPr>
                <w:rFonts w:eastAsia="Times New Roman" w:cs="Times New Roman"/>
                <w:szCs w:val="24"/>
                <w:lang w:eastAsia="lv-LV"/>
              </w:rPr>
              <w:t>Iekšlietu</w:t>
            </w:r>
            <w:proofErr w:type="spellEnd"/>
            <w:r w:rsidR="00885351" w:rsidRPr="006617B4">
              <w:rPr>
                <w:rFonts w:eastAsia="Times New Roman" w:cs="Times New Roman"/>
                <w:szCs w:val="24"/>
                <w:lang w:eastAsia="lv-LV"/>
              </w:rPr>
              <w:t xml:space="preserve"> ministrijas Informācijas centra Integrētajā </w:t>
            </w:r>
            <w:proofErr w:type="spellStart"/>
            <w:r w:rsidR="00885351" w:rsidRPr="006617B4">
              <w:rPr>
                <w:rFonts w:eastAsia="Times New Roman" w:cs="Times New Roman"/>
                <w:szCs w:val="24"/>
                <w:lang w:eastAsia="lv-LV"/>
              </w:rPr>
              <w:t>Iekšlietu</w:t>
            </w:r>
            <w:proofErr w:type="spellEnd"/>
            <w:r w:rsidR="00885351" w:rsidRPr="006617B4">
              <w:rPr>
                <w:rFonts w:eastAsia="Times New Roman" w:cs="Times New Roman"/>
                <w:szCs w:val="24"/>
                <w:lang w:eastAsia="lv-LV"/>
              </w:rPr>
              <w:t xml:space="preserve"> Informācijas sistēmā. Ja dati par </w:t>
            </w:r>
            <w:proofErr w:type="spellStart"/>
            <w:r w:rsidR="00885351" w:rsidRPr="006617B4">
              <w:rPr>
                <w:rFonts w:eastAsia="Times New Roman" w:cs="Times New Roman"/>
                <w:szCs w:val="24"/>
                <w:lang w:eastAsia="lv-LV"/>
              </w:rPr>
              <w:t>kriminālsod</w:t>
            </w:r>
            <w:r w:rsidR="006617B4">
              <w:rPr>
                <w:rFonts w:eastAsia="Times New Roman" w:cs="Times New Roman"/>
                <w:szCs w:val="24"/>
                <w:lang w:eastAsia="lv-LV"/>
              </w:rPr>
              <w:t>ā</w:t>
            </w:r>
            <w:r w:rsidR="00885351" w:rsidRPr="006617B4">
              <w:rPr>
                <w:rFonts w:eastAsia="Times New Roman" w:cs="Times New Roman"/>
                <w:szCs w:val="24"/>
                <w:lang w:eastAsia="lv-LV"/>
              </w:rPr>
              <w:t>mību</w:t>
            </w:r>
            <w:proofErr w:type="spellEnd"/>
            <w:r w:rsidR="00885351" w:rsidRPr="006617B4">
              <w:rPr>
                <w:rFonts w:eastAsia="Times New Roman" w:cs="Times New Roman"/>
                <w:szCs w:val="24"/>
                <w:lang w:eastAsia="lv-LV"/>
              </w:rPr>
              <w:t xml:space="preserve"> tiek atrasti, tad sagatavo pieprasījumu </w:t>
            </w:r>
            <w:proofErr w:type="spellStart"/>
            <w:r w:rsidR="00885351" w:rsidRPr="006617B4">
              <w:rPr>
                <w:rFonts w:eastAsia="Times New Roman" w:cs="Times New Roman"/>
                <w:szCs w:val="24"/>
                <w:lang w:eastAsia="lv-LV"/>
              </w:rPr>
              <w:t>Iekšlietu</w:t>
            </w:r>
            <w:proofErr w:type="spellEnd"/>
            <w:r w:rsidR="00885351" w:rsidRPr="006617B4">
              <w:rPr>
                <w:rFonts w:eastAsia="Times New Roman" w:cs="Times New Roman"/>
                <w:szCs w:val="24"/>
                <w:lang w:eastAsia="lv-LV"/>
              </w:rPr>
              <w:t xml:space="preserve"> ministrijas Informācijas centram par informācijas sniegšanu, lai konstatētu vai minētā persona</w:t>
            </w:r>
            <w:r w:rsidR="00885351" w:rsidRPr="00D520A7">
              <w:rPr>
                <w:rFonts w:eastAsia="Times New Roman" w:cs="Times New Roman"/>
                <w:b/>
                <w:szCs w:val="24"/>
                <w:lang w:eastAsia="lv-LV"/>
              </w:rPr>
              <w:t xml:space="preserve"> </w:t>
            </w:r>
            <w:r w:rsidR="00885351" w:rsidRPr="00D6787E">
              <w:rPr>
                <w:rFonts w:eastAsia="Times New Roman" w:cs="Times New Roman"/>
                <w:szCs w:val="24"/>
                <w:lang w:eastAsia="lv-LV"/>
              </w:rPr>
              <w:t xml:space="preserve">ir izdarījusi </w:t>
            </w:r>
            <w:r w:rsidR="00EA5199" w:rsidRPr="00D6787E">
              <w:rPr>
                <w:rFonts w:eastAsia="Times New Roman" w:cs="Times New Roman"/>
                <w:szCs w:val="24"/>
                <w:lang w:eastAsia="lv-LV"/>
              </w:rPr>
              <w:t xml:space="preserve">administratīvos pārkāpumus  muitas un nodokļu jomā saskaņā ar Administratīvo pārkāpumu kodeksa </w:t>
            </w:r>
            <w:r w:rsidR="00EA5199" w:rsidRPr="00D6787E">
              <w:t>201.</w:t>
            </w:r>
            <w:r w:rsidR="00EA5199" w:rsidRPr="00D6787E">
              <w:rPr>
                <w:vertAlign w:val="superscript"/>
              </w:rPr>
              <w:t>10</w:t>
            </w:r>
            <w:r w:rsidR="00EA5199" w:rsidRPr="00D6787E">
              <w:t xml:space="preserve"> – 201.</w:t>
            </w:r>
            <w:r w:rsidR="00EA5199" w:rsidRPr="00D6787E">
              <w:rPr>
                <w:vertAlign w:val="superscript"/>
              </w:rPr>
              <w:t xml:space="preserve">25 </w:t>
            </w:r>
            <w:r w:rsidR="00EA5199" w:rsidRPr="00D6787E">
              <w:t xml:space="preserve">pantiem, vai </w:t>
            </w:r>
            <w:r w:rsidR="00885351" w:rsidRPr="00D6787E">
              <w:rPr>
                <w:rFonts w:eastAsia="Times New Roman" w:cs="Times New Roman"/>
                <w:szCs w:val="24"/>
                <w:lang w:eastAsia="lv-LV"/>
              </w:rPr>
              <w:t xml:space="preserve">noziedzīgus nodarījumus </w:t>
            </w:r>
            <w:r w:rsidR="007D46EE" w:rsidRPr="00D6787E">
              <w:rPr>
                <w:rFonts w:eastAsia="Times New Roman" w:cs="Times New Roman"/>
                <w:szCs w:val="24"/>
                <w:lang w:eastAsia="lv-LV"/>
              </w:rPr>
              <w:t xml:space="preserve">saskaņā ar </w:t>
            </w:r>
            <w:r w:rsidR="00B55D6A" w:rsidRPr="00D6787E">
              <w:t>Krimināllikuma 190., 190.</w:t>
            </w:r>
            <w:r w:rsidR="00B55D6A" w:rsidRPr="00D6787E">
              <w:rPr>
                <w:vertAlign w:val="superscript"/>
              </w:rPr>
              <w:t>1</w:t>
            </w:r>
            <w:r w:rsidR="00B55D6A" w:rsidRPr="00D6787E">
              <w:t>, 191.</w:t>
            </w:r>
            <w:r w:rsidR="00F85E56" w:rsidRPr="00D6787E">
              <w:t>,</w:t>
            </w:r>
            <w:r w:rsidR="00EA5199" w:rsidRPr="00D6787E">
              <w:t xml:space="preserve"> 198., 199., 207., 208., 218.,</w:t>
            </w:r>
            <w:r w:rsidR="00EA5199" w:rsidRPr="00D6787E">
              <w:rPr>
                <w:vertAlign w:val="superscript"/>
              </w:rPr>
              <w:t xml:space="preserve"> </w:t>
            </w:r>
            <w:r w:rsidR="00EA5199" w:rsidRPr="00D6787E">
              <w:t xml:space="preserve"> 320., 321., 322., 323.</w:t>
            </w:r>
            <w:r w:rsidR="00F85E56" w:rsidRPr="00D6787E">
              <w:t xml:space="preserve"> </w:t>
            </w:r>
            <w:r w:rsidR="00B55D6A" w:rsidRPr="00D6787E">
              <w:t>pantu.</w:t>
            </w:r>
          </w:p>
          <w:p w14:paraId="1B060880" w14:textId="77777777" w:rsidR="00D520A7" w:rsidRDefault="00B55D6A" w:rsidP="0085545B">
            <w:pPr>
              <w:spacing w:after="0" w:line="240" w:lineRule="auto"/>
              <w:jc w:val="both"/>
              <w:rPr>
                <w:rFonts w:eastAsia="Times New Roman" w:cs="Times New Roman"/>
                <w:szCs w:val="24"/>
                <w:lang w:eastAsia="lv-LV"/>
              </w:rPr>
            </w:pPr>
            <w:r>
              <w:rPr>
                <w:b/>
              </w:rPr>
              <w:t xml:space="preserve"> </w:t>
            </w:r>
            <w:r w:rsidR="00D520A7" w:rsidRPr="00D520A7">
              <w:t>4.</w:t>
            </w:r>
            <w:r w:rsidR="00D520A7">
              <w:rPr>
                <w:b/>
              </w:rPr>
              <w:t xml:space="preserve">   </w:t>
            </w:r>
            <w:r w:rsidR="00C06225" w:rsidRPr="00515E8D">
              <w:rPr>
                <w:rFonts w:eastAsia="Times New Roman" w:cs="Times New Roman"/>
                <w:szCs w:val="24"/>
                <w:lang w:eastAsia="lv-LV"/>
              </w:rPr>
              <w:t xml:space="preserve">Saskaņā ar TIR konvencijas 19.pantu, piesakot TIR procedūru precēm, TIR karnetes turētājam jāuzrāda muitas iestādei </w:t>
            </w:r>
            <w:r w:rsidR="00C220C0">
              <w:rPr>
                <w:rFonts w:eastAsia="Times New Roman" w:cs="Times New Roman"/>
                <w:szCs w:val="24"/>
                <w:lang w:eastAsia="lv-LV"/>
              </w:rPr>
              <w:t xml:space="preserve">preces, </w:t>
            </w:r>
            <w:r w:rsidR="00C06225" w:rsidRPr="00515E8D">
              <w:rPr>
                <w:rFonts w:eastAsia="Times New Roman" w:cs="Times New Roman"/>
                <w:szCs w:val="24"/>
                <w:lang w:eastAsia="lv-LV"/>
              </w:rPr>
              <w:t>transportlīdzekli</w:t>
            </w:r>
            <w:r w:rsidR="00CA1570">
              <w:rPr>
                <w:rFonts w:eastAsia="Times New Roman" w:cs="Times New Roman"/>
                <w:szCs w:val="24"/>
                <w:lang w:eastAsia="lv-LV"/>
              </w:rPr>
              <w:t>s</w:t>
            </w:r>
            <w:r w:rsidR="00C06225" w:rsidRPr="00515E8D">
              <w:rPr>
                <w:rFonts w:eastAsia="Times New Roman" w:cs="Times New Roman"/>
                <w:szCs w:val="24"/>
                <w:lang w:eastAsia="lv-LV"/>
              </w:rPr>
              <w:t xml:space="preserve"> un TIR karnet</w:t>
            </w:r>
            <w:r w:rsidR="00CA1570">
              <w:rPr>
                <w:rFonts w:eastAsia="Times New Roman" w:cs="Times New Roman"/>
                <w:szCs w:val="24"/>
                <w:lang w:eastAsia="lv-LV"/>
              </w:rPr>
              <w:t>e</w:t>
            </w:r>
            <w:r w:rsidR="00C06225" w:rsidRPr="00515E8D">
              <w:rPr>
                <w:rFonts w:eastAsia="Times New Roman" w:cs="Times New Roman"/>
                <w:szCs w:val="24"/>
                <w:lang w:eastAsia="lv-LV"/>
              </w:rPr>
              <w:t xml:space="preserve">. Atbilstoši TIR konvencijas 19.panta noteikumiem, muitas dienests var pilnvarot personas muitas nodrošinājumu uzlikšanai transportlīdzeklim, piemērojot precēm TIR procedūru. </w:t>
            </w:r>
          </w:p>
          <w:p w14:paraId="698E32F4" w14:textId="5180DA3C" w:rsidR="00515E8D" w:rsidRPr="006617B4" w:rsidRDefault="00446838" w:rsidP="0085545B">
            <w:pPr>
              <w:spacing w:after="0" w:line="240" w:lineRule="auto"/>
              <w:jc w:val="both"/>
              <w:rPr>
                <w:szCs w:val="24"/>
              </w:rPr>
            </w:pPr>
            <w:r w:rsidRPr="00515E8D">
              <w:rPr>
                <w:rFonts w:eastAsia="Times New Roman" w:cs="Times New Roman"/>
                <w:szCs w:val="24"/>
                <w:lang w:eastAsia="lv-LV"/>
              </w:rPr>
              <w:t xml:space="preserve">Transporta un loģistikas nozarē strādājošie komersanti </w:t>
            </w:r>
            <w:proofErr w:type="spellStart"/>
            <w:r w:rsidRPr="00515E8D">
              <w:rPr>
                <w:rFonts w:eastAsia="Times New Roman" w:cs="Times New Roman"/>
                <w:szCs w:val="24"/>
                <w:lang w:eastAsia="lv-LV"/>
              </w:rPr>
              <w:t>saskār</w:t>
            </w:r>
            <w:r w:rsidR="006868B7">
              <w:rPr>
                <w:rFonts w:eastAsia="Times New Roman" w:cs="Times New Roman"/>
                <w:szCs w:val="24"/>
                <w:lang w:eastAsia="lv-LV"/>
              </w:rPr>
              <w:t>ā</w:t>
            </w:r>
            <w:r w:rsidRPr="00515E8D">
              <w:rPr>
                <w:rFonts w:eastAsia="Times New Roman" w:cs="Times New Roman"/>
                <w:szCs w:val="24"/>
                <w:lang w:eastAsia="lv-LV"/>
              </w:rPr>
              <w:t>s</w:t>
            </w:r>
            <w:proofErr w:type="spellEnd"/>
            <w:r w:rsidRPr="00515E8D">
              <w:rPr>
                <w:rFonts w:eastAsia="Times New Roman" w:cs="Times New Roman"/>
                <w:szCs w:val="24"/>
                <w:lang w:eastAsia="lv-LV"/>
              </w:rPr>
              <w:t xml:space="preserve"> ar situācijām, kad, ņemot vērā </w:t>
            </w:r>
            <w:r w:rsidR="007263F0" w:rsidRPr="00515E8D">
              <w:rPr>
                <w:rFonts w:eastAsia="Times New Roman" w:cs="Times New Roman"/>
                <w:szCs w:val="24"/>
                <w:lang w:eastAsia="lv-LV"/>
              </w:rPr>
              <w:t>Valsts ieņēmumu dienesta</w:t>
            </w:r>
            <w:r w:rsidRPr="00515E8D">
              <w:rPr>
                <w:rFonts w:eastAsia="Times New Roman" w:cs="Times New Roman"/>
                <w:szCs w:val="24"/>
                <w:lang w:eastAsia="lv-LV"/>
              </w:rPr>
              <w:t xml:space="preserve"> ierobežotos </w:t>
            </w:r>
            <w:r w:rsidRPr="00515E8D">
              <w:rPr>
                <w:rFonts w:eastAsia="Times New Roman" w:cs="Times New Roman"/>
                <w:szCs w:val="24"/>
                <w:lang w:eastAsia="lv-LV"/>
              </w:rPr>
              <w:lastRenderedPageBreak/>
              <w:t>finansiālos un cilvēkresursus</w:t>
            </w:r>
            <w:r w:rsidR="007D4AB2" w:rsidRPr="00515E8D">
              <w:rPr>
                <w:rFonts w:eastAsia="Times New Roman" w:cs="Times New Roman"/>
                <w:szCs w:val="24"/>
                <w:lang w:eastAsia="lv-LV"/>
              </w:rPr>
              <w:t xml:space="preserve">, kā arī attālumus starp muitas </w:t>
            </w:r>
            <w:r w:rsidR="00135779" w:rsidRPr="00515E8D">
              <w:rPr>
                <w:rFonts w:eastAsia="Times New Roman" w:cs="Times New Roman"/>
                <w:szCs w:val="24"/>
                <w:lang w:eastAsia="lv-LV"/>
              </w:rPr>
              <w:t>iestādēm un loģistikas centriem (muitas noliktavām)</w:t>
            </w:r>
            <w:r w:rsidRPr="00515E8D">
              <w:rPr>
                <w:rFonts w:eastAsia="Times New Roman" w:cs="Times New Roman"/>
                <w:szCs w:val="24"/>
                <w:lang w:eastAsia="lv-LV"/>
              </w:rPr>
              <w:t>, TIR procedūras piemērošana</w:t>
            </w:r>
            <w:r w:rsidR="007D4AB2" w:rsidRPr="00515E8D">
              <w:rPr>
                <w:rFonts w:eastAsia="Times New Roman" w:cs="Times New Roman"/>
                <w:szCs w:val="24"/>
                <w:lang w:eastAsia="lv-LV"/>
              </w:rPr>
              <w:t>s</w:t>
            </w:r>
            <w:r w:rsidRPr="00515E8D">
              <w:rPr>
                <w:rFonts w:eastAsia="Times New Roman" w:cs="Times New Roman"/>
                <w:szCs w:val="24"/>
                <w:lang w:eastAsia="lv-LV"/>
              </w:rPr>
              <w:t xml:space="preserve"> (TIR karnetes noformēšana, TIR karnetes datu apstrāde sistēmā, transportlīdzekļa kontrole un noplombēšana) </w:t>
            </w:r>
            <w:r w:rsidR="007D4AB2" w:rsidRPr="00515E8D">
              <w:rPr>
                <w:rFonts w:eastAsia="Times New Roman" w:cs="Times New Roman"/>
                <w:szCs w:val="24"/>
                <w:lang w:eastAsia="lv-LV"/>
              </w:rPr>
              <w:t xml:space="preserve">noformēšana notiek </w:t>
            </w:r>
            <w:r w:rsidR="00135779" w:rsidRPr="00515E8D">
              <w:rPr>
                <w:rFonts w:eastAsia="Times New Roman" w:cs="Times New Roman"/>
                <w:szCs w:val="24"/>
                <w:lang w:eastAsia="lv-LV"/>
              </w:rPr>
              <w:t>ilgāk, nekā</w:t>
            </w:r>
            <w:r w:rsidR="00A574B1" w:rsidRPr="00515E8D">
              <w:rPr>
                <w:rFonts w:eastAsia="Times New Roman" w:cs="Times New Roman"/>
                <w:szCs w:val="24"/>
                <w:lang w:eastAsia="lv-LV"/>
              </w:rPr>
              <w:t>, ja komersanti būtu izv</w:t>
            </w:r>
            <w:r w:rsidR="00CA1570">
              <w:rPr>
                <w:rFonts w:eastAsia="Times New Roman" w:cs="Times New Roman"/>
                <w:szCs w:val="24"/>
                <w:lang w:eastAsia="lv-LV"/>
              </w:rPr>
              <w:t>ē</w:t>
            </w:r>
            <w:r w:rsidR="00A574B1" w:rsidRPr="00515E8D">
              <w:rPr>
                <w:rFonts w:eastAsia="Times New Roman" w:cs="Times New Roman"/>
                <w:szCs w:val="24"/>
                <w:lang w:eastAsia="lv-LV"/>
              </w:rPr>
              <w:t>lējušies piemērot</w:t>
            </w:r>
            <w:r w:rsidR="00135779" w:rsidRPr="00515E8D">
              <w:rPr>
                <w:rFonts w:eastAsia="Times New Roman" w:cs="Times New Roman"/>
                <w:szCs w:val="24"/>
                <w:lang w:eastAsia="lv-LV"/>
              </w:rPr>
              <w:t xml:space="preserve"> Kopienas tranzīta procedūr</w:t>
            </w:r>
            <w:r w:rsidR="00A574B1" w:rsidRPr="00515E8D">
              <w:rPr>
                <w:rFonts w:eastAsia="Times New Roman" w:cs="Times New Roman"/>
                <w:szCs w:val="24"/>
                <w:lang w:eastAsia="lv-LV"/>
              </w:rPr>
              <w:t>u</w:t>
            </w:r>
            <w:r w:rsidR="00135779" w:rsidRPr="00515E8D">
              <w:rPr>
                <w:rFonts w:eastAsia="Times New Roman" w:cs="Times New Roman"/>
                <w:szCs w:val="24"/>
                <w:lang w:eastAsia="lv-LV"/>
              </w:rPr>
              <w:t xml:space="preserve"> </w:t>
            </w:r>
            <w:r w:rsidR="00A24BD6" w:rsidRPr="00515E8D">
              <w:rPr>
                <w:rFonts w:eastAsia="Times New Roman" w:cs="Times New Roman"/>
                <w:szCs w:val="24"/>
                <w:lang w:eastAsia="lv-LV"/>
              </w:rPr>
              <w:t>(it īpaši, komersantiem piemērojot Kopienas tranzīta procedūras vienkāršojumu – atzītais nosūtīt</w:t>
            </w:r>
            <w:r w:rsidR="00D36633" w:rsidRPr="00515E8D">
              <w:rPr>
                <w:rFonts w:eastAsia="Times New Roman" w:cs="Times New Roman"/>
                <w:szCs w:val="24"/>
                <w:lang w:eastAsia="lv-LV"/>
              </w:rPr>
              <w:t>āj</w:t>
            </w:r>
            <w:r w:rsidR="00A24BD6" w:rsidRPr="00515E8D">
              <w:rPr>
                <w:rFonts w:eastAsia="Times New Roman" w:cs="Times New Roman"/>
                <w:szCs w:val="24"/>
                <w:lang w:eastAsia="lv-LV"/>
              </w:rPr>
              <w:t xml:space="preserve">s). </w:t>
            </w:r>
            <w:r w:rsidR="005A6367" w:rsidRPr="00515E8D">
              <w:rPr>
                <w:szCs w:val="24"/>
              </w:rPr>
              <w:t>Ņemot vērā TIR procedūras starptautisko nozīmi</w:t>
            </w:r>
            <w:r w:rsidR="00A574B1" w:rsidRPr="00515E8D">
              <w:rPr>
                <w:szCs w:val="24"/>
              </w:rPr>
              <w:t>,</w:t>
            </w:r>
            <w:r w:rsidR="005A6367" w:rsidRPr="00515E8D">
              <w:rPr>
                <w:szCs w:val="24"/>
              </w:rPr>
              <w:t xml:space="preserve"> </w:t>
            </w:r>
            <w:r w:rsidR="00A574B1" w:rsidRPr="00515E8D">
              <w:rPr>
                <w:szCs w:val="24"/>
              </w:rPr>
              <w:t>izmantošanas priekšrocības un ievērojamo piemērošanas gadījumu skaitu, lai mazinātu komersantu administratīvo slogu un pārvadājuma operāciju finansiālās izmaksas, būtu nepieciešams</w:t>
            </w:r>
            <w:r w:rsidR="004F456B" w:rsidDel="00406E01">
              <w:rPr>
                <w:szCs w:val="24"/>
              </w:rPr>
              <w:t xml:space="preserve"> </w:t>
            </w:r>
            <w:r w:rsidR="00406E01">
              <w:rPr>
                <w:szCs w:val="24"/>
              </w:rPr>
              <w:t>projektā</w:t>
            </w:r>
            <w:r w:rsidR="00A574B1" w:rsidRPr="00515E8D">
              <w:rPr>
                <w:szCs w:val="24"/>
              </w:rPr>
              <w:t xml:space="preserve"> iekļaut normas, kas regulē nacionālā TIR procedūras vienkāršojuma </w:t>
            </w:r>
            <w:r w:rsidR="00A574B1" w:rsidRPr="006617B4">
              <w:rPr>
                <w:szCs w:val="24"/>
              </w:rPr>
              <w:t xml:space="preserve">- </w:t>
            </w:r>
            <w:r w:rsidR="003A68D0" w:rsidRPr="006617B4">
              <w:rPr>
                <w:szCs w:val="24"/>
              </w:rPr>
              <w:t xml:space="preserve">pilnvarotais </w:t>
            </w:r>
            <w:r w:rsidR="00D34771" w:rsidRPr="006617B4" w:rsidDel="00D34771">
              <w:rPr>
                <w:szCs w:val="24"/>
              </w:rPr>
              <w:t xml:space="preserve"> </w:t>
            </w:r>
            <w:r w:rsidR="00A574B1" w:rsidRPr="006617B4">
              <w:rPr>
                <w:szCs w:val="24"/>
              </w:rPr>
              <w:t xml:space="preserve"> nosūtītājs TIR procedūrā </w:t>
            </w:r>
            <w:r w:rsidR="00CA1570" w:rsidRPr="006617B4">
              <w:rPr>
                <w:rFonts w:cs="Times New Roman"/>
                <w:szCs w:val="28"/>
              </w:rPr>
              <w:t xml:space="preserve">(turpmāk – </w:t>
            </w:r>
            <w:r w:rsidR="003A68D0" w:rsidRPr="006617B4">
              <w:rPr>
                <w:rFonts w:cs="Times New Roman"/>
                <w:szCs w:val="28"/>
              </w:rPr>
              <w:t>pilnvarotais</w:t>
            </w:r>
            <w:r w:rsidR="00CA1570" w:rsidRPr="006617B4">
              <w:rPr>
                <w:rFonts w:cs="Times New Roman"/>
                <w:szCs w:val="28"/>
              </w:rPr>
              <w:t xml:space="preserve"> TIR nosūtītājs)</w:t>
            </w:r>
            <w:r w:rsidR="00CA1570" w:rsidRPr="006617B4">
              <w:rPr>
                <w:rFonts w:cs="Times New Roman"/>
                <w:sz w:val="28"/>
                <w:szCs w:val="28"/>
              </w:rPr>
              <w:t xml:space="preserve"> </w:t>
            </w:r>
            <w:r w:rsidR="00CA1570" w:rsidRPr="006617B4">
              <w:rPr>
                <w:rFonts w:cs="Times New Roman"/>
                <w:szCs w:val="28"/>
              </w:rPr>
              <w:t>darbību.</w:t>
            </w:r>
          </w:p>
          <w:p w14:paraId="510A3A00" w14:textId="6CD91E7B" w:rsidR="0029309E" w:rsidRPr="006617B4" w:rsidRDefault="00515E8D" w:rsidP="006617B4">
            <w:pPr>
              <w:pStyle w:val="ListParagraph"/>
              <w:spacing w:after="0" w:line="240" w:lineRule="auto"/>
              <w:ind w:left="0" w:firstLine="530"/>
              <w:jc w:val="both"/>
              <w:rPr>
                <w:szCs w:val="24"/>
              </w:rPr>
            </w:pPr>
            <w:r w:rsidRPr="006617B4">
              <w:rPr>
                <w:szCs w:val="24"/>
              </w:rPr>
              <w:t xml:space="preserve">Projektā ir noteikts regulējums </w:t>
            </w:r>
            <w:r w:rsidR="00D34771" w:rsidRPr="006617B4">
              <w:rPr>
                <w:szCs w:val="24"/>
              </w:rPr>
              <w:t>pilnvarot</w:t>
            </w:r>
            <w:r w:rsidR="005D306A" w:rsidRPr="006617B4">
              <w:rPr>
                <w:rFonts w:cs="Times New Roman"/>
                <w:szCs w:val="28"/>
              </w:rPr>
              <w:t xml:space="preserve">ā </w:t>
            </w:r>
            <w:r w:rsidR="00CA1570" w:rsidRPr="006617B4">
              <w:rPr>
                <w:rFonts w:cs="Times New Roman"/>
                <w:szCs w:val="28"/>
              </w:rPr>
              <w:t xml:space="preserve">TIR </w:t>
            </w:r>
            <w:r w:rsidR="005D306A" w:rsidRPr="006617B4">
              <w:rPr>
                <w:rFonts w:cs="Times New Roman"/>
                <w:szCs w:val="28"/>
              </w:rPr>
              <w:t xml:space="preserve">nosūtītāja </w:t>
            </w:r>
            <w:r w:rsidRPr="006617B4">
              <w:rPr>
                <w:szCs w:val="24"/>
              </w:rPr>
              <w:t>darbībai</w:t>
            </w:r>
            <w:r w:rsidR="002023D6" w:rsidRPr="006617B4">
              <w:rPr>
                <w:szCs w:val="24"/>
              </w:rPr>
              <w:t>.</w:t>
            </w:r>
          </w:p>
          <w:p w14:paraId="105FF9B4" w14:textId="4B602316" w:rsidR="00A574B1" w:rsidRPr="006617B4" w:rsidRDefault="002023D6" w:rsidP="006617B4">
            <w:pPr>
              <w:spacing w:after="0" w:line="240" w:lineRule="auto"/>
              <w:ind w:firstLine="530"/>
              <w:jc w:val="both"/>
              <w:rPr>
                <w:szCs w:val="24"/>
              </w:rPr>
            </w:pPr>
            <w:r w:rsidRPr="006617B4">
              <w:rPr>
                <w:szCs w:val="24"/>
              </w:rPr>
              <w:t>P</w:t>
            </w:r>
            <w:r w:rsidR="009A2998" w:rsidRPr="006617B4">
              <w:rPr>
                <w:szCs w:val="24"/>
              </w:rPr>
              <w:t xml:space="preserve">rojekta </w:t>
            </w:r>
            <w:r w:rsidR="00511FE7" w:rsidRPr="006617B4">
              <w:rPr>
                <w:szCs w:val="24"/>
              </w:rPr>
              <w:t>20</w:t>
            </w:r>
            <w:r w:rsidR="009A2998" w:rsidRPr="006617B4">
              <w:rPr>
                <w:szCs w:val="24"/>
              </w:rPr>
              <w:t>.</w:t>
            </w:r>
            <w:r w:rsidR="009F32ED" w:rsidRPr="006617B4">
              <w:rPr>
                <w:szCs w:val="24"/>
              </w:rPr>
              <w:t xml:space="preserve"> un 2</w:t>
            </w:r>
            <w:r w:rsidR="00511FE7" w:rsidRPr="006617B4">
              <w:rPr>
                <w:szCs w:val="24"/>
              </w:rPr>
              <w:t>1</w:t>
            </w:r>
            <w:r w:rsidR="009F32ED" w:rsidRPr="006617B4">
              <w:rPr>
                <w:szCs w:val="24"/>
              </w:rPr>
              <w:t>.</w:t>
            </w:r>
            <w:r w:rsidR="009A2998" w:rsidRPr="006617B4">
              <w:rPr>
                <w:szCs w:val="24"/>
              </w:rPr>
              <w:t xml:space="preserve">punktā ir noteikts, ka </w:t>
            </w:r>
            <w:r w:rsidR="0029309E" w:rsidRPr="006617B4">
              <w:rPr>
                <w:szCs w:val="24"/>
              </w:rPr>
              <w:t xml:space="preserve">piemērojot TIR procedūras vienkāršojumu </w:t>
            </w:r>
            <w:r w:rsidR="00F16663" w:rsidRPr="006617B4">
              <w:rPr>
                <w:szCs w:val="24"/>
              </w:rPr>
              <w:t>–</w:t>
            </w:r>
            <w:r w:rsidR="0029309E" w:rsidRPr="006617B4">
              <w:rPr>
                <w:szCs w:val="24"/>
              </w:rPr>
              <w:t xml:space="preserve"> </w:t>
            </w:r>
            <w:r w:rsidR="003A68D0" w:rsidRPr="006617B4">
              <w:rPr>
                <w:szCs w:val="24"/>
              </w:rPr>
              <w:t>pilnvarotais</w:t>
            </w:r>
            <w:r w:rsidR="00F16663" w:rsidRPr="006617B4">
              <w:rPr>
                <w:szCs w:val="24"/>
              </w:rPr>
              <w:t xml:space="preserve"> </w:t>
            </w:r>
            <w:r w:rsidR="0029309E" w:rsidRPr="006617B4">
              <w:rPr>
                <w:szCs w:val="24"/>
              </w:rPr>
              <w:t xml:space="preserve">TIR </w:t>
            </w:r>
            <w:r w:rsidR="005D306A" w:rsidRPr="006617B4">
              <w:rPr>
                <w:szCs w:val="24"/>
              </w:rPr>
              <w:t xml:space="preserve">nosūtītājs </w:t>
            </w:r>
            <w:r w:rsidR="003A24E2" w:rsidRPr="006617B4">
              <w:rPr>
                <w:szCs w:val="24"/>
              </w:rPr>
              <w:t>–</w:t>
            </w:r>
            <w:r w:rsidR="005D306A" w:rsidRPr="006617B4">
              <w:rPr>
                <w:szCs w:val="24"/>
              </w:rPr>
              <w:t xml:space="preserve"> </w:t>
            </w:r>
            <w:r w:rsidR="0029309E" w:rsidRPr="006617B4">
              <w:rPr>
                <w:szCs w:val="24"/>
              </w:rPr>
              <w:t xml:space="preserve">persona, kas </w:t>
            </w:r>
            <w:r w:rsidR="00515E8D" w:rsidRPr="006617B4">
              <w:rPr>
                <w:szCs w:val="24"/>
              </w:rPr>
              <w:t>ir saņēmusi</w:t>
            </w:r>
            <w:r w:rsidR="0029309E" w:rsidRPr="006617B4">
              <w:rPr>
                <w:szCs w:val="24"/>
              </w:rPr>
              <w:t xml:space="preserve"> atbilstošo </w:t>
            </w:r>
            <w:r w:rsidR="007263F0" w:rsidRPr="006617B4">
              <w:rPr>
                <w:szCs w:val="24"/>
              </w:rPr>
              <w:t>Valsts ieņēmumu dienesta</w:t>
            </w:r>
            <w:r w:rsidR="0029309E" w:rsidRPr="006617B4">
              <w:rPr>
                <w:szCs w:val="24"/>
              </w:rPr>
              <w:t xml:space="preserve"> atļauju, ir tiesīga, izvedot no Eiropas Savienības preces, piemērot TIR procedūru</w:t>
            </w:r>
            <w:r w:rsidR="003A33AF" w:rsidRPr="006617B4">
              <w:rPr>
                <w:szCs w:val="24"/>
              </w:rPr>
              <w:t>,</w:t>
            </w:r>
            <w:r w:rsidR="0029309E" w:rsidRPr="006617B4">
              <w:rPr>
                <w:szCs w:val="24"/>
              </w:rPr>
              <w:t xml:space="preserve"> neuzrādot preces, transportlīdzekli un TIR karneti nosūtītāja muitas iestādei;</w:t>
            </w:r>
          </w:p>
          <w:p w14:paraId="5046C2C5" w14:textId="6B5B6347" w:rsidR="00DB68BB" w:rsidRDefault="002023D6" w:rsidP="006617B4">
            <w:pPr>
              <w:spacing w:after="0" w:line="240" w:lineRule="auto"/>
              <w:ind w:firstLine="530"/>
              <w:jc w:val="both"/>
              <w:rPr>
                <w:szCs w:val="24"/>
              </w:rPr>
            </w:pPr>
            <w:r w:rsidRPr="006617B4">
              <w:rPr>
                <w:szCs w:val="24"/>
              </w:rPr>
              <w:t>P</w:t>
            </w:r>
            <w:r w:rsidR="004E1CBE" w:rsidRPr="006617B4">
              <w:rPr>
                <w:szCs w:val="24"/>
              </w:rPr>
              <w:t>rojekta 2</w:t>
            </w:r>
            <w:r w:rsidR="001F2EEF" w:rsidRPr="006617B4">
              <w:rPr>
                <w:szCs w:val="24"/>
              </w:rPr>
              <w:t>2</w:t>
            </w:r>
            <w:r w:rsidR="009A2998" w:rsidRPr="006617B4">
              <w:rPr>
                <w:szCs w:val="24"/>
              </w:rPr>
              <w:t>.punktā ir noteiktas preces</w:t>
            </w:r>
            <w:r w:rsidR="008F5823" w:rsidRPr="006617B4">
              <w:rPr>
                <w:szCs w:val="24"/>
              </w:rPr>
              <w:t>, kur</w:t>
            </w:r>
            <w:r w:rsidR="00CA1570" w:rsidRPr="006617B4">
              <w:rPr>
                <w:szCs w:val="24"/>
              </w:rPr>
              <w:t>as</w:t>
            </w:r>
            <w:r w:rsidR="008F5823" w:rsidRPr="006617B4">
              <w:rPr>
                <w:szCs w:val="24"/>
              </w:rPr>
              <w:t xml:space="preserve"> nav atļauts nodot TIR procedūrā, piemērojot TIR procedūras vienkāršojumu - </w:t>
            </w:r>
            <w:r w:rsidR="003A68D0" w:rsidRPr="006617B4">
              <w:rPr>
                <w:szCs w:val="24"/>
              </w:rPr>
              <w:t>pilnvarotais</w:t>
            </w:r>
            <w:r w:rsidR="008F5823" w:rsidRPr="008F5823">
              <w:rPr>
                <w:szCs w:val="24"/>
              </w:rPr>
              <w:t xml:space="preserve"> </w:t>
            </w:r>
            <w:r w:rsidR="00F16663">
              <w:rPr>
                <w:szCs w:val="24"/>
              </w:rPr>
              <w:t xml:space="preserve">TIR </w:t>
            </w:r>
            <w:r w:rsidR="008F5823" w:rsidRPr="008F5823">
              <w:rPr>
                <w:szCs w:val="24"/>
              </w:rPr>
              <w:t>nosūtītājs</w:t>
            </w:r>
            <w:r w:rsidR="00CA1570">
              <w:rPr>
                <w:szCs w:val="24"/>
              </w:rPr>
              <w:t>.</w:t>
            </w:r>
            <w:r w:rsidR="008F5823">
              <w:rPr>
                <w:szCs w:val="24"/>
              </w:rPr>
              <w:t xml:space="preserve"> </w:t>
            </w:r>
            <w:r w:rsidR="00CA1570">
              <w:rPr>
                <w:szCs w:val="24"/>
              </w:rPr>
              <w:t>Tās</w:t>
            </w:r>
            <w:r w:rsidR="008F5823">
              <w:rPr>
                <w:szCs w:val="24"/>
              </w:rPr>
              <w:t xml:space="preserve"> ir:</w:t>
            </w:r>
          </w:p>
          <w:p w14:paraId="69BBB161" w14:textId="13298D87" w:rsidR="00DB68BB" w:rsidRDefault="00DB68BB" w:rsidP="006617B4">
            <w:pPr>
              <w:spacing w:after="0" w:line="240" w:lineRule="auto"/>
              <w:ind w:firstLine="530"/>
              <w:jc w:val="both"/>
              <w:rPr>
                <w:szCs w:val="24"/>
              </w:rPr>
            </w:pPr>
            <w:r>
              <w:rPr>
                <w:szCs w:val="24"/>
              </w:rPr>
              <w:t>-</w:t>
            </w:r>
            <w:r w:rsidR="008F5823">
              <w:rPr>
                <w:szCs w:val="24"/>
              </w:rPr>
              <w:t xml:space="preserve"> preces, kuras ir izslēgtas no TIR garantijas sistēmas Eiropas </w:t>
            </w:r>
            <w:r w:rsidR="002F3C7F">
              <w:rPr>
                <w:szCs w:val="24"/>
              </w:rPr>
              <w:t>S</w:t>
            </w:r>
            <w:r w:rsidR="008F5823">
              <w:rPr>
                <w:szCs w:val="24"/>
              </w:rPr>
              <w:t>avienības teritorijā un TIR konvencijā noteiktās preces</w:t>
            </w:r>
            <w:r w:rsidR="00CB4BA4">
              <w:rPr>
                <w:szCs w:val="24"/>
              </w:rPr>
              <w:t xml:space="preserve"> </w:t>
            </w:r>
            <w:r w:rsidR="00CB4BA4" w:rsidRPr="0092084B">
              <w:rPr>
                <w:szCs w:val="24"/>
              </w:rPr>
              <w:t>(preces, kuras aizliegts pārvadāt izmantojot TIR karneti</w:t>
            </w:r>
            <w:r w:rsidR="0056074D">
              <w:rPr>
                <w:szCs w:val="24"/>
              </w:rPr>
              <w:t xml:space="preserve">- </w:t>
            </w:r>
            <w:r w:rsidR="0056074D" w:rsidRPr="0056074D">
              <w:rPr>
                <w:szCs w:val="24"/>
              </w:rPr>
              <w:t>projekta 2</w:t>
            </w:r>
            <w:r w:rsidR="00E20274">
              <w:rPr>
                <w:szCs w:val="24"/>
              </w:rPr>
              <w:t>2</w:t>
            </w:r>
            <w:r w:rsidR="0056074D">
              <w:rPr>
                <w:szCs w:val="24"/>
              </w:rPr>
              <w:t>.1</w:t>
            </w:r>
            <w:r w:rsidR="0056074D" w:rsidRPr="0056074D">
              <w:rPr>
                <w:szCs w:val="24"/>
              </w:rPr>
              <w:t>.</w:t>
            </w:r>
            <w:r w:rsidR="0056074D">
              <w:rPr>
                <w:szCs w:val="24"/>
              </w:rPr>
              <w:t xml:space="preserve">- </w:t>
            </w:r>
            <w:r w:rsidR="0056074D" w:rsidRPr="0056074D">
              <w:rPr>
                <w:szCs w:val="24"/>
              </w:rPr>
              <w:t>2</w:t>
            </w:r>
            <w:r w:rsidR="00E20274">
              <w:rPr>
                <w:szCs w:val="24"/>
              </w:rPr>
              <w:t>2</w:t>
            </w:r>
            <w:r w:rsidR="0056074D" w:rsidRPr="0056074D">
              <w:rPr>
                <w:szCs w:val="24"/>
              </w:rPr>
              <w:t>.2.</w:t>
            </w:r>
            <w:r w:rsidR="0056074D">
              <w:rPr>
                <w:szCs w:val="24"/>
              </w:rPr>
              <w:t>apakšpunkts</w:t>
            </w:r>
            <w:r w:rsidR="00CB4BA4" w:rsidRPr="0092084B">
              <w:rPr>
                <w:szCs w:val="24"/>
              </w:rPr>
              <w:t>)</w:t>
            </w:r>
            <w:r w:rsidR="008F5823">
              <w:rPr>
                <w:szCs w:val="24"/>
              </w:rPr>
              <w:t>;</w:t>
            </w:r>
          </w:p>
          <w:p w14:paraId="6CA35D0A" w14:textId="74906471" w:rsidR="00DB68BB" w:rsidRPr="006617B4" w:rsidRDefault="00DB68BB" w:rsidP="006617B4">
            <w:pPr>
              <w:spacing w:after="0" w:line="240" w:lineRule="auto"/>
              <w:ind w:firstLine="530"/>
              <w:jc w:val="both"/>
              <w:rPr>
                <w:szCs w:val="24"/>
              </w:rPr>
            </w:pPr>
            <w:r>
              <w:rPr>
                <w:szCs w:val="24"/>
              </w:rPr>
              <w:t>-</w:t>
            </w:r>
            <w:r w:rsidR="008F5823">
              <w:rPr>
                <w:szCs w:val="24"/>
              </w:rPr>
              <w:t xml:space="preserve"> </w:t>
            </w:r>
            <w:r w:rsidR="008F5823" w:rsidRPr="006617B4">
              <w:rPr>
                <w:szCs w:val="24"/>
              </w:rPr>
              <w:t>ārpuskopienas preces,</w:t>
            </w:r>
            <w:r w:rsidR="008F5823" w:rsidRPr="006617B4">
              <w:rPr>
                <w:rFonts w:cs="Times New Roman"/>
                <w:sz w:val="28"/>
                <w:szCs w:val="28"/>
              </w:rPr>
              <w:t xml:space="preserve"> </w:t>
            </w:r>
            <w:r w:rsidR="008F5823" w:rsidRPr="006617B4">
              <w:rPr>
                <w:szCs w:val="24"/>
              </w:rPr>
              <w:t>kur</w:t>
            </w:r>
            <w:r w:rsidR="00D36633" w:rsidRPr="006617B4">
              <w:rPr>
                <w:szCs w:val="24"/>
              </w:rPr>
              <w:t>as</w:t>
            </w:r>
            <w:r w:rsidR="008F5823" w:rsidRPr="006617B4">
              <w:rPr>
                <w:szCs w:val="24"/>
              </w:rPr>
              <w:t xml:space="preserve"> paredzēts pārvadāt ar vienu TIR karneti, ja ārpuskopienas preču iespējamais muitas </w:t>
            </w:r>
            <w:r w:rsidR="003A24E2" w:rsidRPr="006617B4">
              <w:rPr>
                <w:szCs w:val="24"/>
              </w:rPr>
              <w:t xml:space="preserve">nodokļa, </w:t>
            </w:r>
            <w:r w:rsidRPr="006617B4">
              <w:rPr>
                <w:szCs w:val="24"/>
              </w:rPr>
              <w:t xml:space="preserve">akcīzes nodokļa un </w:t>
            </w:r>
            <w:r w:rsidR="003A24E2" w:rsidRPr="006617B4">
              <w:rPr>
                <w:szCs w:val="24"/>
              </w:rPr>
              <w:t>pievienotās vērtības nodokļa parāds, kas varētu rasties</w:t>
            </w:r>
            <w:r w:rsidR="00CB4BA4" w:rsidRPr="006617B4">
              <w:rPr>
                <w:szCs w:val="24"/>
              </w:rPr>
              <w:t xml:space="preserve"> </w:t>
            </w:r>
            <w:r w:rsidR="008F5823" w:rsidRPr="006617B4">
              <w:rPr>
                <w:szCs w:val="24"/>
              </w:rPr>
              <w:t>pārsniedz</w:t>
            </w:r>
            <w:r w:rsidR="00CB4BA4" w:rsidRPr="006617B4">
              <w:rPr>
                <w:szCs w:val="24"/>
              </w:rPr>
              <w:t xml:space="preserve"> 60 000 </w:t>
            </w:r>
            <w:proofErr w:type="spellStart"/>
            <w:r w:rsidR="00CB4BA4" w:rsidRPr="006617B4">
              <w:rPr>
                <w:i/>
                <w:szCs w:val="24"/>
              </w:rPr>
              <w:t>euro</w:t>
            </w:r>
            <w:proofErr w:type="spellEnd"/>
            <w:r w:rsidRPr="006617B4">
              <w:rPr>
                <w:i/>
                <w:szCs w:val="24"/>
              </w:rPr>
              <w:t xml:space="preserve"> </w:t>
            </w:r>
            <w:r w:rsidRPr="006617B4">
              <w:rPr>
                <w:szCs w:val="24"/>
              </w:rPr>
              <w:t>(</w:t>
            </w:r>
            <w:r w:rsidR="00A87353" w:rsidRPr="006617B4">
              <w:rPr>
                <w:szCs w:val="24"/>
              </w:rPr>
              <w:t xml:space="preserve">projekta </w:t>
            </w:r>
            <w:r w:rsidRPr="006617B4">
              <w:rPr>
                <w:szCs w:val="24"/>
              </w:rPr>
              <w:t>2</w:t>
            </w:r>
            <w:r w:rsidR="00694C18" w:rsidRPr="006617B4">
              <w:rPr>
                <w:szCs w:val="24"/>
              </w:rPr>
              <w:t>2</w:t>
            </w:r>
            <w:r w:rsidRPr="006617B4">
              <w:rPr>
                <w:szCs w:val="24"/>
              </w:rPr>
              <w:t>.3.apakšpunkts)</w:t>
            </w:r>
            <w:r w:rsidR="00A7055B" w:rsidRPr="006617B4">
              <w:rPr>
                <w:szCs w:val="24"/>
              </w:rPr>
              <w:t>.</w:t>
            </w:r>
            <w:r w:rsidR="00CB4BA4" w:rsidRPr="006617B4">
              <w:rPr>
                <w:szCs w:val="24"/>
              </w:rPr>
              <w:t xml:space="preserve"> </w:t>
            </w:r>
            <w:r w:rsidR="00A7055B" w:rsidRPr="006617B4">
              <w:rPr>
                <w:szCs w:val="24"/>
              </w:rPr>
              <w:t>S</w:t>
            </w:r>
            <w:r w:rsidR="0056074D" w:rsidRPr="006617B4">
              <w:rPr>
                <w:szCs w:val="24"/>
              </w:rPr>
              <w:t>askaņā ar TIR konvencijas 8.pant</w:t>
            </w:r>
            <w:r w:rsidR="007276E5" w:rsidRPr="006617B4">
              <w:rPr>
                <w:szCs w:val="24"/>
              </w:rPr>
              <w:t>a</w:t>
            </w:r>
            <w:r w:rsidR="0056074D" w:rsidRPr="006617B4">
              <w:rPr>
                <w:szCs w:val="24"/>
              </w:rPr>
              <w:t xml:space="preserve"> </w:t>
            </w:r>
            <w:r w:rsidR="007276E5" w:rsidRPr="006617B4">
              <w:rPr>
                <w:szCs w:val="24"/>
              </w:rPr>
              <w:t>1.punktu</w:t>
            </w:r>
            <w:r w:rsidR="007276E5" w:rsidRPr="006617B4">
              <w:t xml:space="preserve"> </w:t>
            </w:r>
            <w:r w:rsidR="00A7055B" w:rsidRPr="006617B4">
              <w:rPr>
                <w:szCs w:val="24"/>
              </w:rPr>
              <w:t>garantējošajai</w:t>
            </w:r>
            <w:r w:rsidR="007276E5" w:rsidRPr="006617B4">
              <w:rPr>
                <w:szCs w:val="24"/>
              </w:rPr>
              <w:t xml:space="preserve"> asociācija</w:t>
            </w:r>
            <w:r w:rsidR="00A7055B" w:rsidRPr="006617B4">
              <w:rPr>
                <w:szCs w:val="24"/>
              </w:rPr>
              <w:t>i</w:t>
            </w:r>
            <w:r w:rsidR="007276E5" w:rsidRPr="006617B4">
              <w:rPr>
                <w:szCs w:val="24"/>
              </w:rPr>
              <w:t xml:space="preserve"> </w:t>
            </w:r>
            <w:r w:rsidR="00A7055B" w:rsidRPr="006617B4">
              <w:rPr>
                <w:szCs w:val="24"/>
              </w:rPr>
              <w:t>jā</w:t>
            </w:r>
            <w:r w:rsidR="0056074D" w:rsidRPr="006617B4">
              <w:rPr>
                <w:szCs w:val="24"/>
              </w:rPr>
              <w:t>uzņemas samaksāt ievedmuitas un izvedmuitas nodokļ</w:t>
            </w:r>
            <w:r w:rsidR="00A7055B" w:rsidRPr="006617B4">
              <w:rPr>
                <w:szCs w:val="24"/>
              </w:rPr>
              <w:t>i</w:t>
            </w:r>
            <w:r w:rsidR="0056074D" w:rsidRPr="006617B4">
              <w:rPr>
                <w:szCs w:val="24"/>
              </w:rPr>
              <w:t xml:space="preserve"> un cit</w:t>
            </w:r>
            <w:r w:rsidR="007269C3" w:rsidRPr="006617B4">
              <w:rPr>
                <w:szCs w:val="24"/>
              </w:rPr>
              <w:t>i</w:t>
            </w:r>
            <w:r w:rsidR="0056074D" w:rsidRPr="006617B4">
              <w:rPr>
                <w:szCs w:val="24"/>
              </w:rPr>
              <w:t xml:space="preserve"> maksājum</w:t>
            </w:r>
            <w:r w:rsidR="007269C3" w:rsidRPr="006617B4">
              <w:rPr>
                <w:szCs w:val="24"/>
              </w:rPr>
              <w:t>i</w:t>
            </w:r>
            <w:r w:rsidR="0056074D" w:rsidRPr="006617B4">
              <w:rPr>
                <w:szCs w:val="24"/>
              </w:rPr>
              <w:t>, kā arī soda naud</w:t>
            </w:r>
            <w:r w:rsidR="007269C3" w:rsidRPr="006617B4">
              <w:rPr>
                <w:szCs w:val="24"/>
              </w:rPr>
              <w:t>a</w:t>
            </w:r>
            <w:r w:rsidR="0056074D" w:rsidRPr="006617B4">
              <w:rPr>
                <w:szCs w:val="24"/>
              </w:rPr>
              <w:t>, kas</w:t>
            </w:r>
            <w:r w:rsidR="007276E5" w:rsidRPr="006617B4">
              <w:rPr>
                <w:szCs w:val="24"/>
              </w:rPr>
              <w:t xml:space="preserve"> </w:t>
            </w:r>
            <w:r w:rsidR="0056074D" w:rsidRPr="006617B4">
              <w:rPr>
                <w:szCs w:val="24"/>
              </w:rPr>
              <w:t>jāmaksā saskaņā ar tās valsts muitas normatīvajiem aktiem, kurā</w:t>
            </w:r>
            <w:r w:rsidR="007276E5" w:rsidRPr="006617B4">
              <w:rPr>
                <w:szCs w:val="24"/>
              </w:rPr>
              <w:t xml:space="preserve"> </w:t>
            </w:r>
            <w:r w:rsidR="0056074D" w:rsidRPr="006617B4">
              <w:rPr>
                <w:szCs w:val="24"/>
              </w:rPr>
              <w:t xml:space="preserve">ir atklāts pārkāpums saistībā ar TIR pārvadājumu. </w:t>
            </w:r>
            <w:r w:rsidR="007276E5" w:rsidRPr="006617B4">
              <w:rPr>
                <w:szCs w:val="24"/>
              </w:rPr>
              <w:t>Savukārt TIR konvencijas 8.panta 3.punkt</w:t>
            </w:r>
            <w:r w:rsidR="007269C3" w:rsidRPr="006617B4">
              <w:rPr>
                <w:szCs w:val="24"/>
              </w:rPr>
              <w:t>s nosaka, ka</w:t>
            </w:r>
            <w:r w:rsidR="007276E5" w:rsidRPr="006617B4">
              <w:t xml:space="preserve"> </w:t>
            </w:r>
            <w:r w:rsidR="007276E5" w:rsidRPr="006617B4">
              <w:rPr>
                <w:szCs w:val="24"/>
              </w:rPr>
              <w:t>katrai TIR konvencijas Līgumslēdzēja pusei jānosaka maksimāl</w:t>
            </w:r>
            <w:r w:rsidR="007269C3" w:rsidRPr="006617B4">
              <w:rPr>
                <w:szCs w:val="24"/>
              </w:rPr>
              <w:t>ā</w:t>
            </w:r>
            <w:r w:rsidR="007276E5" w:rsidRPr="006617B4">
              <w:rPr>
                <w:szCs w:val="24"/>
              </w:rPr>
              <w:t xml:space="preserve"> summ</w:t>
            </w:r>
            <w:r w:rsidR="007269C3" w:rsidRPr="006617B4">
              <w:rPr>
                <w:szCs w:val="24"/>
              </w:rPr>
              <w:t>a</w:t>
            </w:r>
            <w:r w:rsidR="007276E5" w:rsidRPr="006617B4">
              <w:rPr>
                <w:szCs w:val="24"/>
              </w:rPr>
              <w:t xml:space="preserve"> par vienu TIR karneti, ko var prasīt no garantējošās asociācijas, pamatojoties uz TIR konvencijas 8.panta 1.</w:t>
            </w:r>
            <w:r w:rsidR="00987FC1" w:rsidRPr="006617B4">
              <w:rPr>
                <w:szCs w:val="24"/>
              </w:rPr>
              <w:t> </w:t>
            </w:r>
            <w:r w:rsidR="007276E5" w:rsidRPr="006617B4">
              <w:rPr>
                <w:szCs w:val="24"/>
              </w:rPr>
              <w:t>un 2.</w:t>
            </w:r>
            <w:r w:rsidR="00987FC1" w:rsidRPr="006617B4">
              <w:rPr>
                <w:szCs w:val="24"/>
              </w:rPr>
              <w:t> </w:t>
            </w:r>
            <w:r w:rsidR="007276E5" w:rsidRPr="006617B4">
              <w:rPr>
                <w:szCs w:val="24"/>
              </w:rPr>
              <w:t>punktu. Eiropas Savienībā reģistrēt</w:t>
            </w:r>
            <w:r w:rsidR="007269C3" w:rsidRPr="006617B4">
              <w:rPr>
                <w:szCs w:val="24"/>
              </w:rPr>
              <w:t>aj</w:t>
            </w:r>
            <w:r w:rsidR="007276E5" w:rsidRPr="006617B4">
              <w:rPr>
                <w:szCs w:val="24"/>
              </w:rPr>
              <w:t xml:space="preserve">ām garantējošajām </w:t>
            </w:r>
            <w:r w:rsidRPr="006617B4">
              <w:rPr>
                <w:szCs w:val="24"/>
              </w:rPr>
              <w:t>asociācijām</w:t>
            </w:r>
            <w:r w:rsidR="007276E5" w:rsidRPr="006617B4">
              <w:rPr>
                <w:szCs w:val="24"/>
              </w:rPr>
              <w:t xml:space="preserve"> minētā maksimālā summa par vienu TIR karneti ir noteikta </w:t>
            </w:r>
            <w:r w:rsidR="00CB4BA4" w:rsidRPr="006617B4">
              <w:rPr>
                <w:szCs w:val="24"/>
              </w:rPr>
              <w:t xml:space="preserve">saskaņā ar </w:t>
            </w:r>
            <w:r w:rsidR="008F5823" w:rsidRPr="006617B4">
              <w:rPr>
                <w:szCs w:val="24"/>
              </w:rPr>
              <w:t>regulas Nr.2454/93 457.panta 1.punkt</w:t>
            </w:r>
            <w:r w:rsidR="00CB4BA4" w:rsidRPr="006617B4">
              <w:rPr>
                <w:szCs w:val="24"/>
              </w:rPr>
              <w:t>u</w:t>
            </w:r>
            <w:r w:rsidR="00987FC1" w:rsidRPr="006617B4">
              <w:rPr>
                <w:szCs w:val="24"/>
              </w:rPr>
              <w:t xml:space="preserve"> –</w:t>
            </w:r>
            <w:r w:rsidR="007276E5" w:rsidRPr="006617B4">
              <w:rPr>
                <w:szCs w:val="24"/>
              </w:rPr>
              <w:t xml:space="preserve"> </w:t>
            </w:r>
            <w:r w:rsidR="00CB4BA4" w:rsidRPr="006617B4">
              <w:rPr>
                <w:szCs w:val="24"/>
              </w:rPr>
              <w:t>60</w:t>
            </w:r>
            <w:r w:rsidR="00987FC1" w:rsidRPr="006617B4">
              <w:rPr>
                <w:szCs w:val="24"/>
              </w:rPr>
              <w:t> </w:t>
            </w:r>
            <w:r w:rsidR="00CB4BA4" w:rsidRPr="006617B4">
              <w:rPr>
                <w:szCs w:val="24"/>
              </w:rPr>
              <w:t xml:space="preserve">000 </w:t>
            </w:r>
            <w:proofErr w:type="spellStart"/>
            <w:r w:rsidR="004F456B" w:rsidRPr="006617B4">
              <w:rPr>
                <w:i/>
                <w:szCs w:val="24"/>
              </w:rPr>
              <w:t>euro</w:t>
            </w:r>
            <w:proofErr w:type="spellEnd"/>
            <w:r w:rsidR="004F456B" w:rsidRPr="006617B4">
              <w:rPr>
                <w:szCs w:val="24"/>
              </w:rPr>
              <w:t xml:space="preserve"> </w:t>
            </w:r>
            <w:r w:rsidR="00CB4BA4" w:rsidRPr="006617B4">
              <w:rPr>
                <w:szCs w:val="24"/>
              </w:rPr>
              <w:t>vai līdzvērtīga summai attiecīgās valsts valūtā</w:t>
            </w:r>
            <w:r w:rsidR="007269C3" w:rsidRPr="006617B4">
              <w:rPr>
                <w:szCs w:val="24"/>
              </w:rPr>
              <w:t xml:space="preserve">. Atbilstoši minētajām, TIR procedūru – t.sk. izmantojot pilnvarotā TIR nosūtītāja atļauju, ņemot vērā iespējamos fiskālos riskus TIR procedūras pārkāpumu gadījumā, nav atļauts piemērot ja ārpuskopienas preču, kas paredzēts nodot TIR procedūrā ar vienu TIR karneti, iespējamais muitas nodokļa, akcīzes nodokļa un pievienotās vērtības nodokļa parāds, kas varētu rasties pārsniedz 60 000 </w:t>
            </w:r>
            <w:proofErr w:type="spellStart"/>
            <w:r w:rsidR="002023D6" w:rsidRPr="006617B4">
              <w:rPr>
                <w:i/>
                <w:szCs w:val="24"/>
              </w:rPr>
              <w:t>euro</w:t>
            </w:r>
            <w:proofErr w:type="spellEnd"/>
            <w:r w:rsidR="002023D6" w:rsidRPr="006617B4">
              <w:rPr>
                <w:szCs w:val="24"/>
              </w:rPr>
              <w:t>;</w:t>
            </w:r>
          </w:p>
          <w:p w14:paraId="27A35083" w14:textId="77777777" w:rsidR="002023D6" w:rsidRPr="006617B4" w:rsidRDefault="00DB68BB" w:rsidP="006617B4">
            <w:pPr>
              <w:spacing w:after="0" w:line="240" w:lineRule="auto"/>
              <w:ind w:firstLine="530"/>
              <w:jc w:val="both"/>
              <w:rPr>
                <w:szCs w:val="24"/>
              </w:rPr>
            </w:pPr>
            <w:r w:rsidRPr="006617B4">
              <w:rPr>
                <w:szCs w:val="24"/>
              </w:rPr>
              <w:t xml:space="preserve">- </w:t>
            </w:r>
            <w:r w:rsidR="00286F8C" w:rsidRPr="006617B4">
              <w:rPr>
                <w:szCs w:val="24"/>
              </w:rPr>
              <w:t>preces, kuru pārvietošanai tranzīta procedūrā</w:t>
            </w:r>
            <w:r w:rsidR="001D0C5C" w:rsidRPr="006617B4">
              <w:rPr>
                <w:szCs w:val="24"/>
              </w:rPr>
              <w:t xml:space="preserve"> (t.sk. – TIR procedūrā)</w:t>
            </w:r>
            <w:r w:rsidR="00286F8C" w:rsidRPr="006617B4">
              <w:rPr>
                <w:szCs w:val="24"/>
              </w:rPr>
              <w:t xml:space="preserve"> ir nepieciešamas speciālās atļaujas vai licences un </w:t>
            </w:r>
            <w:r w:rsidR="007263F0" w:rsidRPr="006617B4">
              <w:rPr>
                <w:szCs w:val="24"/>
              </w:rPr>
              <w:t>Valsts ieņēmumu dienesta</w:t>
            </w:r>
            <w:r w:rsidR="00286F8C" w:rsidRPr="006617B4">
              <w:rPr>
                <w:szCs w:val="24"/>
              </w:rPr>
              <w:t xml:space="preserve"> vai citu valsts iestāžu kontrole</w:t>
            </w:r>
            <w:r w:rsidR="001D0C5C" w:rsidRPr="006617B4">
              <w:rPr>
                <w:szCs w:val="24"/>
              </w:rPr>
              <w:t>:</w:t>
            </w:r>
          </w:p>
          <w:p w14:paraId="7693F0AE" w14:textId="02239D71" w:rsidR="002023D6" w:rsidRPr="006617B4" w:rsidRDefault="002023D6" w:rsidP="006617B4">
            <w:pPr>
              <w:spacing w:after="0" w:line="240" w:lineRule="auto"/>
              <w:ind w:firstLine="530"/>
              <w:jc w:val="both"/>
              <w:rPr>
                <w:szCs w:val="24"/>
              </w:rPr>
            </w:pPr>
            <w:r w:rsidRPr="006617B4">
              <w:rPr>
                <w:szCs w:val="24"/>
              </w:rPr>
              <w:lastRenderedPageBreak/>
              <w:t>- -</w:t>
            </w:r>
            <w:r w:rsidR="001D0C5C" w:rsidRPr="006617B4">
              <w:rPr>
                <w:szCs w:val="24"/>
              </w:rPr>
              <w:t xml:space="preserve"> stratēģiskas nozīmes preces (projekta 2</w:t>
            </w:r>
            <w:r w:rsidR="00694C18" w:rsidRPr="006617B4">
              <w:rPr>
                <w:szCs w:val="24"/>
              </w:rPr>
              <w:t>2</w:t>
            </w:r>
            <w:r w:rsidR="001D0C5C" w:rsidRPr="006617B4">
              <w:rPr>
                <w:szCs w:val="24"/>
              </w:rPr>
              <w:t xml:space="preserve">.4.apakšpunkts); </w:t>
            </w:r>
          </w:p>
          <w:p w14:paraId="31F85E2F" w14:textId="2B5BA409" w:rsidR="002023D6" w:rsidRPr="006617B4" w:rsidRDefault="002023D6" w:rsidP="006617B4">
            <w:pPr>
              <w:spacing w:after="0" w:line="240" w:lineRule="auto"/>
              <w:ind w:firstLine="530"/>
              <w:jc w:val="both"/>
              <w:rPr>
                <w:szCs w:val="24"/>
              </w:rPr>
            </w:pPr>
            <w:r w:rsidRPr="006617B4">
              <w:rPr>
                <w:szCs w:val="24"/>
              </w:rPr>
              <w:t xml:space="preserve">- - </w:t>
            </w:r>
            <w:r w:rsidR="001D0C5C" w:rsidRPr="006617B4">
              <w:rPr>
                <w:szCs w:val="24"/>
              </w:rPr>
              <w:t>radioaktīvās vielas, kodolmateriāli un citi jonizējošā starojuma avoti (projekta 2</w:t>
            </w:r>
            <w:r w:rsidR="00694C18" w:rsidRPr="006617B4">
              <w:rPr>
                <w:szCs w:val="24"/>
              </w:rPr>
              <w:t>2</w:t>
            </w:r>
            <w:r w:rsidR="001D0C5C" w:rsidRPr="006617B4">
              <w:rPr>
                <w:szCs w:val="24"/>
              </w:rPr>
              <w:t>.5.apakšpunkts);</w:t>
            </w:r>
          </w:p>
          <w:p w14:paraId="6F6B59A8" w14:textId="75B0B8A6" w:rsidR="002023D6" w:rsidRPr="006617B4" w:rsidRDefault="002023D6" w:rsidP="006617B4">
            <w:pPr>
              <w:spacing w:after="0" w:line="240" w:lineRule="auto"/>
              <w:ind w:firstLine="530"/>
              <w:jc w:val="both"/>
              <w:rPr>
                <w:szCs w:val="24"/>
              </w:rPr>
            </w:pPr>
            <w:r w:rsidRPr="006617B4">
              <w:rPr>
                <w:szCs w:val="24"/>
              </w:rPr>
              <w:t>- -</w:t>
            </w:r>
            <w:r w:rsidR="001D0C5C" w:rsidRPr="006617B4">
              <w:rPr>
                <w:szCs w:val="24"/>
              </w:rPr>
              <w:t xml:space="preserve"> ieroči un speciālie līdzekļi (projekta 2</w:t>
            </w:r>
            <w:r w:rsidR="00694C18" w:rsidRPr="006617B4">
              <w:rPr>
                <w:szCs w:val="24"/>
              </w:rPr>
              <w:t>2</w:t>
            </w:r>
            <w:r w:rsidR="001D0C5C" w:rsidRPr="006617B4">
              <w:rPr>
                <w:szCs w:val="24"/>
              </w:rPr>
              <w:t>.6.apakšpunkts);</w:t>
            </w:r>
          </w:p>
          <w:p w14:paraId="713F223B" w14:textId="17A89ECF" w:rsidR="002023D6" w:rsidRPr="006617B4" w:rsidRDefault="002023D6" w:rsidP="006617B4">
            <w:pPr>
              <w:spacing w:after="0" w:line="240" w:lineRule="auto"/>
              <w:ind w:firstLine="530"/>
              <w:jc w:val="both"/>
              <w:rPr>
                <w:szCs w:val="24"/>
              </w:rPr>
            </w:pPr>
            <w:r w:rsidRPr="006617B4">
              <w:rPr>
                <w:szCs w:val="24"/>
              </w:rPr>
              <w:t xml:space="preserve">- - </w:t>
            </w:r>
            <w:r w:rsidR="001D0C5C" w:rsidRPr="006617B4">
              <w:rPr>
                <w:szCs w:val="24"/>
              </w:rPr>
              <w:t xml:space="preserve"> narkotiskās un psihotropās vielas un zālēs, kas satur šīs vielas (projekta 2</w:t>
            </w:r>
            <w:r w:rsidR="00694C18" w:rsidRPr="006617B4">
              <w:rPr>
                <w:szCs w:val="24"/>
              </w:rPr>
              <w:t>2</w:t>
            </w:r>
            <w:r w:rsidR="001D0C5C" w:rsidRPr="006617B4">
              <w:rPr>
                <w:szCs w:val="24"/>
              </w:rPr>
              <w:t>.7.apakšpunkts);</w:t>
            </w:r>
          </w:p>
          <w:p w14:paraId="4DF1B185" w14:textId="3AE13142" w:rsidR="002023D6" w:rsidRPr="006617B4" w:rsidRDefault="002023D6" w:rsidP="006617B4">
            <w:pPr>
              <w:spacing w:after="0" w:line="240" w:lineRule="auto"/>
              <w:ind w:firstLine="530"/>
              <w:jc w:val="both"/>
              <w:rPr>
                <w:szCs w:val="24"/>
              </w:rPr>
            </w:pPr>
            <w:r w:rsidRPr="006617B4">
              <w:rPr>
                <w:szCs w:val="24"/>
              </w:rPr>
              <w:t>- -</w:t>
            </w:r>
            <w:r w:rsidR="001D0C5C" w:rsidRPr="006617B4">
              <w:rPr>
                <w:szCs w:val="24"/>
              </w:rPr>
              <w:t xml:space="preserve"> atkritumi (projekta 2</w:t>
            </w:r>
            <w:r w:rsidR="00694C18" w:rsidRPr="006617B4">
              <w:rPr>
                <w:szCs w:val="24"/>
              </w:rPr>
              <w:t>2</w:t>
            </w:r>
            <w:r w:rsidR="001D0C5C" w:rsidRPr="006617B4">
              <w:rPr>
                <w:szCs w:val="24"/>
              </w:rPr>
              <w:t>.8.apakšpunkts)</w:t>
            </w:r>
            <w:r w:rsidRPr="006617B4">
              <w:rPr>
                <w:szCs w:val="24"/>
              </w:rPr>
              <w:t>.</w:t>
            </w:r>
            <w:r w:rsidR="001D0C5C" w:rsidRPr="006617B4">
              <w:rPr>
                <w:szCs w:val="24"/>
              </w:rPr>
              <w:t xml:space="preserve"> </w:t>
            </w:r>
            <w:r w:rsidRPr="006617B4">
              <w:rPr>
                <w:szCs w:val="24"/>
              </w:rPr>
              <w:t xml:space="preserve">Atkritumu definīcija ir sniegta gan Atkritumu apsaimniekošanas likumā, gan Eiropas Parlamenta un Padomes 2006.gada 14.jūnija Regulā (EK) Nr.1013/2006 </w:t>
            </w:r>
            <w:r w:rsidRPr="006617B4">
              <w:rPr>
                <w:rFonts w:cs="Times New Roman"/>
                <w:szCs w:val="24"/>
              </w:rPr>
              <w:t>“</w:t>
            </w:r>
            <w:r w:rsidRPr="006617B4">
              <w:rPr>
                <w:szCs w:val="24"/>
              </w:rPr>
              <w:t xml:space="preserve">Par atkritumu sūtījumiem”, gan Eiropas Parlamenta un Padomes 2008. gada 19. novembra direktīva 2008/98/EK </w:t>
            </w:r>
            <w:r w:rsidRPr="006617B4">
              <w:rPr>
                <w:rFonts w:cs="Times New Roman"/>
                <w:szCs w:val="24"/>
              </w:rPr>
              <w:t>“</w:t>
            </w:r>
            <w:r w:rsidRPr="006617B4">
              <w:rPr>
                <w:szCs w:val="24"/>
              </w:rPr>
              <w:t>Par atkritumiem un par dažu direktīvu atcelšanu”. “Atkritumi” ir jebkura viela vai priekšmets, no kā īpašnieks atbrīvojas, ir nodomājis atbrīvoties vai ir spiests atbrīvoties</w:t>
            </w:r>
            <w:r w:rsidR="00286F8C" w:rsidRPr="006617B4">
              <w:rPr>
                <w:szCs w:val="24"/>
              </w:rPr>
              <w:t>;</w:t>
            </w:r>
          </w:p>
          <w:p w14:paraId="4DCDE768" w14:textId="77777777" w:rsidR="00D05B9F" w:rsidRPr="006617B4" w:rsidRDefault="002023D6" w:rsidP="006617B4">
            <w:pPr>
              <w:pStyle w:val="norm"/>
              <w:spacing w:before="0" w:beforeAutospacing="0" w:after="0" w:afterAutospacing="0"/>
              <w:ind w:firstLine="530"/>
              <w:jc w:val="both"/>
            </w:pPr>
            <w:r w:rsidRPr="006617B4">
              <w:t xml:space="preserve">- </w:t>
            </w:r>
            <w:r w:rsidR="00564EFA" w:rsidRPr="006617B4">
              <w:t xml:space="preserve">- </w:t>
            </w:r>
            <w:r w:rsidR="001D0C5C" w:rsidRPr="006617B4">
              <w:t>apdraudētie savvaļas dzīvnieki, augu sugu īpatņi un to derivāti (CITES preces) (projekta 2</w:t>
            </w:r>
            <w:r w:rsidR="00694C18" w:rsidRPr="006617B4">
              <w:t>2</w:t>
            </w:r>
            <w:r w:rsidR="001D0C5C" w:rsidRPr="006617B4">
              <w:t>.9.apakšpunkts)</w:t>
            </w:r>
            <w:r w:rsidR="00A747C5" w:rsidRPr="006617B4">
              <w:t xml:space="preserve">. Konvencijā par starptautisko tirdzniecību ar apdraudētajām savvaļas dzīvnieku un augu sugām, </w:t>
            </w:r>
            <w:r w:rsidR="0040075D" w:rsidRPr="006617B4">
              <w:t>Padomes 1996. gada 9. decembra R</w:t>
            </w:r>
            <w:r w:rsidR="00A747C5" w:rsidRPr="006617B4">
              <w:t>egulā (EK) Nr. 338/97 “Par savvaļas dzīvnieku un augu sugu aizsardzību, reglamentējot to tirdzniecību” – ir aprakstīts, kas ir īpatnis un kādos sarakstos tie ir iekļauti un kādas atļaujas to pārvietošanai nepieciešamas</w:t>
            </w:r>
            <w:r w:rsidR="0040075D" w:rsidRPr="006617B4">
              <w:t xml:space="preserve">. </w:t>
            </w:r>
          </w:p>
          <w:p w14:paraId="6678F680" w14:textId="6F33628F" w:rsidR="00564EFA" w:rsidRPr="006617B4" w:rsidRDefault="00564EFA" w:rsidP="006617B4">
            <w:pPr>
              <w:pStyle w:val="norm"/>
              <w:spacing w:before="0" w:beforeAutospacing="0" w:after="0" w:afterAutospacing="0"/>
              <w:ind w:firstLine="530"/>
              <w:jc w:val="both"/>
            </w:pPr>
            <w:r w:rsidRPr="006617B4">
              <w:t>Saskaņā ar  Padomes 1996. gada 9. decembra Regulu (EK) Nr. 338/97 “Par savvaļas dzīvnieku un augu sugu aizsardzību, reglamentējot to tirdzniecību”  - “īpatnis” ir jebkurš dzīvs vai nedzīvs A līdz D pielikumā uzskaitīto sugu dzīvnieks vai augs, jebkāda tā daļa vai atvasinājums, ko satur vai nesatur citas lietas, kā arī jebkādas citas lietas, kuras pēc pievienotajiem dokumentiem, iepakojuma, uzraksta vai etiķetes vai jebkādiem citiem apstākļiem ir vai satur šo sugu dzīvnieku vai augu daļas vai atvasinājumus, ja vien šīs daļas vai atvasinājumi nav īpaši izslēgti no šīs regulas noteikumiem vai no noteikumiem, kas attiecas uz pielikumu, kurā attiecīgās sugas ir uzskaitītas ar attiecīgu norādi attiecīgajos pielikumos.</w:t>
            </w:r>
          </w:p>
          <w:p w14:paraId="37B7829E" w14:textId="0229298B" w:rsidR="002023D6" w:rsidRPr="006617B4" w:rsidRDefault="00D520A7" w:rsidP="00D05B9F">
            <w:pPr>
              <w:pStyle w:val="List1"/>
              <w:spacing w:before="0" w:beforeAutospacing="0" w:after="0" w:afterAutospacing="0"/>
              <w:jc w:val="both"/>
            </w:pPr>
            <w:r w:rsidRPr="006617B4">
              <w:t xml:space="preserve">        </w:t>
            </w:r>
            <w:r w:rsidR="00564EFA" w:rsidRPr="006617B4">
              <w:t>Īpatni uzskata par A līdz D pielikumā uzskaitīto sugu īpatni, ja tas vai arī daļa vai atvasinājums no tā ir cēlies no dzīvnieka vai auga, kur vismaz viens no “vecākiem” pieder pie tur uzskaitītajām sugām. Ja šāda dzīvnieka vai auga “vecāki” ir no citā pielikumā uzskaitītām sugām vai arī no sugām, no kurām tikai viena ir uzskaitīta, tad piemēro ierobežojošākā pielikuma noteikumus. Tomēr hibrīdu augu īpatņu gadījumā, ja viens no “vecākiem” ir no A pielikumā minētas sugas, ierobežojošākā pielikuma noteikumus piemēro tikai tad, ja šī suga pielikumā ir attiecīgi atzīmēta</w:t>
            </w:r>
            <w:r w:rsidR="001D0C5C" w:rsidRPr="006617B4">
              <w:t>;</w:t>
            </w:r>
          </w:p>
          <w:p w14:paraId="1824AE9B" w14:textId="77777777" w:rsidR="008165DF" w:rsidRPr="006617B4" w:rsidRDefault="002023D6" w:rsidP="006617B4">
            <w:pPr>
              <w:spacing w:after="0" w:line="240" w:lineRule="auto"/>
              <w:ind w:firstLine="530"/>
              <w:jc w:val="both"/>
              <w:rPr>
                <w:szCs w:val="24"/>
              </w:rPr>
            </w:pPr>
            <w:r w:rsidRPr="006617B4">
              <w:rPr>
                <w:szCs w:val="24"/>
              </w:rPr>
              <w:t>- -</w:t>
            </w:r>
            <w:r w:rsidR="001D0C5C" w:rsidRPr="006617B4">
              <w:rPr>
                <w:szCs w:val="24"/>
              </w:rPr>
              <w:t xml:space="preserve"> citas preces, kuru tranzīts ir aizliegts vai ierobežots saskaņā ar normatīvajiem aktiem (projekta 2</w:t>
            </w:r>
            <w:r w:rsidR="00694C18" w:rsidRPr="006617B4">
              <w:rPr>
                <w:szCs w:val="24"/>
              </w:rPr>
              <w:t>2</w:t>
            </w:r>
            <w:r w:rsidR="001D0C5C" w:rsidRPr="006617B4">
              <w:rPr>
                <w:szCs w:val="24"/>
              </w:rPr>
              <w:t>.10.apakšpunkts)</w:t>
            </w:r>
            <w:r w:rsidR="00A2443F" w:rsidRPr="006617B4">
              <w:rPr>
                <w:szCs w:val="24"/>
              </w:rPr>
              <w:t xml:space="preserve">. Citas preces, kuru tranzīts ir aizliegts vai ierobežots, atbilstoši Muitas administrācijas īstenojamai misijai attiecībā uz aizliegumiem un ierobežojumiem, ko pamato, </w:t>
            </w:r>
            <w:proofErr w:type="spellStart"/>
            <w:r w:rsidR="00A2443F" w:rsidRPr="006617B4">
              <w:rPr>
                <w:i/>
                <w:szCs w:val="24"/>
              </w:rPr>
              <w:t>inter</w:t>
            </w:r>
            <w:proofErr w:type="spellEnd"/>
            <w:r w:rsidR="00A2443F" w:rsidRPr="006617B4">
              <w:rPr>
                <w:i/>
                <w:szCs w:val="24"/>
              </w:rPr>
              <w:t xml:space="preserve"> </w:t>
            </w:r>
            <w:proofErr w:type="spellStart"/>
            <w:r w:rsidR="00A2443F" w:rsidRPr="006617B4">
              <w:rPr>
                <w:i/>
                <w:szCs w:val="24"/>
              </w:rPr>
              <w:t>alia</w:t>
            </w:r>
            <w:proofErr w:type="spellEnd"/>
            <w:r w:rsidR="00A2443F" w:rsidRPr="006617B4">
              <w:rPr>
                <w:szCs w:val="24"/>
              </w:rPr>
              <w:t>, ar sabiedrības morāli, sabiedrisko kārtību vai sabiedrības drošību, cilvēku, dzīvnieku vai augu dzīvības un veselības aizsardzību, vides aizsardzību,</w:t>
            </w:r>
            <w:r w:rsidR="00A2443F" w:rsidRPr="006617B4">
              <w:t xml:space="preserve"> </w:t>
            </w:r>
            <w:r w:rsidR="00A2443F" w:rsidRPr="006617B4">
              <w:rPr>
                <w:szCs w:val="24"/>
              </w:rPr>
              <w:t xml:space="preserve">tādu nacionālo bagātību aizsardzību, kurām ir mākslas, vēstures vai arheoloģiska vērtība, un rūpnieciskā vai komerciālā īpašuma aizsardzību, precēm, ar kurām ir pārkāptas dažas intelektuālā īpašuma tiesības, kā arī attiecībā uz tām īsteno </w:t>
            </w:r>
            <w:r w:rsidR="00A2443F" w:rsidRPr="006617B4">
              <w:rPr>
                <w:szCs w:val="24"/>
              </w:rPr>
              <w:lastRenderedPageBreak/>
              <w:t>zivsaimniecības saglabāšanas un pārvaldības pasākumus un tirdzniecības politikas pasākumus.</w:t>
            </w:r>
          </w:p>
          <w:p w14:paraId="79137301" w14:textId="304D206C" w:rsidR="008165DF" w:rsidRPr="006617B4" w:rsidRDefault="00231BB0" w:rsidP="006617B4">
            <w:pPr>
              <w:spacing w:after="0" w:line="240" w:lineRule="auto"/>
              <w:ind w:left="-47" w:firstLine="577"/>
              <w:jc w:val="both"/>
              <w:rPr>
                <w:szCs w:val="24"/>
              </w:rPr>
            </w:pPr>
            <w:r w:rsidRPr="006617B4">
              <w:rPr>
                <w:szCs w:val="24"/>
              </w:rPr>
              <w:t xml:space="preserve"> Ņemot vērā to, ka</w:t>
            </w:r>
            <w:r w:rsidR="00CA4B88" w:rsidRPr="006617B4">
              <w:rPr>
                <w:szCs w:val="24"/>
              </w:rPr>
              <w:t xml:space="preserve"> </w:t>
            </w:r>
            <w:r w:rsidR="008165DF" w:rsidRPr="006617B4">
              <w:rPr>
                <w:szCs w:val="24"/>
              </w:rPr>
              <w:t>noteikumu projekta</w:t>
            </w:r>
            <w:r w:rsidR="00733C45" w:rsidRPr="006617B4">
              <w:rPr>
                <w:szCs w:val="24"/>
              </w:rPr>
              <w:t xml:space="preserve">  iepriekš minētājos</w:t>
            </w:r>
            <w:r w:rsidR="00CA4B88" w:rsidRPr="006617B4">
              <w:rPr>
                <w:szCs w:val="24"/>
              </w:rPr>
              <w:t xml:space="preserve"> apakšpunktos ir noteiktas tās preču grupas, kuru tranzīta ierobežojošie</w:t>
            </w:r>
            <w:r w:rsidR="00E24208" w:rsidRPr="006617B4">
              <w:rPr>
                <w:szCs w:val="24"/>
              </w:rPr>
              <w:t xml:space="preserve"> un/vai aizliedzošie</w:t>
            </w:r>
            <w:r w:rsidR="00CA4B88" w:rsidRPr="006617B4">
              <w:rPr>
                <w:szCs w:val="24"/>
              </w:rPr>
              <w:t xml:space="preserve"> pasākumi ir </w:t>
            </w:r>
            <w:r w:rsidR="00E24208" w:rsidRPr="006617B4">
              <w:rPr>
                <w:szCs w:val="24"/>
              </w:rPr>
              <w:t xml:space="preserve">vēsturiski </w:t>
            </w:r>
            <w:r w:rsidR="00CA4B88" w:rsidRPr="006617B4">
              <w:rPr>
                <w:szCs w:val="24"/>
              </w:rPr>
              <w:t xml:space="preserve">noteikti ar </w:t>
            </w:r>
            <w:r w:rsidR="00E24208" w:rsidRPr="006617B4">
              <w:rPr>
                <w:szCs w:val="24"/>
              </w:rPr>
              <w:t>normatīvajiem aktiem, nevajadzētu izslēgt faktu, ka tiks pieņemti jauni likumdošanas akti</w:t>
            </w:r>
            <w:r w:rsidR="00733C45" w:rsidRPr="006617B4">
              <w:rPr>
                <w:szCs w:val="24"/>
              </w:rPr>
              <w:t xml:space="preserve"> saistībā ar</w:t>
            </w:r>
            <w:r w:rsidR="00E24208" w:rsidRPr="006617B4">
              <w:rPr>
                <w:szCs w:val="24"/>
              </w:rPr>
              <w:t xml:space="preserve"> citu preču grupu tranzīta ierobe</w:t>
            </w:r>
            <w:r w:rsidR="00733C45" w:rsidRPr="006617B4">
              <w:rPr>
                <w:szCs w:val="24"/>
              </w:rPr>
              <w:t>žojumiem un aizliegumiem</w:t>
            </w:r>
            <w:r w:rsidR="00E24208" w:rsidRPr="006617B4">
              <w:rPr>
                <w:szCs w:val="24"/>
              </w:rPr>
              <w:t xml:space="preserve">, </w:t>
            </w:r>
            <w:r w:rsidR="00733C45" w:rsidRPr="006617B4">
              <w:rPr>
                <w:szCs w:val="24"/>
              </w:rPr>
              <w:t>līdz ar to</w:t>
            </w:r>
            <w:r w:rsidR="00E24208" w:rsidRPr="006617B4">
              <w:rPr>
                <w:szCs w:val="24"/>
              </w:rPr>
              <w:t xml:space="preserve"> </w:t>
            </w:r>
            <w:r w:rsidR="00AA3D34" w:rsidRPr="006617B4">
              <w:rPr>
                <w:szCs w:val="24"/>
              </w:rPr>
              <w:t xml:space="preserve">lai izslēgtu nepieciešamību izstrādāt noteikumu projekta grozījumus, tika </w:t>
            </w:r>
            <w:r w:rsidR="008165DF" w:rsidRPr="006617B4">
              <w:rPr>
                <w:szCs w:val="24"/>
              </w:rPr>
              <w:t xml:space="preserve">iestrādāts </w:t>
            </w:r>
            <w:r w:rsidR="00733C45" w:rsidRPr="006617B4">
              <w:rPr>
                <w:szCs w:val="24"/>
              </w:rPr>
              <w:t>22.10.</w:t>
            </w:r>
            <w:r w:rsidR="008165DF" w:rsidRPr="006617B4">
              <w:rPr>
                <w:szCs w:val="24"/>
              </w:rPr>
              <w:t xml:space="preserve"> apakšpunkts.</w:t>
            </w:r>
            <w:r w:rsidR="00E24208" w:rsidRPr="006617B4">
              <w:rPr>
                <w:szCs w:val="24"/>
              </w:rPr>
              <w:t xml:space="preserve"> </w:t>
            </w:r>
            <w:r w:rsidR="00A2443F" w:rsidRPr="006617B4">
              <w:rPr>
                <w:szCs w:val="24"/>
              </w:rPr>
              <w:t xml:space="preserve"> </w:t>
            </w:r>
          </w:p>
          <w:p w14:paraId="4CFB30DA" w14:textId="7A2FD5A9" w:rsidR="008F5823" w:rsidRPr="006617B4" w:rsidRDefault="00A2443F" w:rsidP="006617B4">
            <w:pPr>
              <w:spacing w:after="0" w:line="240" w:lineRule="auto"/>
              <w:ind w:left="-47" w:firstLine="577"/>
              <w:jc w:val="both"/>
              <w:rPr>
                <w:szCs w:val="24"/>
              </w:rPr>
            </w:pPr>
            <w:r w:rsidRPr="006617B4">
              <w:rPr>
                <w:szCs w:val="24"/>
              </w:rPr>
              <w:t>Informācija par šādām precēm tiek regulāri publicēta VID mājas lapā</w:t>
            </w:r>
            <w:r w:rsidR="00A747C5" w:rsidRPr="006617B4">
              <w:rPr>
                <w:szCs w:val="24"/>
              </w:rPr>
              <w:t>, kā arī iekļauta VID Integrētā tarifa vadības sistēmā (ITVS)</w:t>
            </w:r>
            <w:r w:rsidR="00A747C5" w:rsidRPr="006617B4">
              <w:t xml:space="preserve"> un </w:t>
            </w:r>
            <w:r w:rsidR="00A747C5" w:rsidRPr="006617B4">
              <w:rPr>
                <w:szCs w:val="24"/>
              </w:rPr>
              <w:t xml:space="preserve"> </w:t>
            </w:r>
            <w:r w:rsidR="00D128F8" w:rsidRPr="006617B4">
              <w:rPr>
                <w:szCs w:val="24"/>
              </w:rPr>
              <w:t xml:space="preserve">VID </w:t>
            </w:r>
            <w:r w:rsidR="00A747C5" w:rsidRPr="006617B4">
              <w:rPr>
                <w:szCs w:val="24"/>
              </w:rPr>
              <w:t>Elektroniskā muitas datu apstrādes sistēm</w:t>
            </w:r>
            <w:r w:rsidR="00D128F8" w:rsidRPr="006617B4">
              <w:rPr>
                <w:szCs w:val="24"/>
              </w:rPr>
              <w:t>ā</w:t>
            </w:r>
            <w:r w:rsidR="00A747C5" w:rsidRPr="006617B4">
              <w:rPr>
                <w:szCs w:val="24"/>
              </w:rPr>
              <w:t xml:space="preserve"> (EMDAS).</w:t>
            </w:r>
          </w:p>
          <w:p w14:paraId="5B8DF974" w14:textId="599CFD3D" w:rsidR="00286F8C" w:rsidRPr="006617B4" w:rsidRDefault="002023D6" w:rsidP="006617B4">
            <w:pPr>
              <w:spacing w:after="0" w:line="240" w:lineRule="auto"/>
              <w:ind w:left="-47" w:firstLine="577"/>
              <w:jc w:val="both"/>
              <w:rPr>
                <w:szCs w:val="24"/>
              </w:rPr>
            </w:pPr>
            <w:r w:rsidRPr="006617B4">
              <w:rPr>
                <w:szCs w:val="24"/>
              </w:rPr>
              <w:t>P</w:t>
            </w:r>
            <w:r w:rsidR="009A2998" w:rsidRPr="006617B4">
              <w:rPr>
                <w:szCs w:val="24"/>
              </w:rPr>
              <w:t xml:space="preserve">rojekta </w:t>
            </w:r>
            <w:r w:rsidR="004E1CBE" w:rsidRPr="006617B4">
              <w:rPr>
                <w:szCs w:val="24"/>
              </w:rPr>
              <w:t>2</w:t>
            </w:r>
            <w:r w:rsidR="00694C18" w:rsidRPr="006617B4">
              <w:rPr>
                <w:szCs w:val="24"/>
              </w:rPr>
              <w:t>3</w:t>
            </w:r>
            <w:r w:rsidR="009A2998" w:rsidRPr="006617B4">
              <w:rPr>
                <w:szCs w:val="24"/>
              </w:rPr>
              <w:t>.</w:t>
            </w:r>
            <w:r w:rsidR="00694C18" w:rsidRPr="006617B4">
              <w:rPr>
                <w:szCs w:val="24"/>
              </w:rPr>
              <w:t> </w:t>
            </w:r>
            <w:r w:rsidR="009A2998" w:rsidRPr="006617B4">
              <w:rPr>
                <w:szCs w:val="24"/>
              </w:rPr>
              <w:t xml:space="preserve">punktā ir noteikta </w:t>
            </w:r>
            <w:r w:rsidR="00286F8C" w:rsidRPr="006617B4">
              <w:rPr>
                <w:szCs w:val="24"/>
              </w:rPr>
              <w:t xml:space="preserve">informācija, kas ir norādama </w:t>
            </w:r>
            <w:r w:rsidR="003A24E2" w:rsidRPr="006617B4">
              <w:rPr>
                <w:szCs w:val="24"/>
              </w:rPr>
              <w:t>pieteikumā</w:t>
            </w:r>
            <w:r w:rsidR="00286F8C" w:rsidRPr="006617B4">
              <w:rPr>
                <w:szCs w:val="24"/>
              </w:rPr>
              <w:t xml:space="preserve"> </w:t>
            </w:r>
            <w:r w:rsidR="00D34771" w:rsidRPr="006617B4">
              <w:rPr>
                <w:szCs w:val="24"/>
              </w:rPr>
              <w:t>pilnvarot</w:t>
            </w:r>
            <w:r w:rsidR="00F16663" w:rsidRPr="006617B4">
              <w:rPr>
                <w:szCs w:val="24"/>
              </w:rPr>
              <w:t xml:space="preserve">ā </w:t>
            </w:r>
            <w:r w:rsidR="00286F8C" w:rsidRPr="006617B4">
              <w:rPr>
                <w:szCs w:val="24"/>
              </w:rPr>
              <w:t xml:space="preserve">TIR </w:t>
            </w:r>
            <w:r w:rsidR="00515E8D" w:rsidRPr="006617B4">
              <w:rPr>
                <w:szCs w:val="24"/>
              </w:rPr>
              <w:t>nosūtītāja atļaujas</w:t>
            </w:r>
            <w:r w:rsidR="00286F8C" w:rsidRPr="006617B4">
              <w:rPr>
                <w:szCs w:val="24"/>
              </w:rPr>
              <w:t xml:space="preserve"> </w:t>
            </w:r>
            <w:r w:rsidR="003A33AF" w:rsidRPr="006617B4">
              <w:rPr>
                <w:szCs w:val="24"/>
              </w:rPr>
              <w:t>saņemšanai</w:t>
            </w:r>
            <w:r w:rsidR="00286F8C" w:rsidRPr="006617B4">
              <w:rPr>
                <w:szCs w:val="24"/>
              </w:rPr>
              <w:t xml:space="preserve"> un </w:t>
            </w:r>
            <w:r w:rsidR="004E1CBE" w:rsidRPr="006617B4">
              <w:rPr>
                <w:szCs w:val="24"/>
              </w:rPr>
              <w:t>2</w:t>
            </w:r>
            <w:r w:rsidR="00694C18" w:rsidRPr="006617B4">
              <w:rPr>
                <w:szCs w:val="24"/>
              </w:rPr>
              <w:t>4</w:t>
            </w:r>
            <w:r w:rsidR="004E1CBE" w:rsidRPr="006617B4">
              <w:rPr>
                <w:szCs w:val="24"/>
              </w:rPr>
              <w:t xml:space="preserve">.punktā ir noteikti </w:t>
            </w:r>
            <w:r w:rsidR="003A24E2" w:rsidRPr="006617B4">
              <w:rPr>
                <w:szCs w:val="24"/>
              </w:rPr>
              <w:t xml:space="preserve">pieteikumam </w:t>
            </w:r>
            <w:r w:rsidR="00286F8C" w:rsidRPr="006617B4">
              <w:rPr>
                <w:szCs w:val="24"/>
              </w:rPr>
              <w:t>pievienojamie dokumenti</w:t>
            </w:r>
            <w:r w:rsidR="00622495" w:rsidRPr="006617B4">
              <w:rPr>
                <w:szCs w:val="24"/>
              </w:rPr>
              <w:t>.</w:t>
            </w:r>
          </w:p>
          <w:p w14:paraId="6B41112B" w14:textId="41EBA744" w:rsidR="000E39AD" w:rsidRDefault="002023D6" w:rsidP="006617B4">
            <w:pPr>
              <w:spacing w:after="0" w:line="240" w:lineRule="auto"/>
              <w:ind w:left="-47" w:firstLine="577"/>
              <w:jc w:val="both"/>
              <w:rPr>
                <w:szCs w:val="24"/>
              </w:rPr>
            </w:pPr>
            <w:r w:rsidRPr="006617B4">
              <w:rPr>
                <w:szCs w:val="24"/>
              </w:rPr>
              <w:t>P</w:t>
            </w:r>
            <w:r w:rsidR="009A2998" w:rsidRPr="006617B4">
              <w:rPr>
                <w:szCs w:val="24"/>
              </w:rPr>
              <w:t>rojekta 2</w:t>
            </w:r>
            <w:r w:rsidR="00694C18" w:rsidRPr="006617B4">
              <w:rPr>
                <w:szCs w:val="24"/>
              </w:rPr>
              <w:t>5</w:t>
            </w:r>
            <w:r w:rsidR="009A2998" w:rsidRPr="006617B4">
              <w:rPr>
                <w:szCs w:val="24"/>
              </w:rPr>
              <w:t>.</w:t>
            </w:r>
            <w:r w:rsidR="009F32ED" w:rsidRPr="006617B4">
              <w:rPr>
                <w:szCs w:val="24"/>
              </w:rPr>
              <w:t xml:space="preserve"> un 2</w:t>
            </w:r>
            <w:r w:rsidR="00694C18" w:rsidRPr="006617B4">
              <w:rPr>
                <w:szCs w:val="24"/>
              </w:rPr>
              <w:t>7</w:t>
            </w:r>
            <w:r w:rsidR="009F32ED" w:rsidRPr="006617B4">
              <w:rPr>
                <w:szCs w:val="24"/>
              </w:rPr>
              <w:t>.</w:t>
            </w:r>
            <w:r w:rsidR="009A2998" w:rsidRPr="006617B4">
              <w:rPr>
                <w:szCs w:val="24"/>
              </w:rPr>
              <w:t xml:space="preserve">punktā ir </w:t>
            </w:r>
            <w:r w:rsidR="00CA1570" w:rsidRPr="006617B4">
              <w:rPr>
                <w:szCs w:val="24"/>
              </w:rPr>
              <w:t xml:space="preserve">noteikti </w:t>
            </w:r>
            <w:r w:rsidR="00C975AE" w:rsidRPr="006617B4">
              <w:rPr>
                <w:szCs w:val="24"/>
              </w:rPr>
              <w:t>kritēriji, kur</w:t>
            </w:r>
            <w:r w:rsidR="00D36633" w:rsidRPr="006617B4">
              <w:rPr>
                <w:szCs w:val="24"/>
              </w:rPr>
              <w:t>ie</w:t>
            </w:r>
            <w:r w:rsidR="00286F8C" w:rsidRPr="006617B4">
              <w:rPr>
                <w:szCs w:val="24"/>
              </w:rPr>
              <w:t>m jāatbilst person</w:t>
            </w:r>
            <w:r w:rsidR="00C975AE" w:rsidRPr="006617B4">
              <w:rPr>
                <w:szCs w:val="24"/>
              </w:rPr>
              <w:t>ai</w:t>
            </w:r>
            <w:r w:rsidR="00286F8C" w:rsidRPr="006617B4">
              <w:rPr>
                <w:szCs w:val="24"/>
              </w:rPr>
              <w:t xml:space="preserve">, </w:t>
            </w:r>
            <w:r w:rsidR="00C975AE" w:rsidRPr="006617B4">
              <w:rPr>
                <w:szCs w:val="24"/>
              </w:rPr>
              <w:t xml:space="preserve">lai saņemtu TIR procedūras vienkāršojuma </w:t>
            </w:r>
            <w:r w:rsidR="00F16663" w:rsidRPr="006617B4">
              <w:rPr>
                <w:szCs w:val="24"/>
              </w:rPr>
              <w:t>–</w:t>
            </w:r>
            <w:r w:rsidR="00C975AE" w:rsidRPr="006617B4">
              <w:rPr>
                <w:szCs w:val="24"/>
              </w:rPr>
              <w:t xml:space="preserve"> </w:t>
            </w:r>
            <w:r w:rsidR="00D34771" w:rsidRPr="006617B4">
              <w:rPr>
                <w:szCs w:val="24"/>
              </w:rPr>
              <w:t>pilnvarot</w:t>
            </w:r>
            <w:r w:rsidR="00F16663" w:rsidRPr="006617B4">
              <w:rPr>
                <w:szCs w:val="24"/>
              </w:rPr>
              <w:t xml:space="preserve">ā </w:t>
            </w:r>
            <w:r w:rsidR="00C975AE" w:rsidRPr="006617B4">
              <w:rPr>
                <w:szCs w:val="24"/>
              </w:rPr>
              <w:t xml:space="preserve">TIR </w:t>
            </w:r>
            <w:r w:rsidR="00515E8D" w:rsidRPr="006617B4">
              <w:rPr>
                <w:szCs w:val="24"/>
              </w:rPr>
              <w:t xml:space="preserve">nosūtītāja </w:t>
            </w:r>
            <w:r w:rsidR="00C975AE" w:rsidRPr="006617B4">
              <w:rPr>
                <w:szCs w:val="24"/>
              </w:rPr>
              <w:t xml:space="preserve">atļauju. Personām jāatbilst: vispārīgiem </w:t>
            </w:r>
            <w:r w:rsidR="00622495" w:rsidRPr="006617B4">
              <w:rPr>
                <w:szCs w:val="24"/>
              </w:rPr>
              <w:t>Eiropas Savienības muitas likumdošanā</w:t>
            </w:r>
            <w:r w:rsidR="00C975AE" w:rsidRPr="006617B4">
              <w:rPr>
                <w:szCs w:val="24"/>
              </w:rPr>
              <w:t xml:space="preserve"> </w:t>
            </w:r>
            <w:r w:rsidR="00622495" w:rsidRPr="006617B4">
              <w:rPr>
                <w:szCs w:val="24"/>
              </w:rPr>
              <w:t xml:space="preserve">noteiktajiem </w:t>
            </w:r>
            <w:r w:rsidR="00C975AE" w:rsidRPr="006617B4">
              <w:rPr>
                <w:szCs w:val="24"/>
              </w:rPr>
              <w:t>vienkāršojumu piešķiršanas kritērijiem (</w:t>
            </w:r>
            <w:r w:rsidR="001457E7" w:rsidRPr="006617B4">
              <w:rPr>
                <w:szCs w:val="24"/>
              </w:rPr>
              <w:t xml:space="preserve">piemēram, </w:t>
            </w:r>
            <w:r w:rsidR="00C975AE" w:rsidRPr="006617B4">
              <w:rPr>
                <w:szCs w:val="24"/>
              </w:rPr>
              <w:t>regula</w:t>
            </w:r>
            <w:r w:rsidR="009B7879" w:rsidRPr="006617B4">
              <w:rPr>
                <w:szCs w:val="24"/>
              </w:rPr>
              <w:t>s</w:t>
            </w:r>
            <w:r w:rsidR="00C975AE" w:rsidRPr="006617B4">
              <w:rPr>
                <w:szCs w:val="24"/>
              </w:rPr>
              <w:t xml:space="preserve"> Nr.2454/93 373.</w:t>
            </w:r>
            <w:r w:rsidR="003A24E2" w:rsidRPr="006617B4">
              <w:rPr>
                <w:szCs w:val="24"/>
              </w:rPr>
              <w:t>panta 1.</w:t>
            </w:r>
            <w:r w:rsidR="001457E7" w:rsidRPr="006617B4">
              <w:rPr>
                <w:szCs w:val="24"/>
              </w:rPr>
              <w:t>punktā</w:t>
            </w:r>
            <w:r w:rsidR="00C975AE" w:rsidRPr="006617B4">
              <w:rPr>
                <w:szCs w:val="24"/>
              </w:rPr>
              <w:t xml:space="preserve">); </w:t>
            </w:r>
            <w:proofErr w:type="spellStart"/>
            <w:r w:rsidR="002905A1" w:rsidRPr="006617B4">
              <w:rPr>
                <w:i/>
                <w:szCs w:val="24"/>
              </w:rPr>
              <w:t>mutatis</w:t>
            </w:r>
            <w:proofErr w:type="spellEnd"/>
            <w:r w:rsidR="002905A1" w:rsidRPr="006617B4">
              <w:rPr>
                <w:i/>
                <w:szCs w:val="24"/>
              </w:rPr>
              <w:t xml:space="preserve"> </w:t>
            </w:r>
            <w:proofErr w:type="spellStart"/>
            <w:r w:rsidR="002905A1" w:rsidRPr="006617B4">
              <w:rPr>
                <w:i/>
                <w:szCs w:val="24"/>
              </w:rPr>
              <w:t>mutandis</w:t>
            </w:r>
            <w:proofErr w:type="spellEnd"/>
            <w:r w:rsidR="002905A1" w:rsidRPr="006617B4">
              <w:rPr>
                <w:szCs w:val="24"/>
              </w:rPr>
              <w:t xml:space="preserve"> </w:t>
            </w:r>
            <w:r w:rsidR="00C975AE" w:rsidRPr="006617B4">
              <w:rPr>
                <w:szCs w:val="24"/>
              </w:rPr>
              <w:t>TIR konvencijā noteiktajiem kritērijiem</w:t>
            </w:r>
            <w:r w:rsidR="001457E7" w:rsidRPr="006617B4">
              <w:rPr>
                <w:szCs w:val="24"/>
              </w:rPr>
              <w:t xml:space="preserve"> (TIR Konvencijas 9.pielikuma </w:t>
            </w:r>
            <w:proofErr w:type="spellStart"/>
            <w:r w:rsidR="001457E7" w:rsidRPr="006617B4">
              <w:rPr>
                <w:szCs w:val="24"/>
              </w:rPr>
              <w:t>II.daļa</w:t>
            </w:r>
            <w:proofErr w:type="spellEnd"/>
            <w:r w:rsidR="001457E7" w:rsidRPr="006617B4">
              <w:rPr>
                <w:szCs w:val="24"/>
              </w:rPr>
              <w:t>)</w:t>
            </w:r>
            <w:r w:rsidR="002905A1" w:rsidRPr="006617B4">
              <w:rPr>
                <w:szCs w:val="24"/>
              </w:rPr>
              <w:t xml:space="preserve">, lai persona saņemtu piekļuvi TIR procedūrai (ņemot vērā, ka </w:t>
            </w:r>
            <w:r w:rsidR="003A68D0" w:rsidRPr="006617B4">
              <w:rPr>
                <w:szCs w:val="24"/>
              </w:rPr>
              <w:t>pilnvarotais</w:t>
            </w:r>
            <w:r w:rsidR="002905A1" w:rsidRPr="006617B4">
              <w:rPr>
                <w:szCs w:val="24"/>
              </w:rPr>
              <w:t xml:space="preserve"> </w:t>
            </w:r>
            <w:r w:rsidR="00F16663" w:rsidRPr="006617B4">
              <w:rPr>
                <w:szCs w:val="24"/>
              </w:rPr>
              <w:t xml:space="preserve">TIR </w:t>
            </w:r>
            <w:r w:rsidR="002905A1" w:rsidRPr="006617B4">
              <w:rPr>
                <w:szCs w:val="24"/>
              </w:rPr>
              <w:t>nosūtītājs rīkojas kā TIR karnetes turētāja (principāla) pārstāvis un</w:t>
            </w:r>
            <w:r w:rsidR="002905A1">
              <w:rPr>
                <w:szCs w:val="24"/>
              </w:rPr>
              <w:t xml:space="preserve"> pats neveic preču pārvadājumu)</w:t>
            </w:r>
            <w:r w:rsidR="00FC668F">
              <w:rPr>
                <w:szCs w:val="24"/>
              </w:rPr>
              <w:t xml:space="preserve">. Minēto kritēriju atbilstības pārbaudi </w:t>
            </w:r>
            <w:r w:rsidR="00AA2F7B">
              <w:rPr>
                <w:szCs w:val="24"/>
              </w:rPr>
              <w:t xml:space="preserve">jāveic </w:t>
            </w:r>
            <w:r w:rsidR="007263F0" w:rsidRPr="007263F0">
              <w:rPr>
                <w:szCs w:val="24"/>
              </w:rPr>
              <w:t>Valsts ieņēmumu dienesta</w:t>
            </w:r>
            <w:r w:rsidR="007263F0">
              <w:rPr>
                <w:szCs w:val="24"/>
              </w:rPr>
              <w:t>m</w:t>
            </w:r>
            <w:r w:rsidR="00AA2F7B">
              <w:rPr>
                <w:szCs w:val="24"/>
              </w:rPr>
              <w:t xml:space="preserve"> un </w:t>
            </w:r>
            <w:r w:rsidR="00AA2F7B" w:rsidRPr="00AA2F7B">
              <w:rPr>
                <w:szCs w:val="24"/>
              </w:rPr>
              <w:t>garantējoš</w:t>
            </w:r>
            <w:r w:rsidR="00AA2F7B">
              <w:rPr>
                <w:szCs w:val="24"/>
              </w:rPr>
              <w:t>ajai</w:t>
            </w:r>
            <w:r w:rsidR="00AA2F7B" w:rsidRPr="00AA2F7B">
              <w:rPr>
                <w:szCs w:val="24"/>
              </w:rPr>
              <w:t xml:space="preserve"> asociācija</w:t>
            </w:r>
            <w:r w:rsidR="00AA2F7B">
              <w:rPr>
                <w:szCs w:val="24"/>
              </w:rPr>
              <w:t>i, garantējošajai asociācijai pārbaudot personas atbilstību tiem kritērijiem, kuru pārbaudē jāizmanto garantējošās asociācijas ekskluzīvā kompetencē esoš</w:t>
            </w:r>
            <w:r w:rsidR="00056A7F">
              <w:rPr>
                <w:szCs w:val="24"/>
              </w:rPr>
              <w:t>ā</w:t>
            </w:r>
            <w:r w:rsidR="00AA2F7B">
              <w:rPr>
                <w:szCs w:val="24"/>
              </w:rPr>
              <w:t xml:space="preserve"> </w:t>
            </w:r>
            <w:r w:rsidR="00056A7F">
              <w:rPr>
                <w:szCs w:val="24"/>
              </w:rPr>
              <w:t>informācija</w:t>
            </w:r>
            <w:r w:rsidR="0044775D">
              <w:rPr>
                <w:szCs w:val="24"/>
              </w:rPr>
              <w:t>.</w:t>
            </w:r>
          </w:p>
          <w:p w14:paraId="0788C399" w14:textId="51E841CD" w:rsidR="000E39AD" w:rsidRPr="006617B4" w:rsidRDefault="000E39AD" w:rsidP="006617B4">
            <w:pPr>
              <w:spacing w:after="0" w:line="240" w:lineRule="auto"/>
              <w:ind w:firstLine="530"/>
              <w:jc w:val="both"/>
              <w:rPr>
                <w:szCs w:val="24"/>
              </w:rPr>
            </w:pPr>
            <w:r w:rsidRPr="006617B4">
              <w:rPr>
                <w:szCs w:val="24"/>
              </w:rPr>
              <w:t xml:space="preserve">- </w:t>
            </w:r>
            <w:r w:rsidR="00484D58" w:rsidRPr="006617B4">
              <w:rPr>
                <w:szCs w:val="24"/>
              </w:rPr>
              <w:t xml:space="preserve">Saskaņā ar </w:t>
            </w:r>
            <w:r w:rsidR="0044775D" w:rsidRPr="006617B4">
              <w:rPr>
                <w:szCs w:val="24"/>
              </w:rPr>
              <w:t xml:space="preserve"> </w:t>
            </w:r>
            <w:r w:rsidR="00484D58" w:rsidRPr="006617B4">
              <w:rPr>
                <w:szCs w:val="24"/>
              </w:rPr>
              <w:t xml:space="preserve">Ministru kabineta 2013.gada 15.oktobra noteikumu Nr.1108 </w:t>
            </w:r>
            <w:r w:rsidR="00484D58" w:rsidRPr="006617B4">
              <w:rPr>
                <w:rFonts w:cs="Times New Roman"/>
                <w:szCs w:val="24"/>
              </w:rPr>
              <w:t>“</w:t>
            </w:r>
            <w:r w:rsidR="0044775D" w:rsidRPr="006617B4">
              <w:rPr>
                <w:szCs w:val="24"/>
              </w:rPr>
              <w:t>Kārtība, kādā, muitojot preces, elektroni</w:t>
            </w:r>
            <w:r w:rsidR="00484D58" w:rsidRPr="006617B4">
              <w:rPr>
                <w:szCs w:val="24"/>
              </w:rPr>
              <w:t xml:space="preserve">ski iesniedz muitas </w:t>
            </w:r>
            <w:r w:rsidR="0044775D" w:rsidRPr="006617B4">
              <w:rPr>
                <w:szCs w:val="24"/>
              </w:rPr>
              <w:t>normatīvajos aktos noteiktās deklarācijas</w:t>
            </w:r>
            <w:r w:rsidR="00484D58" w:rsidRPr="006617B4">
              <w:rPr>
                <w:szCs w:val="24"/>
              </w:rPr>
              <w:t>” 3. un 4.</w:t>
            </w:r>
            <w:r w:rsidR="00987FC1" w:rsidRPr="006617B4">
              <w:rPr>
                <w:szCs w:val="24"/>
              </w:rPr>
              <w:t> </w:t>
            </w:r>
            <w:r w:rsidR="00484D58" w:rsidRPr="006617B4">
              <w:rPr>
                <w:szCs w:val="24"/>
              </w:rPr>
              <w:t>punktu tiek noteikta kārtība, kādā</w:t>
            </w:r>
            <w:r w:rsidR="00484D58" w:rsidRPr="006617B4">
              <w:rPr>
                <w:rFonts w:cs="Times New Roman"/>
                <w:sz w:val="28"/>
                <w:szCs w:val="28"/>
              </w:rPr>
              <w:t xml:space="preserve"> </w:t>
            </w:r>
            <w:r w:rsidR="00484D58" w:rsidRPr="006617B4">
              <w:rPr>
                <w:rFonts w:cs="Times New Roman"/>
                <w:szCs w:val="24"/>
              </w:rPr>
              <w:t xml:space="preserve">persona </w:t>
            </w:r>
            <w:r w:rsidR="00484D58" w:rsidRPr="006617B4">
              <w:rPr>
                <w:szCs w:val="24"/>
              </w:rPr>
              <w:t>nodrošina tranzīta dokumentu iesniegšanu elektroniskā veidā Valsts ieņēmumu dienesta informācijas sistēmās (projekta 2</w:t>
            </w:r>
            <w:r w:rsidR="00694C18" w:rsidRPr="006617B4">
              <w:rPr>
                <w:szCs w:val="24"/>
              </w:rPr>
              <w:t>5</w:t>
            </w:r>
            <w:r w:rsidR="00484D58" w:rsidRPr="006617B4">
              <w:rPr>
                <w:szCs w:val="24"/>
              </w:rPr>
              <w:t>.</w:t>
            </w:r>
            <w:r w:rsidR="001457E7" w:rsidRPr="006617B4">
              <w:rPr>
                <w:szCs w:val="24"/>
              </w:rPr>
              <w:t>6</w:t>
            </w:r>
            <w:r w:rsidR="00484D58" w:rsidRPr="006617B4">
              <w:rPr>
                <w:szCs w:val="24"/>
              </w:rPr>
              <w:t>.</w:t>
            </w:r>
            <w:r w:rsidR="00987FC1" w:rsidRPr="006617B4">
              <w:rPr>
                <w:szCs w:val="24"/>
              </w:rPr>
              <w:t> </w:t>
            </w:r>
            <w:r w:rsidR="00484D58" w:rsidRPr="006617B4">
              <w:rPr>
                <w:szCs w:val="24"/>
              </w:rPr>
              <w:t>apakšpunkts)</w:t>
            </w:r>
            <w:r w:rsidRPr="006617B4">
              <w:rPr>
                <w:szCs w:val="24"/>
              </w:rPr>
              <w:t>;</w:t>
            </w:r>
          </w:p>
          <w:p w14:paraId="7E00228F" w14:textId="77777777" w:rsidR="00F343FB" w:rsidRPr="006617B4" w:rsidRDefault="00F343FB" w:rsidP="006617B4">
            <w:pPr>
              <w:spacing w:after="0" w:line="240" w:lineRule="auto"/>
              <w:ind w:firstLine="530"/>
              <w:jc w:val="both"/>
              <w:rPr>
                <w:szCs w:val="24"/>
              </w:rPr>
            </w:pPr>
            <w:r w:rsidRPr="006617B4">
              <w:rPr>
                <w:szCs w:val="24"/>
              </w:rPr>
              <w:t xml:space="preserve">- Saskaņā ar projekta 27.2.1. apakšpunktu </w:t>
            </w:r>
            <w:r w:rsidRPr="006617B4">
              <w:t xml:space="preserve"> </w:t>
            </w:r>
            <w:r w:rsidRPr="006617B4">
              <w:rPr>
                <w:szCs w:val="24"/>
              </w:rPr>
              <w:t xml:space="preserve">personai jāsaņem garantējošās asociācijas asociētā biedra statuss. </w:t>
            </w:r>
            <w:r w:rsidRPr="006617B4">
              <w:t xml:space="preserve">Saskaņā </w:t>
            </w:r>
            <w:r w:rsidRPr="006617B4">
              <w:rPr>
                <w:szCs w:val="24"/>
              </w:rPr>
              <w:t xml:space="preserve">ar 1993.gada 19.oktobra Ministru kabineta rīkojumu Nr.62 “Par Muitas konvencijas par kravu starptautiskajiem autopārvadājumiem, lietojot TIR grāmatiņu (TIR konvencija), izpildes nodrošināšanu” un TIR konvencijas 9.pielikuma </w:t>
            </w:r>
            <w:proofErr w:type="spellStart"/>
            <w:r w:rsidRPr="006617B4">
              <w:rPr>
                <w:szCs w:val="24"/>
              </w:rPr>
              <w:t>I.daļas</w:t>
            </w:r>
            <w:proofErr w:type="spellEnd"/>
            <w:r w:rsidRPr="006617B4">
              <w:rPr>
                <w:szCs w:val="24"/>
              </w:rPr>
              <w:t xml:space="preserve"> noteikumiem garantējošā asociācija ir atbildīga par starptautiskās garantiju ķēdes (viens no pieciem TIR tranzīta sistēmas pīlāriem) efektīvu funkcionēšanu Latvijas Republikā. Savukārt, saskaņā ar TIR konvencijas 9.pielikuma </w:t>
            </w:r>
            <w:proofErr w:type="spellStart"/>
            <w:r w:rsidRPr="006617B4">
              <w:rPr>
                <w:szCs w:val="24"/>
              </w:rPr>
              <w:t>II.daļas</w:t>
            </w:r>
            <w:proofErr w:type="spellEnd"/>
            <w:r w:rsidRPr="006617B4">
              <w:rPr>
                <w:szCs w:val="24"/>
              </w:rPr>
              <w:t xml:space="preserve"> 2.punktu, garantējošā asociācija ir tiesīga noteikt papildu kritērijus personas piekļūšanai (personas tiesības piedalīties TIR procedūrās piemērošanā) TIR procedūrai. Atbilstoši organizatoriskajam veidam garantējošajai asociācijai ir noteikts Biedrības statuss, bet TIR karnetes turētāji ir garantējošās asociācijas biedri. Sakarā ar to, ka personai, kas lūdz piešķirt pilnvarotā TIR nosūtītāja statusu, </w:t>
            </w:r>
            <w:r w:rsidRPr="006617B4">
              <w:t>jā</w:t>
            </w:r>
            <w:r w:rsidRPr="006617B4">
              <w:rPr>
                <w:szCs w:val="24"/>
              </w:rPr>
              <w:t xml:space="preserve">saņem piekļuve TIR procedūrai (ņemot vērā, ka pilnvarotais TIR nosūtītājs rīkojas kā TIR karnetes turētāja (principāla) </w:t>
            </w:r>
            <w:r w:rsidRPr="006617B4">
              <w:rPr>
                <w:szCs w:val="24"/>
              </w:rPr>
              <w:lastRenderedPageBreak/>
              <w:t>pārstāvis). Līdz ar to personai jākļūst par garantējošās asociācijas asociēto biedru.</w:t>
            </w:r>
          </w:p>
          <w:p w14:paraId="739BD91F" w14:textId="5718573F" w:rsidR="000E39AD" w:rsidRPr="006617B4" w:rsidRDefault="000E39AD" w:rsidP="006617B4">
            <w:pPr>
              <w:spacing w:after="0" w:line="240" w:lineRule="auto"/>
              <w:ind w:firstLine="530"/>
              <w:jc w:val="both"/>
              <w:rPr>
                <w:szCs w:val="24"/>
              </w:rPr>
            </w:pPr>
            <w:r w:rsidRPr="006617B4">
              <w:rPr>
                <w:rFonts w:eastAsia="Times New Roman" w:cs="Times New Roman"/>
                <w:szCs w:val="24"/>
                <w:lang w:eastAsia="lv-LV"/>
              </w:rPr>
              <w:t xml:space="preserve">- </w:t>
            </w:r>
            <w:r w:rsidRPr="006617B4">
              <w:rPr>
                <w:szCs w:val="24"/>
              </w:rPr>
              <w:t>Saskaņā ar projekta 2</w:t>
            </w:r>
            <w:r w:rsidR="00694C18" w:rsidRPr="006617B4">
              <w:rPr>
                <w:szCs w:val="24"/>
              </w:rPr>
              <w:t>7</w:t>
            </w:r>
            <w:r w:rsidRPr="006617B4">
              <w:rPr>
                <w:szCs w:val="24"/>
              </w:rPr>
              <w:t>.2.3.</w:t>
            </w:r>
            <w:r w:rsidR="00987FC1" w:rsidRPr="006617B4">
              <w:rPr>
                <w:szCs w:val="24"/>
              </w:rPr>
              <w:t> </w:t>
            </w:r>
            <w:r w:rsidRPr="006617B4">
              <w:rPr>
                <w:szCs w:val="24"/>
              </w:rPr>
              <w:t>apakšpunktu garantējošajai asociācijai jāpārliecinās par personas zināšanām TIR Konvencijas piemērošanā (pārbaude nav attiecināma uz TIR karnetes turētājiem, kuri jau pierādīja zināšan</w:t>
            </w:r>
            <w:r w:rsidR="00AD594A" w:rsidRPr="006617B4">
              <w:rPr>
                <w:szCs w:val="24"/>
              </w:rPr>
              <w:t>u</w:t>
            </w:r>
            <w:r w:rsidRPr="006617B4">
              <w:rPr>
                <w:szCs w:val="24"/>
              </w:rPr>
              <w:t xml:space="preserve"> esamību, lai saņemtu TIR karnetes turētāja statusu). Garantējošā asociācija ir noteikusi </w:t>
            </w:r>
            <w:r w:rsidR="00C71D46" w:rsidRPr="006617B4">
              <w:rPr>
                <w:szCs w:val="24"/>
              </w:rPr>
              <w:t>kārtību</w:t>
            </w:r>
            <w:r w:rsidRPr="006617B4">
              <w:rPr>
                <w:szCs w:val="24"/>
              </w:rPr>
              <w:t>, kurā tiek pārbaudītas personas zināšan</w:t>
            </w:r>
            <w:r w:rsidR="00AD594A" w:rsidRPr="006617B4">
              <w:rPr>
                <w:szCs w:val="24"/>
              </w:rPr>
              <w:t>a</w:t>
            </w:r>
            <w:r w:rsidRPr="006617B4">
              <w:rPr>
                <w:szCs w:val="24"/>
              </w:rPr>
              <w:t>s TIR Konvencijas piemērošanā:</w:t>
            </w:r>
          </w:p>
          <w:p w14:paraId="3CE56F86" w14:textId="2C4150E3" w:rsidR="000E39AD" w:rsidRPr="006617B4" w:rsidRDefault="000E39AD" w:rsidP="006617B4">
            <w:pPr>
              <w:spacing w:after="0" w:line="240" w:lineRule="auto"/>
              <w:ind w:firstLine="530"/>
              <w:jc w:val="both"/>
              <w:rPr>
                <w:szCs w:val="24"/>
              </w:rPr>
            </w:pPr>
            <w:r w:rsidRPr="006617B4">
              <w:rPr>
                <w:szCs w:val="24"/>
              </w:rPr>
              <w:t xml:space="preserve">- </w:t>
            </w:r>
            <w:r w:rsidR="00C71D46" w:rsidRPr="006617B4">
              <w:rPr>
                <w:szCs w:val="24"/>
              </w:rPr>
              <w:t xml:space="preserve">- </w:t>
            </w:r>
            <w:r w:rsidRPr="006617B4">
              <w:rPr>
                <w:szCs w:val="24"/>
              </w:rPr>
              <w:t>personai, kas ir saņēmusi Latvijas Republikas Satiksmes Ministrijas profesionālās kompetences sertifikātu par starptautiskajiem  kravu pārvadājumiem - eksāmens;</w:t>
            </w:r>
          </w:p>
          <w:p w14:paraId="70A7C44F" w14:textId="5D29F392" w:rsidR="00286F8C" w:rsidRPr="006617B4" w:rsidRDefault="000E39AD" w:rsidP="006617B4">
            <w:pPr>
              <w:spacing w:after="0" w:line="240" w:lineRule="auto"/>
              <w:ind w:firstLine="530"/>
              <w:jc w:val="both"/>
              <w:rPr>
                <w:szCs w:val="24"/>
              </w:rPr>
            </w:pPr>
            <w:r w:rsidRPr="006617B4">
              <w:rPr>
                <w:szCs w:val="24"/>
              </w:rPr>
              <w:t xml:space="preserve">- </w:t>
            </w:r>
            <w:r w:rsidR="00C71D46" w:rsidRPr="006617B4">
              <w:rPr>
                <w:szCs w:val="24"/>
              </w:rPr>
              <w:t xml:space="preserve">- </w:t>
            </w:r>
            <w:r w:rsidRPr="006617B4">
              <w:rPr>
                <w:szCs w:val="24"/>
              </w:rPr>
              <w:t xml:space="preserve">personai, kas nav saņēmusi Latvijas Republikas Satiksmes Ministrijas profesionālās kompetences sertifikātu </w:t>
            </w:r>
            <w:r w:rsidR="00C71D46" w:rsidRPr="006617B4">
              <w:rPr>
                <w:szCs w:val="24"/>
              </w:rPr>
              <w:t xml:space="preserve">- </w:t>
            </w:r>
            <w:r w:rsidRPr="006617B4">
              <w:rPr>
                <w:szCs w:val="24"/>
              </w:rPr>
              <w:t>divu dienu kursi ar noslēguma eksāmenu.</w:t>
            </w:r>
            <w:r w:rsidR="00484D58" w:rsidRPr="006617B4">
              <w:rPr>
                <w:szCs w:val="24"/>
              </w:rPr>
              <w:t xml:space="preserve"> </w:t>
            </w:r>
            <w:r w:rsidR="00C71D46" w:rsidRPr="006617B4">
              <w:rPr>
                <w:szCs w:val="24"/>
              </w:rPr>
              <w:t>Persona veiksmīgi nokārtojot eksāmenu saņem garantējošās asociācijas sertifikātu - “</w:t>
            </w:r>
            <w:r w:rsidR="0029562A" w:rsidRPr="006617B4">
              <w:rPr>
                <w:szCs w:val="24"/>
              </w:rPr>
              <w:t>TIR KONVENCIJAS KOMPETENCES SERTIFIKĀTS</w:t>
            </w:r>
            <w:r w:rsidR="00C71D46" w:rsidRPr="006617B4">
              <w:rPr>
                <w:szCs w:val="24"/>
              </w:rPr>
              <w:t>”</w:t>
            </w:r>
            <w:r w:rsidR="002905A1" w:rsidRPr="006617B4">
              <w:rPr>
                <w:szCs w:val="24"/>
              </w:rPr>
              <w:t>;</w:t>
            </w:r>
          </w:p>
          <w:p w14:paraId="6F22FD7D" w14:textId="56313D06" w:rsidR="00FC668F" w:rsidRPr="006617B4" w:rsidRDefault="002023D6" w:rsidP="006617B4">
            <w:pPr>
              <w:spacing w:after="0" w:line="240" w:lineRule="auto"/>
              <w:ind w:firstLine="530"/>
              <w:jc w:val="both"/>
              <w:rPr>
                <w:szCs w:val="24"/>
              </w:rPr>
            </w:pPr>
            <w:r w:rsidRPr="006617B4">
              <w:rPr>
                <w:szCs w:val="24"/>
              </w:rPr>
              <w:t>P</w:t>
            </w:r>
            <w:r w:rsidR="009A2998" w:rsidRPr="006617B4">
              <w:rPr>
                <w:szCs w:val="24"/>
              </w:rPr>
              <w:t>rojekta 2</w:t>
            </w:r>
            <w:r w:rsidR="00694C18" w:rsidRPr="006617B4">
              <w:rPr>
                <w:szCs w:val="24"/>
              </w:rPr>
              <w:t>6</w:t>
            </w:r>
            <w:r w:rsidR="009A2998" w:rsidRPr="006617B4">
              <w:rPr>
                <w:szCs w:val="24"/>
              </w:rPr>
              <w:t>.</w:t>
            </w:r>
            <w:r w:rsidR="00987FC1" w:rsidRPr="006617B4">
              <w:rPr>
                <w:szCs w:val="24"/>
              </w:rPr>
              <w:t> </w:t>
            </w:r>
            <w:r w:rsidR="009A2998" w:rsidRPr="006617B4">
              <w:rPr>
                <w:szCs w:val="24"/>
              </w:rPr>
              <w:t xml:space="preserve">punktā ir </w:t>
            </w:r>
            <w:r w:rsidR="00CA1570" w:rsidRPr="006617B4">
              <w:rPr>
                <w:szCs w:val="24"/>
              </w:rPr>
              <w:t xml:space="preserve">noteikts </w:t>
            </w:r>
            <w:r w:rsidR="00FC668F" w:rsidRPr="006617B4">
              <w:rPr>
                <w:szCs w:val="24"/>
              </w:rPr>
              <w:t>termiņ</w:t>
            </w:r>
            <w:r w:rsidR="00CA1570" w:rsidRPr="006617B4">
              <w:rPr>
                <w:szCs w:val="24"/>
              </w:rPr>
              <w:t>š</w:t>
            </w:r>
            <w:r w:rsidR="00FC668F" w:rsidRPr="006617B4">
              <w:rPr>
                <w:szCs w:val="24"/>
              </w:rPr>
              <w:t xml:space="preserve">, kurā garantējošā asociācija </w:t>
            </w:r>
            <w:proofErr w:type="spellStart"/>
            <w:r w:rsidR="00FC668F" w:rsidRPr="006617B4">
              <w:rPr>
                <w:szCs w:val="24"/>
              </w:rPr>
              <w:t>nosūta</w:t>
            </w:r>
            <w:proofErr w:type="spellEnd"/>
            <w:r w:rsidR="00FC668F" w:rsidRPr="006617B4">
              <w:rPr>
                <w:szCs w:val="24"/>
              </w:rPr>
              <w:t xml:space="preserve"> </w:t>
            </w:r>
            <w:r w:rsidR="007263F0" w:rsidRPr="006617B4">
              <w:rPr>
                <w:szCs w:val="24"/>
              </w:rPr>
              <w:t>Valsts ieņēmumu dienestam</w:t>
            </w:r>
            <w:r w:rsidR="00FC668F" w:rsidRPr="006617B4">
              <w:rPr>
                <w:szCs w:val="24"/>
              </w:rPr>
              <w:t xml:space="preserve"> atzinumu par personas atbilstību kritērijiem, kuru pārbaude saskaņā ar </w:t>
            </w:r>
            <w:r w:rsidR="00443834" w:rsidRPr="006617B4">
              <w:rPr>
                <w:szCs w:val="24"/>
              </w:rPr>
              <w:t>projektu</w:t>
            </w:r>
            <w:r w:rsidR="00FC668F" w:rsidRPr="006617B4">
              <w:rPr>
                <w:szCs w:val="24"/>
              </w:rPr>
              <w:t xml:space="preserve"> ir uzticēta garantējošai asociācijai;</w:t>
            </w:r>
          </w:p>
          <w:p w14:paraId="2C6388BE" w14:textId="39FEEA12" w:rsidR="00FC668F" w:rsidRPr="006617B4" w:rsidRDefault="002023D6" w:rsidP="006617B4">
            <w:pPr>
              <w:spacing w:after="0" w:line="240" w:lineRule="auto"/>
              <w:ind w:firstLine="530"/>
              <w:jc w:val="both"/>
              <w:rPr>
                <w:szCs w:val="24"/>
              </w:rPr>
            </w:pPr>
            <w:r w:rsidRPr="006617B4">
              <w:rPr>
                <w:szCs w:val="24"/>
              </w:rPr>
              <w:t>P</w:t>
            </w:r>
            <w:r w:rsidR="009A2998" w:rsidRPr="006617B4">
              <w:rPr>
                <w:szCs w:val="24"/>
              </w:rPr>
              <w:t>rojekta 2</w:t>
            </w:r>
            <w:r w:rsidR="00694C18" w:rsidRPr="006617B4">
              <w:rPr>
                <w:szCs w:val="24"/>
              </w:rPr>
              <w:t>8</w:t>
            </w:r>
            <w:r w:rsidR="009A2998" w:rsidRPr="006617B4">
              <w:rPr>
                <w:szCs w:val="24"/>
              </w:rPr>
              <w:t>.</w:t>
            </w:r>
            <w:r w:rsidR="00987FC1" w:rsidRPr="006617B4">
              <w:rPr>
                <w:szCs w:val="24"/>
              </w:rPr>
              <w:t> </w:t>
            </w:r>
            <w:r w:rsidR="009A2998" w:rsidRPr="006617B4">
              <w:rPr>
                <w:szCs w:val="24"/>
              </w:rPr>
              <w:t xml:space="preserve">punktā ir </w:t>
            </w:r>
            <w:r w:rsidR="00D62F74" w:rsidRPr="006617B4">
              <w:rPr>
                <w:szCs w:val="24"/>
              </w:rPr>
              <w:t xml:space="preserve">noteikta </w:t>
            </w:r>
            <w:r w:rsidR="00FC668F" w:rsidRPr="006617B4">
              <w:rPr>
                <w:szCs w:val="24"/>
              </w:rPr>
              <w:t>garantējoš</w:t>
            </w:r>
            <w:r w:rsidR="00D36633" w:rsidRPr="006617B4">
              <w:rPr>
                <w:szCs w:val="24"/>
              </w:rPr>
              <w:t>ā</w:t>
            </w:r>
            <w:r w:rsidR="00FC668F" w:rsidRPr="006617B4">
              <w:rPr>
                <w:szCs w:val="24"/>
              </w:rPr>
              <w:t>s asociācijas rīcīb</w:t>
            </w:r>
            <w:r w:rsidR="00D62F74" w:rsidRPr="006617B4">
              <w:rPr>
                <w:szCs w:val="24"/>
              </w:rPr>
              <w:t>a</w:t>
            </w:r>
            <w:r w:rsidR="00FC668F" w:rsidRPr="006617B4">
              <w:rPr>
                <w:szCs w:val="24"/>
              </w:rPr>
              <w:t xml:space="preserve">, konstatējot, ka persona, kas </w:t>
            </w:r>
            <w:r w:rsidR="005D306A" w:rsidRPr="006617B4">
              <w:rPr>
                <w:szCs w:val="24"/>
              </w:rPr>
              <w:t>ir saņēmusi</w:t>
            </w:r>
            <w:r w:rsidR="00FC668F" w:rsidRPr="006617B4">
              <w:rPr>
                <w:szCs w:val="24"/>
              </w:rPr>
              <w:t xml:space="preserve"> </w:t>
            </w:r>
            <w:r w:rsidR="00D34771" w:rsidRPr="006617B4">
              <w:rPr>
                <w:szCs w:val="24"/>
              </w:rPr>
              <w:t>pilnvarot</w:t>
            </w:r>
            <w:r w:rsidR="00F16663" w:rsidRPr="006617B4">
              <w:rPr>
                <w:szCs w:val="24"/>
              </w:rPr>
              <w:t xml:space="preserve">ā </w:t>
            </w:r>
            <w:r w:rsidR="00FC668F" w:rsidRPr="006617B4">
              <w:rPr>
                <w:szCs w:val="24"/>
              </w:rPr>
              <w:t xml:space="preserve">TIR </w:t>
            </w:r>
            <w:r w:rsidR="005D306A" w:rsidRPr="006617B4">
              <w:rPr>
                <w:szCs w:val="24"/>
              </w:rPr>
              <w:t xml:space="preserve">nosūtītāja </w:t>
            </w:r>
            <w:r w:rsidR="00FC668F" w:rsidRPr="006617B4">
              <w:rPr>
                <w:szCs w:val="24"/>
              </w:rPr>
              <w:t>atļauju, vairs neatbilst noteiktajiem kritērijiem;</w:t>
            </w:r>
          </w:p>
          <w:p w14:paraId="01819CE5" w14:textId="036674AF" w:rsidR="00FC668F" w:rsidRPr="006617B4" w:rsidRDefault="002023D6" w:rsidP="006617B4">
            <w:pPr>
              <w:spacing w:after="0" w:line="240" w:lineRule="auto"/>
              <w:ind w:firstLine="530"/>
              <w:jc w:val="both"/>
              <w:rPr>
                <w:szCs w:val="24"/>
              </w:rPr>
            </w:pPr>
            <w:r w:rsidRPr="006617B4">
              <w:rPr>
                <w:szCs w:val="24"/>
              </w:rPr>
              <w:t>P</w:t>
            </w:r>
            <w:r w:rsidR="00D62F74" w:rsidRPr="006617B4">
              <w:rPr>
                <w:szCs w:val="24"/>
              </w:rPr>
              <w:t xml:space="preserve">rojekta </w:t>
            </w:r>
            <w:r w:rsidR="00694C18" w:rsidRPr="006617B4">
              <w:rPr>
                <w:szCs w:val="24"/>
              </w:rPr>
              <w:t>30</w:t>
            </w:r>
            <w:r w:rsidR="00D62F74" w:rsidRPr="006617B4">
              <w:rPr>
                <w:szCs w:val="24"/>
              </w:rPr>
              <w:t>.</w:t>
            </w:r>
            <w:r w:rsidR="00987FC1" w:rsidRPr="006617B4">
              <w:rPr>
                <w:szCs w:val="24"/>
              </w:rPr>
              <w:t> </w:t>
            </w:r>
            <w:r w:rsidR="00D62F74" w:rsidRPr="006617B4">
              <w:rPr>
                <w:szCs w:val="24"/>
              </w:rPr>
              <w:t>punktā ir noteikta informācija</w:t>
            </w:r>
            <w:r w:rsidR="00AA2F7B" w:rsidRPr="006617B4">
              <w:rPr>
                <w:szCs w:val="24"/>
              </w:rPr>
              <w:t xml:space="preserve">, kas tiek norādīta </w:t>
            </w:r>
            <w:r w:rsidR="00D34771" w:rsidRPr="006617B4">
              <w:rPr>
                <w:szCs w:val="24"/>
              </w:rPr>
              <w:t>pilnvarot</w:t>
            </w:r>
            <w:r w:rsidR="00F16663" w:rsidRPr="006617B4">
              <w:rPr>
                <w:szCs w:val="24"/>
              </w:rPr>
              <w:t xml:space="preserve">ā </w:t>
            </w:r>
            <w:r w:rsidR="00AA2F7B" w:rsidRPr="006617B4">
              <w:rPr>
                <w:szCs w:val="24"/>
              </w:rPr>
              <w:t xml:space="preserve">TIR </w:t>
            </w:r>
            <w:r w:rsidR="005D306A" w:rsidRPr="006617B4">
              <w:rPr>
                <w:szCs w:val="24"/>
              </w:rPr>
              <w:t xml:space="preserve">nosūtītāja </w:t>
            </w:r>
            <w:r w:rsidR="00AA2F7B" w:rsidRPr="006617B4">
              <w:rPr>
                <w:szCs w:val="24"/>
              </w:rPr>
              <w:t>atļaujā;</w:t>
            </w:r>
          </w:p>
          <w:p w14:paraId="646CB5AF" w14:textId="0C96FD46" w:rsidR="00AA2F7B" w:rsidRPr="006617B4" w:rsidRDefault="002023D6" w:rsidP="006617B4">
            <w:pPr>
              <w:spacing w:after="0" w:line="240" w:lineRule="auto"/>
              <w:ind w:firstLine="530"/>
              <w:jc w:val="both"/>
              <w:rPr>
                <w:szCs w:val="24"/>
              </w:rPr>
            </w:pPr>
            <w:r w:rsidRPr="006617B4">
              <w:rPr>
                <w:szCs w:val="24"/>
              </w:rPr>
              <w:t>P</w:t>
            </w:r>
            <w:r w:rsidR="00D62F74" w:rsidRPr="006617B4">
              <w:rPr>
                <w:szCs w:val="24"/>
              </w:rPr>
              <w:t xml:space="preserve">rojekta </w:t>
            </w:r>
            <w:r w:rsidR="00054043" w:rsidRPr="006617B4">
              <w:rPr>
                <w:szCs w:val="24"/>
              </w:rPr>
              <w:t>3</w:t>
            </w:r>
            <w:r w:rsidR="00694C18" w:rsidRPr="006617B4">
              <w:rPr>
                <w:szCs w:val="24"/>
              </w:rPr>
              <w:t>1</w:t>
            </w:r>
            <w:r w:rsidR="00D62F74" w:rsidRPr="006617B4">
              <w:rPr>
                <w:szCs w:val="24"/>
              </w:rPr>
              <w:t xml:space="preserve">., </w:t>
            </w:r>
            <w:r w:rsidR="00054043" w:rsidRPr="006617B4">
              <w:rPr>
                <w:szCs w:val="24"/>
              </w:rPr>
              <w:t>3</w:t>
            </w:r>
            <w:r w:rsidR="00694C18" w:rsidRPr="006617B4">
              <w:rPr>
                <w:szCs w:val="24"/>
              </w:rPr>
              <w:t>2</w:t>
            </w:r>
            <w:r w:rsidR="00D62F74" w:rsidRPr="006617B4">
              <w:rPr>
                <w:szCs w:val="24"/>
              </w:rPr>
              <w:t>. un 3</w:t>
            </w:r>
            <w:r w:rsidR="00694C18" w:rsidRPr="006617B4">
              <w:rPr>
                <w:szCs w:val="24"/>
              </w:rPr>
              <w:t>3</w:t>
            </w:r>
            <w:r w:rsidR="00D62F74" w:rsidRPr="006617B4">
              <w:rPr>
                <w:szCs w:val="24"/>
              </w:rPr>
              <w:t>.</w:t>
            </w:r>
            <w:r w:rsidR="00987FC1" w:rsidRPr="006617B4">
              <w:rPr>
                <w:szCs w:val="24"/>
              </w:rPr>
              <w:t> </w:t>
            </w:r>
            <w:r w:rsidR="00D62F74" w:rsidRPr="006617B4">
              <w:rPr>
                <w:szCs w:val="24"/>
              </w:rPr>
              <w:t xml:space="preserve">punktā ir noteikta </w:t>
            </w:r>
            <w:r w:rsidR="00AA2F7B" w:rsidRPr="006617B4">
              <w:rPr>
                <w:szCs w:val="24"/>
              </w:rPr>
              <w:t>kārtīb</w:t>
            </w:r>
            <w:r w:rsidR="00D62F74" w:rsidRPr="006617B4">
              <w:rPr>
                <w:szCs w:val="24"/>
              </w:rPr>
              <w:t>a</w:t>
            </w:r>
            <w:r w:rsidR="00AA2F7B" w:rsidRPr="006617B4">
              <w:rPr>
                <w:szCs w:val="24"/>
              </w:rPr>
              <w:t xml:space="preserve">, kādā </w:t>
            </w:r>
            <w:r w:rsidR="007263F0" w:rsidRPr="006617B4">
              <w:rPr>
                <w:szCs w:val="24"/>
              </w:rPr>
              <w:t>Valsts ieņēmumu dienests</w:t>
            </w:r>
            <w:r w:rsidR="00AA2F7B" w:rsidRPr="006617B4">
              <w:rPr>
                <w:szCs w:val="24"/>
              </w:rPr>
              <w:t xml:space="preserve"> pieņem lēmumu apturēt, atjaunot vai anulēt </w:t>
            </w:r>
            <w:r w:rsidR="00D34771" w:rsidRPr="006617B4">
              <w:rPr>
                <w:szCs w:val="24"/>
              </w:rPr>
              <w:t>pilnvarot</w:t>
            </w:r>
            <w:r w:rsidR="00F16663" w:rsidRPr="006617B4">
              <w:rPr>
                <w:szCs w:val="24"/>
              </w:rPr>
              <w:t xml:space="preserve">ā </w:t>
            </w:r>
            <w:r w:rsidR="00AA2F7B" w:rsidRPr="006617B4">
              <w:rPr>
                <w:szCs w:val="24"/>
              </w:rPr>
              <w:t xml:space="preserve">TIR </w:t>
            </w:r>
            <w:r w:rsidR="005D306A" w:rsidRPr="006617B4">
              <w:rPr>
                <w:szCs w:val="24"/>
              </w:rPr>
              <w:t>nosūtītāja</w:t>
            </w:r>
            <w:r w:rsidR="00AA2F7B" w:rsidRPr="006617B4">
              <w:rPr>
                <w:szCs w:val="24"/>
              </w:rPr>
              <w:t xml:space="preserve"> atļauju</w:t>
            </w:r>
            <w:r w:rsidR="00443834" w:rsidRPr="006617B4">
              <w:rPr>
                <w:szCs w:val="24"/>
              </w:rPr>
              <w:t>;</w:t>
            </w:r>
          </w:p>
          <w:p w14:paraId="3982F921" w14:textId="177F138A" w:rsidR="00AA2F7B" w:rsidRDefault="002023D6" w:rsidP="006617B4">
            <w:pPr>
              <w:spacing w:after="0" w:line="240" w:lineRule="auto"/>
              <w:ind w:firstLine="530"/>
              <w:jc w:val="both"/>
              <w:rPr>
                <w:szCs w:val="24"/>
              </w:rPr>
            </w:pPr>
            <w:r w:rsidRPr="006617B4">
              <w:rPr>
                <w:szCs w:val="24"/>
              </w:rPr>
              <w:t>P</w:t>
            </w:r>
            <w:r w:rsidR="00D62F74" w:rsidRPr="006617B4">
              <w:rPr>
                <w:szCs w:val="24"/>
              </w:rPr>
              <w:t>rojekta 3</w:t>
            </w:r>
            <w:r w:rsidR="00694C18" w:rsidRPr="006617B4">
              <w:rPr>
                <w:szCs w:val="24"/>
              </w:rPr>
              <w:t>5</w:t>
            </w:r>
            <w:r w:rsidR="00D62F74" w:rsidRPr="006617B4">
              <w:rPr>
                <w:szCs w:val="24"/>
              </w:rPr>
              <w:t>.</w:t>
            </w:r>
            <w:r w:rsidR="00987FC1" w:rsidRPr="006617B4">
              <w:rPr>
                <w:szCs w:val="24"/>
              </w:rPr>
              <w:t> </w:t>
            </w:r>
            <w:r w:rsidR="00D62F74" w:rsidRPr="006617B4">
              <w:rPr>
                <w:szCs w:val="24"/>
              </w:rPr>
              <w:t xml:space="preserve">punktā ir noteikts, ka </w:t>
            </w:r>
            <w:r w:rsidR="007263F0" w:rsidRPr="006617B4">
              <w:rPr>
                <w:szCs w:val="24"/>
              </w:rPr>
              <w:t>Valsts ieņēmumu dienesta</w:t>
            </w:r>
            <w:r w:rsidR="009417C0" w:rsidRPr="006617B4">
              <w:rPr>
                <w:szCs w:val="24"/>
              </w:rPr>
              <w:t xml:space="preserve"> pienākum</w:t>
            </w:r>
            <w:r w:rsidR="00D62F74" w:rsidRPr="006617B4">
              <w:rPr>
                <w:szCs w:val="24"/>
              </w:rPr>
              <w:t xml:space="preserve">s ir </w:t>
            </w:r>
            <w:r w:rsidR="009417C0" w:rsidRPr="006617B4">
              <w:rPr>
                <w:szCs w:val="24"/>
              </w:rPr>
              <w:t xml:space="preserve">nodrošināt personai, kas </w:t>
            </w:r>
            <w:r w:rsidR="005D306A" w:rsidRPr="006617B4">
              <w:rPr>
                <w:szCs w:val="24"/>
              </w:rPr>
              <w:t xml:space="preserve">ir </w:t>
            </w:r>
            <w:r w:rsidR="009417C0" w:rsidRPr="006617B4">
              <w:rPr>
                <w:szCs w:val="24"/>
              </w:rPr>
              <w:t>saņēm</w:t>
            </w:r>
            <w:r w:rsidR="005D306A" w:rsidRPr="006617B4">
              <w:rPr>
                <w:szCs w:val="24"/>
              </w:rPr>
              <w:t>usi</w:t>
            </w:r>
            <w:r w:rsidR="009417C0" w:rsidRPr="006617B4">
              <w:rPr>
                <w:szCs w:val="24"/>
              </w:rPr>
              <w:t xml:space="preserve"> </w:t>
            </w:r>
            <w:r w:rsidR="00D34771" w:rsidRPr="006617B4">
              <w:rPr>
                <w:szCs w:val="24"/>
              </w:rPr>
              <w:t>pilnvarot</w:t>
            </w:r>
            <w:r w:rsidR="00F16663" w:rsidRPr="006617B4">
              <w:rPr>
                <w:szCs w:val="24"/>
              </w:rPr>
              <w:t xml:space="preserve">ā </w:t>
            </w:r>
            <w:r w:rsidR="009417C0" w:rsidRPr="006617B4">
              <w:rPr>
                <w:szCs w:val="24"/>
              </w:rPr>
              <w:t>TIR nosūtītāj</w:t>
            </w:r>
            <w:r w:rsidR="005D306A" w:rsidRPr="006617B4">
              <w:rPr>
                <w:szCs w:val="24"/>
              </w:rPr>
              <w:t xml:space="preserve">a </w:t>
            </w:r>
            <w:r w:rsidR="009417C0" w:rsidRPr="006617B4">
              <w:rPr>
                <w:szCs w:val="24"/>
              </w:rPr>
              <w:t>atļauju, iespēju izmantot informācijas sistēmas (datorizēto</w:t>
            </w:r>
            <w:r w:rsidR="009417C0" w:rsidRPr="009417C0">
              <w:rPr>
                <w:szCs w:val="24"/>
              </w:rPr>
              <w:t xml:space="preserve"> tranzīta kontroles sistēm</w:t>
            </w:r>
            <w:r w:rsidR="009417C0">
              <w:rPr>
                <w:szCs w:val="24"/>
              </w:rPr>
              <w:t>u</w:t>
            </w:r>
            <w:r w:rsidR="009417C0" w:rsidRPr="009417C0">
              <w:rPr>
                <w:szCs w:val="24"/>
              </w:rPr>
              <w:t>) tādā apjomā, lai muitas iestāde</w:t>
            </w:r>
            <w:r w:rsidR="009417C0">
              <w:rPr>
                <w:szCs w:val="24"/>
              </w:rPr>
              <w:t>s</w:t>
            </w:r>
            <w:r w:rsidR="009417C0" w:rsidRPr="009417C0">
              <w:rPr>
                <w:szCs w:val="24"/>
              </w:rPr>
              <w:t xml:space="preserve"> un atļaujas turētājs varētu veikt visas muitošanai nepieciešamās darbības atbilstoši </w:t>
            </w:r>
            <w:r w:rsidR="005D306A">
              <w:rPr>
                <w:szCs w:val="24"/>
              </w:rPr>
              <w:t>minētās a</w:t>
            </w:r>
            <w:r w:rsidR="009417C0" w:rsidRPr="009417C0">
              <w:rPr>
                <w:szCs w:val="24"/>
              </w:rPr>
              <w:t>tļaujas nosacījumiem</w:t>
            </w:r>
            <w:r w:rsidR="009417C0" w:rsidRPr="004F456B">
              <w:rPr>
                <w:szCs w:val="24"/>
              </w:rPr>
              <w:t>;</w:t>
            </w:r>
          </w:p>
          <w:p w14:paraId="709C4445" w14:textId="011D55F3" w:rsidR="009417C0" w:rsidRDefault="002023D6" w:rsidP="006617B4">
            <w:pPr>
              <w:spacing w:after="0" w:line="240" w:lineRule="auto"/>
              <w:ind w:firstLine="530"/>
              <w:jc w:val="both"/>
              <w:rPr>
                <w:szCs w:val="24"/>
              </w:rPr>
            </w:pPr>
            <w:r>
              <w:rPr>
                <w:szCs w:val="24"/>
              </w:rPr>
              <w:t>P</w:t>
            </w:r>
            <w:r w:rsidR="00D62F74">
              <w:rPr>
                <w:szCs w:val="24"/>
              </w:rPr>
              <w:t>rojekta 3</w:t>
            </w:r>
            <w:r w:rsidR="00694C18">
              <w:rPr>
                <w:szCs w:val="24"/>
              </w:rPr>
              <w:t>6</w:t>
            </w:r>
            <w:r w:rsidR="00D62F74">
              <w:rPr>
                <w:szCs w:val="24"/>
              </w:rPr>
              <w:t>.</w:t>
            </w:r>
            <w:r w:rsidR="00987FC1">
              <w:rPr>
                <w:szCs w:val="24"/>
              </w:rPr>
              <w:t> </w:t>
            </w:r>
            <w:r w:rsidR="00D62F74">
              <w:rPr>
                <w:szCs w:val="24"/>
              </w:rPr>
              <w:t xml:space="preserve">punktā ir noteikta </w:t>
            </w:r>
            <w:r w:rsidR="009417C0">
              <w:rPr>
                <w:szCs w:val="24"/>
              </w:rPr>
              <w:t>kārtīb</w:t>
            </w:r>
            <w:r w:rsidR="00D62F74">
              <w:rPr>
                <w:szCs w:val="24"/>
              </w:rPr>
              <w:t>a</w:t>
            </w:r>
            <w:r w:rsidR="009417C0">
              <w:rPr>
                <w:szCs w:val="24"/>
              </w:rPr>
              <w:t xml:space="preserve">, kādā </w:t>
            </w:r>
            <w:r w:rsidR="009417C0" w:rsidRPr="009417C0">
              <w:rPr>
                <w:szCs w:val="24"/>
              </w:rPr>
              <w:t>person</w:t>
            </w:r>
            <w:r w:rsidR="009417C0">
              <w:rPr>
                <w:szCs w:val="24"/>
              </w:rPr>
              <w:t>a</w:t>
            </w:r>
            <w:r w:rsidR="009417C0" w:rsidRPr="009417C0">
              <w:rPr>
                <w:szCs w:val="24"/>
              </w:rPr>
              <w:t xml:space="preserve">, kas </w:t>
            </w:r>
            <w:r w:rsidR="005D306A">
              <w:rPr>
                <w:szCs w:val="24"/>
              </w:rPr>
              <w:t xml:space="preserve">ir </w:t>
            </w:r>
            <w:r w:rsidR="009417C0" w:rsidRPr="009417C0">
              <w:rPr>
                <w:szCs w:val="24"/>
              </w:rPr>
              <w:t>saņēm</w:t>
            </w:r>
            <w:r w:rsidR="005D306A">
              <w:rPr>
                <w:szCs w:val="24"/>
              </w:rPr>
              <w:t>usi</w:t>
            </w:r>
            <w:r w:rsidR="009417C0" w:rsidRPr="009417C0">
              <w:rPr>
                <w:szCs w:val="24"/>
              </w:rPr>
              <w:t xml:space="preserve"> TIR atļauju,</w:t>
            </w:r>
            <w:r w:rsidR="009417C0">
              <w:rPr>
                <w:szCs w:val="24"/>
              </w:rPr>
              <w:t xml:space="preserve"> informē </w:t>
            </w:r>
            <w:r w:rsidR="007263F0" w:rsidRPr="007263F0">
              <w:rPr>
                <w:szCs w:val="24"/>
              </w:rPr>
              <w:t>Valsts ieņēmumu dienest</w:t>
            </w:r>
            <w:r w:rsidR="007263F0">
              <w:rPr>
                <w:szCs w:val="24"/>
              </w:rPr>
              <w:t>u</w:t>
            </w:r>
            <w:r w:rsidR="009417C0">
              <w:rPr>
                <w:szCs w:val="24"/>
              </w:rPr>
              <w:t xml:space="preserve"> par izmaiņām informācijā un dokumentos, kuri tika iesniegti </w:t>
            </w:r>
            <w:r w:rsidR="007263F0" w:rsidRPr="007263F0">
              <w:rPr>
                <w:szCs w:val="24"/>
              </w:rPr>
              <w:t>Valsts ieņēmumu dienesta</w:t>
            </w:r>
            <w:r w:rsidR="007263F0">
              <w:rPr>
                <w:szCs w:val="24"/>
              </w:rPr>
              <w:t>m</w:t>
            </w:r>
            <w:r w:rsidR="009417C0">
              <w:rPr>
                <w:szCs w:val="24"/>
              </w:rPr>
              <w:t xml:space="preserve"> atļaujas saņemšanas pieteikumā;</w:t>
            </w:r>
          </w:p>
          <w:p w14:paraId="35F410BD" w14:textId="5D770352" w:rsidR="009417C0" w:rsidRPr="006617B4" w:rsidRDefault="002023D6" w:rsidP="006617B4">
            <w:pPr>
              <w:spacing w:after="0" w:line="240" w:lineRule="auto"/>
              <w:ind w:firstLine="530"/>
              <w:jc w:val="both"/>
              <w:rPr>
                <w:szCs w:val="24"/>
              </w:rPr>
            </w:pPr>
            <w:r>
              <w:rPr>
                <w:szCs w:val="24"/>
              </w:rPr>
              <w:t>P</w:t>
            </w:r>
            <w:r w:rsidR="00D62F74">
              <w:rPr>
                <w:szCs w:val="24"/>
              </w:rPr>
              <w:t>rojekta 3</w:t>
            </w:r>
            <w:r w:rsidR="00694C18">
              <w:rPr>
                <w:szCs w:val="24"/>
              </w:rPr>
              <w:t>8</w:t>
            </w:r>
            <w:r w:rsidR="00D62F74">
              <w:rPr>
                <w:szCs w:val="24"/>
              </w:rPr>
              <w:t>.</w:t>
            </w:r>
            <w:r w:rsidR="00987FC1">
              <w:rPr>
                <w:szCs w:val="24"/>
              </w:rPr>
              <w:t> </w:t>
            </w:r>
            <w:r w:rsidR="00D62F74">
              <w:rPr>
                <w:szCs w:val="24"/>
              </w:rPr>
              <w:t xml:space="preserve">punktā ir noteikts pienākums </w:t>
            </w:r>
            <w:r w:rsidR="009417C0">
              <w:rPr>
                <w:szCs w:val="24"/>
              </w:rPr>
              <w:t>persona</w:t>
            </w:r>
            <w:r w:rsidR="00D62F74">
              <w:rPr>
                <w:szCs w:val="24"/>
              </w:rPr>
              <w:t>i</w:t>
            </w:r>
            <w:r w:rsidR="009417C0">
              <w:rPr>
                <w:szCs w:val="24"/>
              </w:rPr>
              <w:t xml:space="preserve">, </w:t>
            </w:r>
            <w:r w:rsidR="009417C0" w:rsidRPr="009417C0">
              <w:rPr>
                <w:szCs w:val="24"/>
              </w:rPr>
              <w:t xml:space="preserve">kas </w:t>
            </w:r>
            <w:r w:rsidR="005D306A">
              <w:rPr>
                <w:szCs w:val="24"/>
              </w:rPr>
              <w:t xml:space="preserve">ir </w:t>
            </w:r>
            <w:r w:rsidR="009417C0" w:rsidRPr="009417C0">
              <w:rPr>
                <w:szCs w:val="24"/>
              </w:rPr>
              <w:t>saņēm</w:t>
            </w:r>
            <w:r w:rsidR="005D306A">
              <w:rPr>
                <w:szCs w:val="24"/>
              </w:rPr>
              <w:t>u</w:t>
            </w:r>
            <w:r w:rsidR="00D62F74">
              <w:rPr>
                <w:szCs w:val="24"/>
              </w:rPr>
              <w:t>si</w:t>
            </w:r>
            <w:r w:rsidR="009417C0" w:rsidRPr="009417C0">
              <w:rPr>
                <w:szCs w:val="24"/>
              </w:rPr>
              <w:t xml:space="preserve"> </w:t>
            </w:r>
            <w:r w:rsidR="00D34771" w:rsidRPr="006617B4">
              <w:rPr>
                <w:szCs w:val="24"/>
              </w:rPr>
              <w:t>pilnvarot</w:t>
            </w:r>
            <w:r w:rsidR="00F16663" w:rsidRPr="006617B4">
              <w:rPr>
                <w:szCs w:val="24"/>
              </w:rPr>
              <w:t xml:space="preserve">ā </w:t>
            </w:r>
            <w:r w:rsidR="009417C0" w:rsidRPr="006617B4">
              <w:rPr>
                <w:szCs w:val="24"/>
              </w:rPr>
              <w:t xml:space="preserve">TIR </w:t>
            </w:r>
            <w:r w:rsidR="005D306A" w:rsidRPr="006617B4">
              <w:rPr>
                <w:szCs w:val="24"/>
              </w:rPr>
              <w:t>n</w:t>
            </w:r>
            <w:r w:rsidR="009417C0" w:rsidRPr="006617B4">
              <w:rPr>
                <w:szCs w:val="24"/>
              </w:rPr>
              <w:t>osūtītāj</w:t>
            </w:r>
            <w:r w:rsidR="005D306A" w:rsidRPr="006617B4">
              <w:rPr>
                <w:szCs w:val="24"/>
              </w:rPr>
              <w:t>a</w:t>
            </w:r>
            <w:r w:rsidR="009417C0" w:rsidRPr="006617B4">
              <w:rPr>
                <w:szCs w:val="24"/>
              </w:rPr>
              <w:t xml:space="preserve"> atļauju, piemērojot TIR procedūru</w:t>
            </w:r>
            <w:r w:rsidR="00D62F74" w:rsidRPr="006617B4">
              <w:rPr>
                <w:szCs w:val="24"/>
              </w:rPr>
              <w:t>,</w:t>
            </w:r>
            <w:r w:rsidR="009417C0" w:rsidRPr="006617B4">
              <w:rPr>
                <w:szCs w:val="24"/>
              </w:rPr>
              <w:t xml:space="preserve"> izmanto</w:t>
            </w:r>
            <w:r w:rsidR="00D62F74" w:rsidRPr="006617B4">
              <w:rPr>
                <w:szCs w:val="24"/>
              </w:rPr>
              <w:t>t</w:t>
            </w:r>
            <w:r w:rsidR="009417C0" w:rsidRPr="006617B4">
              <w:rPr>
                <w:szCs w:val="24"/>
              </w:rPr>
              <w:t xml:space="preserve"> </w:t>
            </w:r>
            <w:r w:rsidR="007263F0" w:rsidRPr="006617B4">
              <w:rPr>
                <w:szCs w:val="24"/>
              </w:rPr>
              <w:t>Valsts ieņēmumu dienesta</w:t>
            </w:r>
            <w:r w:rsidR="009417C0" w:rsidRPr="006617B4">
              <w:rPr>
                <w:szCs w:val="24"/>
              </w:rPr>
              <w:t xml:space="preserve"> </w:t>
            </w:r>
            <w:r w:rsidR="00820370" w:rsidRPr="006617B4">
              <w:rPr>
                <w:szCs w:val="24"/>
              </w:rPr>
              <w:t>apsti</w:t>
            </w:r>
            <w:r w:rsidR="007263F0" w:rsidRPr="006617B4">
              <w:rPr>
                <w:szCs w:val="24"/>
              </w:rPr>
              <w:t xml:space="preserve">prinātos muitas nodrošinājumus </w:t>
            </w:r>
            <w:r w:rsidR="00820370" w:rsidRPr="006617B4">
              <w:rPr>
                <w:szCs w:val="24"/>
              </w:rPr>
              <w:t xml:space="preserve">un TIR </w:t>
            </w:r>
            <w:r w:rsidR="00515E8D" w:rsidRPr="006617B4">
              <w:rPr>
                <w:szCs w:val="24"/>
              </w:rPr>
              <w:t>nosūtītāja</w:t>
            </w:r>
            <w:r w:rsidR="00820370" w:rsidRPr="006617B4">
              <w:rPr>
                <w:szCs w:val="24"/>
              </w:rPr>
              <w:t xml:space="preserve"> zīmogu;</w:t>
            </w:r>
          </w:p>
          <w:p w14:paraId="441D6EB5" w14:textId="0E87E876" w:rsidR="006868B7" w:rsidRPr="0029309E" w:rsidRDefault="002023D6" w:rsidP="006617B4">
            <w:pPr>
              <w:spacing w:after="0" w:line="240" w:lineRule="auto"/>
              <w:ind w:firstLine="530"/>
              <w:jc w:val="both"/>
              <w:rPr>
                <w:szCs w:val="24"/>
              </w:rPr>
            </w:pPr>
            <w:r w:rsidRPr="006617B4">
              <w:rPr>
                <w:szCs w:val="24"/>
              </w:rPr>
              <w:t>P</w:t>
            </w:r>
            <w:r w:rsidR="00D62F74" w:rsidRPr="006617B4">
              <w:rPr>
                <w:szCs w:val="24"/>
              </w:rPr>
              <w:t xml:space="preserve">rojekta 1. un 2. pielikumā ir noteikti </w:t>
            </w:r>
            <w:r w:rsidR="007263F0" w:rsidRPr="006617B4">
              <w:rPr>
                <w:szCs w:val="24"/>
              </w:rPr>
              <w:t>Valsts ieņēmumu dienesta</w:t>
            </w:r>
            <w:r w:rsidR="00820370" w:rsidRPr="006617B4">
              <w:rPr>
                <w:szCs w:val="24"/>
              </w:rPr>
              <w:t xml:space="preserve"> apstiprināto muitas nodrošinājumu un </w:t>
            </w:r>
            <w:r w:rsidR="00D34771" w:rsidRPr="006617B4">
              <w:rPr>
                <w:szCs w:val="24"/>
              </w:rPr>
              <w:t>pilnvarot</w:t>
            </w:r>
            <w:r w:rsidR="00F16663" w:rsidRPr="006617B4">
              <w:rPr>
                <w:szCs w:val="24"/>
              </w:rPr>
              <w:t xml:space="preserve">ā </w:t>
            </w:r>
            <w:r w:rsidR="00820370" w:rsidRPr="006617B4">
              <w:rPr>
                <w:szCs w:val="24"/>
              </w:rPr>
              <w:t xml:space="preserve">TIR </w:t>
            </w:r>
            <w:r w:rsidR="00515E8D" w:rsidRPr="006617B4">
              <w:rPr>
                <w:szCs w:val="24"/>
              </w:rPr>
              <w:t>nosūtītāja</w:t>
            </w:r>
            <w:r w:rsidR="00820370" w:rsidRPr="006617B4">
              <w:rPr>
                <w:szCs w:val="24"/>
              </w:rPr>
              <w:t xml:space="preserve"> zīmogu parametr</w:t>
            </w:r>
            <w:r w:rsidR="00D62F74" w:rsidRPr="006617B4">
              <w:rPr>
                <w:szCs w:val="24"/>
              </w:rPr>
              <w:t>i</w:t>
            </w:r>
            <w:r w:rsidR="00820370" w:rsidRPr="006617B4">
              <w:rPr>
                <w:szCs w:val="24"/>
              </w:rPr>
              <w:t xml:space="preserve"> un tehnisk</w:t>
            </w:r>
            <w:r w:rsidR="00D62F74" w:rsidRPr="006617B4">
              <w:rPr>
                <w:szCs w:val="24"/>
              </w:rPr>
              <w:t>ā</w:t>
            </w:r>
            <w:r w:rsidR="00820370" w:rsidRPr="006617B4">
              <w:rPr>
                <w:szCs w:val="24"/>
              </w:rPr>
              <w:t xml:space="preserve"> specifikācij</w:t>
            </w:r>
            <w:r w:rsidR="00D62F74" w:rsidRPr="006617B4">
              <w:rPr>
                <w:szCs w:val="24"/>
              </w:rPr>
              <w:t>a.</w:t>
            </w:r>
          </w:p>
        </w:tc>
      </w:tr>
      <w:tr w:rsidR="005D4AE6" w:rsidRPr="005D4AE6" w14:paraId="6C2A246E" w14:textId="77777777" w:rsidTr="006617B4">
        <w:trPr>
          <w:trHeight w:val="465"/>
        </w:trPr>
        <w:tc>
          <w:tcPr>
            <w:tcW w:w="231" w:type="pct"/>
            <w:tcBorders>
              <w:top w:val="outset" w:sz="6" w:space="0" w:color="auto"/>
              <w:left w:val="outset" w:sz="6" w:space="0" w:color="auto"/>
              <w:bottom w:val="outset" w:sz="6" w:space="0" w:color="auto"/>
              <w:right w:val="outset" w:sz="6" w:space="0" w:color="auto"/>
            </w:tcBorders>
            <w:hideMark/>
          </w:tcPr>
          <w:p w14:paraId="302C9DAB" w14:textId="77777777" w:rsidR="005D4AE6" w:rsidRPr="005D4AE6" w:rsidRDefault="005D4AE6" w:rsidP="00D72CAC">
            <w:pPr>
              <w:spacing w:before="100" w:beforeAutospacing="1" w:after="100" w:afterAutospacing="1" w:line="240" w:lineRule="auto"/>
              <w:rPr>
                <w:rFonts w:eastAsia="Times New Roman" w:cs="Times New Roman"/>
                <w:szCs w:val="24"/>
                <w:lang w:eastAsia="lv-LV"/>
              </w:rPr>
            </w:pPr>
            <w:r w:rsidRPr="005D4AE6">
              <w:rPr>
                <w:rFonts w:eastAsia="Times New Roman" w:cs="Times New Roman"/>
                <w:szCs w:val="24"/>
                <w:lang w:eastAsia="lv-LV"/>
              </w:rPr>
              <w:lastRenderedPageBreak/>
              <w:t>3.</w:t>
            </w:r>
          </w:p>
        </w:tc>
        <w:tc>
          <w:tcPr>
            <w:tcW w:w="949" w:type="pct"/>
            <w:tcBorders>
              <w:top w:val="outset" w:sz="6" w:space="0" w:color="auto"/>
              <w:left w:val="outset" w:sz="6" w:space="0" w:color="auto"/>
              <w:bottom w:val="outset" w:sz="6" w:space="0" w:color="auto"/>
              <w:right w:val="outset" w:sz="6" w:space="0" w:color="auto"/>
            </w:tcBorders>
            <w:hideMark/>
          </w:tcPr>
          <w:p w14:paraId="3AA96331" w14:textId="77777777" w:rsidR="005D4AE6" w:rsidRPr="005D4AE6" w:rsidRDefault="005D4AE6" w:rsidP="00D72CAC">
            <w:pPr>
              <w:spacing w:after="0" w:line="240" w:lineRule="auto"/>
              <w:rPr>
                <w:rFonts w:eastAsia="Times New Roman" w:cs="Times New Roman"/>
                <w:szCs w:val="24"/>
                <w:lang w:eastAsia="lv-LV"/>
              </w:rPr>
            </w:pPr>
            <w:r w:rsidRPr="005D4AE6">
              <w:rPr>
                <w:rFonts w:eastAsia="Times New Roman" w:cs="Times New Roman"/>
                <w:szCs w:val="24"/>
                <w:lang w:eastAsia="lv-LV"/>
              </w:rPr>
              <w:t>Projekta izstrādē iesaistītās institūcijas</w:t>
            </w:r>
          </w:p>
        </w:tc>
        <w:tc>
          <w:tcPr>
            <w:tcW w:w="3821" w:type="pct"/>
            <w:tcBorders>
              <w:top w:val="outset" w:sz="6" w:space="0" w:color="auto"/>
              <w:left w:val="outset" w:sz="6" w:space="0" w:color="auto"/>
              <w:bottom w:val="outset" w:sz="6" w:space="0" w:color="auto"/>
              <w:right w:val="outset" w:sz="6" w:space="0" w:color="auto"/>
            </w:tcBorders>
            <w:hideMark/>
          </w:tcPr>
          <w:p w14:paraId="0F4F1FE0" w14:textId="77777777" w:rsidR="007263F0" w:rsidRDefault="007263F0" w:rsidP="00D72CAC">
            <w:pPr>
              <w:spacing w:after="0" w:line="240" w:lineRule="auto"/>
              <w:rPr>
                <w:rFonts w:eastAsia="Times New Roman" w:cs="Times New Roman"/>
                <w:szCs w:val="24"/>
                <w:lang w:eastAsia="lv-LV"/>
              </w:rPr>
            </w:pPr>
            <w:r w:rsidRPr="007263F0">
              <w:rPr>
                <w:rFonts w:eastAsia="Times New Roman" w:cs="Times New Roman"/>
                <w:szCs w:val="24"/>
                <w:lang w:eastAsia="lv-LV"/>
              </w:rPr>
              <w:t>Valsts ieņēmumu dienest</w:t>
            </w:r>
            <w:r>
              <w:rPr>
                <w:rFonts w:eastAsia="Times New Roman" w:cs="Times New Roman"/>
                <w:szCs w:val="24"/>
                <w:lang w:eastAsia="lv-LV"/>
              </w:rPr>
              <w:t>s</w:t>
            </w:r>
          </w:p>
          <w:p w14:paraId="213A0784" w14:textId="77777777" w:rsidR="005D4AE6" w:rsidRDefault="00820370" w:rsidP="00D72CAC">
            <w:pPr>
              <w:spacing w:after="0" w:line="240" w:lineRule="auto"/>
              <w:rPr>
                <w:rFonts w:eastAsia="Times New Roman" w:cs="Times New Roman"/>
                <w:szCs w:val="24"/>
                <w:lang w:eastAsia="lv-LV"/>
              </w:rPr>
            </w:pPr>
            <w:r>
              <w:rPr>
                <w:rFonts w:eastAsia="Times New Roman" w:cs="Times New Roman"/>
                <w:szCs w:val="24"/>
                <w:lang w:eastAsia="lv-LV"/>
              </w:rPr>
              <w:t xml:space="preserve">Finanšu </w:t>
            </w:r>
            <w:r w:rsidR="00231936">
              <w:rPr>
                <w:rFonts w:eastAsia="Times New Roman" w:cs="Times New Roman"/>
                <w:szCs w:val="24"/>
                <w:lang w:eastAsia="lv-LV"/>
              </w:rPr>
              <w:t>m</w:t>
            </w:r>
            <w:r>
              <w:rPr>
                <w:rFonts w:eastAsia="Times New Roman" w:cs="Times New Roman"/>
                <w:szCs w:val="24"/>
                <w:lang w:eastAsia="lv-LV"/>
              </w:rPr>
              <w:t>inistrija</w:t>
            </w:r>
          </w:p>
          <w:p w14:paraId="69869C61" w14:textId="77777777" w:rsidR="006868B7" w:rsidRPr="005D4AE6" w:rsidRDefault="006868B7" w:rsidP="00D72CAC">
            <w:pPr>
              <w:spacing w:after="0" w:line="240" w:lineRule="auto"/>
              <w:rPr>
                <w:rFonts w:eastAsia="Times New Roman" w:cs="Times New Roman"/>
                <w:szCs w:val="24"/>
                <w:lang w:eastAsia="lv-LV"/>
              </w:rPr>
            </w:pPr>
          </w:p>
        </w:tc>
      </w:tr>
      <w:tr w:rsidR="005D4AE6" w:rsidRPr="005D4AE6" w14:paraId="7691D814" w14:textId="77777777" w:rsidTr="006617B4">
        <w:tc>
          <w:tcPr>
            <w:tcW w:w="231" w:type="pct"/>
            <w:tcBorders>
              <w:top w:val="outset" w:sz="6" w:space="0" w:color="auto"/>
              <w:left w:val="outset" w:sz="6" w:space="0" w:color="auto"/>
              <w:bottom w:val="outset" w:sz="6" w:space="0" w:color="auto"/>
              <w:right w:val="outset" w:sz="6" w:space="0" w:color="auto"/>
            </w:tcBorders>
            <w:hideMark/>
          </w:tcPr>
          <w:p w14:paraId="27C47F15" w14:textId="77777777" w:rsidR="005D4AE6" w:rsidRPr="005D4AE6" w:rsidRDefault="005D4AE6" w:rsidP="00D72CAC">
            <w:pPr>
              <w:spacing w:before="100" w:beforeAutospacing="1" w:after="100" w:afterAutospacing="1" w:line="240" w:lineRule="auto"/>
              <w:rPr>
                <w:rFonts w:eastAsia="Times New Roman" w:cs="Times New Roman"/>
                <w:szCs w:val="24"/>
                <w:lang w:eastAsia="lv-LV"/>
              </w:rPr>
            </w:pPr>
            <w:r w:rsidRPr="005D4AE6">
              <w:rPr>
                <w:rFonts w:eastAsia="Times New Roman" w:cs="Times New Roman"/>
                <w:szCs w:val="24"/>
                <w:lang w:eastAsia="lv-LV"/>
              </w:rPr>
              <w:t>4.</w:t>
            </w:r>
          </w:p>
        </w:tc>
        <w:tc>
          <w:tcPr>
            <w:tcW w:w="949" w:type="pct"/>
            <w:tcBorders>
              <w:top w:val="outset" w:sz="6" w:space="0" w:color="auto"/>
              <w:left w:val="outset" w:sz="6" w:space="0" w:color="auto"/>
              <w:bottom w:val="outset" w:sz="6" w:space="0" w:color="auto"/>
              <w:right w:val="outset" w:sz="6" w:space="0" w:color="auto"/>
            </w:tcBorders>
            <w:hideMark/>
          </w:tcPr>
          <w:p w14:paraId="384C0A7E" w14:textId="77777777" w:rsidR="005D4AE6" w:rsidRPr="005D4AE6" w:rsidRDefault="005D4AE6" w:rsidP="00D72CAC">
            <w:pPr>
              <w:spacing w:after="0" w:line="240" w:lineRule="auto"/>
              <w:rPr>
                <w:rFonts w:eastAsia="Times New Roman" w:cs="Times New Roman"/>
                <w:szCs w:val="24"/>
                <w:lang w:eastAsia="lv-LV"/>
              </w:rPr>
            </w:pPr>
            <w:r w:rsidRPr="005D4AE6">
              <w:rPr>
                <w:rFonts w:eastAsia="Times New Roman" w:cs="Times New Roman"/>
                <w:szCs w:val="24"/>
                <w:lang w:eastAsia="lv-LV"/>
              </w:rPr>
              <w:t>Cita informācija</w:t>
            </w:r>
          </w:p>
        </w:tc>
        <w:tc>
          <w:tcPr>
            <w:tcW w:w="3821" w:type="pct"/>
            <w:tcBorders>
              <w:top w:val="outset" w:sz="6" w:space="0" w:color="auto"/>
              <w:left w:val="outset" w:sz="6" w:space="0" w:color="auto"/>
              <w:bottom w:val="outset" w:sz="6" w:space="0" w:color="auto"/>
              <w:right w:val="outset" w:sz="6" w:space="0" w:color="auto"/>
            </w:tcBorders>
            <w:hideMark/>
          </w:tcPr>
          <w:p w14:paraId="583B50A6" w14:textId="77777777" w:rsidR="005D4AE6" w:rsidRPr="005D4AE6" w:rsidRDefault="005D4AE6" w:rsidP="00D72CAC">
            <w:pPr>
              <w:spacing w:before="100" w:beforeAutospacing="1" w:after="100" w:afterAutospacing="1" w:line="240" w:lineRule="auto"/>
              <w:rPr>
                <w:rFonts w:eastAsia="Times New Roman" w:cs="Times New Roman"/>
                <w:szCs w:val="24"/>
                <w:lang w:eastAsia="lv-LV"/>
              </w:rPr>
            </w:pPr>
            <w:r w:rsidRPr="005D4AE6">
              <w:rPr>
                <w:rFonts w:eastAsia="Times New Roman" w:cs="Times New Roman"/>
                <w:szCs w:val="24"/>
                <w:lang w:eastAsia="lv-LV"/>
              </w:rPr>
              <w:t>Nav</w:t>
            </w:r>
          </w:p>
        </w:tc>
      </w:tr>
    </w:tbl>
    <w:p w14:paraId="541B670F" w14:textId="4CB41C15" w:rsidR="005D4AE6" w:rsidRPr="005D4AE6" w:rsidRDefault="00EB1032" w:rsidP="005D4AE6">
      <w:pPr>
        <w:spacing w:after="0" w:line="240" w:lineRule="auto"/>
        <w:rPr>
          <w:rFonts w:eastAsia="Times New Roman" w:cs="Times New Roman"/>
          <w:vanish/>
          <w:szCs w:val="24"/>
          <w:lang w:eastAsia="lv-LV"/>
        </w:rPr>
      </w:pPr>
      <w:r>
        <w:rPr>
          <w:rFonts w:eastAsia="Times New Roman" w:cs="Times New Roman"/>
          <w:vanish/>
          <w:szCs w:val="24"/>
          <w:lang w:eastAsia="lv-LV"/>
        </w:rPr>
        <w:br w:type="textWrapping" w:clear="all"/>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6"/>
        <w:gridCol w:w="92"/>
        <w:gridCol w:w="2832"/>
        <w:gridCol w:w="53"/>
        <w:gridCol w:w="5802"/>
      </w:tblGrid>
      <w:tr w:rsidR="005D4AE6" w:rsidRPr="005D4AE6" w14:paraId="4AE45C09" w14:textId="77777777" w:rsidTr="005D4AE6">
        <w:trPr>
          <w:trHeight w:val="555"/>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3A4D8497" w14:textId="77777777" w:rsidR="005D4AE6" w:rsidRPr="005D4AE6" w:rsidRDefault="005D4AE6" w:rsidP="005D4AE6">
            <w:pPr>
              <w:spacing w:before="100" w:beforeAutospacing="1" w:after="100" w:afterAutospacing="1" w:line="240" w:lineRule="auto"/>
              <w:rPr>
                <w:rFonts w:eastAsia="Times New Roman" w:cs="Times New Roman"/>
                <w:szCs w:val="24"/>
                <w:lang w:eastAsia="lv-LV"/>
              </w:rPr>
            </w:pPr>
            <w:r w:rsidRPr="005D4AE6">
              <w:rPr>
                <w:rFonts w:eastAsia="Times New Roman" w:cs="Times New Roman"/>
                <w:b/>
                <w:bCs/>
                <w:szCs w:val="24"/>
                <w:lang w:eastAsia="lv-LV"/>
              </w:rPr>
              <w:lastRenderedPageBreak/>
              <w:t>II. Tiesību akta projekta ietekme uz sabiedrību, tautsaimniecības attīstību un administratīvo slogu</w:t>
            </w:r>
          </w:p>
        </w:tc>
      </w:tr>
      <w:tr w:rsidR="005D4AE6" w:rsidRPr="005D4AE6" w14:paraId="1A2AD124" w14:textId="77777777" w:rsidTr="006617B4">
        <w:trPr>
          <w:trHeight w:val="465"/>
        </w:trPr>
        <w:tc>
          <w:tcPr>
            <w:tcW w:w="203" w:type="pct"/>
            <w:gridSpan w:val="2"/>
            <w:tcBorders>
              <w:top w:val="outset" w:sz="6" w:space="0" w:color="auto"/>
              <w:left w:val="outset" w:sz="6" w:space="0" w:color="auto"/>
              <w:bottom w:val="outset" w:sz="6" w:space="0" w:color="auto"/>
              <w:right w:val="outset" w:sz="6" w:space="0" w:color="auto"/>
            </w:tcBorders>
            <w:hideMark/>
          </w:tcPr>
          <w:p w14:paraId="35ABB48A"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t>1.</w:t>
            </w:r>
          </w:p>
        </w:tc>
        <w:tc>
          <w:tcPr>
            <w:tcW w:w="1564" w:type="pct"/>
            <w:tcBorders>
              <w:top w:val="outset" w:sz="6" w:space="0" w:color="auto"/>
              <w:left w:val="outset" w:sz="6" w:space="0" w:color="auto"/>
              <w:bottom w:val="outset" w:sz="6" w:space="0" w:color="auto"/>
              <w:right w:val="outset" w:sz="6" w:space="0" w:color="auto"/>
            </w:tcBorders>
            <w:hideMark/>
          </w:tcPr>
          <w:p w14:paraId="1739E1DC"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t xml:space="preserve">Sabiedrības </w:t>
            </w:r>
            <w:proofErr w:type="spellStart"/>
            <w:r w:rsidRPr="005D4AE6">
              <w:rPr>
                <w:rFonts w:eastAsia="Times New Roman" w:cs="Times New Roman"/>
                <w:szCs w:val="24"/>
                <w:lang w:eastAsia="lv-LV"/>
              </w:rPr>
              <w:t>mērķgrupas</w:t>
            </w:r>
            <w:proofErr w:type="spellEnd"/>
            <w:r w:rsidRPr="005D4AE6">
              <w:rPr>
                <w:rFonts w:eastAsia="Times New Roman" w:cs="Times New Roman"/>
                <w:szCs w:val="24"/>
                <w:lang w:eastAsia="lv-LV"/>
              </w:rPr>
              <w:t>, kuras tiesiskais regulējums ietekmē vai varētu ietekmēt</w:t>
            </w:r>
          </w:p>
        </w:tc>
        <w:tc>
          <w:tcPr>
            <w:tcW w:w="3234" w:type="pct"/>
            <w:gridSpan w:val="2"/>
            <w:tcBorders>
              <w:top w:val="outset" w:sz="6" w:space="0" w:color="auto"/>
              <w:left w:val="outset" w:sz="6" w:space="0" w:color="auto"/>
              <w:bottom w:val="outset" w:sz="6" w:space="0" w:color="auto"/>
              <w:right w:val="outset" w:sz="6" w:space="0" w:color="auto"/>
            </w:tcBorders>
            <w:hideMark/>
          </w:tcPr>
          <w:p w14:paraId="229A7297" w14:textId="31BC4506" w:rsidR="005D4AE6" w:rsidRPr="005D4AE6" w:rsidRDefault="003E1845" w:rsidP="00425C3E">
            <w:pPr>
              <w:spacing w:after="0" w:line="240" w:lineRule="auto"/>
              <w:jc w:val="both"/>
              <w:rPr>
                <w:rFonts w:eastAsia="Times New Roman" w:cs="Times New Roman"/>
                <w:szCs w:val="24"/>
                <w:lang w:eastAsia="lv-LV"/>
              </w:rPr>
            </w:pPr>
            <w:r>
              <w:rPr>
                <w:rFonts w:eastAsia="Times New Roman" w:cs="Times New Roman"/>
                <w:szCs w:val="24"/>
                <w:lang w:eastAsia="lv-LV"/>
              </w:rPr>
              <w:t>Transporta un loģistikas nozarē strādājošie komersanti</w:t>
            </w:r>
            <w:r w:rsidR="0090552B">
              <w:rPr>
                <w:rFonts w:eastAsia="Times New Roman" w:cs="Times New Roman"/>
                <w:szCs w:val="24"/>
                <w:lang w:eastAsia="lv-LV"/>
              </w:rPr>
              <w:t xml:space="preserve"> (TIR karnetes turētāja tiesības Latvijas Republikā ir saņēmuši </w:t>
            </w:r>
            <w:r w:rsidR="007D7909">
              <w:rPr>
                <w:rFonts w:eastAsia="Times New Roman" w:cs="Times New Roman"/>
                <w:szCs w:val="24"/>
                <w:lang w:eastAsia="lv-LV"/>
              </w:rPr>
              <w:t>498</w:t>
            </w:r>
            <w:r w:rsidR="0090552B">
              <w:rPr>
                <w:rFonts w:eastAsia="Times New Roman" w:cs="Times New Roman"/>
                <w:szCs w:val="24"/>
                <w:lang w:eastAsia="lv-LV"/>
              </w:rPr>
              <w:t xml:space="preserve"> </w:t>
            </w:r>
            <w:r w:rsidR="0090552B" w:rsidRPr="006617B4">
              <w:rPr>
                <w:rFonts w:eastAsia="Times New Roman" w:cs="Times New Roman"/>
                <w:szCs w:val="24"/>
                <w:lang w:eastAsia="lv-LV"/>
              </w:rPr>
              <w:t>komersant</w:t>
            </w:r>
            <w:r w:rsidR="007D7909" w:rsidRPr="006617B4">
              <w:rPr>
                <w:rFonts w:eastAsia="Times New Roman" w:cs="Times New Roman"/>
                <w:szCs w:val="24"/>
                <w:lang w:eastAsia="lv-LV"/>
              </w:rPr>
              <w:t>i</w:t>
            </w:r>
            <w:r w:rsidR="0090552B" w:rsidRPr="006617B4">
              <w:rPr>
                <w:rFonts w:eastAsia="Times New Roman" w:cs="Times New Roman"/>
                <w:szCs w:val="24"/>
                <w:lang w:eastAsia="lv-LV"/>
              </w:rPr>
              <w:t xml:space="preserve">, potenciālie TIR procedūras vienkāršojuma </w:t>
            </w:r>
            <w:r w:rsidR="00F16663" w:rsidRPr="006617B4">
              <w:rPr>
                <w:rFonts w:eastAsia="Times New Roman" w:cs="Times New Roman"/>
                <w:szCs w:val="24"/>
                <w:lang w:eastAsia="lv-LV"/>
              </w:rPr>
              <w:t>–</w:t>
            </w:r>
            <w:r w:rsidR="0090552B" w:rsidRPr="006617B4">
              <w:rPr>
                <w:rFonts w:eastAsia="Times New Roman" w:cs="Times New Roman"/>
                <w:szCs w:val="24"/>
                <w:lang w:eastAsia="lv-LV"/>
              </w:rPr>
              <w:t xml:space="preserve"> </w:t>
            </w:r>
            <w:r w:rsidR="00D34771" w:rsidRPr="006617B4">
              <w:rPr>
                <w:rFonts w:eastAsia="Times New Roman" w:cs="Times New Roman"/>
                <w:szCs w:val="24"/>
                <w:lang w:eastAsia="lv-LV"/>
              </w:rPr>
              <w:t>pilnvarotājs</w:t>
            </w:r>
            <w:r w:rsidR="00F16663" w:rsidRPr="006617B4">
              <w:rPr>
                <w:rFonts w:eastAsia="Times New Roman" w:cs="Times New Roman"/>
                <w:szCs w:val="24"/>
                <w:lang w:eastAsia="lv-LV"/>
              </w:rPr>
              <w:t xml:space="preserve"> </w:t>
            </w:r>
            <w:r w:rsidR="0090552B" w:rsidRPr="006617B4">
              <w:rPr>
                <w:rFonts w:eastAsia="Times New Roman" w:cs="Times New Roman"/>
                <w:szCs w:val="24"/>
                <w:lang w:eastAsia="lv-LV"/>
              </w:rPr>
              <w:t xml:space="preserve">TIR </w:t>
            </w:r>
            <w:r w:rsidR="004F1D6C" w:rsidRPr="006617B4">
              <w:rPr>
                <w:rFonts w:eastAsia="Times New Roman" w:cs="Times New Roman"/>
                <w:szCs w:val="24"/>
                <w:lang w:eastAsia="lv-LV"/>
              </w:rPr>
              <w:t>nosūtītājs</w:t>
            </w:r>
            <w:r w:rsidR="0090552B" w:rsidRPr="006617B4">
              <w:rPr>
                <w:rFonts w:eastAsia="Times New Roman" w:cs="Times New Roman"/>
                <w:szCs w:val="24"/>
                <w:lang w:eastAsia="lv-LV"/>
              </w:rPr>
              <w:t xml:space="preserve"> - izmantotāji)</w:t>
            </w:r>
            <w:r w:rsidRPr="006617B4">
              <w:rPr>
                <w:rFonts w:eastAsia="Times New Roman" w:cs="Times New Roman"/>
                <w:szCs w:val="24"/>
                <w:lang w:eastAsia="lv-LV"/>
              </w:rPr>
              <w:t>, eksportētāji</w:t>
            </w:r>
            <w:r w:rsidR="00204392" w:rsidRPr="006617B4">
              <w:rPr>
                <w:rFonts w:eastAsia="Times New Roman" w:cs="Times New Roman"/>
                <w:szCs w:val="24"/>
                <w:lang w:eastAsia="lv-LV"/>
              </w:rPr>
              <w:t>.</w:t>
            </w:r>
            <w:r w:rsidR="00425C3E" w:rsidRPr="006617B4">
              <w:rPr>
                <w:rFonts w:eastAsia="Times New Roman" w:cs="Times New Roman"/>
                <w:szCs w:val="24"/>
                <w:lang w:eastAsia="lv-LV"/>
              </w:rPr>
              <w:t xml:space="preserve"> Šie komersanti var pretendēt uz </w:t>
            </w:r>
            <w:r w:rsidR="00D34771" w:rsidRPr="006617B4">
              <w:rPr>
                <w:rFonts w:eastAsia="Times New Roman" w:cs="Times New Roman"/>
                <w:szCs w:val="24"/>
                <w:lang w:eastAsia="lv-LV"/>
              </w:rPr>
              <w:t>pilnvarot</w:t>
            </w:r>
            <w:r w:rsidR="00425C3E" w:rsidRPr="006617B4">
              <w:rPr>
                <w:rFonts w:eastAsia="Times New Roman" w:cs="Times New Roman"/>
                <w:szCs w:val="24"/>
                <w:lang w:eastAsia="lv-LV"/>
              </w:rPr>
              <w:t>ā TIR nosūtītāja atļauju, kā arī citi komersanti, kas līdz šo</w:t>
            </w:r>
            <w:r w:rsidR="00425C3E">
              <w:rPr>
                <w:rFonts w:eastAsia="Times New Roman" w:cs="Times New Roman"/>
                <w:szCs w:val="24"/>
                <w:lang w:eastAsia="lv-LV"/>
              </w:rPr>
              <w:t xml:space="preserve"> noteikumu spēkā stāšanās nav spējuši izpildīt prasības, lai saņemtu tiesības piemērot TIR procedūru.</w:t>
            </w:r>
          </w:p>
        </w:tc>
      </w:tr>
      <w:tr w:rsidR="005D4AE6" w:rsidRPr="005D4AE6" w14:paraId="58E83782" w14:textId="77777777" w:rsidTr="006617B4">
        <w:trPr>
          <w:trHeight w:val="510"/>
        </w:trPr>
        <w:tc>
          <w:tcPr>
            <w:tcW w:w="203" w:type="pct"/>
            <w:gridSpan w:val="2"/>
            <w:tcBorders>
              <w:top w:val="outset" w:sz="6" w:space="0" w:color="auto"/>
              <w:left w:val="outset" w:sz="6" w:space="0" w:color="auto"/>
              <w:bottom w:val="outset" w:sz="6" w:space="0" w:color="auto"/>
              <w:right w:val="outset" w:sz="6" w:space="0" w:color="auto"/>
            </w:tcBorders>
            <w:hideMark/>
          </w:tcPr>
          <w:p w14:paraId="77A61416"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t>2.</w:t>
            </w:r>
          </w:p>
        </w:tc>
        <w:tc>
          <w:tcPr>
            <w:tcW w:w="1564" w:type="pct"/>
            <w:tcBorders>
              <w:top w:val="outset" w:sz="6" w:space="0" w:color="auto"/>
              <w:left w:val="outset" w:sz="6" w:space="0" w:color="auto"/>
              <w:bottom w:val="outset" w:sz="6" w:space="0" w:color="auto"/>
              <w:right w:val="outset" w:sz="6" w:space="0" w:color="auto"/>
            </w:tcBorders>
            <w:hideMark/>
          </w:tcPr>
          <w:p w14:paraId="395D912B"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t>Tiesiskā regulējuma ietekme uz tautsaimniecību un administratīvo slogu</w:t>
            </w:r>
          </w:p>
        </w:tc>
        <w:tc>
          <w:tcPr>
            <w:tcW w:w="3234" w:type="pct"/>
            <w:gridSpan w:val="2"/>
            <w:tcBorders>
              <w:top w:val="outset" w:sz="6" w:space="0" w:color="auto"/>
              <w:left w:val="outset" w:sz="6" w:space="0" w:color="auto"/>
              <w:bottom w:val="outset" w:sz="6" w:space="0" w:color="auto"/>
              <w:right w:val="outset" w:sz="6" w:space="0" w:color="auto"/>
            </w:tcBorders>
            <w:hideMark/>
          </w:tcPr>
          <w:p w14:paraId="4D267F23" w14:textId="1EB0D238" w:rsidR="00367D1E" w:rsidRPr="005D4AE6" w:rsidRDefault="00990B19" w:rsidP="00F16663">
            <w:pPr>
              <w:spacing w:after="0" w:line="240" w:lineRule="auto"/>
              <w:jc w:val="both"/>
              <w:rPr>
                <w:rFonts w:eastAsia="Times New Roman" w:cs="Times New Roman"/>
                <w:szCs w:val="24"/>
                <w:lang w:eastAsia="lv-LV"/>
              </w:rPr>
            </w:pPr>
            <w:r>
              <w:rPr>
                <w:rFonts w:eastAsia="Times New Roman" w:cs="Times New Roman"/>
                <w:szCs w:val="24"/>
                <w:lang w:eastAsia="lv-LV"/>
              </w:rPr>
              <w:t>K</w:t>
            </w:r>
            <w:r w:rsidR="003E1845">
              <w:rPr>
                <w:rFonts w:eastAsia="Times New Roman" w:cs="Times New Roman"/>
                <w:szCs w:val="24"/>
                <w:lang w:eastAsia="lv-LV"/>
              </w:rPr>
              <w:t>omersanti</w:t>
            </w:r>
            <w:r w:rsidR="00F16253">
              <w:rPr>
                <w:rFonts w:eastAsia="Times New Roman" w:cs="Times New Roman"/>
                <w:szCs w:val="24"/>
                <w:lang w:eastAsia="lv-LV"/>
              </w:rPr>
              <w:t>em,</w:t>
            </w:r>
            <w:r w:rsidR="00F16253" w:rsidRPr="00F16253">
              <w:rPr>
                <w:rFonts w:eastAsia="Times New Roman" w:cs="Times New Roman"/>
                <w:szCs w:val="24"/>
                <w:lang w:eastAsia="lv-LV"/>
              </w:rPr>
              <w:t xml:space="preserve"> </w:t>
            </w:r>
            <w:r w:rsidR="003E1845">
              <w:rPr>
                <w:rFonts w:eastAsia="Times New Roman" w:cs="Times New Roman"/>
                <w:szCs w:val="24"/>
                <w:lang w:eastAsia="lv-LV"/>
              </w:rPr>
              <w:t xml:space="preserve">kas saņems </w:t>
            </w:r>
            <w:r w:rsidR="00BE719F" w:rsidRPr="006617B4">
              <w:rPr>
                <w:rFonts w:eastAsia="Times New Roman" w:cs="Times New Roman"/>
                <w:szCs w:val="24"/>
                <w:lang w:eastAsia="lv-LV"/>
              </w:rPr>
              <w:t>pilnvarot</w:t>
            </w:r>
            <w:r w:rsidR="00F16663" w:rsidRPr="006617B4">
              <w:rPr>
                <w:rFonts w:eastAsia="Times New Roman" w:cs="Times New Roman"/>
                <w:szCs w:val="24"/>
                <w:lang w:eastAsia="lv-LV"/>
              </w:rPr>
              <w:t>ā</w:t>
            </w:r>
            <w:r w:rsidR="003E1845" w:rsidRPr="006617B4">
              <w:rPr>
                <w:rFonts w:eastAsia="Times New Roman" w:cs="Times New Roman"/>
                <w:szCs w:val="24"/>
                <w:lang w:eastAsia="lv-LV"/>
              </w:rPr>
              <w:t xml:space="preserve"> </w:t>
            </w:r>
            <w:r w:rsidR="003E1845" w:rsidRPr="003E1845">
              <w:rPr>
                <w:rFonts w:eastAsia="Times New Roman" w:cs="Times New Roman"/>
                <w:szCs w:val="24"/>
                <w:lang w:eastAsia="lv-LV"/>
              </w:rPr>
              <w:t xml:space="preserve">TIR </w:t>
            </w:r>
            <w:r w:rsidR="00F16663">
              <w:rPr>
                <w:rFonts w:eastAsia="Times New Roman" w:cs="Times New Roman"/>
                <w:szCs w:val="24"/>
                <w:lang w:eastAsia="lv-LV"/>
              </w:rPr>
              <w:t>nosūtītāja</w:t>
            </w:r>
            <w:r w:rsidR="003E1845" w:rsidRPr="003E1845">
              <w:rPr>
                <w:rFonts w:eastAsia="Times New Roman" w:cs="Times New Roman"/>
                <w:szCs w:val="24"/>
                <w:lang w:eastAsia="lv-LV"/>
              </w:rPr>
              <w:t xml:space="preserve"> atļauju, </w:t>
            </w:r>
            <w:r w:rsidR="00F16253">
              <w:rPr>
                <w:rFonts w:eastAsia="Times New Roman" w:cs="Times New Roman"/>
                <w:szCs w:val="24"/>
                <w:lang w:eastAsia="lv-LV"/>
              </w:rPr>
              <w:t>būs iespējams operatīvāk noformēt TIR procedūras piemērošanu, efektīvāk izmantot komersantam pieejam</w:t>
            </w:r>
            <w:r w:rsidR="00D36633">
              <w:rPr>
                <w:rFonts w:eastAsia="Times New Roman" w:cs="Times New Roman"/>
                <w:szCs w:val="24"/>
                <w:lang w:eastAsia="lv-LV"/>
              </w:rPr>
              <w:t>o</w:t>
            </w:r>
            <w:r w:rsidR="00F16253">
              <w:rPr>
                <w:rFonts w:eastAsia="Times New Roman" w:cs="Times New Roman"/>
                <w:szCs w:val="24"/>
                <w:lang w:eastAsia="lv-LV"/>
              </w:rPr>
              <w:t>s darbaspēka un finansiāl</w:t>
            </w:r>
            <w:r w:rsidR="00D36633">
              <w:rPr>
                <w:rFonts w:eastAsia="Times New Roman" w:cs="Times New Roman"/>
                <w:szCs w:val="24"/>
                <w:lang w:eastAsia="lv-LV"/>
              </w:rPr>
              <w:t>o</w:t>
            </w:r>
            <w:r w:rsidR="00F16253">
              <w:rPr>
                <w:rFonts w:eastAsia="Times New Roman" w:cs="Times New Roman"/>
                <w:szCs w:val="24"/>
                <w:lang w:eastAsia="lv-LV"/>
              </w:rPr>
              <w:t>s resursus</w:t>
            </w:r>
            <w:r>
              <w:rPr>
                <w:rFonts w:eastAsia="Times New Roman" w:cs="Times New Roman"/>
                <w:szCs w:val="24"/>
                <w:lang w:eastAsia="lv-LV"/>
              </w:rPr>
              <w:t xml:space="preserve">, paaugstināsies komersanta prestižs un </w:t>
            </w:r>
            <w:r w:rsidR="00141634">
              <w:rPr>
                <w:rFonts w:eastAsia="Times New Roman" w:cs="Times New Roman"/>
                <w:szCs w:val="24"/>
                <w:lang w:eastAsia="lv-LV"/>
              </w:rPr>
              <w:t>konkurētspējā</w:t>
            </w:r>
            <w:r>
              <w:rPr>
                <w:rFonts w:eastAsia="Times New Roman" w:cs="Times New Roman"/>
                <w:szCs w:val="24"/>
                <w:lang w:eastAsia="lv-LV"/>
              </w:rPr>
              <w:t>, t</w:t>
            </w:r>
            <w:r w:rsidR="003E1845">
              <w:rPr>
                <w:rFonts w:eastAsia="Times New Roman" w:cs="Times New Roman"/>
                <w:szCs w:val="24"/>
                <w:lang w:eastAsia="lv-LV"/>
              </w:rPr>
              <w:t>iks samazināts administratīvais slogs</w:t>
            </w:r>
            <w:r>
              <w:rPr>
                <w:rFonts w:eastAsia="Times New Roman" w:cs="Times New Roman"/>
                <w:szCs w:val="24"/>
                <w:lang w:eastAsia="lv-LV"/>
              </w:rPr>
              <w:t>.</w:t>
            </w:r>
          </w:p>
        </w:tc>
      </w:tr>
      <w:tr w:rsidR="005D4AE6" w:rsidRPr="005D4AE6" w14:paraId="48B5A1B4" w14:textId="77777777" w:rsidTr="006617B4">
        <w:trPr>
          <w:trHeight w:val="510"/>
        </w:trPr>
        <w:tc>
          <w:tcPr>
            <w:tcW w:w="203" w:type="pct"/>
            <w:gridSpan w:val="2"/>
            <w:tcBorders>
              <w:top w:val="outset" w:sz="6" w:space="0" w:color="auto"/>
              <w:left w:val="outset" w:sz="6" w:space="0" w:color="auto"/>
              <w:bottom w:val="outset" w:sz="6" w:space="0" w:color="auto"/>
              <w:right w:val="outset" w:sz="6" w:space="0" w:color="auto"/>
            </w:tcBorders>
            <w:hideMark/>
          </w:tcPr>
          <w:p w14:paraId="5FA64F3D"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t>3.</w:t>
            </w:r>
          </w:p>
        </w:tc>
        <w:tc>
          <w:tcPr>
            <w:tcW w:w="1564" w:type="pct"/>
            <w:tcBorders>
              <w:top w:val="outset" w:sz="6" w:space="0" w:color="auto"/>
              <w:left w:val="outset" w:sz="6" w:space="0" w:color="auto"/>
              <w:bottom w:val="outset" w:sz="6" w:space="0" w:color="auto"/>
              <w:right w:val="outset" w:sz="6" w:space="0" w:color="auto"/>
            </w:tcBorders>
            <w:hideMark/>
          </w:tcPr>
          <w:p w14:paraId="0A3ACF46"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t>Administratīvo izmaksu monetārs novērtējums</w:t>
            </w:r>
          </w:p>
        </w:tc>
        <w:tc>
          <w:tcPr>
            <w:tcW w:w="3234" w:type="pct"/>
            <w:gridSpan w:val="2"/>
            <w:tcBorders>
              <w:top w:val="outset" w:sz="6" w:space="0" w:color="auto"/>
              <w:left w:val="outset" w:sz="6" w:space="0" w:color="auto"/>
              <w:bottom w:val="outset" w:sz="6" w:space="0" w:color="auto"/>
              <w:right w:val="outset" w:sz="6" w:space="0" w:color="auto"/>
            </w:tcBorders>
            <w:hideMark/>
          </w:tcPr>
          <w:p w14:paraId="6BFCC0C5" w14:textId="39C75BE6" w:rsidR="005D4AE6" w:rsidRPr="00204392" w:rsidRDefault="008E12D8" w:rsidP="006A451D">
            <w:pPr>
              <w:spacing w:after="0" w:line="240" w:lineRule="auto"/>
              <w:jc w:val="both"/>
              <w:rPr>
                <w:rFonts w:eastAsia="Times New Roman" w:cs="Times New Roman"/>
                <w:szCs w:val="24"/>
                <w:lang w:eastAsia="lv-LV"/>
              </w:rPr>
            </w:pPr>
            <w:r w:rsidRPr="00464571">
              <w:rPr>
                <w:rFonts w:eastAsia="Times New Roman" w:cs="Times New Roman"/>
                <w:szCs w:val="24"/>
                <w:lang w:eastAsia="lv-LV"/>
              </w:rPr>
              <w:t xml:space="preserve">Saskaņā ar projekta </w:t>
            </w:r>
            <w:r w:rsidRPr="004F456B">
              <w:rPr>
                <w:rFonts w:eastAsia="Times New Roman" w:cs="Times New Roman"/>
                <w:szCs w:val="24"/>
                <w:lang w:eastAsia="lv-LV"/>
              </w:rPr>
              <w:t>2</w:t>
            </w:r>
            <w:r w:rsidR="006F4F44">
              <w:rPr>
                <w:rFonts w:eastAsia="Times New Roman" w:cs="Times New Roman"/>
                <w:szCs w:val="24"/>
                <w:lang w:eastAsia="lv-LV"/>
              </w:rPr>
              <w:t>7</w:t>
            </w:r>
            <w:r w:rsidRPr="004F456B">
              <w:rPr>
                <w:rFonts w:eastAsia="Times New Roman" w:cs="Times New Roman"/>
                <w:szCs w:val="24"/>
                <w:lang w:eastAsia="lv-LV"/>
              </w:rPr>
              <w:t>.2.3.</w:t>
            </w:r>
            <w:r w:rsidR="00987FC1">
              <w:rPr>
                <w:rFonts w:eastAsia="Times New Roman" w:cs="Times New Roman"/>
                <w:szCs w:val="24"/>
                <w:lang w:eastAsia="lv-LV"/>
              </w:rPr>
              <w:t> </w:t>
            </w:r>
            <w:r w:rsidR="00204392" w:rsidRPr="004F456B">
              <w:rPr>
                <w:rFonts w:eastAsia="Times New Roman" w:cs="Times New Roman"/>
                <w:szCs w:val="24"/>
                <w:lang w:eastAsia="lv-LV"/>
              </w:rPr>
              <w:t>apakš</w:t>
            </w:r>
            <w:r w:rsidRPr="004F456B">
              <w:rPr>
                <w:rFonts w:eastAsia="Times New Roman" w:cs="Times New Roman"/>
                <w:szCs w:val="24"/>
                <w:lang w:eastAsia="lv-LV"/>
              </w:rPr>
              <w:t xml:space="preserve">punktu </w:t>
            </w:r>
            <w:r w:rsidRPr="00464571">
              <w:rPr>
                <w:rFonts w:eastAsia="Times New Roman" w:cs="Times New Roman"/>
                <w:szCs w:val="24"/>
                <w:lang w:eastAsia="lv-LV"/>
              </w:rPr>
              <w:t>garantējošajai asociācijai jāpārliecinās par personas zināšanām TIR Konvencijas piemērošanā (pārbaude nav attiecināma uz TIR karnetes turētājiem, kuri jau pierādīja atbilstoš</w:t>
            </w:r>
            <w:r w:rsidR="001E7C23">
              <w:rPr>
                <w:rFonts w:eastAsia="Times New Roman" w:cs="Times New Roman"/>
                <w:szCs w:val="24"/>
                <w:lang w:eastAsia="lv-LV"/>
              </w:rPr>
              <w:t>u</w:t>
            </w:r>
            <w:r w:rsidRPr="00464571">
              <w:rPr>
                <w:rFonts w:eastAsia="Times New Roman" w:cs="Times New Roman"/>
                <w:szCs w:val="24"/>
                <w:lang w:eastAsia="lv-LV"/>
              </w:rPr>
              <w:t xml:space="preserve"> zināšanas esamību, lai saņemtu TIR karnetes turētāja statusu).</w:t>
            </w:r>
            <w:r w:rsidR="00464571" w:rsidRPr="00464571">
              <w:rPr>
                <w:rFonts w:eastAsia="Times New Roman" w:cs="Times New Roman"/>
                <w:szCs w:val="24"/>
                <w:lang w:eastAsia="lv-LV"/>
              </w:rPr>
              <w:t xml:space="preserve"> Garantējošā asociācija </w:t>
            </w:r>
            <w:r w:rsidR="003A33AF">
              <w:rPr>
                <w:rFonts w:eastAsia="Times New Roman" w:cs="Times New Roman"/>
                <w:szCs w:val="24"/>
                <w:lang w:eastAsia="lv-LV"/>
              </w:rPr>
              <w:t>ir noteikusi</w:t>
            </w:r>
            <w:r w:rsidR="00464571" w:rsidRPr="00464571">
              <w:rPr>
                <w:rFonts w:eastAsia="Times New Roman" w:cs="Times New Roman"/>
                <w:szCs w:val="24"/>
                <w:lang w:eastAsia="lv-LV"/>
              </w:rPr>
              <w:t xml:space="preserve"> šādu</w:t>
            </w:r>
            <w:r w:rsidRPr="00464571">
              <w:rPr>
                <w:rFonts w:eastAsia="Times New Roman" w:cs="Times New Roman"/>
                <w:szCs w:val="24"/>
                <w:lang w:eastAsia="lv-LV"/>
              </w:rPr>
              <w:t xml:space="preserve"> </w:t>
            </w:r>
            <w:r w:rsidR="00464571" w:rsidRPr="00204392">
              <w:rPr>
                <w:rFonts w:eastAsia="Times New Roman" w:cs="Times New Roman"/>
                <w:szCs w:val="24"/>
                <w:lang w:eastAsia="lv-LV"/>
              </w:rPr>
              <w:t>samaksu par eksāmenu, kurā tiek pārbaudītas personas zināšanās TIR Konvencijas piemērošanā:</w:t>
            </w:r>
          </w:p>
          <w:p w14:paraId="5D3A9B37" w14:textId="10EC6660" w:rsidR="00464571" w:rsidRPr="00204392" w:rsidRDefault="00464571" w:rsidP="006868B7">
            <w:pPr>
              <w:spacing w:after="0" w:line="240" w:lineRule="auto"/>
              <w:ind w:firstLine="530"/>
              <w:jc w:val="both"/>
              <w:rPr>
                <w:rFonts w:cs="Times New Roman"/>
                <w:szCs w:val="24"/>
              </w:rPr>
            </w:pPr>
            <w:r w:rsidRPr="00204392">
              <w:rPr>
                <w:rFonts w:cs="Times New Roman"/>
                <w:szCs w:val="24"/>
              </w:rPr>
              <w:t xml:space="preserve">- personai, kas </w:t>
            </w:r>
            <w:r w:rsidR="003A33AF">
              <w:rPr>
                <w:rFonts w:cs="Times New Roman"/>
                <w:szCs w:val="24"/>
              </w:rPr>
              <w:t xml:space="preserve">ir </w:t>
            </w:r>
            <w:r w:rsidRPr="00204392">
              <w:rPr>
                <w:rFonts w:cs="Times New Roman"/>
                <w:szCs w:val="24"/>
              </w:rPr>
              <w:t>saņēm</w:t>
            </w:r>
            <w:r w:rsidR="003A33AF">
              <w:rPr>
                <w:rFonts w:cs="Times New Roman"/>
                <w:szCs w:val="24"/>
              </w:rPr>
              <w:t>usi</w:t>
            </w:r>
            <w:r w:rsidRPr="00204392">
              <w:rPr>
                <w:rFonts w:cs="Times New Roman"/>
                <w:szCs w:val="24"/>
              </w:rPr>
              <w:t xml:space="preserve"> </w:t>
            </w:r>
            <w:r w:rsidR="00C4253A" w:rsidRPr="00204392">
              <w:rPr>
                <w:rFonts w:cs="Times New Roman"/>
                <w:szCs w:val="24"/>
              </w:rPr>
              <w:t>Latvijas Republikas</w:t>
            </w:r>
            <w:r w:rsidRPr="00204392">
              <w:rPr>
                <w:rFonts w:cs="Times New Roman"/>
                <w:szCs w:val="24"/>
              </w:rPr>
              <w:t xml:space="preserve"> Satiksmes Ministrijas profesionālās kompetences sertifikātu par starptautiskajiem  kravu pārvadājumiem</w:t>
            </w:r>
            <w:r w:rsidR="003A33AF">
              <w:rPr>
                <w:rFonts w:cs="Times New Roman"/>
                <w:szCs w:val="24"/>
              </w:rPr>
              <w:t xml:space="preserve"> </w:t>
            </w:r>
            <w:r w:rsidRPr="00204392">
              <w:rPr>
                <w:rFonts w:cs="Times New Roman"/>
                <w:szCs w:val="24"/>
              </w:rPr>
              <w:t xml:space="preserve">- </w:t>
            </w:r>
            <w:r w:rsidR="00054043">
              <w:rPr>
                <w:rFonts w:cs="Times New Roman"/>
                <w:szCs w:val="24"/>
              </w:rPr>
              <w:t xml:space="preserve">EUR </w:t>
            </w:r>
            <w:r w:rsidRPr="00204392">
              <w:rPr>
                <w:rFonts w:cs="Times New Roman"/>
                <w:szCs w:val="24"/>
              </w:rPr>
              <w:t>40</w:t>
            </w:r>
            <w:r w:rsidR="00054043">
              <w:rPr>
                <w:rFonts w:cs="Times New Roman"/>
                <w:szCs w:val="24"/>
              </w:rPr>
              <w:t>,00</w:t>
            </w:r>
            <w:r w:rsidRPr="00204392">
              <w:rPr>
                <w:rFonts w:cs="Times New Roman"/>
                <w:szCs w:val="24"/>
              </w:rPr>
              <w:t xml:space="preserve"> </w:t>
            </w:r>
            <w:r w:rsidR="004C7E35" w:rsidRPr="004C7E35">
              <w:rPr>
                <w:rFonts w:cs="Times New Roman"/>
                <w:szCs w:val="24"/>
              </w:rPr>
              <w:t xml:space="preserve">neskaitot pievienotās vērtības nodokli </w:t>
            </w:r>
            <w:r w:rsidR="00C4253A" w:rsidRPr="00204392">
              <w:rPr>
                <w:rFonts w:cs="Times New Roman"/>
                <w:szCs w:val="24"/>
              </w:rPr>
              <w:t>(eksāmens)</w:t>
            </w:r>
            <w:r w:rsidRPr="00204392">
              <w:rPr>
                <w:rFonts w:cs="Times New Roman"/>
                <w:szCs w:val="24"/>
              </w:rPr>
              <w:t>;</w:t>
            </w:r>
          </w:p>
          <w:p w14:paraId="0D2E6A6D" w14:textId="3EDD5D42" w:rsidR="00464571" w:rsidRPr="00F16663" w:rsidRDefault="00464571" w:rsidP="003A33AF">
            <w:pPr>
              <w:spacing w:after="0" w:line="240" w:lineRule="auto"/>
              <w:ind w:firstLine="530"/>
              <w:jc w:val="both"/>
              <w:rPr>
                <w:rFonts w:cs="Times New Roman"/>
                <w:szCs w:val="24"/>
              </w:rPr>
            </w:pPr>
            <w:r w:rsidRPr="00204392">
              <w:rPr>
                <w:rFonts w:cs="Times New Roman"/>
                <w:szCs w:val="24"/>
              </w:rPr>
              <w:t xml:space="preserve">- personai, kas </w:t>
            </w:r>
            <w:r w:rsidR="003A33AF">
              <w:rPr>
                <w:rFonts w:cs="Times New Roman"/>
                <w:szCs w:val="24"/>
              </w:rPr>
              <w:t>nav saņēmusi</w:t>
            </w:r>
            <w:r w:rsidRPr="00204392">
              <w:rPr>
                <w:rFonts w:cs="Times New Roman"/>
                <w:szCs w:val="24"/>
              </w:rPr>
              <w:t xml:space="preserve"> </w:t>
            </w:r>
            <w:r w:rsidR="00C4253A" w:rsidRPr="00204392">
              <w:rPr>
                <w:rFonts w:cs="Times New Roman"/>
                <w:szCs w:val="24"/>
              </w:rPr>
              <w:t xml:space="preserve">Latvijas Republikas </w:t>
            </w:r>
            <w:r w:rsidRPr="00204392">
              <w:rPr>
                <w:rFonts w:cs="Times New Roman"/>
                <w:szCs w:val="24"/>
              </w:rPr>
              <w:t>Satiksmes Ministrijas profesionālās kompetences sertifikāt</w:t>
            </w:r>
            <w:r w:rsidR="00C4253A" w:rsidRPr="00204392">
              <w:rPr>
                <w:rFonts w:cs="Times New Roman"/>
                <w:szCs w:val="24"/>
              </w:rPr>
              <w:t>u</w:t>
            </w:r>
            <w:r w:rsidRPr="00204392">
              <w:rPr>
                <w:rFonts w:cs="Times New Roman"/>
                <w:szCs w:val="24"/>
              </w:rPr>
              <w:t xml:space="preserve"> </w:t>
            </w:r>
            <w:r w:rsidR="00054043">
              <w:rPr>
                <w:rFonts w:cs="Times New Roman"/>
                <w:szCs w:val="24"/>
              </w:rPr>
              <w:t xml:space="preserve">EUR </w:t>
            </w:r>
            <w:r w:rsidR="00C4253A" w:rsidRPr="00204392">
              <w:rPr>
                <w:rFonts w:cs="Times New Roman"/>
                <w:szCs w:val="24"/>
              </w:rPr>
              <w:t>120</w:t>
            </w:r>
            <w:r w:rsidR="00054043">
              <w:rPr>
                <w:rFonts w:cs="Times New Roman"/>
                <w:szCs w:val="24"/>
              </w:rPr>
              <w:t>,00,</w:t>
            </w:r>
            <w:r w:rsidR="00F16663">
              <w:rPr>
                <w:rFonts w:cs="Times New Roman"/>
                <w:szCs w:val="24"/>
              </w:rPr>
              <w:t xml:space="preserve"> </w:t>
            </w:r>
            <w:r w:rsidR="00F16663" w:rsidRPr="004F456B">
              <w:rPr>
                <w:rFonts w:cs="Times New Roman"/>
                <w:szCs w:val="24"/>
              </w:rPr>
              <w:t>neskaitot</w:t>
            </w:r>
            <w:r w:rsidR="00F16663">
              <w:rPr>
                <w:rFonts w:cs="Times New Roman"/>
                <w:szCs w:val="24"/>
              </w:rPr>
              <w:t xml:space="preserve"> pievienotās vērtības nodokli </w:t>
            </w:r>
            <w:r w:rsidR="00C4253A" w:rsidRPr="00204392">
              <w:rPr>
                <w:rFonts w:cs="Times New Roman"/>
                <w:szCs w:val="24"/>
              </w:rPr>
              <w:t>(</w:t>
            </w:r>
            <w:r w:rsidR="00406E01" w:rsidRPr="00204392">
              <w:rPr>
                <w:rFonts w:cs="Times New Roman"/>
                <w:szCs w:val="24"/>
              </w:rPr>
              <w:t>div</w:t>
            </w:r>
            <w:r w:rsidR="00406E01">
              <w:rPr>
                <w:rFonts w:cs="Times New Roman"/>
                <w:szCs w:val="24"/>
              </w:rPr>
              <w:t>u</w:t>
            </w:r>
            <w:r w:rsidR="00406E01" w:rsidRPr="00204392">
              <w:rPr>
                <w:rFonts w:cs="Times New Roman"/>
                <w:szCs w:val="24"/>
              </w:rPr>
              <w:t xml:space="preserve"> </w:t>
            </w:r>
            <w:r w:rsidRPr="00204392">
              <w:rPr>
                <w:rFonts w:cs="Times New Roman"/>
                <w:szCs w:val="24"/>
              </w:rPr>
              <w:t>di</w:t>
            </w:r>
            <w:r w:rsidR="00C4253A" w:rsidRPr="00204392">
              <w:rPr>
                <w:rFonts w:cs="Times New Roman"/>
                <w:szCs w:val="24"/>
              </w:rPr>
              <w:t>enu kursi ar noslēguma eksāmenu)</w:t>
            </w:r>
            <w:r w:rsidRPr="00204392">
              <w:rPr>
                <w:rFonts w:cs="Times New Roman"/>
                <w:szCs w:val="24"/>
              </w:rPr>
              <w:t>.</w:t>
            </w:r>
          </w:p>
        </w:tc>
      </w:tr>
      <w:tr w:rsidR="005D4AE6" w:rsidRPr="005D4AE6" w14:paraId="0D206F85" w14:textId="77777777" w:rsidTr="006617B4">
        <w:trPr>
          <w:trHeight w:val="345"/>
        </w:trPr>
        <w:tc>
          <w:tcPr>
            <w:tcW w:w="203" w:type="pct"/>
            <w:gridSpan w:val="2"/>
            <w:tcBorders>
              <w:top w:val="outset" w:sz="6" w:space="0" w:color="auto"/>
              <w:left w:val="outset" w:sz="6" w:space="0" w:color="auto"/>
              <w:bottom w:val="outset" w:sz="6" w:space="0" w:color="auto"/>
              <w:right w:val="outset" w:sz="6" w:space="0" w:color="auto"/>
            </w:tcBorders>
            <w:hideMark/>
          </w:tcPr>
          <w:p w14:paraId="7B094284" w14:textId="1AA230D8"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t>4.</w:t>
            </w:r>
          </w:p>
        </w:tc>
        <w:tc>
          <w:tcPr>
            <w:tcW w:w="1564" w:type="pct"/>
            <w:tcBorders>
              <w:top w:val="outset" w:sz="6" w:space="0" w:color="auto"/>
              <w:left w:val="outset" w:sz="6" w:space="0" w:color="auto"/>
              <w:bottom w:val="outset" w:sz="6" w:space="0" w:color="auto"/>
              <w:right w:val="outset" w:sz="6" w:space="0" w:color="auto"/>
            </w:tcBorders>
            <w:hideMark/>
          </w:tcPr>
          <w:p w14:paraId="2D49B0C6"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t>Cita informācija</w:t>
            </w:r>
          </w:p>
        </w:tc>
        <w:tc>
          <w:tcPr>
            <w:tcW w:w="3234" w:type="pct"/>
            <w:gridSpan w:val="2"/>
            <w:tcBorders>
              <w:top w:val="outset" w:sz="6" w:space="0" w:color="auto"/>
              <w:left w:val="outset" w:sz="6" w:space="0" w:color="auto"/>
              <w:bottom w:val="outset" w:sz="6" w:space="0" w:color="auto"/>
              <w:right w:val="outset" w:sz="6" w:space="0" w:color="auto"/>
            </w:tcBorders>
            <w:hideMark/>
          </w:tcPr>
          <w:p w14:paraId="7F0F6847" w14:textId="77777777" w:rsidR="005D4AE6" w:rsidRPr="005D4AE6" w:rsidRDefault="00990B19" w:rsidP="005D4AE6">
            <w:pPr>
              <w:spacing w:before="100" w:beforeAutospacing="1" w:after="100" w:afterAutospacing="1" w:line="240" w:lineRule="auto"/>
              <w:rPr>
                <w:rFonts w:eastAsia="Times New Roman" w:cs="Times New Roman"/>
                <w:szCs w:val="24"/>
                <w:lang w:eastAsia="lv-LV"/>
              </w:rPr>
            </w:pPr>
            <w:r>
              <w:rPr>
                <w:rFonts w:eastAsia="Times New Roman" w:cs="Times New Roman"/>
                <w:szCs w:val="24"/>
                <w:lang w:eastAsia="lv-LV"/>
              </w:rPr>
              <w:t>Nav</w:t>
            </w:r>
          </w:p>
        </w:tc>
      </w:tr>
      <w:tr w:rsidR="005D4AE6" w:rsidRPr="005D4AE6" w14:paraId="59DE38C6" w14:textId="77777777" w:rsidTr="005D4AE6">
        <w:tblPrEx>
          <w:jc w:val="center"/>
        </w:tblPrEx>
        <w:trPr>
          <w:trHeight w:val="450"/>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367FA4B3" w14:textId="77777777" w:rsidR="005D4AE6" w:rsidRPr="005D4AE6" w:rsidRDefault="005D4AE6" w:rsidP="005D4AE6">
            <w:pPr>
              <w:spacing w:before="100" w:beforeAutospacing="1" w:after="100" w:afterAutospacing="1" w:line="240" w:lineRule="auto"/>
              <w:rPr>
                <w:rFonts w:eastAsia="Times New Roman" w:cs="Times New Roman"/>
                <w:szCs w:val="24"/>
                <w:lang w:eastAsia="lv-LV"/>
              </w:rPr>
            </w:pPr>
            <w:r w:rsidRPr="005D4AE6">
              <w:rPr>
                <w:rFonts w:eastAsia="Times New Roman" w:cs="Times New Roman"/>
                <w:b/>
                <w:bCs/>
                <w:szCs w:val="24"/>
                <w:lang w:eastAsia="lv-LV"/>
              </w:rPr>
              <w:t>IV. Tiesību akta projekta ietekme uz spēkā esošo tiesību normu sistēmu</w:t>
            </w:r>
          </w:p>
        </w:tc>
      </w:tr>
      <w:tr w:rsidR="005D4AE6" w:rsidRPr="005D4AE6" w14:paraId="79C5BA16" w14:textId="77777777" w:rsidTr="006617B4">
        <w:tblPrEx>
          <w:jc w:val="center"/>
        </w:tblPrEx>
        <w:trPr>
          <w:jc w:val="center"/>
        </w:trPr>
        <w:tc>
          <w:tcPr>
            <w:tcW w:w="152" w:type="pct"/>
            <w:tcBorders>
              <w:top w:val="outset" w:sz="6" w:space="0" w:color="auto"/>
              <w:left w:val="outset" w:sz="6" w:space="0" w:color="auto"/>
              <w:bottom w:val="outset" w:sz="6" w:space="0" w:color="auto"/>
              <w:right w:val="outset" w:sz="6" w:space="0" w:color="auto"/>
            </w:tcBorders>
            <w:hideMark/>
          </w:tcPr>
          <w:p w14:paraId="3D34E44A"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t>1.</w:t>
            </w:r>
          </w:p>
        </w:tc>
        <w:tc>
          <w:tcPr>
            <w:tcW w:w="1644" w:type="pct"/>
            <w:gridSpan w:val="3"/>
            <w:tcBorders>
              <w:top w:val="outset" w:sz="6" w:space="0" w:color="auto"/>
              <w:left w:val="outset" w:sz="6" w:space="0" w:color="auto"/>
              <w:bottom w:val="outset" w:sz="6" w:space="0" w:color="auto"/>
              <w:right w:val="outset" w:sz="6" w:space="0" w:color="auto"/>
            </w:tcBorders>
            <w:hideMark/>
          </w:tcPr>
          <w:p w14:paraId="3126B4FD"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t>Nepieciešamie saistītie tiesību aktu projekti</w:t>
            </w:r>
          </w:p>
        </w:tc>
        <w:tc>
          <w:tcPr>
            <w:tcW w:w="3204" w:type="pct"/>
            <w:tcBorders>
              <w:top w:val="outset" w:sz="6" w:space="0" w:color="auto"/>
              <w:left w:val="outset" w:sz="6" w:space="0" w:color="auto"/>
              <w:bottom w:val="outset" w:sz="6" w:space="0" w:color="auto"/>
              <w:right w:val="outset" w:sz="6" w:space="0" w:color="auto"/>
            </w:tcBorders>
            <w:hideMark/>
          </w:tcPr>
          <w:p w14:paraId="34FA1A0A" w14:textId="1D962FD7" w:rsidR="005D4AE6" w:rsidRPr="005D4AE6" w:rsidRDefault="00004182" w:rsidP="00056A7F">
            <w:pPr>
              <w:spacing w:after="0" w:line="240" w:lineRule="auto"/>
              <w:jc w:val="both"/>
              <w:rPr>
                <w:rFonts w:eastAsia="Times New Roman" w:cs="Times New Roman"/>
                <w:szCs w:val="24"/>
                <w:lang w:eastAsia="lv-LV"/>
              </w:rPr>
            </w:pPr>
            <w:r>
              <w:rPr>
                <w:rFonts w:eastAsia="Times New Roman" w:cs="Times New Roman"/>
                <w:szCs w:val="24"/>
                <w:lang w:eastAsia="lv-LV"/>
              </w:rPr>
              <w:t>Nav</w:t>
            </w:r>
          </w:p>
        </w:tc>
      </w:tr>
      <w:tr w:rsidR="005D4AE6" w:rsidRPr="005D4AE6" w14:paraId="7E16C1A7" w14:textId="77777777" w:rsidTr="006617B4">
        <w:tblPrEx>
          <w:jc w:val="center"/>
        </w:tblPrEx>
        <w:trPr>
          <w:jc w:val="center"/>
        </w:trPr>
        <w:tc>
          <w:tcPr>
            <w:tcW w:w="152" w:type="pct"/>
            <w:tcBorders>
              <w:top w:val="outset" w:sz="6" w:space="0" w:color="auto"/>
              <w:left w:val="outset" w:sz="6" w:space="0" w:color="auto"/>
              <w:bottom w:val="outset" w:sz="6" w:space="0" w:color="auto"/>
              <w:right w:val="outset" w:sz="6" w:space="0" w:color="auto"/>
            </w:tcBorders>
            <w:hideMark/>
          </w:tcPr>
          <w:p w14:paraId="3180D0A2"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t>2.</w:t>
            </w:r>
          </w:p>
        </w:tc>
        <w:tc>
          <w:tcPr>
            <w:tcW w:w="1644" w:type="pct"/>
            <w:gridSpan w:val="3"/>
            <w:tcBorders>
              <w:top w:val="outset" w:sz="6" w:space="0" w:color="auto"/>
              <w:left w:val="outset" w:sz="6" w:space="0" w:color="auto"/>
              <w:bottom w:val="outset" w:sz="6" w:space="0" w:color="auto"/>
              <w:right w:val="outset" w:sz="6" w:space="0" w:color="auto"/>
            </w:tcBorders>
            <w:hideMark/>
          </w:tcPr>
          <w:p w14:paraId="35D0AD65"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t>Atbildīgā institūcija</w:t>
            </w:r>
          </w:p>
        </w:tc>
        <w:tc>
          <w:tcPr>
            <w:tcW w:w="3204" w:type="pct"/>
            <w:tcBorders>
              <w:top w:val="outset" w:sz="6" w:space="0" w:color="auto"/>
              <w:left w:val="outset" w:sz="6" w:space="0" w:color="auto"/>
              <w:bottom w:val="outset" w:sz="6" w:space="0" w:color="auto"/>
              <w:right w:val="outset" w:sz="6" w:space="0" w:color="auto"/>
            </w:tcBorders>
            <w:hideMark/>
          </w:tcPr>
          <w:p w14:paraId="2198CDAA" w14:textId="77777777" w:rsidR="005D4AE6" w:rsidRPr="005D4AE6" w:rsidRDefault="002B7FBD" w:rsidP="005D4AE6">
            <w:pPr>
              <w:spacing w:after="0" w:line="240" w:lineRule="auto"/>
              <w:rPr>
                <w:rFonts w:eastAsia="Times New Roman" w:cs="Times New Roman"/>
                <w:szCs w:val="24"/>
                <w:lang w:eastAsia="lv-LV"/>
              </w:rPr>
            </w:pPr>
            <w:r>
              <w:rPr>
                <w:rFonts w:eastAsia="Times New Roman"/>
                <w:sz w:val="26"/>
                <w:szCs w:val="26"/>
                <w:lang w:eastAsia="lv-LV"/>
              </w:rPr>
              <w:t>Nav attiecināms</w:t>
            </w:r>
          </w:p>
        </w:tc>
      </w:tr>
      <w:tr w:rsidR="005D4AE6" w:rsidRPr="005D4AE6" w14:paraId="2D2812BC" w14:textId="77777777" w:rsidTr="006617B4">
        <w:tblPrEx>
          <w:jc w:val="center"/>
        </w:tblPrEx>
        <w:trPr>
          <w:jc w:val="center"/>
        </w:trPr>
        <w:tc>
          <w:tcPr>
            <w:tcW w:w="152" w:type="pct"/>
            <w:tcBorders>
              <w:top w:val="outset" w:sz="6" w:space="0" w:color="auto"/>
              <w:left w:val="outset" w:sz="6" w:space="0" w:color="auto"/>
              <w:bottom w:val="outset" w:sz="6" w:space="0" w:color="auto"/>
              <w:right w:val="outset" w:sz="6" w:space="0" w:color="auto"/>
            </w:tcBorders>
            <w:hideMark/>
          </w:tcPr>
          <w:p w14:paraId="4A102E23"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t>3.</w:t>
            </w:r>
          </w:p>
        </w:tc>
        <w:tc>
          <w:tcPr>
            <w:tcW w:w="1644" w:type="pct"/>
            <w:gridSpan w:val="3"/>
            <w:tcBorders>
              <w:top w:val="outset" w:sz="6" w:space="0" w:color="auto"/>
              <w:left w:val="outset" w:sz="6" w:space="0" w:color="auto"/>
              <w:bottom w:val="outset" w:sz="6" w:space="0" w:color="auto"/>
              <w:right w:val="outset" w:sz="6" w:space="0" w:color="auto"/>
            </w:tcBorders>
            <w:hideMark/>
          </w:tcPr>
          <w:p w14:paraId="69C6C1F7"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t>Cita informācija</w:t>
            </w:r>
          </w:p>
        </w:tc>
        <w:tc>
          <w:tcPr>
            <w:tcW w:w="3204" w:type="pct"/>
            <w:tcBorders>
              <w:top w:val="outset" w:sz="6" w:space="0" w:color="auto"/>
              <w:left w:val="outset" w:sz="6" w:space="0" w:color="auto"/>
              <w:bottom w:val="outset" w:sz="6" w:space="0" w:color="auto"/>
              <w:right w:val="outset" w:sz="6" w:space="0" w:color="auto"/>
            </w:tcBorders>
            <w:hideMark/>
          </w:tcPr>
          <w:p w14:paraId="090C04FD" w14:textId="77777777" w:rsidR="005D4AE6" w:rsidRPr="005D4AE6" w:rsidRDefault="005D4AE6" w:rsidP="002B7FBD">
            <w:pPr>
              <w:spacing w:before="100" w:beforeAutospacing="1" w:after="100" w:afterAutospacing="1" w:line="240" w:lineRule="auto"/>
              <w:rPr>
                <w:rFonts w:eastAsia="Times New Roman" w:cs="Times New Roman"/>
                <w:szCs w:val="24"/>
                <w:lang w:eastAsia="lv-LV"/>
              </w:rPr>
            </w:pPr>
            <w:r w:rsidRPr="005D4AE6">
              <w:rPr>
                <w:rFonts w:eastAsia="Times New Roman" w:cs="Times New Roman"/>
                <w:szCs w:val="24"/>
                <w:lang w:eastAsia="lv-LV"/>
              </w:rPr>
              <w:t>Nav</w:t>
            </w:r>
          </w:p>
        </w:tc>
      </w:tr>
    </w:tbl>
    <w:p w14:paraId="7563924E" w14:textId="77777777" w:rsidR="005D4AE6" w:rsidRPr="005D4AE6" w:rsidRDefault="005D4AE6" w:rsidP="005D4AE6">
      <w:pPr>
        <w:spacing w:after="0" w:line="240" w:lineRule="auto"/>
        <w:rPr>
          <w:rFonts w:eastAsia="Times New Roman" w:cs="Times New Roman"/>
          <w:vanish/>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3"/>
        <w:gridCol w:w="2800"/>
        <w:gridCol w:w="5802"/>
      </w:tblGrid>
      <w:tr w:rsidR="005D4AE6" w:rsidRPr="005D4AE6" w14:paraId="39818E42" w14:textId="77777777" w:rsidTr="000D29A0">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07F0BCA4" w14:textId="77777777" w:rsidR="005D4AE6" w:rsidRPr="005D4AE6" w:rsidRDefault="005D4AE6" w:rsidP="005D4AE6">
            <w:pPr>
              <w:spacing w:before="100" w:beforeAutospacing="1" w:after="100" w:afterAutospacing="1" w:line="240" w:lineRule="auto"/>
              <w:rPr>
                <w:rFonts w:eastAsia="Times New Roman" w:cs="Times New Roman"/>
                <w:szCs w:val="24"/>
                <w:lang w:eastAsia="lv-LV"/>
              </w:rPr>
            </w:pPr>
            <w:r w:rsidRPr="005D4AE6">
              <w:rPr>
                <w:rFonts w:eastAsia="Times New Roman" w:cs="Times New Roman"/>
                <w:b/>
                <w:bCs/>
                <w:szCs w:val="24"/>
                <w:lang w:eastAsia="lv-LV"/>
              </w:rPr>
              <w:t>V. Tiesību akta projekta atbilstība Latvijas Republikas starptautiskajām saistībām</w:t>
            </w:r>
          </w:p>
        </w:tc>
      </w:tr>
      <w:tr w:rsidR="000D29A0" w:rsidRPr="005D4AE6" w14:paraId="45D22783" w14:textId="77777777" w:rsidTr="00F16663">
        <w:tc>
          <w:tcPr>
            <w:tcW w:w="250" w:type="pct"/>
            <w:tcBorders>
              <w:top w:val="outset" w:sz="6" w:space="0" w:color="auto"/>
              <w:left w:val="outset" w:sz="6" w:space="0" w:color="auto"/>
              <w:bottom w:val="outset" w:sz="6" w:space="0" w:color="auto"/>
              <w:right w:val="outset" w:sz="6" w:space="0" w:color="auto"/>
            </w:tcBorders>
            <w:hideMark/>
          </w:tcPr>
          <w:p w14:paraId="3A3B5A09" w14:textId="77777777" w:rsidR="000D29A0" w:rsidRPr="005D4AE6" w:rsidRDefault="000D29A0" w:rsidP="000D29A0">
            <w:pPr>
              <w:spacing w:after="0" w:line="240" w:lineRule="auto"/>
              <w:rPr>
                <w:rFonts w:eastAsia="Times New Roman" w:cs="Times New Roman"/>
                <w:szCs w:val="24"/>
                <w:lang w:eastAsia="lv-LV"/>
              </w:rPr>
            </w:pPr>
            <w:r w:rsidRPr="005D4AE6">
              <w:rPr>
                <w:rFonts w:eastAsia="Times New Roman" w:cs="Times New Roman"/>
                <w:szCs w:val="24"/>
                <w:lang w:eastAsia="lv-LV"/>
              </w:rPr>
              <w:t>1.</w:t>
            </w:r>
          </w:p>
        </w:tc>
        <w:tc>
          <w:tcPr>
            <w:tcW w:w="1546" w:type="pct"/>
            <w:tcBorders>
              <w:top w:val="outset" w:sz="6" w:space="0" w:color="auto"/>
              <w:left w:val="outset" w:sz="6" w:space="0" w:color="auto"/>
              <w:bottom w:val="outset" w:sz="6" w:space="0" w:color="auto"/>
              <w:right w:val="outset" w:sz="6" w:space="0" w:color="auto"/>
            </w:tcBorders>
            <w:hideMark/>
          </w:tcPr>
          <w:p w14:paraId="11F9DFDE" w14:textId="77777777" w:rsidR="000D29A0" w:rsidRPr="005D4AE6" w:rsidRDefault="000D29A0" w:rsidP="000D29A0">
            <w:pPr>
              <w:spacing w:after="0" w:line="240" w:lineRule="auto"/>
              <w:rPr>
                <w:rFonts w:eastAsia="Times New Roman" w:cs="Times New Roman"/>
                <w:szCs w:val="24"/>
                <w:lang w:eastAsia="lv-LV"/>
              </w:rPr>
            </w:pPr>
            <w:r w:rsidRPr="005D4AE6">
              <w:rPr>
                <w:rFonts w:eastAsia="Times New Roman" w:cs="Times New Roman"/>
                <w:szCs w:val="24"/>
                <w:lang w:eastAsia="lv-LV"/>
              </w:rPr>
              <w:t>Saistības pret Eiropas Savienību</w:t>
            </w:r>
          </w:p>
        </w:tc>
        <w:tc>
          <w:tcPr>
            <w:tcW w:w="3204" w:type="pct"/>
            <w:tcBorders>
              <w:top w:val="outset" w:sz="6" w:space="0" w:color="auto"/>
              <w:left w:val="outset" w:sz="6" w:space="0" w:color="auto"/>
              <w:bottom w:val="outset" w:sz="6" w:space="0" w:color="auto"/>
              <w:right w:val="outset" w:sz="6" w:space="0" w:color="auto"/>
            </w:tcBorders>
            <w:hideMark/>
          </w:tcPr>
          <w:p w14:paraId="62D74DA1" w14:textId="22C33F89" w:rsidR="00F47435" w:rsidRDefault="00F47435" w:rsidP="00056A7F">
            <w:pPr>
              <w:spacing w:after="0" w:line="240" w:lineRule="auto"/>
              <w:jc w:val="both"/>
              <w:rPr>
                <w:rFonts w:eastAsia="Times New Roman" w:cs="Times New Roman"/>
                <w:szCs w:val="24"/>
                <w:lang w:eastAsia="lv-LV"/>
              </w:rPr>
            </w:pPr>
            <w:r w:rsidRPr="00F47435">
              <w:rPr>
                <w:rFonts w:eastAsia="Times New Roman" w:cs="Times New Roman"/>
                <w:szCs w:val="24"/>
                <w:lang w:eastAsia="lv-LV"/>
              </w:rPr>
              <w:t>Padomes 1992.gada 12.oktobra Regula (EEK) Nr.2913/92 par Kopienas Muitas kodeksa izveidi</w:t>
            </w:r>
            <w:r w:rsidR="0000297F">
              <w:rPr>
                <w:rFonts w:eastAsia="Times New Roman" w:cs="Times New Roman"/>
                <w:szCs w:val="24"/>
                <w:lang w:eastAsia="lv-LV"/>
              </w:rPr>
              <w:t xml:space="preserve"> (turpmāk - regula </w:t>
            </w:r>
            <w:r w:rsidR="0000297F" w:rsidRPr="0000297F">
              <w:rPr>
                <w:rFonts w:eastAsia="Times New Roman" w:cs="Times New Roman"/>
                <w:szCs w:val="24"/>
                <w:lang w:eastAsia="lv-LV"/>
              </w:rPr>
              <w:t>Nr.2913/92</w:t>
            </w:r>
            <w:r w:rsidR="0000297F">
              <w:rPr>
                <w:rFonts w:eastAsia="Times New Roman" w:cs="Times New Roman"/>
                <w:szCs w:val="24"/>
                <w:lang w:eastAsia="lv-LV"/>
              </w:rPr>
              <w:t>)</w:t>
            </w:r>
            <w:r>
              <w:rPr>
                <w:rFonts w:eastAsia="Times New Roman" w:cs="Times New Roman"/>
                <w:szCs w:val="24"/>
                <w:lang w:eastAsia="lv-LV"/>
              </w:rPr>
              <w:t>.</w:t>
            </w:r>
          </w:p>
          <w:p w14:paraId="3A0DFDE6" w14:textId="35B3FE9D" w:rsidR="000D29A0" w:rsidRPr="005D4AE6" w:rsidRDefault="0000297F" w:rsidP="00056A7F">
            <w:pPr>
              <w:spacing w:after="0" w:line="240" w:lineRule="auto"/>
              <w:jc w:val="both"/>
              <w:rPr>
                <w:rFonts w:eastAsia="Times New Roman" w:cs="Times New Roman"/>
                <w:szCs w:val="24"/>
                <w:lang w:eastAsia="lv-LV"/>
              </w:rPr>
            </w:pPr>
            <w:r>
              <w:rPr>
                <w:rFonts w:eastAsia="Times New Roman" w:cs="Times New Roman"/>
                <w:szCs w:val="24"/>
                <w:lang w:eastAsia="lv-LV"/>
              </w:rPr>
              <w:t>R</w:t>
            </w:r>
            <w:r w:rsidR="000D29A0">
              <w:rPr>
                <w:rFonts w:eastAsia="Times New Roman" w:cs="Times New Roman"/>
                <w:szCs w:val="24"/>
                <w:lang w:eastAsia="lv-LV"/>
              </w:rPr>
              <w:t>egula</w:t>
            </w:r>
            <w:r w:rsidR="000D29A0" w:rsidRPr="00225B2B">
              <w:rPr>
                <w:rFonts w:eastAsia="Times New Roman" w:cs="Times New Roman"/>
                <w:szCs w:val="24"/>
                <w:lang w:eastAsia="lv-LV"/>
              </w:rPr>
              <w:t xml:space="preserve"> Nr.2454/93</w:t>
            </w:r>
            <w:r w:rsidR="004B60C9">
              <w:rPr>
                <w:rFonts w:eastAsia="Times New Roman" w:cs="Times New Roman"/>
                <w:szCs w:val="24"/>
                <w:lang w:eastAsia="lv-LV"/>
              </w:rPr>
              <w:t>.</w:t>
            </w:r>
            <w:r w:rsidR="000D29A0" w:rsidRPr="00136159">
              <w:rPr>
                <w:rFonts w:eastAsia="Times New Roman" w:cs="Times New Roman"/>
                <w:szCs w:val="24"/>
                <w:lang w:eastAsia="lv-LV"/>
              </w:rPr>
              <w:t xml:space="preserve"> </w:t>
            </w:r>
          </w:p>
        </w:tc>
      </w:tr>
      <w:tr w:rsidR="000D29A0" w:rsidRPr="005D4AE6" w14:paraId="27409D2B" w14:textId="77777777" w:rsidTr="00F16663">
        <w:tc>
          <w:tcPr>
            <w:tcW w:w="250" w:type="pct"/>
            <w:tcBorders>
              <w:top w:val="outset" w:sz="6" w:space="0" w:color="auto"/>
              <w:left w:val="outset" w:sz="6" w:space="0" w:color="auto"/>
              <w:bottom w:val="outset" w:sz="6" w:space="0" w:color="auto"/>
              <w:right w:val="outset" w:sz="6" w:space="0" w:color="auto"/>
            </w:tcBorders>
            <w:hideMark/>
          </w:tcPr>
          <w:p w14:paraId="2A42A6F4" w14:textId="77777777" w:rsidR="000D29A0" w:rsidRPr="005D4AE6" w:rsidRDefault="000D29A0" w:rsidP="000D29A0">
            <w:pPr>
              <w:spacing w:after="0" w:line="240" w:lineRule="auto"/>
              <w:rPr>
                <w:rFonts w:eastAsia="Times New Roman" w:cs="Times New Roman"/>
                <w:szCs w:val="24"/>
                <w:lang w:eastAsia="lv-LV"/>
              </w:rPr>
            </w:pPr>
            <w:r w:rsidRPr="005D4AE6">
              <w:rPr>
                <w:rFonts w:eastAsia="Times New Roman" w:cs="Times New Roman"/>
                <w:szCs w:val="24"/>
                <w:lang w:eastAsia="lv-LV"/>
              </w:rPr>
              <w:t>2.</w:t>
            </w:r>
          </w:p>
        </w:tc>
        <w:tc>
          <w:tcPr>
            <w:tcW w:w="1546" w:type="pct"/>
            <w:tcBorders>
              <w:top w:val="outset" w:sz="6" w:space="0" w:color="auto"/>
              <w:left w:val="outset" w:sz="6" w:space="0" w:color="auto"/>
              <w:bottom w:val="outset" w:sz="6" w:space="0" w:color="auto"/>
              <w:right w:val="outset" w:sz="6" w:space="0" w:color="auto"/>
            </w:tcBorders>
            <w:hideMark/>
          </w:tcPr>
          <w:p w14:paraId="5A0BBABA" w14:textId="77777777" w:rsidR="000D29A0" w:rsidRPr="005D4AE6" w:rsidRDefault="000D29A0" w:rsidP="000D29A0">
            <w:pPr>
              <w:spacing w:after="0" w:line="240" w:lineRule="auto"/>
              <w:rPr>
                <w:rFonts w:eastAsia="Times New Roman" w:cs="Times New Roman"/>
                <w:szCs w:val="24"/>
                <w:lang w:eastAsia="lv-LV"/>
              </w:rPr>
            </w:pPr>
            <w:r w:rsidRPr="005D4AE6">
              <w:rPr>
                <w:rFonts w:eastAsia="Times New Roman" w:cs="Times New Roman"/>
                <w:szCs w:val="24"/>
                <w:lang w:eastAsia="lv-LV"/>
              </w:rPr>
              <w:t>Citas starptautiskās saistības</w:t>
            </w:r>
          </w:p>
        </w:tc>
        <w:tc>
          <w:tcPr>
            <w:tcW w:w="3204" w:type="pct"/>
            <w:tcBorders>
              <w:top w:val="outset" w:sz="6" w:space="0" w:color="auto"/>
              <w:left w:val="outset" w:sz="6" w:space="0" w:color="auto"/>
              <w:bottom w:val="outset" w:sz="6" w:space="0" w:color="auto"/>
              <w:right w:val="outset" w:sz="6" w:space="0" w:color="auto"/>
            </w:tcBorders>
            <w:hideMark/>
          </w:tcPr>
          <w:p w14:paraId="36650144" w14:textId="77777777" w:rsidR="000D29A0" w:rsidRDefault="000D29A0" w:rsidP="00056A7F">
            <w:pPr>
              <w:spacing w:after="0" w:line="240" w:lineRule="auto"/>
              <w:jc w:val="both"/>
              <w:rPr>
                <w:rFonts w:eastAsia="Times New Roman" w:cs="Times New Roman"/>
                <w:szCs w:val="24"/>
                <w:lang w:eastAsia="lv-LV"/>
              </w:rPr>
            </w:pPr>
            <w:r w:rsidRPr="005A2137">
              <w:rPr>
                <w:rFonts w:eastAsia="Times New Roman" w:cs="Times New Roman"/>
                <w:szCs w:val="24"/>
                <w:lang w:eastAsia="lv-LV"/>
              </w:rPr>
              <w:t>1975.gada 14.novembra Muitas konvencija par starptautiskajiem kravu pārvadājumiem, izmantojot TIR karneti</w:t>
            </w:r>
            <w:r w:rsidR="0005120B">
              <w:rPr>
                <w:rFonts w:eastAsia="Times New Roman" w:cs="Times New Roman"/>
                <w:szCs w:val="24"/>
                <w:lang w:eastAsia="lv-LV"/>
              </w:rPr>
              <w:t>.</w:t>
            </w:r>
          </w:p>
          <w:p w14:paraId="0F07547B" w14:textId="124FDA61" w:rsidR="0005120B" w:rsidRPr="005D4AE6" w:rsidRDefault="0005120B" w:rsidP="00056A7F">
            <w:pPr>
              <w:spacing w:after="0" w:line="240" w:lineRule="auto"/>
              <w:jc w:val="both"/>
              <w:rPr>
                <w:rFonts w:eastAsia="Times New Roman" w:cs="Times New Roman"/>
                <w:szCs w:val="24"/>
                <w:lang w:eastAsia="lv-LV"/>
              </w:rPr>
            </w:pPr>
            <w:r w:rsidRPr="0005120B">
              <w:rPr>
                <w:rFonts w:eastAsia="Times New Roman" w:cs="Times New Roman"/>
                <w:szCs w:val="24"/>
                <w:lang w:eastAsia="lv-LV"/>
              </w:rPr>
              <w:lastRenderedPageBreak/>
              <w:t>1951.gada 1.novembra Nolīgums par starptautisko dzelzceļa kravu satiksmi (turpmāk - Nolīgums par dzelzceļa satiksmi)</w:t>
            </w:r>
          </w:p>
        </w:tc>
      </w:tr>
      <w:tr w:rsidR="000D29A0" w:rsidRPr="005D4AE6" w14:paraId="453460D6" w14:textId="77777777" w:rsidTr="00F16663">
        <w:tc>
          <w:tcPr>
            <w:tcW w:w="250" w:type="pct"/>
            <w:tcBorders>
              <w:top w:val="outset" w:sz="6" w:space="0" w:color="auto"/>
              <w:left w:val="outset" w:sz="6" w:space="0" w:color="auto"/>
              <w:bottom w:val="outset" w:sz="6" w:space="0" w:color="auto"/>
              <w:right w:val="outset" w:sz="6" w:space="0" w:color="auto"/>
            </w:tcBorders>
            <w:hideMark/>
          </w:tcPr>
          <w:p w14:paraId="74DA5415" w14:textId="5BEE545C" w:rsidR="000D29A0" w:rsidRPr="005D4AE6" w:rsidRDefault="000D29A0" w:rsidP="000D29A0">
            <w:pPr>
              <w:spacing w:after="0" w:line="240" w:lineRule="auto"/>
              <w:rPr>
                <w:rFonts w:eastAsia="Times New Roman" w:cs="Times New Roman"/>
                <w:szCs w:val="24"/>
                <w:lang w:eastAsia="lv-LV"/>
              </w:rPr>
            </w:pPr>
            <w:r w:rsidRPr="005D4AE6">
              <w:rPr>
                <w:rFonts w:eastAsia="Times New Roman" w:cs="Times New Roman"/>
                <w:szCs w:val="24"/>
                <w:lang w:eastAsia="lv-LV"/>
              </w:rPr>
              <w:lastRenderedPageBreak/>
              <w:t>3.</w:t>
            </w:r>
          </w:p>
        </w:tc>
        <w:tc>
          <w:tcPr>
            <w:tcW w:w="1546" w:type="pct"/>
            <w:tcBorders>
              <w:top w:val="outset" w:sz="6" w:space="0" w:color="auto"/>
              <w:left w:val="outset" w:sz="6" w:space="0" w:color="auto"/>
              <w:bottom w:val="outset" w:sz="6" w:space="0" w:color="auto"/>
              <w:right w:val="outset" w:sz="6" w:space="0" w:color="auto"/>
            </w:tcBorders>
            <w:hideMark/>
          </w:tcPr>
          <w:p w14:paraId="76D8A52F" w14:textId="77777777" w:rsidR="000D29A0" w:rsidRPr="005D4AE6" w:rsidRDefault="000D29A0" w:rsidP="000D29A0">
            <w:pPr>
              <w:spacing w:after="0" w:line="240" w:lineRule="auto"/>
              <w:rPr>
                <w:rFonts w:eastAsia="Times New Roman" w:cs="Times New Roman"/>
                <w:szCs w:val="24"/>
                <w:lang w:eastAsia="lv-LV"/>
              </w:rPr>
            </w:pPr>
            <w:r w:rsidRPr="005D4AE6">
              <w:rPr>
                <w:rFonts w:eastAsia="Times New Roman" w:cs="Times New Roman"/>
                <w:szCs w:val="24"/>
                <w:lang w:eastAsia="lv-LV"/>
              </w:rPr>
              <w:t>Cita informācija</w:t>
            </w:r>
          </w:p>
        </w:tc>
        <w:tc>
          <w:tcPr>
            <w:tcW w:w="3204" w:type="pct"/>
            <w:tcBorders>
              <w:top w:val="outset" w:sz="6" w:space="0" w:color="auto"/>
              <w:left w:val="outset" w:sz="6" w:space="0" w:color="auto"/>
              <w:bottom w:val="outset" w:sz="6" w:space="0" w:color="auto"/>
              <w:right w:val="outset" w:sz="6" w:space="0" w:color="auto"/>
            </w:tcBorders>
            <w:hideMark/>
          </w:tcPr>
          <w:p w14:paraId="7045EA24" w14:textId="77777777" w:rsidR="000D29A0" w:rsidRPr="005D4AE6" w:rsidRDefault="000D29A0" w:rsidP="000D29A0">
            <w:pPr>
              <w:spacing w:before="100" w:beforeAutospacing="1" w:after="100" w:afterAutospacing="1" w:line="240" w:lineRule="auto"/>
              <w:rPr>
                <w:rFonts w:eastAsia="Times New Roman" w:cs="Times New Roman"/>
                <w:szCs w:val="24"/>
                <w:lang w:eastAsia="lv-LV"/>
              </w:rPr>
            </w:pPr>
            <w:r>
              <w:rPr>
                <w:rFonts w:eastAsia="Times New Roman" w:cs="Times New Roman"/>
                <w:szCs w:val="24"/>
                <w:lang w:eastAsia="lv-LV"/>
              </w:rPr>
              <w:t>Nav</w:t>
            </w:r>
          </w:p>
        </w:tc>
      </w:tr>
    </w:tbl>
    <w:p w14:paraId="0573D207" w14:textId="77777777" w:rsidR="005D4AE6" w:rsidRPr="005D4AE6" w:rsidRDefault="005D4AE6" w:rsidP="005D4AE6">
      <w:pPr>
        <w:spacing w:after="0" w:line="240" w:lineRule="auto"/>
        <w:jc w:val="center"/>
        <w:rPr>
          <w:rFonts w:eastAsia="Times New Roman" w:cs="Times New Roman"/>
          <w:vanish/>
          <w:szCs w:val="24"/>
          <w:lang w:eastAsia="lv-LV"/>
        </w:rPr>
      </w:pPr>
    </w:p>
    <w:tbl>
      <w:tblPr>
        <w:tblW w:w="5013"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60"/>
        <w:gridCol w:w="2058"/>
        <w:gridCol w:w="218"/>
        <w:gridCol w:w="218"/>
        <w:gridCol w:w="1073"/>
        <w:gridCol w:w="1430"/>
        <w:gridCol w:w="736"/>
        <w:gridCol w:w="118"/>
        <w:gridCol w:w="1771"/>
      </w:tblGrid>
      <w:tr w:rsidR="005D4AE6" w:rsidRPr="005D4AE6" w14:paraId="73DEF875" w14:textId="77777777" w:rsidTr="006617B4">
        <w:trPr>
          <w:jc w:val="center"/>
        </w:trPr>
        <w:tc>
          <w:tcPr>
            <w:tcW w:w="5000" w:type="pct"/>
            <w:gridSpan w:val="9"/>
            <w:tcBorders>
              <w:top w:val="outset" w:sz="6" w:space="0" w:color="auto"/>
              <w:left w:val="single" w:sz="4" w:space="0" w:color="auto"/>
              <w:bottom w:val="outset" w:sz="6" w:space="0" w:color="auto"/>
              <w:right w:val="outset" w:sz="6" w:space="0" w:color="auto"/>
            </w:tcBorders>
            <w:vAlign w:val="center"/>
            <w:hideMark/>
          </w:tcPr>
          <w:p w14:paraId="474D19AE" w14:textId="77777777" w:rsidR="005D4AE6" w:rsidRPr="00102B4B" w:rsidRDefault="005D4AE6" w:rsidP="005D4AE6">
            <w:pPr>
              <w:spacing w:before="100" w:beforeAutospacing="1" w:after="100" w:afterAutospacing="1" w:line="240" w:lineRule="auto"/>
              <w:rPr>
                <w:rFonts w:eastAsia="Times New Roman" w:cs="Times New Roman"/>
                <w:szCs w:val="24"/>
                <w:highlight w:val="yellow"/>
                <w:lang w:eastAsia="lv-LV"/>
              </w:rPr>
            </w:pPr>
            <w:r w:rsidRPr="00155D67">
              <w:rPr>
                <w:rFonts w:eastAsia="Times New Roman" w:cs="Times New Roman"/>
                <w:b/>
                <w:bCs/>
                <w:szCs w:val="24"/>
                <w:lang w:eastAsia="lv-LV"/>
              </w:rPr>
              <w:t>1.tabula</w:t>
            </w:r>
            <w:r w:rsidRPr="00155D67">
              <w:rPr>
                <w:rFonts w:eastAsia="Times New Roman" w:cs="Times New Roman"/>
                <w:b/>
                <w:bCs/>
                <w:szCs w:val="24"/>
                <w:lang w:eastAsia="lv-LV"/>
              </w:rPr>
              <w:br/>
              <w:t>Tiesību akta projekta atbilstība ES tiesību aktiem</w:t>
            </w:r>
          </w:p>
        </w:tc>
      </w:tr>
      <w:tr w:rsidR="005D4AE6" w:rsidRPr="005D4AE6" w14:paraId="79B713A3" w14:textId="77777777" w:rsidTr="006617B4">
        <w:trPr>
          <w:jc w:val="center"/>
        </w:trPr>
        <w:tc>
          <w:tcPr>
            <w:tcW w:w="2177" w:type="pct"/>
            <w:gridSpan w:val="4"/>
            <w:tcBorders>
              <w:top w:val="outset" w:sz="6" w:space="0" w:color="auto"/>
              <w:left w:val="single" w:sz="4" w:space="0" w:color="auto"/>
              <w:bottom w:val="outset" w:sz="6" w:space="0" w:color="auto"/>
              <w:right w:val="outset" w:sz="6" w:space="0" w:color="auto"/>
            </w:tcBorders>
            <w:hideMark/>
          </w:tcPr>
          <w:p w14:paraId="4BEE8EF3" w14:textId="51663DCE" w:rsidR="005D4AE6" w:rsidRPr="00F5747A" w:rsidRDefault="00F5747A" w:rsidP="00F5747A">
            <w:pPr>
              <w:spacing w:after="0" w:line="240" w:lineRule="auto"/>
              <w:rPr>
                <w:rFonts w:eastAsia="Times New Roman" w:cs="Times New Roman"/>
                <w:szCs w:val="24"/>
                <w:lang w:eastAsia="lv-LV"/>
              </w:rPr>
            </w:pPr>
            <w:r>
              <w:rPr>
                <w:rFonts w:eastAsia="Calibri" w:cs="Times New Roman"/>
                <w:szCs w:val="24"/>
              </w:rPr>
              <w:t>r</w:t>
            </w:r>
            <w:r w:rsidR="00F47435" w:rsidRPr="00F5747A">
              <w:rPr>
                <w:rFonts w:eastAsia="Calibri" w:cs="Times New Roman"/>
                <w:szCs w:val="24"/>
              </w:rPr>
              <w:t>egula Nr.</w:t>
            </w:r>
            <w:r w:rsidR="0000297F" w:rsidRPr="00F5747A">
              <w:rPr>
                <w:rFonts w:eastAsia="Calibri" w:cs="Times New Roman"/>
                <w:szCs w:val="24"/>
              </w:rPr>
              <w:t>2913/92</w:t>
            </w:r>
          </w:p>
        </w:tc>
        <w:tc>
          <w:tcPr>
            <w:tcW w:w="2823" w:type="pct"/>
            <w:gridSpan w:val="5"/>
            <w:tcBorders>
              <w:top w:val="outset" w:sz="6" w:space="0" w:color="auto"/>
              <w:left w:val="outset" w:sz="6" w:space="0" w:color="auto"/>
              <w:bottom w:val="outset" w:sz="6" w:space="0" w:color="auto"/>
              <w:right w:val="outset" w:sz="6" w:space="0" w:color="auto"/>
            </w:tcBorders>
            <w:hideMark/>
          </w:tcPr>
          <w:p w14:paraId="19EED03A" w14:textId="6081C62E" w:rsidR="005D4AE6" w:rsidRPr="00136159" w:rsidRDefault="00F5747A" w:rsidP="00F5747A">
            <w:pPr>
              <w:spacing w:after="0" w:line="240" w:lineRule="auto"/>
              <w:rPr>
                <w:rFonts w:eastAsia="Times New Roman" w:cs="Times New Roman"/>
                <w:szCs w:val="24"/>
                <w:lang w:eastAsia="lv-LV"/>
              </w:rPr>
            </w:pPr>
            <w:r>
              <w:rPr>
                <w:rFonts w:eastAsia="Times New Roman" w:cs="Times New Roman"/>
                <w:szCs w:val="24"/>
                <w:lang w:eastAsia="lv-LV"/>
              </w:rPr>
              <w:t>r</w:t>
            </w:r>
            <w:r w:rsidRPr="0000297F">
              <w:rPr>
                <w:rFonts w:eastAsia="Times New Roman" w:cs="Times New Roman"/>
                <w:szCs w:val="24"/>
                <w:lang w:eastAsia="lv-LV"/>
              </w:rPr>
              <w:t>egula Nr.2454/93</w:t>
            </w:r>
          </w:p>
        </w:tc>
      </w:tr>
      <w:tr w:rsidR="009B7879" w:rsidRPr="00875889" w14:paraId="035362D8" w14:textId="77777777" w:rsidTr="006617B4">
        <w:tblPrEx>
          <w:tblCellSpacing w:w="0" w:type="dxa"/>
          <w:tblCellMar>
            <w:left w:w="0" w:type="dxa"/>
            <w:right w:w="0" w:type="dxa"/>
          </w:tblCellMar>
        </w:tblPrEx>
        <w:trPr>
          <w:trHeight w:val="165"/>
          <w:tblCellSpacing w:w="0" w:type="dxa"/>
          <w:jc w:val="center"/>
        </w:trPr>
        <w:tc>
          <w:tcPr>
            <w:tcW w:w="1937" w:type="pct"/>
            <w:gridSpan w:val="2"/>
            <w:tcBorders>
              <w:top w:val="single" w:sz="2" w:space="0" w:color="auto"/>
              <w:left w:val="single" w:sz="4" w:space="0" w:color="auto"/>
              <w:bottom w:val="single" w:sz="4" w:space="0" w:color="auto"/>
              <w:right w:val="single" w:sz="2" w:space="0" w:color="auto"/>
            </w:tcBorders>
            <w:vAlign w:val="center"/>
            <w:hideMark/>
          </w:tcPr>
          <w:p w14:paraId="4E6DE6E8" w14:textId="77777777" w:rsidR="009A2285" w:rsidRPr="00875889" w:rsidRDefault="009A2285" w:rsidP="001D0C5C">
            <w:pPr>
              <w:spacing w:before="100" w:beforeAutospacing="1" w:after="100" w:afterAutospacing="1" w:line="165" w:lineRule="atLeast"/>
              <w:rPr>
                <w:rFonts w:eastAsia="Times New Roman"/>
                <w:sz w:val="26"/>
                <w:szCs w:val="26"/>
                <w:lang w:eastAsia="lv-LV"/>
              </w:rPr>
            </w:pPr>
            <w:r w:rsidRPr="00875889">
              <w:rPr>
                <w:rFonts w:eastAsia="Times New Roman"/>
                <w:sz w:val="26"/>
                <w:szCs w:val="26"/>
                <w:lang w:eastAsia="lv-LV"/>
              </w:rPr>
              <w:t> A</w:t>
            </w:r>
          </w:p>
        </w:tc>
        <w:tc>
          <w:tcPr>
            <w:tcW w:w="831" w:type="pct"/>
            <w:gridSpan w:val="3"/>
            <w:tcBorders>
              <w:top w:val="single" w:sz="2" w:space="0" w:color="auto"/>
              <w:left w:val="single" w:sz="2" w:space="0" w:color="auto"/>
              <w:bottom w:val="single" w:sz="4" w:space="0" w:color="auto"/>
              <w:right w:val="single" w:sz="2" w:space="0" w:color="auto"/>
            </w:tcBorders>
            <w:vAlign w:val="center"/>
            <w:hideMark/>
          </w:tcPr>
          <w:p w14:paraId="69402D18" w14:textId="77777777" w:rsidR="009A2285" w:rsidRPr="00875889" w:rsidRDefault="009A2285" w:rsidP="001D0C5C">
            <w:pPr>
              <w:spacing w:before="100" w:beforeAutospacing="1" w:after="100" w:afterAutospacing="1" w:line="165" w:lineRule="atLeast"/>
              <w:rPr>
                <w:rFonts w:eastAsia="Times New Roman"/>
                <w:sz w:val="26"/>
                <w:szCs w:val="26"/>
                <w:lang w:eastAsia="lv-LV"/>
              </w:rPr>
            </w:pPr>
            <w:r w:rsidRPr="00875889">
              <w:rPr>
                <w:rFonts w:eastAsia="Times New Roman"/>
                <w:sz w:val="26"/>
                <w:szCs w:val="26"/>
                <w:lang w:eastAsia="lv-LV"/>
              </w:rPr>
              <w:t> B</w:t>
            </w:r>
          </w:p>
        </w:tc>
        <w:tc>
          <w:tcPr>
            <w:tcW w:w="1257" w:type="pct"/>
            <w:gridSpan w:val="3"/>
            <w:tcBorders>
              <w:top w:val="single" w:sz="2" w:space="0" w:color="auto"/>
              <w:left w:val="single" w:sz="2" w:space="0" w:color="auto"/>
              <w:bottom w:val="single" w:sz="4" w:space="0" w:color="auto"/>
              <w:right w:val="single" w:sz="2" w:space="0" w:color="auto"/>
            </w:tcBorders>
            <w:vAlign w:val="center"/>
            <w:hideMark/>
          </w:tcPr>
          <w:p w14:paraId="5E0ED140" w14:textId="77777777" w:rsidR="009A2285" w:rsidRPr="00875889" w:rsidRDefault="009A2285" w:rsidP="001D0C5C">
            <w:pPr>
              <w:spacing w:before="100" w:beforeAutospacing="1" w:after="100" w:afterAutospacing="1" w:line="165" w:lineRule="atLeast"/>
              <w:rPr>
                <w:rFonts w:eastAsia="Times New Roman"/>
                <w:sz w:val="26"/>
                <w:szCs w:val="26"/>
                <w:lang w:eastAsia="lv-LV"/>
              </w:rPr>
            </w:pPr>
            <w:r w:rsidRPr="00875889">
              <w:rPr>
                <w:rFonts w:eastAsia="Times New Roman"/>
                <w:sz w:val="26"/>
                <w:szCs w:val="26"/>
                <w:lang w:eastAsia="lv-LV"/>
              </w:rPr>
              <w:t> C</w:t>
            </w:r>
          </w:p>
        </w:tc>
        <w:tc>
          <w:tcPr>
            <w:tcW w:w="975" w:type="pct"/>
            <w:tcBorders>
              <w:top w:val="single" w:sz="2" w:space="0" w:color="auto"/>
              <w:left w:val="single" w:sz="2" w:space="0" w:color="auto"/>
              <w:bottom w:val="single" w:sz="4" w:space="0" w:color="auto"/>
              <w:right w:val="single" w:sz="2" w:space="0" w:color="auto"/>
            </w:tcBorders>
            <w:vAlign w:val="center"/>
            <w:hideMark/>
          </w:tcPr>
          <w:p w14:paraId="797E74CA" w14:textId="77777777" w:rsidR="009A2285" w:rsidRPr="00875889" w:rsidRDefault="009A2285" w:rsidP="001D0C5C">
            <w:pPr>
              <w:spacing w:before="100" w:beforeAutospacing="1" w:after="100" w:afterAutospacing="1" w:line="165" w:lineRule="atLeast"/>
              <w:rPr>
                <w:rFonts w:eastAsia="Times New Roman"/>
                <w:sz w:val="26"/>
                <w:szCs w:val="26"/>
                <w:lang w:eastAsia="lv-LV"/>
              </w:rPr>
            </w:pPr>
            <w:r w:rsidRPr="00875889">
              <w:rPr>
                <w:rFonts w:eastAsia="Times New Roman"/>
                <w:sz w:val="26"/>
                <w:szCs w:val="26"/>
                <w:lang w:eastAsia="lv-LV"/>
              </w:rPr>
              <w:t> D</w:t>
            </w:r>
          </w:p>
        </w:tc>
      </w:tr>
      <w:tr w:rsidR="009B7879" w:rsidRPr="009B7879" w14:paraId="3F69FC79" w14:textId="77777777" w:rsidTr="006617B4">
        <w:tblPrEx>
          <w:tblCellSpacing w:w="0" w:type="dxa"/>
          <w:tblCellMar>
            <w:left w:w="0" w:type="dxa"/>
            <w:right w:w="0" w:type="dxa"/>
          </w:tblCellMar>
        </w:tblPrEx>
        <w:trPr>
          <w:trHeight w:val="552"/>
          <w:tblCellSpacing w:w="0" w:type="dxa"/>
          <w:jc w:val="center"/>
        </w:trPr>
        <w:tc>
          <w:tcPr>
            <w:tcW w:w="1937" w:type="pct"/>
            <w:gridSpan w:val="2"/>
            <w:tcBorders>
              <w:top w:val="single" w:sz="2" w:space="0" w:color="auto"/>
              <w:left w:val="single" w:sz="4" w:space="0" w:color="auto"/>
              <w:bottom w:val="single" w:sz="2" w:space="0" w:color="auto"/>
              <w:right w:val="single" w:sz="2" w:space="0" w:color="auto"/>
            </w:tcBorders>
            <w:hideMark/>
          </w:tcPr>
          <w:p w14:paraId="7771D75C" w14:textId="30187D70" w:rsidR="009A2285" w:rsidRPr="009B7879" w:rsidRDefault="00F5747A" w:rsidP="00F47435">
            <w:pPr>
              <w:spacing w:before="100" w:beforeAutospacing="1" w:after="100" w:afterAutospacing="1"/>
              <w:rPr>
                <w:rFonts w:eastAsia="Times New Roman"/>
                <w:szCs w:val="24"/>
                <w:lang w:eastAsia="lv-LV"/>
              </w:rPr>
            </w:pPr>
            <w:r>
              <w:rPr>
                <w:rFonts w:eastAsia="Times New Roman"/>
                <w:szCs w:val="24"/>
                <w:lang w:eastAsia="lv-LV"/>
              </w:rPr>
              <w:t>r</w:t>
            </w:r>
            <w:r w:rsidR="00F47435" w:rsidRPr="00F47435">
              <w:rPr>
                <w:rFonts w:eastAsia="Times New Roman"/>
                <w:szCs w:val="24"/>
                <w:lang w:eastAsia="lv-LV"/>
              </w:rPr>
              <w:t>egula</w:t>
            </w:r>
            <w:r w:rsidR="00F47435">
              <w:rPr>
                <w:rFonts w:eastAsia="Times New Roman"/>
                <w:szCs w:val="24"/>
                <w:lang w:eastAsia="lv-LV"/>
              </w:rPr>
              <w:t>s</w:t>
            </w:r>
            <w:r w:rsidR="00F47435" w:rsidRPr="00F47435">
              <w:rPr>
                <w:rFonts w:eastAsia="Times New Roman"/>
                <w:szCs w:val="24"/>
                <w:lang w:eastAsia="lv-LV"/>
              </w:rPr>
              <w:t xml:space="preserve"> Nr.2913/92 </w:t>
            </w:r>
            <w:r w:rsidR="00F47435">
              <w:rPr>
                <w:rFonts w:eastAsia="Times New Roman"/>
                <w:szCs w:val="24"/>
                <w:lang w:eastAsia="lv-LV"/>
              </w:rPr>
              <w:t>97.panta 2.punkta b)apakšpunkts</w:t>
            </w:r>
          </w:p>
        </w:tc>
        <w:tc>
          <w:tcPr>
            <w:tcW w:w="831" w:type="pct"/>
            <w:gridSpan w:val="3"/>
            <w:tcBorders>
              <w:top w:val="single" w:sz="2" w:space="0" w:color="auto"/>
              <w:left w:val="single" w:sz="2" w:space="0" w:color="auto"/>
              <w:bottom w:val="single" w:sz="2" w:space="0" w:color="auto"/>
              <w:right w:val="single" w:sz="2" w:space="0" w:color="auto"/>
            </w:tcBorders>
            <w:hideMark/>
          </w:tcPr>
          <w:p w14:paraId="655FCA2C" w14:textId="4AD13BF1" w:rsidR="009A2285" w:rsidRPr="009B7879" w:rsidRDefault="009A2285" w:rsidP="006F4F44">
            <w:pPr>
              <w:spacing w:before="100" w:beforeAutospacing="1" w:after="100" w:afterAutospacing="1"/>
              <w:rPr>
                <w:rFonts w:eastAsia="Times New Roman"/>
                <w:szCs w:val="24"/>
                <w:lang w:eastAsia="lv-LV"/>
              </w:rPr>
            </w:pPr>
            <w:r w:rsidRPr="009B7879">
              <w:rPr>
                <w:rFonts w:eastAsia="Times New Roman"/>
                <w:szCs w:val="24"/>
                <w:lang w:eastAsia="lv-LV"/>
              </w:rPr>
              <w:t xml:space="preserve">Projekta </w:t>
            </w:r>
            <w:r w:rsidR="006F4F44">
              <w:rPr>
                <w:rFonts w:eastAsia="Times New Roman"/>
                <w:szCs w:val="24"/>
                <w:lang w:eastAsia="lv-LV"/>
              </w:rPr>
              <w:t>40</w:t>
            </w:r>
            <w:r w:rsidRPr="009B7879">
              <w:rPr>
                <w:rFonts w:eastAsia="Times New Roman"/>
                <w:szCs w:val="24"/>
                <w:lang w:eastAsia="lv-LV"/>
              </w:rPr>
              <w:t>. punkts</w:t>
            </w:r>
          </w:p>
        </w:tc>
        <w:tc>
          <w:tcPr>
            <w:tcW w:w="1257" w:type="pct"/>
            <w:gridSpan w:val="3"/>
            <w:tcBorders>
              <w:top w:val="single" w:sz="2" w:space="0" w:color="auto"/>
              <w:left w:val="single" w:sz="2" w:space="0" w:color="auto"/>
              <w:bottom w:val="single" w:sz="2" w:space="0" w:color="auto"/>
              <w:right w:val="single" w:sz="2" w:space="0" w:color="auto"/>
            </w:tcBorders>
            <w:hideMark/>
          </w:tcPr>
          <w:p w14:paraId="26DBED9A" w14:textId="77777777" w:rsidR="009A2285" w:rsidRPr="009B7879" w:rsidRDefault="009A2285" w:rsidP="001D0C5C">
            <w:pPr>
              <w:spacing w:before="100" w:beforeAutospacing="1" w:after="100" w:afterAutospacing="1"/>
              <w:rPr>
                <w:rFonts w:eastAsia="Times New Roman"/>
                <w:szCs w:val="24"/>
                <w:lang w:eastAsia="lv-LV"/>
              </w:rPr>
            </w:pPr>
            <w:r w:rsidRPr="009B7879">
              <w:rPr>
                <w:rFonts w:eastAsia="Times New Roman"/>
                <w:szCs w:val="24"/>
                <w:lang w:eastAsia="lv-LV"/>
              </w:rPr>
              <w:t>Tiek ieviests pilnībā</w:t>
            </w:r>
          </w:p>
          <w:p w14:paraId="5E36EAD6" w14:textId="77777777" w:rsidR="009A2285" w:rsidRPr="009B7879" w:rsidRDefault="009A2285" w:rsidP="001D0C5C">
            <w:pPr>
              <w:spacing w:before="100" w:beforeAutospacing="1" w:after="100" w:afterAutospacing="1"/>
              <w:rPr>
                <w:rFonts w:eastAsia="Times New Roman"/>
                <w:szCs w:val="24"/>
                <w:lang w:eastAsia="lv-LV"/>
              </w:rPr>
            </w:pPr>
          </w:p>
        </w:tc>
        <w:tc>
          <w:tcPr>
            <w:tcW w:w="975" w:type="pct"/>
            <w:tcBorders>
              <w:top w:val="single" w:sz="2" w:space="0" w:color="auto"/>
              <w:left w:val="single" w:sz="2" w:space="0" w:color="auto"/>
              <w:bottom w:val="single" w:sz="2" w:space="0" w:color="auto"/>
              <w:right w:val="single" w:sz="2" w:space="0" w:color="auto"/>
            </w:tcBorders>
            <w:hideMark/>
          </w:tcPr>
          <w:p w14:paraId="7BDBEEED" w14:textId="0E4FA40A" w:rsidR="009A2285" w:rsidRPr="009B7879" w:rsidRDefault="009A2285" w:rsidP="006868B7">
            <w:pPr>
              <w:spacing w:before="100" w:beforeAutospacing="1" w:after="100" w:afterAutospacing="1" w:line="240" w:lineRule="auto"/>
              <w:ind w:left="38" w:hanging="38"/>
              <w:rPr>
                <w:rFonts w:eastAsia="Times New Roman"/>
                <w:szCs w:val="24"/>
                <w:lang w:eastAsia="lv-LV"/>
              </w:rPr>
            </w:pPr>
            <w:r w:rsidRPr="009B7879">
              <w:rPr>
                <w:rFonts w:eastAsia="Times New Roman"/>
                <w:szCs w:val="24"/>
                <w:lang w:eastAsia="lv-LV"/>
              </w:rPr>
              <w:t>Nacionālais tiesību akts neparedz stingrākas prasības</w:t>
            </w:r>
          </w:p>
        </w:tc>
      </w:tr>
      <w:tr w:rsidR="009B7879" w:rsidRPr="009B7879" w14:paraId="28B822EA" w14:textId="77777777" w:rsidTr="006617B4">
        <w:tblPrEx>
          <w:tblCellSpacing w:w="0" w:type="dxa"/>
          <w:tblCellMar>
            <w:left w:w="0" w:type="dxa"/>
            <w:right w:w="0" w:type="dxa"/>
          </w:tblCellMar>
        </w:tblPrEx>
        <w:trPr>
          <w:trHeight w:val="552"/>
          <w:tblCellSpacing w:w="0" w:type="dxa"/>
          <w:jc w:val="center"/>
        </w:trPr>
        <w:tc>
          <w:tcPr>
            <w:tcW w:w="1937" w:type="pct"/>
            <w:gridSpan w:val="2"/>
            <w:tcBorders>
              <w:top w:val="single" w:sz="2" w:space="0" w:color="auto"/>
              <w:left w:val="single" w:sz="4" w:space="0" w:color="auto"/>
              <w:bottom w:val="single" w:sz="2" w:space="0" w:color="auto"/>
              <w:right w:val="single" w:sz="2" w:space="0" w:color="auto"/>
            </w:tcBorders>
          </w:tcPr>
          <w:p w14:paraId="3824AF92" w14:textId="768D8029" w:rsidR="009B7879" w:rsidRPr="009B7879" w:rsidRDefault="00F5747A" w:rsidP="00B925FD">
            <w:pPr>
              <w:spacing w:before="100" w:beforeAutospacing="1" w:after="100" w:afterAutospacing="1"/>
              <w:rPr>
                <w:szCs w:val="24"/>
              </w:rPr>
            </w:pPr>
            <w:r>
              <w:rPr>
                <w:szCs w:val="24"/>
              </w:rPr>
              <w:t>r</w:t>
            </w:r>
            <w:r w:rsidR="00B925FD" w:rsidRPr="00B925FD">
              <w:rPr>
                <w:szCs w:val="24"/>
              </w:rPr>
              <w:t xml:space="preserve">egulas Nr.2454/93 </w:t>
            </w:r>
            <w:r w:rsidR="00B925FD">
              <w:rPr>
                <w:szCs w:val="24"/>
              </w:rPr>
              <w:t>457</w:t>
            </w:r>
            <w:r w:rsidR="00B925FD" w:rsidRPr="00B925FD">
              <w:rPr>
                <w:szCs w:val="24"/>
              </w:rPr>
              <w:t>.panta 1.punkts</w:t>
            </w:r>
          </w:p>
        </w:tc>
        <w:tc>
          <w:tcPr>
            <w:tcW w:w="831" w:type="pct"/>
            <w:gridSpan w:val="3"/>
            <w:tcBorders>
              <w:top w:val="single" w:sz="2" w:space="0" w:color="auto"/>
              <w:left w:val="single" w:sz="2" w:space="0" w:color="auto"/>
              <w:bottom w:val="single" w:sz="2" w:space="0" w:color="auto"/>
              <w:right w:val="single" w:sz="2" w:space="0" w:color="auto"/>
            </w:tcBorders>
          </w:tcPr>
          <w:p w14:paraId="72704BA1" w14:textId="57F57826" w:rsidR="009B7879" w:rsidRPr="009B7879" w:rsidRDefault="009B7879" w:rsidP="006F4F44">
            <w:pPr>
              <w:spacing w:before="100" w:beforeAutospacing="1" w:after="100" w:afterAutospacing="1"/>
              <w:rPr>
                <w:rFonts w:eastAsia="Times New Roman"/>
                <w:szCs w:val="24"/>
                <w:lang w:eastAsia="lv-LV"/>
              </w:rPr>
            </w:pPr>
            <w:r>
              <w:rPr>
                <w:rFonts w:eastAsia="Times New Roman"/>
                <w:szCs w:val="24"/>
                <w:lang w:eastAsia="lv-LV"/>
              </w:rPr>
              <w:t xml:space="preserve">Projekta </w:t>
            </w:r>
            <w:r w:rsidR="00B10CA0">
              <w:rPr>
                <w:rFonts w:eastAsia="Times New Roman"/>
                <w:szCs w:val="24"/>
                <w:lang w:eastAsia="lv-LV"/>
              </w:rPr>
              <w:t>2</w:t>
            </w:r>
            <w:r w:rsidR="006F4F44">
              <w:rPr>
                <w:rFonts w:eastAsia="Times New Roman"/>
                <w:szCs w:val="24"/>
                <w:lang w:eastAsia="lv-LV"/>
              </w:rPr>
              <w:t>2</w:t>
            </w:r>
            <w:r>
              <w:rPr>
                <w:rFonts w:eastAsia="Times New Roman"/>
                <w:szCs w:val="24"/>
                <w:lang w:eastAsia="lv-LV"/>
              </w:rPr>
              <w:t>.3. apakšpunkts</w:t>
            </w:r>
          </w:p>
        </w:tc>
        <w:tc>
          <w:tcPr>
            <w:tcW w:w="1257" w:type="pct"/>
            <w:gridSpan w:val="3"/>
            <w:tcBorders>
              <w:top w:val="single" w:sz="2" w:space="0" w:color="auto"/>
              <w:left w:val="single" w:sz="2" w:space="0" w:color="auto"/>
              <w:bottom w:val="single" w:sz="2" w:space="0" w:color="auto"/>
              <w:right w:val="single" w:sz="2" w:space="0" w:color="auto"/>
            </w:tcBorders>
          </w:tcPr>
          <w:p w14:paraId="56BD3833" w14:textId="77777777" w:rsidR="00B925FD" w:rsidRPr="00B925FD" w:rsidRDefault="00B925FD" w:rsidP="00B925FD">
            <w:pPr>
              <w:spacing w:before="100" w:beforeAutospacing="1" w:after="100" w:afterAutospacing="1"/>
              <w:rPr>
                <w:rFonts w:eastAsia="Times New Roman"/>
                <w:szCs w:val="24"/>
                <w:lang w:eastAsia="lv-LV"/>
              </w:rPr>
            </w:pPr>
            <w:r w:rsidRPr="00B925FD">
              <w:rPr>
                <w:rFonts w:eastAsia="Times New Roman"/>
                <w:szCs w:val="24"/>
                <w:lang w:eastAsia="lv-LV"/>
              </w:rPr>
              <w:t>Tiek ieviests pilnībā</w:t>
            </w:r>
          </w:p>
          <w:p w14:paraId="5912464A" w14:textId="77777777" w:rsidR="009B7879" w:rsidRPr="009B7879" w:rsidRDefault="009B7879" w:rsidP="001D0C5C">
            <w:pPr>
              <w:spacing w:before="100" w:beforeAutospacing="1" w:after="100" w:afterAutospacing="1"/>
              <w:rPr>
                <w:rFonts w:eastAsia="Times New Roman"/>
                <w:szCs w:val="24"/>
                <w:lang w:eastAsia="lv-LV"/>
              </w:rPr>
            </w:pPr>
          </w:p>
        </w:tc>
        <w:tc>
          <w:tcPr>
            <w:tcW w:w="975" w:type="pct"/>
            <w:tcBorders>
              <w:top w:val="single" w:sz="2" w:space="0" w:color="auto"/>
              <w:left w:val="single" w:sz="2" w:space="0" w:color="auto"/>
              <w:bottom w:val="single" w:sz="2" w:space="0" w:color="auto"/>
              <w:right w:val="single" w:sz="2" w:space="0" w:color="auto"/>
            </w:tcBorders>
          </w:tcPr>
          <w:p w14:paraId="2D1F66D1" w14:textId="77B14FA5" w:rsidR="009B7879" w:rsidRPr="009B7879" w:rsidRDefault="009B7879" w:rsidP="007B09C7">
            <w:pPr>
              <w:spacing w:before="100" w:beforeAutospacing="1" w:after="100" w:afterAutospacing="1" w:line="240" w:lineRule="auto"/>
              <w:ind w:left="38"/>
              <w:jc w:val="both"/>
              <w:rPr>
                <w:rFonts w:eastAsia="Times New Roman"/>
                <w:szCs w:val="24"/>
                <w:lang w:eastAsia="lv-LV"/>
              </w:rPr>
            </w:pPr>
          </w:p>
        </w:tc>
      </w:tr>
      <w:tr w:rsidR="009A2285" w:rsidRPr="009B7879" w14:paraId="111544BE" w14:textId="77777777" w:rsidTr="006617B4">
        <w:tblPrEx>
          <w:tblCellSpacing w:w="0" w:type="dxa"/>
          <w:tblCellMar>
            <w:left w:w="0" w:type="dxa"/>
            <w:right w:w="0" w:type="dxa"/>
          </w:tblCellMar>
        </w:tblPrEx>
        <w:trPr>
          <w:trHeight w:val="552"/>
          <w:tblCellSpacing w:w="0" w:type="dxa"/>
          <w:jc w:val="center"/>
        </w:trPr>
        <w:tc>
          <w:tcPr>
            <w:tcW w:w="1937" w:type="pct"/>
            <w:gridSpan w:val="2"/>
            <w:tcBorders>
              <w:top w:val="single" w:sz="2" w:space="0" w:color="auto"/>
              <w:left w:val="single" w:sz="4" w:space="0" w:color="auto"/>
              <w:bottom w:val="outset" w:sz="6" w:space="0" w:color="auto"/>
              <w:right w:val="single" w:sz="2" w:space="0" w:color="auto"/>
            </w:tcBorders>
          </w:tcPr>
          <w:p w14:paraId="6E0F60FC" w14:textId="553F0047" w:rsidR="009A2285" w:rsidRPr="009B7879" w:rsidRDefault="00F5747A" w:rsidP="00704499">
            <w:pPr>
              <w:spacing w:before="100" w:beforeAutospacing="1" w:after="100" w:afterAutospacing="1"/>
              <w:rPr>
                <w:szCs w:val="24"/>
              </w:rPr>
            </w:pPr>
            <w:r>
              <w:rPr>
                <w:rFonts w:eastAsia="Times New Roman" w:cs="Times New Roman"/>
                <w:noProof/>
                <w:szCs w:val="24"/>
              </w:rPr>
              <w:t>r</w:t>
            </w:r>
            <w:r w:rsidR="00E959A8" w:rsidRPr="00E959A8">
              <w:rPr>
                <w:rFonts w:eastAsia="Times New Roman" w:cs="Times New Roman"/>
                <w:noProof/>
                <w:szCs w:val="24"/>
              </w:rPr>
              <w:t xml:space="preserve">egulas Nr.2454/93 </w:t>
            </w:r>
            <w:r w:rsidR="009A2285" w:rsidRPr="00E959A8">
              <w:rPr>
                <w:rFonts w:eastAsia="Times New Roman" w:cs="Times New Roman"/>
                <w:noProof/>
                <w:szCs w:val="24"/>
              </w:rPr>
              <w:t>46.a pielikums</w:t>
            </w:r>
          </w:p>
        </w:tc>
        <w:tc>
          <w:tcPr>
            <w:tcW w:w="831" w:type="pct"/>
            <w:gridSpan w:val="3"/>
            <w:tcBorders>
              <w:top w:val="single" w:sz="2" w:space="0" w:color="auto"/>
              <w:left w:val="single" w:sz="2" w:space="0" w:color="auto"/>
              <w:bottom w:val="single" w:sz="2" w:space="0" w:color="auto"/>
              <w:right w:val="single" w:sz="2" w:space="0" w:color="auto"/>
            </w:tcBorders>
          </w:tcPr>
          <w:p w14:paraId="5F0890B7" w14:textId="609A1E3B" w:rsidR="009A2285" w:rsidRPr="009B7879" w:rsidRDefault="009A2285" w:rsidP="009A2285">
            <w:pPr>
              <w:spacing w:before="100" w:beforeAutospacing="1" w:after="100" w:afterAutospacing="1"/>
              <w:rPr>
                <w:rFonts w:eastAsia="Times New Roman"/>
                <w:szCs w:val="24"/>
                <w:lang w:eastAsia="lv-LV"/>
              </w:rPr>
            </w:pPr>
            <w:r w:rsidRPr="009B7879">
              <w:rPr>
                <w:rFonts w:eastAsia="Times New Roman"/>
                <w:szCs w:val="24"/>
                <w:lang w:eastAsia="lv-LV"/>
              </w:rPr>
              <w:t>Projekta 1.pielikums</w:t>
            </w:r>
          </w:p>
        </w:tc>
        <w:tc>
          <w:tcPr>
            <w:tcW w:w="1257" w:type="pct"/>
            <w:gridSpan w:val="3"/>
            <w:tcBorders>
              <w:top w:val="single" w:sz="2" w:space="0" w:color="auto"/>
              <w:left w:val="single" w:sz="2" w:space="0" w:color="auto"/>
              <w:bottom w:val="single" w:sz="2" w:space="0" w:color="auto"/>
              <w:right w:val="single" w:sz="2" w:space="0" w:color="auto"/>
            </w:tcBorders>
          </w:tcPr>
          <w:p w14:paraId="641FD263" w14:textId="77777777" w:rsidR="00E959A8" w:rsidRPr="00E959A8" w:rsidRDefault="00E959A8" w:rsidP="00E959A8">
            <w:pPr>
              <w:spacing w:before="100" w:beforeAutospacing="1" w:after="100" w:afterAutospacing="1"/>
              <w:rPr>
                <w:rFonts w:eastAsia="Times New Roman"/>
                <w:szCs w:val="24"/>
                <w:lang w:eastAsia="lv-LV"/>
              </w:rPr>
            </w:pPr>
            <w:r w:rsidRPr="00E959A8">
              <w:rPr>
                <w:rFonts w:eastAsia="Times New Roman"/>
                <w:szCs w:val="24"/>
                <w:lang w:eastAsia="lv-LV"/>
              </w:rPr>
              <w:t>Tiek ieviests pilnībā</w:t>
            </w:r>
          </w:p>
          <w:p w14:paraId="66A4AF58" w14:textId="77777777" w:rsidR="009A2285" w:rsidRPr="009B7879" w:rsidRDefault="009A2285" w:rsidP="001D0C5C">
            <w:pPr>
              <w:spacing w:before="100" w:beforeAutospacing="1" w:after="100" w:afterAutospacing="1"/>
              <w:rPr>
                <w:rFonts w:eastAsia="Times New Roman"/>
                <w:szCs w:val="24"/>
                <w:lang w:eastAsia="lv-LV"/>
              </w:rPr>
            </w:pPr>
          </w:p>
        </w:tc>
        <w:tc>
          <w:tcPr>
            <w:tcW w:w="975" w:type="pct"/>
            <w:tcBorders>
              <w:top w:val="single" w:sz="2" w:space="0" w:color="auto"/>
              <w:left w:val="single" w:sz="2" w:space="0" w:color="auto"/>
              <w:bottom w:val="single" w:sz="2" w:space="0" w:color="auto"/>
              <w:right w:val="single" w:sz="2" w:space="0" w:color="auto"/>
            </w:tcBorders>
          </w:tcPr>
          <w:p w14:paraId="56E7AE44" w14:textId="77777777" w:rsidR="009A2285" w:rsidRPr="009B7879" w:rsidRDefault="009A2285" w:rsidP="001D0C5C">
            <w:pPr>
              <w:spacing w:before="100" w:beforeAutospacing="1" w:after="100" w:afterAutospacing="1"/>
              <w:rPr>
                <w:rFonts w:eastAsia="Times New Roman"/>
                <w:szCs w:val="24"/>
                <w:lang w:eastAsia="lv-LV"/>
              </w:rPr>
            </w:pPr>
          </w:p>
        </w:tc>
      </w:tr>
      <w:tr w:rsidR="009B7879" w:rsidRPr="005D4AE6" w14:paraId="737A40DC" w14:textId="77777777" w:rsidTr="006617B4">
        <w:trPr>
          <w:jc w:val="center"/>
        </w:trPr>
        <w:tc>
          <w:tcPr>
            <w:tcW w:w="804" w:type="pct"/>
            <w:tcBorders>
              <w:top w:val="outset" w:sz="6" w:space="0" w:color="auto"/>
              <w:left w:val="outset" w:sz="6" w:space="0" w:color="auto"/>
              <w:bottom w:val="outset" w:sz="6" w:space="0" w:color="auto"/>
              <w:right w:val="outset" w:sz="6" w:space="0" w:color="auto"/>
            </w:tcBorders>
            <w:hideMark/>
          </w:tcPr>
          <w:p w14:paraId="31B87731" w14:textId="77777777" w:rsidR="009B7879" w:rsidRPr="000D29A0" w:rsidRDefault="009B7879" w:rsidP="001D0C5C">
            <w:pPr>
              <w:spacing w:after="0" w:line="240" w:lineRule="auto"/>
              <w:rPr>
                <w:rFonts w:eastAsia="Times New Roman" w:cs="Times New Roman"/>
                <w:szCs w:val="24"/>
                <w:highlight w:val="yellow"/>
                <w:lang w:eastAsia="lv-LV"/>
              </w:rPr>
            </w:pPr>
            <w:r w:rsidRPr="006868B7">
              <w:rPr>
                <w:rFonts w:eastAsia="Times New Roman" w:cs="Times New Roman"/>
                <w:szCs w:val="24"/>
                <w:lang w:eastAsia="lv-LV"/>
              </w:rPr>
              <w:t>Kā ir izmantota ES tiesību aktā paredzētā rīcības brīvība dalībvalstij pārņemt vai ieviest noteiktas ES tiesību akta normas?</w:t>
            </w:r>
            <w:r w:rsidRPr="006868B7">
              <w:rPr>
                <w:rFonts w:eastAsia="Times New Roman" w:cs="Times New Roman"/>
                <w:szCs w:val="24"/>
                <w:lang w:eastAsia="lv-LV"/>
              </w:rPr>
              <w:br/>
              <w:t>Kādēļ?</w:t>
            </w:r>
          </w:p>
        </w:tc>
        <w:tc>
          <w:tcPr>
            <w:tcW w:w="4196" w:type="pct"/>
            <w:gridSpan w:val="8"/>
            <w:tcBorders>
              <w:top w:val="outset" w:sz="6" w:space="0" w:color="auto"/>
              <w:left w:val="outset" w:sz="6" w:space="0" w:color="auto"/>
              <w:bottom w:val="outset" w:sz="6" w:space="0" w:color="auto"/>
              <w:right w:val="outset" w:sz="6" w:space="0" w:color="auto"/>
            </w:tcBorders>
            <w:hideMark/>
          </w:tcPr>
          <w:p w14:paraId="68AF612F" w14:textId="0EDDE434" w:rsidR="009F6A8A" w:rsidRPr="009F6A8A" w:rsidRDefault="009F6A8A" w:rsidP="000D29A0">
            <w:pPr>
              <w:pStyle w:val="naisf"/>
            </w:pPr>
            <w:r w:rsidRPr="009F6A8A">
              <w:t>Nav attiecināms</w:t>
            </w:r>
          </w:p>
          <w:p w14:paraId="2B3023DD" w14:textId="77777777" w:rsidR="009F6A8A" w:rsidRDefault="009F6A8A" w:rsidP="000D29A0">
            <w:pPr>
              <w:pStyle w:val="naisf"/>
              <w:rPr>
                <w:highlight w:val="yellow"/>
              </w:rPr>
            </w:pPr>
          </w:p>
          <w:p w14:paraId="0CC16CDE" w14:textId="0829B31F" w:rsidR="009B7879" w:rsidRPr="005D4AE6" w:rsidRDefault="009B7879" w:rsidP="006868B7">
            <w:pPr>
              <w:pStyle w:val="naisf"/>
            </w:pPr>
          </w:p>
        </w:tc>
      </w:tr>
      <w:tr w:rsidR="009B7879" w:rsidRPr="005D4AE6" w14:paraId="375682B2" w14:textId="77777777" w:rsidTr="006617B4">
        <w:trPr>
          <w:jc w:val="center"/>
        </w:trPr>
        <w:tc>
          <w:tcPr>
            <w:tcW w:w="804" w:type="pct"/>
            <w:tcBorders>
              <w:top w:val="outset" w:sz="6" w:space="0" w:color="auto"/>
              <w:left w:val="outset" w:sz="6" w:space="0" w:color="auto"/>
              <w:bottom w:val="outset" w:sz="6" w:space="0" w:color="auto"/>
              <w:right w:val="outset" w:sz="6" w:space="0" w:color="auto"/>
            </w:tcBorders>
            <w:hideMark/>
          </w:tcPr>
          <w:p w14:paraId="34172B50" w14:textId="77777777" w:rsidR="009B7879" w:rsidRPr="005D4AE6" w:rsidRDefault="009B7879" w:rsidP="001D0C5C">
            <w:pPr>
              <w:spacing w:after="0" w:line="240" w:lineRule="auto"/>
              <w:rPr>
                <w:rFonts w:eastAsia="Times New Roman" w:cs="Times New Roman"/>
                <w:szCs w:val="24"/>
                <w:lang w:eastAsia="lv-LV"/>
              </w:rPr>
            </w:pPr>
            <w:r w:rsidRPr="005D4AE6">
              <w:rPr>
                <w:rFonts w:eastAsia="Times New Roman" w:cs="Times New Roman"/>
                <w:szCs w:val="24"/>
                <w:lang w:eastAsia="lv-LV"/>
              </w:rPr>
              <w:t xml:space="preserve">Saistības sniegt paziņojumu ES institūcijām un ES dalībvalstīm atbilstoši normatīvajiem aktiem, kas regulē informācijas sniegšanu par tehnisko noteikumu, valsts atbalsta </w:t>
            </w:r>
            <w:r w:rsidRPr="005D4AE6">
              <w:rPr>
                <w:rFonts w:eastAsia="Times New Roman" w:cs="Times New Roman"/>
                <w:szCs w:val="24"/>
                <w:lang w:eastAsia="lv-LV"/>
              </w:rPr>
              <w:lastRenderedPageBreak/>
              <w:t>piešķiršanas un finanšu noteikumu (attiecībā uz monetāro politiku) projektiem</w:t>
            </w:r>
          </w:p>
        </w:tc>
        <w:tc>
          <w:tcPr>
            <w:tcW w:w="4196" w:type="pct"/>
            <w:gridSpan w:val="8"/>
            <w:tcBorders>
              <w:top w:val="outset" w:sz="6" w:space="0" w:color="auto"/>
              <w:left w:val="outset" w:sz="6" w:space="0" w:color="auto"/>
              <w:bottom w:val="outset" w:sz="6" w:space="0" w:color="auto"/>
              <w:right w:val="outset" w:sz="6" w:space="0" w:color="auto"/>
            </w:tcBorders>
            <w:hideMark/>
          </w:tcPr>
          <w:p w14:paraId="77E56B69" w14:textId="0123D633" w:rsidR="009B7879" w:rsidRPr="005D4AE6" w:rsidRDefault="009B7879" w:rsidP="001D0C5C">
            <w:pPr>
              <w:spacing w:after="0" w:line="240" w:lineRule="auto"/>
              <w:rPr>
                <w:rFonts w:eastAsia="Times New Roman" w:cs="Times New Roman"/>
                <w:szCs w:val="24"/>
                <w:lang w:eastAsia="lv-LV"/>
              </w:rPr>
            </w:pPr>
            <w:r w:rsidRPr="00155D67">
              <w:rPr>
                <w:rFonts w:eastAsia="Times New Roman" w:cs="Times New Roman"/>
                <w:szCs w:val="24"/>
                <w:lang w:eastAsia="lv-LV"/>
              </w:rPr>
              <w:lastRenderedPageBreak/>
              <w:t>Nav attiecināms</w:t>
            </w:r>
          </w:p>
        </w:tc>
      </w:tr>
      <w:tr w:rsidR="005D4AE6" w:rsidRPr="005D4AE6" w14:paraId="31C4E12F" w14:textId="77777777" w:rsidTr="006617B4">
        <w:trPr>
          <w:jc w:val="center"/>
        </w:trPr>
        <w:tc>
          <w:tcPr>
            <w:tcW w:w="5000" w:type="pct"/>
            <w:gridSpan w:val="9"/>
            <w:tcBorders>
              <w:top w:val="outset" w:sz="6" w:space="0" w:color="auto"/>
              <w:left w:val="outset" w:sz="6" w:space="0" w:color="auto"/>
              <w:bottom w:val="outset" w:sz="6" w:space="0" w:color="auto"/>
              <w:right w:val="outset" w:sz="6" w:space="0" w:color="auto"/>
            </w:tcBorders>
            <w:vAlign w:val="center"/>
            <w:hideMark/>
          </w:tcPr>
          <w:p w14:paraId="6A6EA535" w14:textId="77777777" w:rsidR="005D4AE6" w:rsidRPr="00155D67" w:rsidRDefault="005D4AE6" w:rsidP="005D4AE6">
            <w:pPr>
              <w:spacing w:before="100" w:beforeAutospacing="1" w:after="100" w:afterAutospacing="1" w:line="240" w:lineRule="auto"/>
              <w:rPr>
                <w:rFonts w:eastAsia="Times New Roman" w:cs="Times New Roman"/>
                <w:szCs w:val="24"/>
                <w:lang w:eastAsia="lv-LV"/>
              </w:rPr>
            </w:pPr>
            <w:r w:rsidRPr="00155D67">
              <w:rPr>
                <w:rFonts w:eastAsia="Times New Roman" w:cs="Times New Roman"/>
                <w:b/>
                <w:bCs/>
                <w:szCs w:val="24"/>
                <w:lang w:eastAsia="lv-LV"/>
              </w:rPr>
              <w:lastRenderedPageBreak/>
              <w:t>2.tabula</w:t>
            </w:r>
            <w:r w:rsidRPr="00155D67">
              <w:rPr>
                <w:rFonts w:eastAsia="Times New Roman" w:cs="Times New Roman"/>
                <w:b/>
                <w:bCs/>
                <w:szCs w:val="24"/>
                <w:lang w:eastAsia="lv-LV"/>
              </w:rPr>
              <w:br/>
              <w:t>Ar tiesību akta projektu izpildītās vai uzņemtās saistības, kas izriet no starptautiskajiem tiesību aktiem vai starptautiskas institūcijas vai organizācijas dokumentiem.</w:t>
            </w:r>
            <w:r w:rsidRPr="00155D67">
              <w:rPr>
                <w:rFonts w:eastAsia="Times New Roman" w:cs="Times New Roman"/>
                <w:b/>
                <w:bCs/>
                <w:szCs w:val="24"/>
                <w:lang w:eastAsia="lv-LV"/>
              </w:rPr>
              <w:br/>
              <w:t>Pasākumi šo saistību izpildei</w:t>
            </w:r>
          </w:p>
        </w:tc>
      </w:tr>
      <w:tr w:rsidR="005D4AE6" w:rsidRPr="005D4AE6" w14:paraId="0A4EBC71" w14:textId="77777777" w:rsidTr="006617B4">
        <w:trPr>
          <w:jc w:val="center"/>
        </w:trPr>
        <w:tc>
          <w:tcPr>
            <w:tcW w:w="2177" w:type="pct"/>
            <w:gridSpan w:val="4"/>
            <w:tcBorders>
              <w:top w:val="outset" w:sz="6" w:space="0" w:color="auto"/>
              <w:left w:val="outset" w:sz="6" w:space="0" w:color="auto"/>
              <w:bottom w:val="outset" w:sz="6" w:space="0" w:color="auto"/>
              <w:right w:val="outset" w:sz="6" w:space="0" w:color="auto"/>
            </w:tcBorders>
            <w:vAlign w:val="center"/>
            <w:hideMark/>
          </w:tcPr>
          <w:p w14:paraId="68FF965F" w14:textId="0A11A156" w:rsidR="005D4AE6" w:rsidRPr="00155D67" w:rsidRDefault="000D29A0" w:rsidP="005D4AE6">
            <w:pPr>
              <w:spacing w:after="0" w:line="240" w:lineRule="auto"/>
              <w:rPr>
                <w:rFonts w:eastAsia="Times New Roman" w:cs="Times New Roman"/>
                <w:szCs w:val="24"/>
                <w:lang w:eastAsia="lv-LV"/>
              </w:rPr>
            </w:pPr>
            <w:r w:rsidRPr="005A2137">
              <w:rPr>
                <w:rFonts w:eastAsia="Times New Roman" w:cs="Times New Roman"/>
                <w:szCs w:val="24"/>
                <w:lang w:eastAsia="lv-LV"/>
              </w:rPr>
              <w:t>1975.gada 14.novembra Muitas konvencijas par starptautiskajiem kravu pārvadājumiem, izmantojot TIR karneti</w:t>
            </w:r>
          </w:p>
        </w:tc>
        <w:tc>
          <w:tcPr>
            <w:tcW w:w="2823" w:type="pct"/>
            <w:gridSpan w:val="5"/>
            <w:tcBorders>
              <w:top w:val="outset" w:sz="6" w:space="0" w:color="auto"/>
              <w:left w:val="outset" w:sz="6" w:space="0" w:color="auto"/>
              <w:bottom w:val="outset" w:sz="6" w:space="0" w:color="auto"/>
              <w:right w:val="outset" w:sz="6" w:space="0" w:color="auto"/>
            </w:tcBorders>
            <w:hideMark/>
          </w:tcPr>
          <w:p w14:paraId="3038B399" w14:textId="71FAA567" w:rsidR="005D4AE6" w:rsidRPr="00155D67" w:rsidRDefault="001F4727" w:rsidP="0005120B">
            <w:pPr>
              <w:spacing w:after="0" w:line="240" w:lineRule="auto"/>
              <w:rPr>
                <w:rFonts w:eastAsia="Times New Roman" w:cs="Times New Roman"/>
                <w:szCs w:val="24"/>
                <w:lang w:eastAsia="lv-LV"/>
              </w:rPr>
            </w:pPr>
            <w:r w:rsidRPr="001F4727">
              <w:rPr>
                <w:rFonts w:eastAsia="Times New Roman" w:cs="Times New Roman"/>
                <w:szCs w:val="24"/>
                <w:lang w:eastAsia="lv-LV"/>
              </w:rPr>
              <w:t>1951.gada 1.novem</w:t>
            </w:r>
            <w:r>
              <w:rPr>
                <w:rFonts w:eastAsia="Times New Roman" w:cs="Times New Roman"/>
                <w:szCs w:val="24"/>
                <w:lang w:eastAsia="lv-LV"/>
              </w:rPr>
              <w:t xml:space="preserve">bra Nolīgums par starptautisko </w:t>
            </w:r>
            <w:r w:rsidRPr="001F4727">
              <w:rPr>
                <w:rFonts w:eastAsia="Times New Roman" w:cs="Times New Roman"/>
                <w:szCs w:val="24"/>
                <w:lang w:eastAsia="lv-LV"/>
              </w:rPr>
              <w:t>dzelzceļa kravu satiksmi</w:t>
            </w:r>
            <w:r>
              <w:rPr>
                <w:rFonts w:eastAsia="Times New Roman" w:cs="Times New Roman"/>
                <w:szCs w:val="24"/>
                <w:lang w:eastAsia="lv-LV"/>
              </w:rPr>
              <w:t xml:space="preserve"> </w:t>
            </w:r>
          </w:p>
        </w:tc>
      </w:tr>
      <w:tr w:rsidR="000D29A0" w:rsidRPr="005D4AE6" w14:paraId="62EC3616" w14:textId="77777777" w:rsidTr="006617B4">
        <w:trPr>
          <w:jc w:val="center"/>
        </w:trPr>
        <w:tc>
          <w:tcPr>
            <w:tcW w:w="2057" w:type="pct"/>
            <w:gridSpan w:val="3"/>
            <w:tcBorders>
              <w:top w:val="outset" w:sz="6" w:space="0" w:color="auto"/>
              <w:left w:val="outset" w:sz="6" w:space="0" w:color="auto"/>
              <w:bottom w:val="outset" w:sz="6" w:space="0" w:color="auto"/>
              <w:right w:val="outset" w:sz="6" w:space="0" w:color="auto"/>
            </w:tcBorders>
            <w:vAlign w:val="center"/>
            <w:hideMark/>
          </w:tcPr>
          <w:p w14:paraId="48B9D29E" w14:textId="77777777" w:rsidR="009A2285" w:rsidRPr="005D4AE6" w:rsidRDefault="009A2285" w:rsidP="001D0C5C">
            <w:pPr>
              <w:spacing w:before="100" w:beforeAutospacing="1" w:after="100" w:afterAutospacing="1" w:line="240" w:lineRule="auto"/>
              <w:rPr>
                <w:rFonts w:eastAsia="Times New Roman" w:cs="Times New Roman"/>
                <w:szCs w:val="24"/>
                <w:lang w:eastAsia="lv-LV"/>
              </w:rPr>
            </w:pPr>
            <w:r w:rsidRPr="005D4AE6">
              <w:rPr>
                <w:rFonts w:eastAsia="Times New Roman" w:cs="Times New Roman"/>
                <w:szCs w:val="24"/>
                <w:lang w:eastAsia="lv-LV"/>
              </w:rPr>
              <w:t>A</w:t>
            </w:r>
          </w:p>
        </w:tc>
        <w:tc>
          <w:tcPr>
            <w:tcW w:w="1903" w:type="pct"/>
            <w:gridSpan w:val="4"/>
            <w:tcBorders>
              <w:top w:val="outset" w:sz="6" w:space="0" w:color="auto"/>
              <w:left w:val="outset" w:sz="6" w:space="0" w:color="auto"/>
              <w:bottom w:val="outset" w:sz="6" w:space="0" w:color="auto"/>
              <w:right w:val="outset" w:sz="6" w:space="0" w:color="auto"/>
            </w:tcBorders>
            <w:vAlign w:val="center"/>
            <w:hideMark/>
          </w:tcPr>
          <w:p w14:paraId="1BD1C2A1" w14:textId="77777777" w:rsidR="009A2285" w:rsidRPr="005D4AE6" w:rsidRDefault="009A2285" w:rsidP="001D0C5C">
            <w:pPr>
              <w:spacing w:before="100" w:beforeAutospacing="1" w:after="100" w:afterAutospacing="1" w:line="240" w:lineRule="auto"/>
              <w:rPr>
                <w:rFonts w:eastAsia="Times New Roman" w:cs="Times New Roman"/>
                <w:szCs w:val="24"/>
                <w:lang w:eastAsia="lv-LV"/>
              </w:rPr>
            </w:pPr>
            <w:r w:rsidRPr="005D4AE6">
              <w:rPr>
                <w:rFonts w:eastAsia="Times New Roman" w:cs="Times New Roman"/>
                <w:szCs w:val="24"/>
                <w:lang w:eastAsia="lv-LV"/>
              </w:rPr>
              <w:t>B</w:t>
            </w:r>
          </w:p>
        </w:tc>
        <w:tc>
          <w:tcPr>
            <w:tcW w:w="1040" w:type="pct"/>
            <w:gridSpan w:val="2"/>
            <w:tcBorders>
              <w:top w:val="outset" w:sz="6" w:space="0" w:color="auto"/>
              <w:left w:val="outset" w:sz="6" w:space="0" w:color="auto"/>
              <w:bottom w:val="outset" w:sz="6" w:space="0" w:color="auto"/>
              <w:right w:val="outset" w:sz="6" w:space="0" w:color="auto"/>
            </w:tcBorders>
            <w:vAlign w:val="center"/>
            <w:hideMark/>
          </w:tcPr>
          <w:p w14:paraId="59245C0D" w14:textId="77777777" w:rsidR="009A2285" w:rsidRPr="005D4AE6" w:rsidRDefault="009A2285" w:rsidP="001D0C5C">
            <w:pPr>
              <w:spacing w:before="100" w:beforeAutospacing="1" w:after="100" w:afterAutospacing="1" w:line="240" w:lineRule="auto"/>
              <w:rPr>
                <w:rFonts w:eastAsia="Times New Roman" w:cs="Times New Roman"/>
                <w:szCs w:val="24"/>
                <w:lang w:eastAsia="lv-LV"/>
              </w:rPr>
            </w:pPr>
            <w:r w:rsidRPr="005D4AE6">
              <w:rPr>
                <w:rFonts w:eastAsia="Times New Roman" w:cs="Times New Roman"/>
                <w:szCs w:val="24"/>
                <w:lang w:eastAsia="lv-LV"/>
              </w:rPr>
              <w:t>C</w:t>
            </w:r>
          </w:p>
        </w:tc>
      </w:tr>
      <w:tr w:rsidR="001F4727" w:rsidRPr="005D4AE6" w14:paraId="52B5F868" w14:textId="77777777" w:rsidTr="006617B4">
        <w:trPr>
          <w:jc w:val="center"/>
        </w:trPr>
        <w:tc>
          <w:tcPr>
            <w:tcW w:w="2057" w:type="pct"/>
            <w:gridSpan w:val="3"/>
            <w:tcBorders>
              <w:top w:val="outset" w:sz="6" w:space="0" w:color="auto"/>
              <w:left w:val="outset" w:sz="6" w:space="0" w:color="auto"/>
              <w:bottom w:val="outset" w:sz="6" w:space="0" w:color="auto"/>
              <w:right w:val="outset" w:sz="6" w:space="0" w:color="auto"/>
            </w:tcBorders>
            <w:hideMark/>
          </w:tcPr>
          <w:p w14:paraId="1D0760AF" w14:textId="77777777" w:rsidR="001F4727" w:rsidRPr="005D4AE6" w:rsidRDefault="001F4727" w:rsidP="001D0C5C">
            <w:pPr>
              <w:spacing w:after="0" w:line="240" w:lineRule="auto"/>
              <w:rPr>
                <w:rFonts w:eastAsia="Times New Roman" w:cs="Times New Roman"/>
                <w:szCs w:val="24"/>
                <w:lang w:eastAsia="lv-LV"/>
              </w:rPr>
            </w:pPr>
            <w:r w:rsidRPr="005D4AE6">
              <w:rPr>
                <w:rFonts w:eastAsia="Times New Roman" w:cs="Times New Roman"/>
                <w:szCs w:val="24"/>
                <w:lang w:eastAsia="lv-LV"/>
              </w:rPr>
              <w:t xml:space="preserve">Starptautiskās saistības (pēc būtības), kas izriet no norādītā starptautiskā dokumenta. </w:t>
            </w:r>
          </w:p>
          <w:p w14:paraId="3F14DE6F" w14:textId="77777777" w:rsidR="001F4727" w:rsidRPr="005D4AE6" w:rsidRDefault="001F4727" w:rsidP="001D0C5C">
            <w:pPr>
              <w:spacing w:before="100" w:beforeAutospacing="1" w:after="100" w:afterAutospacing="1" w:line="240" w:lineRule="auto"/>
              <w:rPr>
                <w:rFonts w:eastAsia="Times New Roman" w:cs="Times New Roman"/>
                <w:szCs w:val="24"/>
                <w:lang w:eastAsia="lv-LV"/>
              </w:rPr>
            </w:pPr>
            <w:r w:rsidRPr="005D4AE6">
              <w:rPr>
                <w:rFonts w:eastAsia="Times New Roman" w:cs="Times New Roman"/>
                <w:szCs w:val="24"/>
                <w:lang w:eastAsia="lv-LV"/>
              </w:rPr>
              <w:t>Konkrēti veicamie pasākumi vai uzdevumi, kas nepieciešami šo starptautisko saistību izpildei</w:t>
            </w:r>
          </w:p>
        </w:tc>
        <w:tc>
          <w:tcPr>
            <w:tcW w:w="1498" w:type="pct"/>
            <w:gridSpan w:val="3"/>
            <w:tcBorders>
              <w:top w:val="outset" w:sz="6" w:space="0" w:color="auto"/>
              <w:left w:val="outset" w:sz="6" w:space="0" w:color="auto"/>
              <w:bottom w:val="outset" w:sz="6" w:space="0" w:color="auto"/>
              <w:right w:val="outset" w:sz="6" w:space="0" w:color="auto"/>
            </w:tcBorders>
            <w:hideMark/>
          </w:tcPr>
          <w:p w14:paraId="1EA61F65" w14:textId="77777777" w:rsidR="001F4727" w:rsidRPr="005D4AE6" w:rsidRDefault="001F4727" w:rsidP="001D0C5C">
            <w:pPr>
              <w:spacing w:after="0" w:line="240" w:lineRule="auto"/>
              <w:rPr>
                <w:rFonts w:eastAsia="Times New Roman" w:cs="Times New Roman"/>
                <w:szCs w:val="24"/>
                <w:lang w:eastAsia="lv-LV"/>
              </w:rPr>
            </w:pPr>
            <w:r w:rsidRPr="005D4AE6">
              <w:rPr>
                <w:rFonts w:eastAsia="Times New Roman" w:cs="Times New Roman"/>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445" w:type="pct"/>
            <w:gridSpan w:val="3"/>
            <w:tcBorders>
              <w:top w:val="outset" w:sz="6" w:space="0" w:color="auto"/>
              <w:left w:val="outset" w:sz="6" w:space="0" w:color="auto"/>
              <w:bottom w:val="outset" w:sz="6" w:space="0" w:color="auto"/>
              <w:right w:val="outset" w:sz="6" w:space="0" w:color="auto"/>
            </w:tcBorders>
            <w:hideMark/>
          </w:tcPr>
          <w:p w14:paraId="660F1BB6" w14:textId="77777777" w:rsidR="001F4727" w:rsidRPr="005D4AE6" w:rsidRDefault="001F4727" w:rsidP="001D0C5C">
            <w:pPr>
              <w:spacing w:after="0" w:line="240" w:lineRule="auto"/>
              <w:rPr>
                <w:rFonts w:eastAsia="Times New Roman" w:cs="Times New Roman"/>
                <w:szCs w:val="24"/>
                <w:lang w:eastAsia="lv-LV"/>
              </w:rPr>
            </w:pPr>
            <w:r w:rsidRPr="005D4AE6">
              <w:rPr>
                <w:rFonts w:eastAsia="Times New Roman" w:cs="Times New Roman"/>
                <w:szCs w:val="24"/>
                <w:lang w:eastAsia="lv-LV"/>
              </w:rPr>
              <w:t xml:space="preserve">Informācija par to, vai starptautiskās saistības, kas minētas šīs tabulas A ailē, tiek izpildītas pilnībā vai daļēji. </w:t>
            </w:r>
          </w:p>
          <w:p w14:paraId="6CA713E5" w14:textId="77777777" w:rsidR="001F4727" w:rsidRPr="005D4AE6" w:rsidRDefault="001F4727" w:rsidP="001D0C5C">
            <w:pPr>
              <w:spacing w:before="100" w:beforeAutospacing="1" w:after="100" w:afterAutospacing="1" w:line="240" w:lineRule="auto"/>
              <w:rPr>
                <w:rFonts w:eastAsia="Times New Roman" w:cs="Times New Roman"/>
                <w:szCs w:val="24"/>
                <w:lang w:eastAsia="lv-LV"/>
              </w:rPr>
            </w:pPr>
            <w:r w:rsidRPr="005D4AE6">
              <w:rPr>
                <w:rFonts w:eastAsia="Times New Roman" w:cs="Times New Roman"/>
                <w:szCs w:val="24"/>
                <w:lang w:eastAsia="lv-LV"/>
              </w:rPr>
              <w:t>Ja attiecīgās starptautiskās saistības tiek izpildītas daļēji, sniedz skaidrojumu, kā arī precīzi norāda, kad un kādā veidā starptautiskās saistības tiks izpildītas pilnībā.</w:t>
            </w:r>
          </w:p>
          <w:p w14:paraId="60B31EEB" w14:textId="77777777" w:rsidR="001F4727" w:rsidRPr="005D4AE6" w:rsidRDefault="001F4727" w:rsidP="001D0C5C">
            <w:pPr>
              <w:spacing w:before="100" w:beforeAutospacing="1" w:after="100" w:afterAutospacing="1" w:line="240" w:lineRule="auto"/>
              <w:rPr>
                <w:rFonts w:eastAsia="Times New Roman" w:cs="Times New Roman"/>
                <w:szCs w:val="24"/>
                <w:lang w:eastAsia="lv-LV"/>
              </w:rPr>
            </w:pPr>
            <w:r w:rsidRPr="005D4AE6">
              <w:rPr>
                <w:rFonts w:eastAsia="Times New Roman" w:cs="Times New Roman"/>
                <w:szCs w:val="24"/>
                <w:lang w:eastAsia="lv-LV"/>
              </w:rPr>
              <w:t>Norāda institūciju, kas ir atbildīga par šo saistību izpildi pilnībā</w:t>
            </w:r>
          </w:p>
        </w:tc>
      </w:tr>
      <w:tr w:rsidR="001F4727" w:rsidRPr="005D4AE6" w14:paraId="649254A1" w14:textId="77777777" w:rsidTr="006617B4">
        <w:trPr>
          <w:jc w:val="center"/>
        </w:trPr>
        <w:tc>
          <w:tcPr>
            <w:tcW w:w="2057" w:type="pct"/>
            <w:gridSpan w:val="3"/>
            <w:tcBorders>
              <w:top w:val="outset" w:sz="6" w:space="0" w:color="auto"/>
              <w:left w:val="outset" w:sz="6" w:space="0" w:color="auto"/>
              <w:bottom w:val="outset" w:sz="6" w:space="0" w:color="auto"/>
              <w:right w:val="outset" w:sz="6" w:space="0" w:color="auto"/>
            </w:tcBorders>
          </w:tcPr>
          <w:p w14:paraId="3524B4D4" w14:textId="696CE5F8" w:rsidR="001F4727" w:rsidRPr="001F4727" w:rsidRDefault="001F4727" w:rsidP="001D0C5C">
            <w:pPr>
              <w:spacing w:after="0" w:line="240" w:lineRule="auto"/>
              <w:rPr>
                <w:rFonts w:eastAsia="Times New Roman" w:cs="Times New Roman"/>
                <w:szCs w:val="24"/>
                <w:highlight w:val="yellow"/>
                <w:lang w:eastAsia="lv-LV"/>
              </w:rPr>
            </w:pPr>
            <w:r>
              <w:rPr>
                <w:rFonts w:eastAsia="Times New Roman" w:cs="Times New Roman"/>
                <w:szCs w:val="24"/>
                <w:lang w:eastAsia="lv-LV"/>
              </w:rPr>
              <w:t xml:space="preserve">TIR konvencijas </w:t>
            </w:r>
            <w:r w:rsidRPr="001F4727">
              <w:rPr>
                <w:rFonts w:eastAsia="Times New Roman" w:cs="Times New Roman"/>
                <w:szCs w:val="24"/>
                <w:lang w:eastAsia="lv-LV"/>
              </w:rPr>
              <w:t xml:space="preserve">9.pielikuma </w:t>
            </w:r>
            <w:r w:rsidR="0000297F">
              <w:rPr>
                <w:rFonts w:eastAsia="Times New Roman" w:cs="Times New Roman"/>
                <w:szCs w:val="24"/>
                <w:lang w:eastAsia="lv-LV"/>
              </w:rPr>
              <w:t xml:space="preserve">II daļas </w:t>
            </w:r>
            <w:r w:rsidRPr="001F4727">
              <w:rPr>
                <w:rFonts w:eastAsia="Times New Roman" w:cs="Times New Roman"/>
                <w:szCs w:val="24"/>
                <w:lang w:eastAsia="lv-LV"/>
              </w:rPr>
              <w:t>1. punkts paredz, ka lai varētu darboties TIR procedūrā, personai ir jābūt pierādāmai pieredzei vai vismaz spējām iesaistīties regulāros starptautiskos pārvadājumos.</w:t>
            </w:r>
          </w:p>
        </w:tc>
        <w:tc>
          <w:tcPr>
            <w:tcW w:w="1498" w:type="pct"/>
            <w:gridSpan w:val="3"/>
            <w:tcBorders>
              <w:top w:val="outset" w:sz="6" w:space="0" w:color="auto"/>
              <w:left w:val="outset" w:sz="6" w:space="0" w:color="auto"/>
              <w:bottom w:val="outset" w:sz="6" w:space="0" w:color="auto"/>
              <w:right w:val="outset" w:sz="6" w:space="0" w:color="auto"/>
            </w:tcBorders>
          </w:tcPr>
          <w:p w14:paraId="5C39F5F7" w14:textId="68495949" w:rsidR="001F4727" w:rsidRPr="001F4727" w:rsidRDefault="001F4727" w:rsidP="006F4F44">
            <w:pPr>
              <w:spacing w:after="0" w:line="240" w:lineRule="auto"/>
              <w:rPr>
                <w:rFonts w:eastAsia="Times New Roman" w:cs="Times New Roman"/>
                <w:szCs w:val="24"/>
                <w:highlight w:val="yellow"/>
                <w:lang w:eastAsia="lv-LV"/>
              </w:rPr>
            </w:pPr>
            <w:r w:rsidRPr="001F4727">
              <w:rPr>
                <w:rFonts w:eastAsia="Times New Roman" w:cs="Times New Roman"/>
                <w:szCs w:val="24"/>
                <w:lang w:eastAsia="lv-LV"/>
              </w:rPr>
              <w:t xml:space="preserve">Projekta </w:t>
            </w:r>
            <w:r w:rsidR="006F4F44">
              <w:rPr>
                <w:rFonts w:eastAsia="Times New Roman" w:cs="Times New Roman"/>
                <w:szCs w:val="24"/>
                <w:lang w:eastAsia="lv-LV"/>
              </w:rPr>
              <w:t>6</w:t>
            </w:r>
            <w:r w:rsidRPr="001F4727">
              <w:rPr>
                <w:rFonts w:eastAsia="Times New Roman" w:cs="Times New Roman"/>
                <w:szCs w:val="24"/>
                <w:lang w:eastAsia="lv-LV"/>
              </w:rPr>
              <w:t>.punkts</w:t>
            </w:r>
          </w:p>
        </w:tc>
        <w:tc>
          <w:tcPr>
            <w:tcW w:w="1445" w:type="pct"/>
            <w:gridSpan w:val="3"/>
            <w:tcBorders>
              <w:top w:val="outset" w:sz="6" w:space="0" w:color="auto"/>
              <w:left w:val="outset" w:sz="6" w:space="0" w:color="auto"/>
              <w:bottom w:val="outset" w:sz="6" w:space="0" w:color="auto"/>
              <w:right w:val="outset" w:sz="6" w:space="0" w:color="auto"/>
            </w:tcBorders>
          </w:tcPr>
          <w:p w14:paraId="369DF37A" w14:textId="2DBA2C1B" w:rsidR="001F4727" w:rsidRPr="001F4727" w:rsidRDefault="001F4727" w:rsidP="001D0C5C">
            <w:pPr>
              <w:spacing w:after="0" w:line="240" w:lineRule="auto"/>
              <w:rPr>
                <w:rFonts w:eastAsia="Times New Roman" w:cs="Times New Roman"/>
                <w:szCs w:val="24"/>
                <w:highlight w:val="yellow"/>
                <w:lang w:eastAsia="lv-LV"/>
              </w:rPr>
            </w:pPr>
            <w:r w:rsidRPr="001F4727">
              <w:rPr>
                <w:rFonts w:eastAsia="Times New Roman" w:cs="Times New Roman"/>
                <w:szCs w:val="24"/>
                <w:lang w:eastAsia="lv-LV"/>
              </w:rPr>
              <w:t>Tiesību norma tiek izpildīta pilnībā</w:t>
            </w:r>
          </w:p>
        </w:tc>
      </w:tr>
      <w:tr w:rsidR="00401D0F" w:rsidRPr="005D4AE6" w14:paraId="04C21B95" w14:textId="77777777" w:rsidTr="006617B4">
        <w:trPr>
          <w:jc w:val="center"/>
        </w:trPr>
        <w:tc>
          <w:tcPr>
            <w:tcW w:w="2057" w:type="pct"/>
            <w:gridSpan w:val="3"/>
            <w:tcBorders>
              <w:top w:val="outset" w:sz="6" w:space="0" w:color="auto"/>
              <w:left w:val="outset" w:sz="6" w:space="0" w:color="auto"/>
              <w:bottom w:val="outset" w:sz="6" w:space="0" w:color="auto"/>
              <w:right w:val="outset" w:sz="6" w:space="0" w:color="auto"/>
            </w:tcBorders>
          </w:tcPr>
          <w:p w14:paraId="26805265" w14:textId="4EBDA8EE" w:rsidR="00401D0F" w:rsidRDefault="00401D0F" w:rsidP="0000297F">
            <w:pPr>
              <w:spacing w:after="0" w:line="240" w:lineRule="auto"/>
              <w:rPr>
                <w:rFonts w:eastAsia="Times New Roman" w:cs="Times New Roman"/>
                <w:szCs w:val="24"/>
                <w:lang w:eastAsia="lv-LV"/>
              </w:rPr>
            </w:pPr>
            <w:r w:rsidRPr="00401D0F">
              <w:rPr>
                <w:rFonts w:eastAsia="Times New Roman" w:cs="Times New Roman"/>
                <w:szCs w:val="24"/>
                <w:lang w:eastAsia="lv-LV"/>
              </w:rPr>
              <w:t xml:space="preserve">Konvencijas </w:t>
            </w:r>
            <w:r w:rsidR="0000297F">
              <w:rPr>
                <w:rFonts w:eastAsia="Times New Roman" w:cs="Times New Roman"/>
                <w:szCs w:val="24"/>
                <w:lang w:eastAsia="lv-LV"/>
              </w:rPr>
              <w:t>9</w:t>
            </w:r>
            <w:r w:rsidRPr="00401D0F">
              <w:rPr>
                <w:rFonts w:eastAsia="Times New Roman" w:cs="Times New Roman"/>
                <w:szCs w:val="24"/>
                <w:lang w:eastAsia="lv-LV"/>
              </w:rPr>
              <w:t xml:space="preserve">.pielikuma </w:t>
            </w:r>
            <w:proofErr w:type="spellStart"/>
            <w:r w:rsidRPr="00401D0F">
              <w:rPr>
                <w:rFonts w:eastAsia="Times New Roman" w:cs="Times New Roman"/>
                <w:szCs w:val="24"/>
                <w:lang w:eastAsia="lv-LV"/>
              </w:rPr>
              <w:t>II.daļas</w:t>
            </w:r>
            <w:proofErr w:type="spellEnd"/>
            <w:r w:rsidRPr="00401D0F">
              <w:rPr>
                <w:rFonts w:eastAsia="Times New Roman" w:cs="Times New Roman"/>
                <w:szCs w:val="24"/>
                <w:lang w:eastAsia="lv-LV"/>
              </w:rPr>
              <w:t xml:space="preserve"> 1.</w:t>
            </w:r>
            <w:r w:rsidR="0000297F">
              <w:rPr>
                <w:rFonts w:eastAsia="Times New Roman" w:cs="Times New Roman"/>
                <w:szCs w:val="24"/>
                <w:lang w:eastAsia="lv-LV"/>
              </w:rPr>
              <w:t>b</w:t>
            </w:r>
            <w:r w:rsidR="0000297F" w:rsidRPr="00401D0F">
              <w:rPr>
                <w:rFonts w:eastAsia="Times New Roman" w:cs="Times New Roman"/>
                <w:szCs w:val="24"/>
                <w:lang w:eastAsia="lv-LV"/>
              </w:rPr>
              <w:t xml:space="preserve"> </w:t>
            </w:r>
            <w:r w:rsidRPr="00401D0F">
              <w:rPr>
                <w:rFonts w:eastAsia="Times New Roman" w:cs="Times New Roman"/>
                <w:szCs w:val="24"/>
                <w:lang w:eastAsia="lv-LV"/>
              </w:rPr>
              <w:t xml:space="preserve">apakšpunkts nosaka, ka personām, kuras vēlas saņemt piekļuvi TIR režīmam, jāatbilst šādām minimālajām normām un nosacījumiem un konkrēti </w:t>
            </w:r>
            <w:r>
              <w:rPr>
                <w:rFonts w:eastAsia="Times New Roman" w:cs="Times New Roman"/>
                <w:szCs w:val="24"/>
                <w:lang w:eastAsia="lv-LV"/>
              </w:rPr>
              <w:t>–stabila finansiālā situācija</w:t>
            </w:r>
          </w:p>
        </w:tc>
        <w:tc>
          <w:tcPr>
            <w:tcW w:w="1498" w:type="pct"/>
            <w:gridSpan w:val="3"/>
            <w:tcBorders>
              <w:top w:val="outset" w:sz="6" w:space="0" w:color="auto"/>
              <w:left w:val="outset" w:sz="6" w:space="0" w:color="auto"/>
              <w:bottom w:val="outset" w:sz="6" w:space="0" w:color="auto"/>
              <w:right w:val="outset" w:sz="6" w:space="0" w:color="auto"/>
            </w:tcBorders>
          </w:tcPr>
          <w:p w14:paraId="23E5A710" w14:textId="60F33888" w:rsidR="00401D0F" w:rsidRPr="001F4727" w:rsidRDefault="00401D0F" w:rsidP="006F4F44">
            <w:pPr>
              <w:spacing w:after="0" w:line="240" w:lineRule="auto"/>
              <w:rPr>
                <w:rFonts w:eastAsia="Times New Roman" w:cs="Times New Roman"/>
                <w:szCs w:val="24"/>
                <w:lang w:eastAsia="lv-LV"/>
              </w:rPr>
            </w:pPr>
            <w:r>
              <w:rPr>
                <w:rFonts w:eastAsia="Times New Roman" w:cs="Times New Roman"/>
                <w:szCs w:val="24"/>
                <w:lang w:eastAsia="lv-LV"/>
              </w:rPr>
              <w:t xml:space="preserve">Projekta </w:t>
            </w:r>
            <w:r w:rsidR="006F4F44">
              <w:rPr>
                <w:rFonts w:eastAsia="Times New Roman" w:cs="Times New Roman"/>
                <w:szCs w:val="24"/>
                <w:lang w:eastAsia="lv-LV"/>
              </w:rPr>
              <w:t>8</w:t>
            </w:r>
            <w:r>
              <w:rPr>
                <w:rFonts w:eastAsia="Times New Roman" w:cs="Times New Roman"/>
                <w:szCs w:val="24"/>
                <w:lang w:eastAsia="lv-LV"/>
              </w:rPr>
              <w:t>.1. apakšpunkts</w:t>
            </w:r>
          </w:p>
        </w:tc>
        <w:tc>
          <w:tcPr>
            <w:tcW w:w="1445" w:type="pct"/>
            <w:gridSpan w:val="3"/>
            <w:tcBorders>
              <w:top w:val="outset" w:sz="6" w:space="0" w:color="auto"/>
              <w:left w:val="outset" w:sz="6" w:space="0" w:color="auto"/>
              <w:bottom w:val="outset" w:sz="6" w:space="0" w:color="auto"/>
              <w:right w:val="outset" w:sz="6" w:space="0" w:color="auto"/>
            </w:tcBorders>
          </w:tcPr>
          <w:p w14:paraId="3C46D765" w14:textId="324C938C" w:rsidR="00401D0F" w:rsidRPr="001F4727" w:rsidRDefault="00401D0F" w:rsidP="001D0C5C">
            <w:pPr>
              <w:spacing w:after="0" w:line="240" w:lineRule="auto"/>
              <w:rPr>
                <w:rFonts w:eastAsia="Times New Roman" w:cs="Times New Roman"/>
                <w:szCs w:val="24"/>
                <w:lang w:eastAsia="lv-LV"/>
              </w:rPr>
            </w:pPr>
            <w:r w:rsidRPr="00401D0F">
              <w:rPr>
                <w:rFonts w:eastAsia="Times New Roman" w:cs="Times New Roman"/>
                <w:szCs w:val="24"/>
                <w:lang w:eastAsia="lv-LV"/>
              </w:rPr>
              <w:t>Tiesību norma tiek izpildīta pilnībā</w:t>
            </w:r>
          </w:p>
        </w:tc>
      </w:tr>
      <w:tr w:rsidR="00401D0F" w:rsidRPr="005D4AE6" w14:paraId="39F27903" w14:textId="77777777" w:rsidTr="006617B4">
        <w:trPr>
          <w:jc w:val="center"/>
        </w:trPr>
        <w:tc>
          <w:tcPr>
            <w:tcW w:w="2057" w:type="pct"/>
            <w:gridSpan w:val="3"/>
            <w:tcBorders>
              <w:top w:val="outset" w:sz="6" w:space="0" w:color="auto"/>
              <w:left w:val="outset" w:sz="6" w:space="0" w:color="auto"/>
              <w:bottom w:val="outset" w:sz="6" w:space="0" w:color="auto"/>
              <w:right w:val="outset" w:sz="6" w:space="0" w:color="auto"/>
            </w:tcBorders>
          </w:tcPr>
          <w:p w14:paraId="595B7F24" w14:textId="5E901DED" w:rsidR="00401D0F" w:rsidRDefault="00401D0F" w:rsidP="0000297F">
            <w:pPr>
              <w:spacing w:after="0" w:line="240" w:lineRule="auto"/>
              <w:rPr>
                <w:rFonts w:eastAsia="Times New Roman" w:cs="Times New Roman"/>
                <w:szCs w:val="24"/>
                <w:lang w:eastAsia="lv-LV"/>
              </w:rPr>
            </w:pPr>
            <w:r>
              <w:rPr>
                <w:rFonts w:eastAsia="Times New Roman" w:cs="Times New Roman"/>
                <w:szCs w:val="24"/>
                <w:lang w:eastAsia="lv-LV"/>
              </w:rPr>
              <w:lastRenderedPageBreak/>
              <w:t xml:space="preserve">Konvencijas </w:t>
            </w:r>
            <w:r w:rsidR="0000297F">
              <w:rPr>
                <w:rFonts w:eastAsia="Times New Roman" w:cs="Times New Roman"/>
                <w:szCs w:val="24"/>
                <w:lang w:eastAsia="lv-LV"/>
              </w:rPr>
              <w:t>9</w:t>
            </w:r>
            <w:r>
              <w:rPr>
                <w:rFonts w:eastAsia="Times New Roman" w:cs="Times New Roman"/>
                <w:szCs w:val="24"/>
                <w:lang w:eastAsia="lv-LV"/>
              </w:rPr>
              <w:t xml:space="preserve">.pielikuma </w:t>
            </w:r>
            <w:proofErr w:type="spellStart"/>
            <w:r>
              <w:rPr>
                <w:rFonts w:eastAsia="Times New Roman" w:cs="Times New Roman"/>
                <w:szCs w:val="24"/>
                <w:lang w:eastAsia="lv-LV"/>
              </w:rPr>
              <w:t>II.daļas</w:t>
            </w:r>
            <w:proofErr w:type="spellEnd"/>
            <w:r>
              <w:rPr>
                <w:rFonts w:eastAsia="Times New Roman" w:cs="Times New Roman"/>
                <w:szCs w:val="24"/>
                <w:lang w:eastAsia="lv-LV"/>
              </w:rPr>
              <w:t xml:space="preserve"> 1.d apakšpunkts nosaka, ka p</w:t>
            </w:r>
            <w:r w:rsidRPr="00401D0F">
              <w:rPr>
                <w:rFonts w:eastAsia="Times New Roman" w:cs="Times New Roman"/>
                <w:szCs w:val="24"/>
                <w:lang w:eastAsia="lv-LV"/>
              </w:rPr>
              <w:t>ersonām, kuras vēlas saņemt piekļuvi TIR režīmam, jāatbilst šādām min</w:t>
            </w:r>
            <w:r>
              <w:rPr>
                <w:rFonts w:eastAsia="Times New Roman" w:cs="Times New Roman"/>
                <w:szCs w:val="24"/>
                <w:lang w:eastAsia="lv-LV"/>
              </w:rPr>
              <w:t xml:space="preserve">imālajām normām un nosacījumiem un konkrēti - </w:t>
            </w:r>
            <w:r w:rsidRPr="00401D0F">
              <w:rPr>
                <w:rFonts w:eastAsia="Times New Roman" w:cs="Times New Roman"/>
                <w:szCs w:val="24"/>
                <w:lang w:eastAsia="lv-LV"/>
              </w:rPr>
              <w:t>pierādījumi, ka tā nav veikusi muitas vai nodokļu tiesību aktu nopietnus un atkārtotus pārkāpumus</w:t>
            </w:r>
            <w:r>
              <w:rPr>
                <w:rFonts w:eastAsia="Times New Roman" w:cs="Times New Roman"/>
                <w:szCs w:val="24"/>
                <w:lang w:eastAsia="lv-LV"/>
              </w:rPr>
              <w:t>.</w:t>
            </w:r>
          </w:p>
        </w:tc>
        <w:tc>
          <w:tcPr>
            <w:tcW w:w="1498" w:type="pct"/>
            <w:gridSpan w:val="3"/>
            <w:tcBorders>
              <w:top w:val="outset" w:sz="6" w:space="0" w:color="auto"/>
              <w:left w:val="outset" w:sz="6" w:space="0" w:color="auto"/>
              <w:bottom w:val="outset" w:sz="6" w:space="0" w:color="auto"/>
              <w:right w:val="outset" w:sz="6" w:space="0" w:color="auto"/>
            </w:tcBorders>
          </w:tcPr>
          <w:p w14:paraId="262964EB" w14:textId="6DCCB2A3" w:rsidR="00401D0F" w:rsidRPr="001F4727" w:rsidRDefault="00401D0F" w:rsidP="006F4F44">
            <w:pPr>
              <w:spacing w:after="0" w:line="240" w:lineRule="auto"/>
              <w:rPr>
                <w:rFonts w:eastAsia="Times New Roman" w:cs="Times New Roman"/>
                <w:szCs w:val="24"/>
                <w:lang w:eastAsia="lv-LV"/>
              </w:rPr>
            </w:pPr>
            <w:r>
              <w:rPr>
                <w:rFonts w:eastAsia="Times New Roman" w:cs="Times New Roman"/>
                <w:szCs w:val="24"/>
                <w:lang w:eastAsia="lv-LV"/>
              </w:rPr>
              <w:t xml:space="preserve">Projekta </w:t>
            </w:r>
            <w:r w:rsidR="006F4F44">
              <w:rPr>
                <w:rFonts w:eastAsia="Times New Roman" w:cs="Times New Roman"/>
                <w:szCs w:val="24"/>
                <w:lang w:eastAsia="lv-LV"/>
              </w:rPr>
              <w:t>8</w:t>
            </w:r>
            <w:r>
              <w:rPr>
                <w:rFonts w:eastAsia="Times New Roman" w:cs="Times New Roman"/>
                <w:szCs w:val="24"/>
                <w:lang w:eastAsia="lv-LV"/>
              </w:rPr>
              <w:t>.2. apakšpunkts</w:t>
            </w:r>
          </w:p>
        </w:tc>
        <w:tc>
          <w:tcPr>
            <w:tcW w:w="1445" w:type="pct"/>
            <w:gridSpan w:val="3"/>
            <w:tcBorders>
              <w:top w:val="outset" w:sz="6" w:space="0" w:color="auto"/>
              <w:left w:val="outset" w:sz="6" w:space="0" w:color="auto"/>
              <w:bottom w:val="outset" w:sz="6" w:space="0" w:color="auto"/>
              <w:right w:val="outset" w:sz="6" w:space="0" w:color="auto"/>
            </w:tcBorders>
          </w:tcPr>
          <w:p w14:paraId="1D1140DF" w14:textId="3EB7014E" w:rsidR="00401D0F" w:rsidRPr="001F4727" w:rsidRDefault="00401D0F" w:rsidP="001D0C5C">
            <w:pPr>
              <w:spacing w:after="0" w:line="240" w:lineRule="auto"/>
              <w:rPr>
                <w:rFonts w:eastAsia="Times New Roman" w:cs="Times New Roman"/>
                <w:szCs w:val="24"/>
                <w:lang w:eastAsia="lv-LV"/>
              </w:rPr>
            </w:pPr>
            <w:r w:rsidRPr="00401D0F">
              <w:rPr>
                <w:rFonts w:eastAsia="Times New Roman" w:cs="Times New Roman"/>
                <w:szCs w:val="24"/>
                <w:lang w:eastAsia="lv-LV"/>
              </w:rPr>
              <w:t>Tiesību norma tiek izpildīta pilnībā</w:t>
            </w:r>
          </w:p>
        </w:tc>
      </w:tr>
      <w:tr w:rsidR="001F4727" w:rsidRPr="005D4AE6" w14:paraId="4FB7A448" w14:textId="77777777" w:rsidTr="006617B4">
        <w:trPr>
          <w:jc w:val="center"/>
        </w:trPr>
        <w:tc>
          <w:tcPr>
            <w:tcW w:w="2057" w:type="pct"/>
            <w:gridSpan w:val="3"/>
            <w:tcBorders>
              <w:top w:val="outset" w:sz="6" w:space="0" w:color="auto"/>
              <w:left w:val="outset" w:sz="6" w:space="0" w:color="auto"/>
              <w:bottom w:val="outset" w:sz="6" w:space="0" w:color="auto"/>
              <w:right w:val="outset" w:sz="6" w:space="0" w:color="auto"/>
            </w:tcBorders>
          </w:tcPr>
          <w:p w14:paraId="71ABB393" w14:textId="781AB0A1" w:rsidR="001F4727" w:rsidRPr="001F4727" w:rsidRDefault="001F4727" w:rsidP="001D0C5C">
            <w:pPr>
              <w:spacing w:after="0" w:line="240" w:lineRule="auto"/>
              <w:rPr>
                <w:rFonts w:eastAsia="Times New Roman" w:cs="Times New Roman"/>
                <w:szCs w:val="24"/>
                <w:lang w:eastAsia="lv-LV"/>
              </w:rPr>
            </w:pPr>
            <w:r>
              <w:rPr>
                <w:rFonts w:eastAsia="Times New Roman" w:cs="Times New Roman"/>
                <w:szCs w:val="24"/>
                <w:lang w:eastAsia="lv-LV"/>
              </w:rPr>
              <w:t>Nolīguma</w:t>
            </w:r>
            <w:r w:rsidRPr="001F4727">
              <w:rPr>
                <w:rFonts w:eastAsia="Times New Roman" w:cs="Times New Roman"/>
                <w:szCs w:val="24"/>
                <w:lang w:eastAsia="lv-LV"/>
              </w:rPr>
              <w:t xml:space="preserve"> par dzelzceļa satiksmi</w:t>
            </w:r>
            <w:r>
              <w:rPr>
                <w:rFonts w:eastAsia="Times New Roman" w:cs="Times New Roman"/>
                <w:szCs w:val="24"/>
                <w:lang w:eastAsia="lv-LV"/>
              </w:rPr>
              <w:t xml:space="preserve"> 12.1. un 12.2. pielikums</w:t>
            </w:r>
          </w:p>
        </w:tc>
        <w:tc>
          <w:tcPr>
            <w:tcW w:w="1498" w:type="pct"/>
            <w:gridSpan w:val="3"/>
            <w:tcBorders>
              <w:top w:val="outset" w:sz="6" w:space="0" w:color="auto"/>
              <w:left w:val="outset" w:sz="6" w:space="0" w:color="auto"/>
              <w:bottom w:val="outset" w:sz="6" w:space="0" w:color="auto"/>
              <w:right w:val="outset" w:sz="6" w:space="0" w:color="auto"/>
            </w:tcBorders>
          </w:tcPr>
          <w:p w14:paraId="6314F128" w14:textId="301D5634" w:rsidR="001F4727" w:rsidRPr="001F4727" w:rsidRDefault="00401D0F" w:rsidP="006F4F44">
            <w:pPr>
              <w:spacing w:after="0" w:line="240" w:lineRule="auto"/>
              <w:rPr>
                <w:rFonts w:eastAsia="Times New Roman" w:cs="Times New Roman"/>
                <w:szCs w:val="24"/>
                <w:lang w:eastAsia="lv-LV"/>
              </w:rPr>
            </w:pPr>
            <w:r>
              <w:rPr>
                <w:rFonts w:eastAsia="Times New Roman" w:cs="Times New Roman"/>
                <w:szCs w:val="24"/>
                <w:lang w:eastAsia="lv-LV"/>
              </w:rPr>
              <w:t xml:space="preserve">Projekta </w:t>
            </w:r>
            <w:r w:rsidR="006F4F44">
              <w:rPr>
                <w:rFonts w:eastAsia="Times New Roman" w:cs="Times New Roman"/>
                <w:szCs w:val="24"/>
                <w:lang w:eastAsia="lv-LV"/>
              </w:rPr>
              <w:t>40</w:t>
            </w:r>
            <w:r>
              <w:rPr>
                <w:rFonts w:eastAsia="Times New Roman" w:cs="Times New Roman"/>
                <w:szCs w:val="24"/>
                <w:lang w:eastAsia="lv-LV"/>
              </w:rPr>
              <w:t>.</w:t>
            </w:r>
            <w:r w:rsidR="00987FC1">
              <w:rPr>
                <w:rFonts w:eastAsia="Times New Roman" w:cs="Times New Roman"/>
                <w:szCs w:val="24"/>
                <w:lang w:eastAsia="lv-LV"/>
              </w:rPr>
              <w:t> </w:t>
            </w:r>
            <w:r>
              <w:rPr>
                <w:rFonts w:eastAsia="Times New Roman" w:cs="Times New Roman"/>
                <w:szCs w:val="24"/>
                <w:lang w:eastAsia="lv-LV"/>
              </w:rPr>
              <w:t>punkts</w:t>
            </w:r>
          </w:p>
        </w:tc>
        <w:tc>
          <w:tcPr>
            <w:tcW w:w="1445" w:type="pct"/>
            <w:gridSpan w:val="3"/>
            <w:tcBorders>
              <w:top w:val="outset" w:sz="6" w:space="0" w:color="auto"/>
              <w:left w:val="outset" w:sz="6" w:space="0" w:color="auto"/>
              <w:bottom w:val="outset" w:sz="6" w:space="0" w:color="auto"/>
              <w:right w:val="outset" w:sz="6" w:space="0" w:color="auto"/>
            </w:tcBorders>
          </w:tcPr>
          <w:p w14:paraId="357474F5" w14:textId="658B4C38" w:rsidR="001F4727" w:rsidRPr="001F4727" w:rsidRDefault="00401D0F" w:rsidP="007B09C7">
            <w:pPr>
              <w:spacing w:after="0" w:line="240" w:lineRule="auto"/>
              <w:jc w:val="both"/>
              <w:rPr>
                <w:rFonts w:eastAsia="Times New Roman" w:cs="Times New Roman"/>
                <w:szCs w:val="24"/>
                <w:lang w:eastAsia="lv-LV"/>
              </w:rPr>
            </w:pPr>
            <w:r w:rsidRPr="00401D0F">
              <w:rPr>
                <w:rFonts w:eastAsia="Times New Roman" w:cs="Times New Roman"/>
                <w:szCs w:val="24"/>
                <w:lang w:eastAsia="lv-LV"/>
              </w:rPr>
              <w:t xml:space="preserve">Tiesību norma netiek ieviesta ar šo noteikumu projektu, jo tā jau ir ieviesta ar Ministru Padomes 1993.gada 19.janvāra lēmumu Nr. 30 </w:t>
            </w:r>
            <w:r w:rsidR="004D434B">
              <w:rPr>
                <w:rFonts w:eastAsia="Times New Roman" w:cs="Times New Roman"/>
                <w:szCs w:val="24"/>
                <w:lang w:eastAsia="lv-LV"/>
              </w:rPr>
              <w:t>“</w:t>
            </w:r>
            <w:r w:rsidRPr="00401D0F">
              <w:rPr>
                <w:rFonts w:eastAsia="Times New Roman" w:cs="Times New Roman"/>
                <w:szCs w:val="24"/>
                <w:lang w:eastAsia="lv-LV"/>
              </w:rPr>
              <w:t>Par pievienošanos starptautisko dzelzceļa satiksmi reglamentējošajiem dokumentiem”. Noteikumu projektā ir atsauce par situāciju, kad tiek izmantota 1951.gada 1.novem</w:t>
            </w:r>
            <w:r>
              <w:rPr>
                <w:rFonts w:eastAsia="Times New Roman" w:cs="Times New Roman"/>
                <w:szCs w:val="24"/>
                <w:lang w:eastAsia="lv-LV"/>
              </w:rPr>
              <w:t xml:space="preserve">bra Nolīgums par starptautisko </w:t>
            </w:r>
            <w:r w:rsidRPr="00401D0F">
              <w:rPr>
                <w:rFonts w:eastAsia="Times New Roman" w:cs="Times New Roman"/>
                <w:szCs w:val="24"/>
                <w:lang w:eastAsia="lv-LV"/>
              </w:rPr>
              <w:t>dzelzceļa kravu satiksmi 12.1. un 12.2. pielikumā noteiktā pavadzīme.</w:t>
            </w:r>
          </w:p>
        </w:tc>
      </w:tr>
      <w:tr w:rsidR="001F4727" w:rsidRPr="005D4AE6" w14:paraId="71295866" w14:textId="77777777" w:rsidTr="006617B4">
        <w:trPr>
          <w:jc w:val="center"/>
        </w:trPr>
        <w:tc>
          <w:tcPr>
            <w:tcW w:w="2057" w:type="pct"/>
            <w:gridSpan w:val="3"/>
            <w:tcBorders>
              <w:top w:val="outset" w:sz="6" w:space="0" w:color="auto"/>
              <w:left w:val="outset" w:sz="6" w:space="0" w:color="auto"/>
              <w:bottom w:val="outset" w:sz="6" w:space="0" w:color="auto"/>
              <w:right w:val="outset" w:sz="6" w:space="0" w:color="auto"/>
            </w:tcBorders>
            <w:hideMark/>
          </w:tcPr>
          <w:p w14:paraId="4440874A" w14:textId="77777777" w:rsidR="001F4727" w:rsidRPr="005D4AE6" w:rsidRDefault="001F4727" w:rsidP="001D0C5C">
            <w:pPr>
              <w:spacing w:after="0" w:line="240" w:lineRule="auto"/>
              <w:rPr>
                <w:rFonts w:eastAsia="Times New Roman" w:cs="Times New Roman"/>
                <w:szCs w:val="24"/>
                <w:lang w:eastAsia="lv-LV"/>
              </w:rPr>
            </w:pPr>
            <w:r w:rsidRPr="005D4AE6">
              <w:rPr>
                <w:rFonts w:eastAsia="Times New Roman" w:cs="Times New Roman"/>
                <w:szCs w:val="24"/>
                <w:lang w:eastAsia="lv-LV"/>
              </w:rPr>
              <w:t>Vai starptautiskajā dokumentā paredzētās saistības nav pretrunā ar jau esošajām Latvijas Republikas starptautiskajām saistībām</w:t>
            </w:r>
          </w:p>
        </w:tc>
        <w:tc>
          <w:tcPr>
            <w:tcW w:w="2943" w:type="pct"/>
            <w:gridSpan w:val="6"/>
            <w:tcBorders>
              <w:top w:val="outset" w:sz="6" w:space="0" w:color="auto"/>
              <w:left w:val="outset" w:sz="6" w:space="0" w:color="auto"/>
              <w:bottom w:val="outset" w:sz="6" w:space="0" w:color="auto"/>
              <w:right w:val="outset" w:sz="6" w:space="0" w:color="auto"/>
            </w:tcBorders>
            <w:hideMark/>
          </w:tcPr>
          <w:p w14:paraId="7A92EA09" w14:textId="5D37307F" w:rsidR="001F4727" w:rsidRPr="005D4AE6" w:rsidRDefault="001F4727" w:rsidP="001D0C5C">
            <w:pPr>
              <w:spacing w:after="0" w:line="240" w:lineRule="auto"/>
              <w:rPr>
                <w:rFonts w:eastAsia="Times New Roman" w:cs="Times New Roman"/>
                <w:szCs w:val="24"/>
                <w:lang w:eastAsia="lv-LV"/>
              </w:rPr>
            </w:pPr>
            <w:r>
              <w:rPr>
                <w:rFonts w:eastAsia="Times New Roman" w:cs="Times New Roman"/>
                <w:szCs w:val="24"/>
                <w:lang w:eastAsia="lv-LV"/>
              </w:rPr>
              <w:t>Nav.</w:t>
            </w:r>
          </w:p>
        </w:tc>
      </w:tr>
      <w:tr w:rsidR="001F4727" w:rsidRPr="005D4AE6" w14:paraId="0FA237A7" w14:textId="77777777" w:rsidTr="006617B4">
        <w:trPr>
          <w:jc w:val="center"/>
        </w:trPr>
        <w:tc>
          <w:tcPr>
            <w:tcW w:w="2057" w:type="pct"/>
            <w:gridSpan w:val="3"/>
            <w:tcBorders>
              <w:top w:val="outset" w:sz="6" w:space="0" w:color="auto"/>
              <w:left w:val="outset" w:sz="6" w:space="0" w:color="auto"/>
              <w:bottom w:val="outset" w:sz="6" w:space="0" w:color="auto"/>
              <w:right w:val="outset" w:sz="6" w:space="0" w:color="auto"/>
            </w:tcBorders>
            <w:hideMark/>
          </w:tcPr>
          <w:p w14:paraId="5A312814" w14:textId="77777777" w:rsidR="001F4727" w:rsidRPr="005D4AE6" w:rsidRDefault="001F4727" w:rsidP="001D0C5C">
            <w:pPr>
              <w:spacing w:after="0" w:line="240" w:lineRule="auto"/>
              <w:rPr>
                <w:rFonts w:eastAsia="Times New Roman" w:cs="Times New Roman"/>
                <w:szCs w:val="24"/>
                <w:lang w:eastAsia="lv-LV"/>
              </w:rPr>
            </w:pPr>
            <w:r w:rsidRPr="005D4AE6">
              <w:rPr>
                <w:rFonts w:eastAsia="Times New Roman" w:cs="Times New Roman"/>
                <w:szCs w:val="24"/>
                <w:lang w:eastAsia="lv-LV"/>
              </w:rPr>
              <w:t>Cita informācija</w:t>
            </w:r>
          </w:p>
        </w:tc>
        <w:tc>
          <w:tcPr>
            <w:tcW w:w="2943" w:type="pct"/>
            <w:gridSpan w:val="6"/>
            <w:tcBorders>
              <w:top w:val="outset" w:sz="6" w:space="0" w:color="auto"/>
              <w:left w:val="outset" w:sz="6" w:space="0" w:color="auto"/>
              <w:bottom w:val="outset" w:sz="6" w:space="0" w:color="auto"/>
              <w:right w:val="outset" w:sz="6" w:space="0" w:color="auto"/>
            </w:tcBorders>
            <w:hideMark/>
          </w:tcPr>
          <w:p w14:paraId="4184684D" w14:textId="1C028C0C" w:rsidR="001F4727" w:rsidRPr="005D4AE6" w:rsidRDefault="001F4727" w:rsidP="006868B7">
            <w:pPr>
              <w:spacing w:before="100" w:beforeAutospacing="1" w:after="100" w:afterAutospacing="1" w:line="240" w:lineRule="auto"/>
              <w:jc w:val="both"/>
              <w:rPr>
                <w:rFonts w:eastAsia="Times New Roman" w:cs="Times New Roman"/>
                <w:szCs w:val="24"/>
                <w:lang w:eastAsia="lv-LV"/>
              </w:rPr>
            </w:pPr>
            <w:r>
              <w:rPr>
                <w:rFonts w:eastAsia="Times New Roman" w:cs="Times New Roman"/>
                <w:szCs w:val="24"/>
                <w:lang w:eastAsia="lv-LV"/>
              </w:rPr>
              <w:t xml:space="preserve">Saskaņā ar </w:t>
            </w:r>
            <w:r w:rsidRPr="000D29A0">
              <w:rPr>
                <w:rFonts w:eastAsia="Times New Roman" w:cs="Times New Roman"/>
                <w:szCs w:val="24"/>
                <w:lang w:eastAsia="lv-LV"/>
              </w:rPr>
              <w:t>TIR konvencija</w:t>
            </w:r>
            <w:r>
              <w:rPr>
                <w:rFonts w:eastAsia="Times New Roman" w:cs="Times New Roman"/>
                <w:szCs w:val="24"/>
                <w:lang w:eastAsia="lv-LV"/>
              </w:rPr>
              <w:t>s</w:t>
            </w:r>
            <w:r w:rsidRPr="000D29A0">
              <w:rPr>
                <w:rFonts w:eastAsia="Times New Roman" w:cs="Times New Roman"/>
                <w:szCs w:val="24"/>
                <w:lang w:eastAsia="lv-LV"/>
              </w:rPr>
              <w:t xml:space="preserve"> 49.</w:t>
            </w:r>
            <w:r w:rsidR="00987FC1">
              <w:rPr>
                <w:rFonts w:eastAsia="Times New Roman" w:cs="Times New Roman"/>
                <w:szCs w:val="24"/>
                <w:lang w:eastAsia="lv-LV"/>
              </w:rPr>
              <w:t> </w:t>
            </w:r>
            <w:r w:rsidRPr="000D29A0">
              <w:rPr>
                <w:rFonts w:eastAsia="Times New Roman" w:cs="Times New Roman"/>
                <w:szCs w:val="24"/>
                <w:lang w:eastAsia="lv-LV"/>
              </w:rPr>
              <w:t>pant</w:t>
            </w:r>
            <w:r>
              <w:rPr>
                <w:rFonts w:eastAsia="Times New Roman" w:cs="Times New Roman"/>
                <w:szCs w:val="24"/>
                <w:lang w:eastAsia="lv-LV"/>
              </w:rPr>
              <w:t>u, k</w:t>
            </w:r>
            <w:r w:rsidR="006868B7">
              <w:rPr>
                <w:rFonts w:eastAsia="Times New Roman" w:cs="Times New Roman"/>
                <w:szCs w:val="24"/>
                <w:lang w:eastAsia="lv-LV"/>
              </w:rPr>
              <w:t>as</w:t>
            </w:r>
            <w:r>
              <w:rPr>
                <w:rFonts w:eastAsia="Times New Roman" w:cs="Times New Roman"/>
                <w:szCs w:val="24"/>
                <w:lang w:eastAsia="lv-LV"/>
              </w:rPr>
              <w:t xml:space="preserve"> paredz, ka </w:t>
            </w:r>
            <w:r w:rsidRPr="000D29A0">
              <w:rPr>
                <w:rFonts w:eastAsia="Times New Roman" w:cs="Times New Roman"/>
                <w:szCs w:val="24"/>
                <w:lang w:eastAsia="lv-LV"/>
              </w:rPr>
              <w:t>TIR konvencijas Līgumslēdzējas puses (pamatojoties uz vienpusējiem noteikumiem, divpusējiem vai daudzpusējiem nolīgumiem) ir tiesīgas piešķirt lielākus atvieglojumus nekā ir paredzēti TIR konvencijā, pie nosacījuma, ka šādi atvieglojumi neierobežo TIR konvencijas noteikumu piemērošanu, jo īpaši TIR procedūras veikšanu) un atbilstoši TIR konvencijas 19.</w:t>
            </w:r>
            <w:r w:rsidR="00987FC1">
              <w:rPr>
                <w:rFonts w:eastAsia="Times New Roman" w:cs="Times New Roman"/>
                <w:szCs w:val="24"/>
                <w:lang w:eastAsia="lv-LV"/>
              </w:rPr>
              <w:t> </w:t>
            </w:r>
            <w:r w:rsidRPr="000D29A0">
              <w:rPr>
                <w:rFonts w:eastAsia="Times New Roman" w:cs="Times New Roman"/>
                <w:szCs w:val="24"/>
                <w:lang w:eastAsia="lv-LV"/>
              </w:rPr>
              <w:t>panta noteikumiem (muitas dienests var pilnvarot personas muitas nodrošinājumu uzlikšanai transportlīdzeklim, p</w:t>
            </w:r>
            <w:r>
              <w:rPr>
                <w:rFonts w:eastAsia="Times New Roman" w:cs="Times New Roman"/>
                <w:szCs w:val="24"/>
                <w:lang w:eastAsia="lv-LV"/>
              </w:rPr>
              <w:t>iemērojot precēm TIR procedūru) p</w:t>
            </w:r>
            <w:r w:rsidRPr="000D29A0">
              <w:rPr>
                <w:rFonts w:eastAsia="Times New Roman" w:cs="Times New Roman"/>
                <w:szCs w:val="24"/>
                <w:lang w:eastAsia="lv-LV"/>
              </w:rPr>
              <w:t xml:space="preserve">rojektā ir iekļauts </w:t>
            </w:r>
            <w:r w:rsidR="00131264">
              <w:rPr>
                <w:rFonts w:eastAsia="Times New Roman" w:cs="Times New Roman"/>
                <w:szCs w:val="24"/>
                <w:lang w:eastAsia="lv-LV"/>
              </w:rPr>
              <w:t>TIR procedūras vienkāršojums -</w:t>
            </w:r>
            <w:r w:rsidR="00131264" w:rsidRPr="000D29A0">
              <w:rPr>
                <w:rFonts w:eastAsia="Times New Roman" w:cs="Times New Roman"/>
                <w:szCs w:val="24"/>
                <w:lang w:eastAsia="lv-LV"/>
              </w:rPr>
              <w:t xml:space="preserve"> </w:t>
            </w:r>
            <w:r w:rsidRPr="000D29A0">
              <w:rPr>
                <w:rFonts w:eastAsia="Times New Roman" w:cs="Times New Roman"/>
                <w:szCs w:val="24"/>
                <w:lang w:eastAsia="lv-LV"/>
              </w:rPr>
              <w:t xml:space="preserve">personām, kas ir saņēmušas </w:t>
            </w:r>
            <w:r w:rsidR="00BE719F" w:rsidRPr="00BE719F">
              <w:rPr>
                <w:rFonts w:eastAsia="Times New Roman" w:cs="Times New Roman"/>
                <w:szCs w:val="24"/>
                <w:lang w:eastAsia="lv-LV"/>
              </w:rPr>
              <w:t>pilnvarot</w:t>
            </w:r>
            <w:r w:rsidR="00F16663">
              <w:rPr>
                <w:rFonts w:eastAsia="Times New Roman" w:cs="Times New Roman"/>
                <w:szCs w:val="24"/>
                <w:lang w:eastAsia="lv-LV"/>
              </w:rPr>
              <w:t xml:space="preserve">ā </w:t>
            </w:r>
            <w:r w:rsidRPr="000D29A0">
              <w:rPr>
                <w:rFonts w:eastAsia="Times New Roman" w:cs="Times New Roman"/>
                <w:szCs w:val="24"/>
                <w:lang w:eastAsia="lv-LV"/>
              </w:rPr>
              <w:t>TIR nosūtītāj</w:t>
            </w:r>
            <w:r w:rsidR="00F16663">
              <w:rPr>
                <w:rFonts w:eastAsia="Times New Roman" w:cs="Times New Roman"/>
                <w:szCs w:val="24"/>
                <w:lang w:eastAsia="lv-LV"/>
              </w:rPr>
              <w:t>a</w:t>
            </w:r>
            <w:r w:rsidRPr="000D29A0">
              <w:rPr>
                <w:rFonts w:eastAsia="Times New Roman" w:cs="Times New Roman"/>
                <w:szCs w:val="24"/>
                <w:lang w:eastAsia="lv-LV"/>
              </w:rPr>
              <w:t xml:space="preserve"> atļauju. </w:t>
            </w:r>
          </w:p>
        </w:tc>
      </w:tr>
    </w:tbl>
    <w:p w14:paraId="3E65CA58" w14:textId="77777777" w:rsidR="005D4AE6" w:rsidRPr="005D4AE6" w:rsidRDefault="005D4AE6" w:rsidP="005D4AE6">
      <w:pPr>
        <w:spacing w:after="0" w:line="240" w:lineRule="auto"/>
        <w:jc w:val="center"/>
        <w:rPr>
          <w:rFonts w:eastAsia="Times New Roman" w:cs="Times New Roman"/>
          <w:vanish/>
          <w:szCs w:val="24"/>
          <w:lang w:eastAsia="lv-LV"/>
        </w:rPr>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2"/>
        <w:gridCol w:w="3367"/>
        <w:gridCol w:w="5236"/>
      </w:tblGrid>
      <w:tr w:rsidR="005D4AE6" w:rsidRPr="005D4AE6" w14:paraId="29A325C8" w14:textId="77777777" w:rsidTr="0005120B">
        <w:trPr>
          <w:trHeight w:val="420"/>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2106297" w14:textId="77777777" w:rsidR="005D4AE6" w:rsidRPr="005D4AE6" w:rsidRDefault="005D4AE6" w:rsidP="005D4AE6">
            <w:pPr>
              <w:spacing w:before="100" w:beforeAutospacing="1" w:after="100" w:afterAutospacing="1" w:line="240" w:lineRule="auto"/>
              <w:rPr>
                <w:rFonts w:eastAsia="Times New Roman" w:cs="Times New Roman"/>
                <w:szCs w:val="24"/>
                <w:lang w:eastAsia="lv-LV"/>
              </w:rPr>
            </w:pPr>
            <w:r w:rsidRPr="005D4AE6">
              <w:rPr>
                <w:rFonts w:eastAsia="Times New Roman" w:cs="Times New Roman"/>
                <w:b/>
                <w:bCs/>
                <w:szCs w:val="24"/>
                <w:lang w:eastAsia="lv-LV"/>
              </w:rPr>
              <w:t>VI. Sabiedrības līdzdalība un komunikācijas aktivitātes</w:t>
            </w:r>
          </w:p>
        </w:tc>
      </w:tr>
      <w:tr w:rsidR="005D4AE6" w:rsidRPr="005D4AE6" w14:paraId="424E8205" w14:textId="77777777" w:rsidTr="004F1D6C">
        <w:trPr>
          <w:trHeight w:val="540"/>
          <w:jc w:val="center"/>
        </w:trPr>
        <w:tc>
          <w:tcPr>
            <w:tcW w:w="250" w:type="pct"/>
            <w:tcBorders>
              <w:top w:val="outset" w:sz="6" w:space="0" w:color="auto"/>
              <w:left w:val="outset" w:sz="6" w:space="0" w:color="auto"/>
              <w:bottom w:val="outset" w:sz="6" w:space="0" w:color="auto"/>
              <w:right w:val="outset" w:sz="6" w:space="0" w:color="auto"/>
            </w:tcBorders>
            <w:hideMark/>
          </w:tcPr>
          <w:p w14:paraId="72ED24D9"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lastRenderedPageBreak/>
              <w:t>1.</w:t>
            </w:r>
          </w:p>
        </w:tc>
        <w:tc>
          <w:tcPr>
            <w:tcW w:w="1859" w:type="pct"/>
            <w:tcBorders>
              <w:top w:val="outset" w:sz="6" w:space="0" w:color="auto"/>
              <w:left w:val="outset" w:sz="6" w:space="0" w:color="auto"/>
              <w:bottom w:val="outset" w:sz="6" w:space="0" w:color="auto"/>
              <w:right w:val="outset" w:sz="6" w:space="0" w:color="auto"/>
            </w:tcBorders>
            <w:hideMark/>
          </w:tcPr>
          <w:p w14:paraId="0EAB85B5"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t>Plānotās sabiedrības līdzdalības un komunikācijas aktivitātes saistībā ar projektu</w:t>
            </w:r>
          </w:p>
        </w:tc>
        <w:tc>
          <w:tcPr>
            <w:tcW w:w="2891" w:type="pct"/>
            <w:tcBorders>
              <w:top w:val="outset" w:sz="6" w:space="0" w:color="auto"/>
              <w:left w:val="outset" w:sz="6" w:space="0" w:color="auto"/>
              <w:bottom w:val="outset" w:sz="6" w:space="0" w:color="auto"/>
              <w:right w:val="outset" w:sz="6" w:space="0" w:color="auto"/>
            </w:tcBorders>
            <w:hideMark/>
          </w:tcPr>
          <w:p w14:paraId="65352161" w14:textId="77777777" w:rsidR="005D4AE6" w:rsidRPr="005D4AE6" w:rsidRDefault="00102B4B" w:rsidP="005D4AE6">
            <w:pPr>
              <w:spacing w:after="0" w:line="240" w:lineRule="auto"/>
              <w:rPr>
                <w:rFonts w:eastAsia="Times New Roman" w:cs="Times New Roman"/>
                <w:szCs w:val="24"/>
                <w:lang w:eastAsia="lv-LV"/>
              </w:rPr>
            </w:pPr>
            <w:r>
              <w:rPr>
                <w:rFonts w:eastAsia="Times New Roman" w:cs="Times New Roman"/>
                <w:szCs w:val="24"/>
                <w:lang w:eastAsia="lv-LV"/>
              </w:rPr>
              <w:t xml:space="preserve">Nav </w:t>
            </w:r>
            <w:r>
              <w:rPr>
                <w:rFonts w:eastAsia="Times New Roman"/>
                <w:sz w:val="26"/>
                <w:szCs w:val="26"/>
                <w:lang w:eastAsia="lv-LV"/>
              </w:rPr>
              <w:t>attiecināms</w:t>
            </w:r>
          </w:p>
        </w:tc>
      </w:tr>
      <w:tr w:rsidR="005D4AE6" w:rsidRPr="00365790" w14:paraId="4D08DC02" w14:textId="77777777" w:rsidTr="004F1D6C">
        <w:trPr>
          <w:trHeight w:val="330"/>
          <w:jc w:val="center"/>
        </w:trPr>
        <w:tc>
          <w:tcPr>
            <w:tcW w:w="250" w:type="pct"/>
            <w:tcBorders>
              <w:top w:val="outset" w:sz="6" w:space="0" w:color="auto"/>
              <w:left w:val="outset" w:sz="6" w:space="0" w:color="auto"/>
              <w:bottom w:val="outset" w:sz="6" w:space="0" w:color="auto"/>
              <w:right w:val="outset" w:sz="6" w:space="0" w:color="auto"/>
            </w:tcBorders>
            <w:hideMark/>
          </w:tcPr>
          <w:p w14:paraId="58DED65A"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t>2.</w:t>
            </w:r>
          </w:p>
        </w:tc>
        <w:tc>
          <w:tcPr>
            <w:tcW w:w="1859" w:type="pct"/>
            <w:tcBorders>
              <w:top w:val="outset" w:sz="6" w:space="0" w:color="auto"/>
              <w:left w:val="outset" w:sz="6" w:space="0" w:color="auto"/>
              <w:bottom w:val="outset" w:sz="6" w:space="0" w:color="auto"/>
              <w:right w:val="outset" w:sz="6" w:space="0" w:color="auto"/>
            </w:tcBorders>
            <w:hideMark/>
          </w:tcPr>
          <w:p w14:paraId="77D2210B"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t>Sabiedrības līdzdalība projekta izstrādē</w:t>
            </w:r>
          </w:p>
        </w:tc>
        <w:tc>
          <w:tcPr>
            <w:tcW w:w="2891" w:type="pct"/>
            <w:tcBorders>
              <w:top w:val="outset" w:sz="6" w:space="0" w:color="auto"/>
              <w:left w:val="outset" w:sz="6" w:space="0" w:color="auto"/>
              <w:bottom w:val="outset" w:sz="6" w:space="0" w:color="auto"/>
              <w:right w:val="outset" w:sz="6" w:space="0" w:color="auto"/>
            </w:tcBorders>
            <w:hideMark/>
          </w:tcPr>
          <w:p w14:paraId="534AA7D8" w14:textId="4A7DC7A2" w:rsidR="00102B4B" w:rsidRPr="006617B4" w:rsidRDefault="00102B4B" w:rsidP="00365790">
            <w:pPr>
              <w:spacing w:after="0" w:line="240" w:lineRule="auto"/>
              <w:jc w:val="both"/>
              <w:rPr>
                <w:rFonts w:eastAsia="Times New Roman" w:cs="Times New Roman"/>
                <w:szCs w:val="28"/>
                <w:lang w:eastAsia="lv-LV"/>
              </w:rPr>
            </w:pPr>
            <w:r w:rsidRPr="006617B4">
              <w:rPr>
                <w:rFonts w:eastAsia="Times New Roman" w:cs="Times New Roman"/>
                <w:szCs w:val="28"/>
                <w:lang w:eastAsia="lv-LV"/>
              </w:rPr>
              <w:t>Latvijas Ostu, tranzīta un loģistikas padome izvirzīja priekšlikum</w:t>
            </w:r>
            <w:r w:rsidR="00B10CA0" w:rsidRPr="006617B4">
              <w:rPr>
                <w:rFonts w:eastAsia="Times New Roman" w:cs="Times New Roman"/>
                <w:szCs w:val="28"/>
                <w:lang w:eastAsia="lv-LV"/>
              </w:rPr>
              <w:t>u</w:t>
            </w:r>
            <w:r w:rsidRPr="006617B4">
              <w:rPr>
                <w:rFonts w:eastAsia="Times New Roman" w:cs="Times New Roman"/>
                <w:szCs w:val="28"/>
                <w:lang w:eastAsia="lv-LV"/>
              </w:rPr>
              <w:t xml:space="preserve"> TIR procedūras vienkāršojum</w:t>
            </w:r>
            <w:r w:rsidR="00941A48" w:rsidRPr="006617B4">
              <w:rPr>
                <w:rFonts w:eastAsia="Times New Roman" w:cs="Times New Roman"/>
                <w:szCs w:val="28"/>
                <w:lang w:eastAsia="lv-LV"/>
              </w:rPr>
              <w:t>a</w:t>
            </w:r>
            <w:r w:rsidRPr="006617B4">
              <w:rPr>
                <w:rFonts w:eastAsia="Times New Roman" w:cs="Times New Roman"/>
                <w:szCs w:val="28"/>
                <w:lang w:eastAsia="lv-LV"/>
              </w:rPr>
              <w:t xml:space="preserve"> </w:t>
            </w:r>
            <w:r w:rsidR="00F16663" w:rsidRPr="006617B4">
              <w:rPr>
                <w:rFonts w:eastAsia="Times New Roman" w:cs="Times New Roman"/>
                <w:szCs w:val="28"/>
                <w:lang w:eastAsia="lv-LV"/>
              </w:rPr>
              <w:t>–</w:t>
            </w:r>
            <w:r w:rsidRPr="006617B4">
              <w:rPr>
                <w:rFonts w:eastAsia="Times New Roman" w:cs="Times New Roman"/>
                <w:szCs w:val="28"/>
                <w:lang w:eastAsia="lv-LV"/>
              </w:rPr>
              <w:t xml:space="preserve"> </w:t>
            </w:r>
            <w:r w:rsidR="00BE719F" w:rsidRPr="006617B4">
              <w:rPr>
                <w:rFonts w:eastAsia="Times New Roman" w:cs="Times New Roman"/>
                <w:szCs w:val="28"/>
                <w:lang w:eastAsia="lv-LV"/>
              </w:rPr>
              <w:t>pilnvarotājs</w:t>
            </w:r>
            <w:r w:rsidR="00F16663" w:rsidRPr="006617B4">
              <w:rPr>
                <w:rFonts w:eastAsia="Times New Roman" w:cs="Times New Roman"/>
                <w:szCs w:val="28"/>
                <w:lang w:eastAsia="lv-LV"/>
              </w:rPr>
              <w:t xml:space="preserve"> TIR </w:t>
            </w:r>
            <w:r w:rsidRPr="006617B4">
              <w:rPr>
                <w:rFonts w:eastAsia="Times New Roman" w:cs="Times New Roman"/>
                <w:szCs w:val="28"/>
                <w:lang w:eastAsia="lv-LV"/>
              </w:rPr>
              <w:t>nosūtītājs</w:t>
            </w:r>
            <w:r w:rsidR="00941A48" w:rsidRPr="006617B4">
              <w:rPr>
                <w:rFonts w:eastAsia="Times New Roman" w:cs="Times New Roman"/>
                <w:szCs w:val="28"/>
                <w:lang w:eastAsia="lv-LV"/>
              </w:rPr>
              <w:t xml:space="preserve"> - </w:t>
            </w:r>
            <w:r w:rsidRPr="006617B4">
              <w:rPr>
                <w:rFonts w:eastAsia="Times New Roman" w:cs="Times New Roman"/>
                <w:szCs w:val="28"/>
                <w:lang w:eastAsia="lv-LV"/>
              </w:rPr>
              <w:t>ieviešanai.</w:t>
            </w:r>
          </w:p>
          <w:p w14:paraId="4368C843" w14:textId="77777777" w:rsidR="005D4AE6" w:rsidRPr="006617B4" w:rsidRDefault="00102B4B" w:rsidP="00365790">
            <w:pPr>
              <w:spacing w:after="0" w:line="240" w:lineRule="auto"/>
              <w:jc w:val="both"/>
              <w:rPr>
                <w:rFonts w:eastAsia="Times New Roman" w:cs="Times New Roman"/>
                <w:szCs w:val="28"/>
                <w:lang w:eastAsia="lv-LV"/>
              </w:rPr>
            </w:pPr>
            <w:r w:rsidRPr="006617B4">
              <w:rPr>
                <w:rFonts w:eastAsia="Times New Roman" w:cs="Times New Roman"/>
                <w:szCs w:val="28"/>
                <w:lang w:eastAsia="lv-LV"/>
              </w:rPr>
              <w:t>Projekta izstrādē piedalījās Biedrība “Autopārvadātāju asociācija “Latvijas auto””.</w:t>
            </w:r>
          </w:p>
          <w:p w14:paraId="7215E541" w14:textId="0010738A" w:rsidR="00425C3E" w:rsidRPr="006617B4" w:rsidRDefault="00365790" w:rsidP="00365790">
            <w:pPr>
              <w:spacing w:after="0" w:line="240" w:lineRule="auto"/>
              <w:jc w:val="both"/>
              <w:rPr>
                <w:rFonts w:eastAsia="Times New Roman" w:cs="Times New Roman"/>
                <w:sz w:val="28"/>
                <w:szCs w:val="28"/>
                <w:lang w:eastAsia="lv-LV"/>
              </w:rPr>
            </w:pPr>
            <w:r w:rsidRPr="006617B4">
              <w:rPr>
                <w:rFonts w:eastAsia="Times New Roman" w:cs="Times New Roman"/>
                <w:szCs w:val="28"/>
                <w:lang w:eastAsia="lv-LV"/>
              </w:rPr>
              <w:t xml:space="preserve">2014.gada 26.februārī noteikumu projekts tika nosūtīts saskaņošanai Latvijas Tranzīta biznesa asociācijai, Latvijas Loģistikas asociācijai, </w:t>
            </w:r>
            <w:r w:rsidRPr="006617B4">
              <w:rPr>
                <w:rFonts w:cs="Arial"/>
                <w:color w:val="333333"/>
                <w:szCs w:val="28"/>
              </w:rPr>
              <w:t>Latvijas nacionālajai kravas ekspeditoru un loģistikas asociācijai un b</w:t>
            </w:r>
            <w:r w:rsidRPr="006617B4">
              <w:rPr>
                <w:rFonts w:eastAsia="Times New Roman" w:cs="Times New Roman"/>
                <w:szCs w:val="28"/>
                <w:lang w:eastAsia="lv-LV"/>
              </w:rPr>
              <w:t>iedrībai “Autopārvadātāju asociācija “Latvijas auto””.</w:t>
            </w:r>
          </w:p>
        </w:tc>
      </w:tr>
      <w:tr w:rsidR="005D4AE6" w:rsidRPr="005D4AE6" w14:paraId="77A234B5" w14:textId="77777777" w:rsidTr="004F1D6C">
        <w:trPr>
          <w:trHeight w:val="465"/>
          <w:jc w:val="center"/>
        </w:trPr>
        <w:tc>
          <w:tcPr>
            <w:tcW w:w="250" w:type="pct"/>
            <w:tcBorders>
              <w:top w:val="outset" w:sz="6" w:space="0" w:color="auto"/>
              <w:left w:val="outset" w:sz="6" w:space="0" w:color="auto"/>
              <w:bottom w:val="outset" w:sz="6" w:space="0" w:color="auto"/>
              <w:right w:val="outset" w:sz="6" w:space="0" w:color="auto"/>
            </w:tcBorders>
            <w:hideMark/>
          </w:tcPr>
          <w:p w14:paraId="67ED1A0E"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t>3.</w:t>
            </w:r>
          </w:p>
        </w:tc>
        <w:tc>
          <w:tcPr>
            <w:tcW w:w="1859" w:type="pct"/>
            <w:tcBorders>
              <w:top w:val="outset" w:sz="6" w:space="0" w:color="auto"/>
              <w:left w:val="outset" w:sz="6" w:space="0" w:color="auto"/>
              <w:bottom w:val="outset" w:sz="6" w:space="0" w:color="auto"/>
              <w:right w:val="outset" w:sz="6" w:space="0" w:color="auto"/>
            </w:tcBorders>
            <w:hideMark/>
          </w:tcPr>
          <w:p w14:paraId="0E0D896B"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t>Sabiedrības līdzdalības rezultāti</w:t>
            </w:r>
          </w:p>
        </w:tc>
        <w:tc>
          <w:tcPr>
            <w:tcW w:w="2891" w:type="pct"/>
            <w:tcBorders>
              <w:top w:val="outset" w:sz="6" w:space="0" w:color="auto"/>
              <w:left w:val="outset" w:sz="6" w:space="0" w:color="auto"/>
              <w:bottom w:val="outset" w:sz="6" w:space="0" w:color="auto"/>
              <w:right w:val="outset" w:sz="6" w:space="0" w:color="auto"/>
            </w:tcBorders>
            <w:hideMark/>
          </w:tcPr>
          <w:p w14:paraId="385D8ACA" w14:textId="56605C54" w:rsidR="005D4AE6" w:rsidRPr="006617B4" w:rsidRDefault="002379CB" w:rsidP="00660017">
            <w:pPr>
              <w:spacing w:after="0" w:line="240" w:lineRule="auto"/>
              <w:jc w:val="both"/>
              <w:rPr>
                <w:rFonts w:eastAsia="Times New Roman" w:cs="Times New Roman"/>
                <w:szCs w:val="24"/>
                <w:lang w:eastAsia="lv-LV"/>
              </w:rPr>
            </w:pPr>
            <w:r w:rsidRPr="006617B4">
              <w:rPr>
                <w:rFonts w:eastAsia="Times New Roman" w:cs="Times New Roman"/>
                <w:szCs w:val="24"/>
                <w:lang w:eastAsia="lv-LV"/>
              </w:rPr>
              <w:t xml:space="preserve">Nozares asociācijas, izmantojot Satiksmes ministrijas starpniecību, un </w:t>
            </w:r>
            <w:r w:rsidR="00102B4B" w:rsidRPr="006617B4">
              <w:rPr>
                <w:rFonts w:eastAsia="Times New Roman" w:cs="Times New Roman"/>
                <w:szCs w:val="24"/>
                <w:lang w:eastAsia="lv-LV"/>
              </w:rPr>
              <w:t>Biedrīb</w:t>
            </w:r>
            <w:r w:rsidR="00365790" w:rsidRPr="006617B4">
              <w:rPr>
                <w:rFonts w:eastAsia="Times New Roman" w:cs="Times New Roman"/>
                <w:szCs w:val="24"/>
                <w:lang w:eastAsia="lv-LV"/>
              </w:rPr>
              <w:t>a</w:t>
            </w:r>
            <w:r w:rsidR="00102B4B" w:rsidRPr="006617B4">
              <w:rPr>
                <w:rFonts w:eastAsia="Times New Roman" w:cs="Times New Roman"/>
                <w:szCs w:val="24"/>
                <w:lang w:eastAsia="lv-LV"/>
              </w:rPr>
              <w:t xml:space="preserve"> “Autopārvadātāju asociācija “Latvijas auto</w:t>
            </w:r>
            <w:r w:rsidR="00365790" w:rsidRPr="006617B4">
              <w:rPr>
                <w:rFonts w:eastAsia="Times New Roman" w:cs="Times New Roman"/>
                <w:szCs w:val="24"/>
                <w:lang w:eastAsia="lv-LV"/>
              </w:rPr>
              <w:t>””</w:t>
            </w:r>
            <w:r w:rsidRPr="006617B4">
              <w:rPr>
                <w:rFonts w:eastAsia="Times New Roman" w:cs="Times New Roman"/>
                <w:szCs w:val="24"/>
                <w:lang w:eastAsia="lv-LV"/>
              </w:rPr>
              <w:t xml:space="preserve"> s</w:t>
            </w:r>
            <w:r w:rsidR="00365790" w:rsidRPr="006617B4">
              <w:rPr>
                <w:rFonts w:eastAsia="Times New Roman" w:cs="Times New Roman"/>
                <w:szCs w:val="24"/>
                <w:lang w:eastAsia="lv-LV"/>
              </w:rPr>
              <w:t>niedza savus</w:t>
            </w:r>
            <w:r w:rsidRPr="006617B4">
              <w:rPr>
                <w:rFonts w:eastAsia="Times New Roman" w:cs="Times New Roman"/>
                <w:szCs w:val="24"/>
                <w:lang w:eastAsia="lv-LV"/>
              </w:rPr>
              <w:t xml:space="preserve"> iebildumus un</w:t>
            </w:r>
            <w:r w:rsidR="00365790" w:rsidRPr="006617B4">
              <w:rPr>
                <w:rFonts w:eastAsia="Times New Roman" w:cs="Times New Roman"/>
                <w:szCs w:val="24"/>
                <w:lang w:eastAsia="lv-LV"/>
              </w:rPr>
              <w:t xml:space="preserve"> komentārus par noteikumu projektu.</w:t>
            </w:r>
            <w:r w:rsidRPr="006617B4">
              <w:rPr>
                <w:rFonts w:eastAsia="Times New Roman" w:cs="Times New Roman"/>
                <w:szCs w:val="24"/>
                <w:lang w:eastAsia="lv-LV"/>
              </w:rPr>
              <w:t xml:space="preserve"> </w:t>
            </w:r>
            <w:r w:rsidR="00DA29CC" w:rsidRPr="006617B4">
              <w:rPr>
                <w:rFonts w:eastAsia="Times New Roman" w:cs="Times New Roman"/>
                <w:szCs w:val="24"/>
                <w:lang w:eastAsia="lv-LV"/>
              </w:rPr>
              <w:t>Lielāka daļa iebildumu tika ņemti vērā un ir iekļauti noteikumu projektā.</w:t>
            </w:r>
          </w:p>
        </w:tc>
      </w:tr>
      <w:tr w:rsidR="005D4AE6" w:rsidRPr="005D4AE6" w14:paraId="4B036880" w14:textId="77777777" w:rsidTr="004F1D6C">
        <w:trPr>
          <w:trHeight w:val="465"/>
          <w:jc w:val="center"/>
        </w:trPr>
        <w:tc>
          <w:tcPr>
            <w:tcW w:w="250" w:type="pct"/>
            <w:tcBorders>
              <w:top w:val="outset" w:sz="6" w:space="0" w:color="auto"/>
              <w:left w:val="outset" w:sz="6" w:space="0" w:color="auto"/>
              <w:bottom w:val="outset" w:sz="6" w:space="0" w:color="auto"/>
              <w:right w:val="outset" w:sz="6" w:space="0" w:color="auto"/>
            </w:tcBorders>
            <w:hideMark/>
          </w:tcPr>
          <w:p w14:paraId="24CCEEFA"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t>4.</w:t>
            </w:r>
          </w:p>
        </w:tc>
        <w:tc>
          <w:tcPr>
            <w:tcW w:w="1859" w:type="pct"/>
            <w:tcBorders>
              <w:top w:val="outset" w:sz="6" w:space="0" w:color="auto"/>
              <w:left w:val="outset" w:sz="6" w:space="0" w:color="auto"/>
              <w:bottom w:val="outset" w:sz="6" w:space="0" w:color="auto"/>
              <w:right w:val="outset" w:sz="6" w:space="0" w:color="auto"/>
            </w:tcBorders>
            <w:hideMark/>
          </w:tcPr>
          <w:p w14:paraId="64F8C3F6"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t>Cita informācija</w:t>
            </w:r>
          </w:p>
        </w:tc>
        <w:tc>
          <w:tcPr>
            <w:tcW w:w="2891" w:type="pct"/>
            <w:tcBorders>
              <w:top w:val="outset" w:sz="6" w:space="0" w:color="auto"/>
              <w:left w:val="outset" w:sz="6" w:space="0" w:color="auto"/>
              <w:bottom w:val="outset" w:sz="6" w:space="0" w:color="auto"/>
              <w:right w:val="outset" w:sz="6" w:space="0" w:color="auto"/>
            </w:tcBorders>
            <w:hideMark/>
          </w:tcPr>
          <w:p w14:paraId="368297B9" w14:textId="77777777" w:rsidR="005D4AE6" w:rsidRPr="005D4AE6" w:rsidRDefault="00102B4B" w:rsidP="005D4AE6">
            <w:pPr>
              <w:spacing w:before="100" w:beforeAutospacing="1" w:after="100" w:afterAutospacing="1" w:line="240" w:lineRule="auto"/>
              <w:rPr>
                <w:rFonts w:eastAsia="Times New Roman" w:cs="Times New Roman"/>
                <w:szCs w:val="24"/>
                <w:lang w:eastAsia="lv-LV"/>
              </w:rPr>
            </w:pPr>
            <w:r>
              <w:rPr>
                <w:rFonts w:eastAsia="Times New Roman" w:cs="Times New Roman"/>
                <w:szCs w:val="24"/>
                <w:lang w:eastAsia="lv-LV"/>
              </w:rPr>
              <w:t>Nav</w:t>
            </w:r>
          </w:p>
        </w:tc>
      </w:tr>
    </w:tbl>
    <w:p w14:paraId="5CCCDD9A" w14:textId="77777777" w:rsidR="005D4AE6" w:rsidRPr="005D4AE6" w:rsidRDefault="005D4AE6" w:rsidP="005D4AE6">
      <w:pPr>
        <w:spacing w:after="0" w:line="240" w:lineRule="auto"/>
        <w:jc w:val="center"/>
        <w:rPr>
          <w:rFonts w:eastAsia="Times New Roman" w:cs="Times New Roman"/>
          <w:vanish/>
          <w:szCs w:val="24"/>
          <w:lang w:eastAsia="lv-LV"/>
        </w:rPr>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2"/>
        <w:gridCol w:w="3367"/>
        <w:gridCol w:w="5236"/>
      </w:tblGrid>
      <w:tr w:rsidR="005D4AE6" w:rsidRPr="005D4AE6" w14:paraId="4B0C92D4" w14:textId="77777777" w:rsidTr="005D4AE6">
        <w:trPr>
          <w:trHeight w:val="375"/>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A5E3463" w14:textId="77777777" w:rsidR="005D4AE6" w:rsidRPr="005D4AE6" w:rsidRDefault="005D4AE6" w:rsidP="005D4AE6">
            <w:pPr>
              <w:spacing w:before="100" w:beforeAutospacing="1" w:after="100" w:afterAutospacing="1" w:line="240" w:lineRule="auto"/>
              <w:rPr>
                <w:rFonts w:eastAsia="Times New Roman" w:cs="Times New Roman"/>
                <w:szCs w:val="24"/>
                <w:lang w:eastAsia="lv-LV"/>
              </w:rPr>
            </w:pPr>
            <w:r w:rsidRPr="005D4AE6">
              <w:rPr>
                <w:rFonts w:eastAsia="Times New Roman" w:cs="Times New Roman"/>
                <w:b/>
                <w:bCs/>
                <w:szCs w:val="24"/>
                <w:lang w:eastAsia="lv-LV"/>
              </w:rPr>
              <w:t>VII. Tiesību akta projekta izpildes nodrošināšana un tās ietekme uz institūcijām</w:t>
            </w:r>
          </w:p>
        </w:tc>
      </w:tr>
      <w:tr w:rsidR="005D4AE6" w:rsidRPr="005D4AE6" w14:paraId="2B5EAD15" w14:textId="77777777" w:rsidTr="007B09C7">
        <w:trPr>
          <w:trHeight w:val="420"/>
          <w:jc w:val="center"/>
        </w:trPr>
        <w:tc>
          <w:tcPr>
            <w:tcW w:w="250" w:type="pct"/>
            <w:tcBorders>
              <w:top w:val="outset" w:sz="6" w:space="0" w:color="auto"/>
              <w:left w:val="outset" w:sz="6" w:space="0" w:color="auto"/>
              <w:bottom w:val="outset" w:sz="6" w:space="0" w:color="auto"/>
              <w:right w:val="outset" w:sz="6" w:space="0" w:color="auto"/>
            </w:tcBorders>
            <w:hideMark/>
          </w:tcPr>
          <w:p w14:paraId="3C69B931"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t>1.</w:t>
            </w:r>
          </w:p>
        </w:tc>
        <w:tc>
          <w:tcPr>
            <w:tcW w:w="1859" w:type="pct"/>
            <w:tcBorders>
              <w:top w:val="outset" w:sz="6" w:space="0" w:color="auto"/>
              <w:left w:val="outset" w:sz="6" w:space="0" w:color="auto"/>
              <w:bottom w:val="outset" w:sz="6" w:space="0" w:color="auto"/>
              <w:right w:val="outset" w:sz="6" w:space="0" w:color="auto"/>
            </w:tcBorders>
            <w:hideMark/>
          </w:tcPr>
          <w:p w14:paraId="3EF24F0A"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t>Projekta izpildē iesaistītās institūcijas</w:t>
            </w:r>
          </w:p>
        </w:tc>
        <w:tc>
          <w:tcPr>
            <w:tcW w:w="2891" w:type="pct"/>
            <w:tcBorders>
              <w:top w:val="outset" w:sz="6" w:space="0" w:color="auto"/>
              <w:left w:val="outset" w:sz="6" w:space="0" w:color="auto"/>
              <w:bottom w:val="outset" w:sz="6" w:space="0" w:color="auto"/>
              <w:right w:val="outset" w:sz="6" w:space="0" w:color="auto"/>
            </w:tcBorders>
            <w:hideMark/>
          </w:tcPr>
          <w:p w14:paraId="70CEFBFC" w14:textId="77777777" w:rsidR="006F7B4F" w:rsidRPr="006F7B4F" w:rsidRDefault="006F7B4F" w:rsidP="007B09C7">
            <w:pPr>
              <w:spacing w:after="0" w:line="240" w:lineRule="auto"/>
              <w:jc w:val="both"/>
              <w:rPr>
                <w:rFonts w:eastAsia="Times New Roman" w:cs="Times New Roman"/>
                <w:szCs w:val="24"/>
                <w:lang w:eastAsia="lv-LV"/>
              </w:rPr>
            </w:pPr>
            <w:r w:rsidRPr="006F7B4F">
              <w:rPr>
                <w:rFonts w:eastAsia="Times New Roman" w:cs="Times New Roman"/>
                <w:szCs w:val="24"/>
                <w:lang w:eastAsia="lv-LV"/>
              </w:rPr>
              <w:t xml:space="preserve">Valsts ieņēmumu dienests </w:t>
            </w:r>
          </w:p>
          <w:p w14:paraId="4FA5EC14" w14:textId="77777777" w:rsidR="005D4AE6" w:rsidRPr="005D4AE6" w:rsidRDefault="006F7B4F" w:rsidP="007B09C7">
            <w:pPr>
              <w:spacing w:after="0" w:line="240" w:lineRule="auto"/>
              <w:jc w:val="both"/>
              <w:rPr>
                <w:rFonts w:eastAsia="Times New Roman" w:cs="Times New Roman"/>
                <w:szCs w:val="24"/>
                <w:lang w:eastAsia="lv-LV"/>
              </w:rPr>
            </w:pPr>
            <w:r w:rsidRPr="006F7B4F">
              <w:rPr>
                <w:rFonts w:eastAsia="Times New Roman" w:cs="Times New Roman"/>
                <w:szCs w:val="24"/>
                <w:lang w:eastAsia="lv-LV"/>
              </w:rPr>
              <w:t>Biedrība “Autopārvadātāju asociācija “Latvijas auto””.</w:t>
            </w:r>
          </w:p>
        </w:tc>
      </w:tr>
      <w:tr w:rsidR="005D4AE6" w:rsidRPr="005D4AE6" w14:paraId="2C997510" w14:textId="77777777" w:rsidTr="007B09C7">
        <w:trPr>
          <w:trHeight w:val="450"/>
          <w:jc w:val="center"/>
        </w:trPr>
        <w:tc>
          <w:tcPr>
            <w:tcW w:w="250" w:type="pct"/>
            <w:tcBorders>
              <w:top w:val="outset" w:sz="6" w:space="0" w:color="auto"/>
              <w:left w:val="outset" w:sz="6" w:space="0" w:color="auto"/>
              <w:bottom w:val="outset" w:sz="6" w:space="0" w:color="auto"/>
              <w:right w:val="outset" w:sz="6" w:space="0" w:color="auto"/>
            </w:tcBorders>
            <w:hideMark/>
          </w:tcPr>
          <w:p w14:paraId="6A22D518"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t>2.</w:t>
            </w:r>
          </w:p>
        </w:tc>
        <w:tc>
          <w:tcPr>
            <w:tcW w:w="1859" w:type="pct"/>
            <w:tcBorders>
              <w:top w:val="outset" w:sz="6" w:space="0" w:color="auto"/>
              <w:left w:val="outset" w:sz="6" w:space="0" w:color="auto"/>
              <w:bottom w:val="outset" w:sz="6" w:space="0" w:color="auto"/>
              <w:right w:val="outset" w:sz="6" w:space="0" w:color="auto"/>
            </w:tcBorders>
            <w:hideMark/>
          </w:tcPr>
          <w:p w14:paraId="5555EB16"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t xml:space="preserve">Projekta izpildes ietekme uz pārvaldes funkcijām un institucionālo struktūru. </w:t>
            </w:r>
          </w:p>
          <w:p w14:paraId="5C287E03" w14:textId="77777777" w:rsidR="005D4AE6" w:rsidRPr="005D4AE6" w:rsidRDefault="005D4AE6" w:rsidP="005D4AE6">
            <w:pPr>
              <w:spacing w:before="100" w:beforeAutospacing="1" w:after="100" w:afterAutospacing="1" w:line="240" w:lineRule="auto"/>
              <w:rPr>
                <w:rFonts w:eastAsia="Times New Roman" w:cs="Times New Roman"/>
                <w:szCs w:val="24"/>
                <w:lang w:eastAsia="lv-LV"/>
              </w:rPr>
            </w:pPr>
            <w:r w:rsidRPr="005D4AE6">
              <w:rPr>
                <w:rFonts w:eastAsia="Times New Roman" w:cs="Times New Roman"/>
                <w:szCs w:val="24"/>
                <w:lang w:eastAsia="lv-LV"/>
              </w:rPr>
              <w:t>Jaunu institūciju izveide, esošu institūciju likvidācija vai reorganizācija, to ietekme uz institūcijas cilvēkresursiem</w:t>
            </w:r>
          </w:p>
        </w:tc>
        <w:tc>
          <w:tcPr>
            <w:tcW w:w="2891" w:type="pct"/>
            <w:tcBorders>
              <w:top w:val="outset" w:sz="6" w:space="0" w:color="auto"/>
              <w:left w:val="outset" w:sz="6" w:space="0" w:color="auto"/>
              <w:bottom w:val="outset" w:sz="6" w:space="0" w:color="auto"/>
              <w:right w:val="outset" w:sz="6" w:space="0" w:color="auto"/>
            </w:tcBorders>
            <w:hideMark/>
          </w:tcPr>
          <w:p w14:paraId="18771CD2" w14:textId="2588EB5F" w:rsidR="00DA45D9" w:rsidRPr="005D4AE6" w:rsidRDefault="00056A7F" w:rsidP="00056A7F">
            <w:pPr>
              <w:spacing w:after="0" w:line="240" w:lineRule="auto"/>
              <w:jc w:val="both"/>
              <w:rPr>
                <w:rFonts w:eastAsia="Times New Roman" w:cs="Times New Roman"/>
                <w:szCs w:val="24"/>
                <w:lang w:eastAsia="lv-LV"/>
              </w:rPr>
            </w:pPr>
            <w:r>
              <w:rPr>
                <w:rFonts w:eastAsia="Times New Roman" w:cs="Times New Roman"/>
                <w:szCs w:val="24"/>
                <w:lang w:eastAsia="lv-LV"/>
              </w:rPr>
              <w:t xml:space="preserve">Valsts ieņēmumu dienesta </w:t>
            </w:r>
            <w:r w:rsidR="00C4253A" w:rsidRPr="00204413">
              <w:rPr>
                <w:rFonts w:eastAsia="Times New Roman" w:cs="Times New Roman"/>
                <w:szCs w:val="24"/>
                <w:lang w:eastAsia="lv-LV"/>
              </w:rPr>
              <w:t>inst</w:t>
            </w:r>
            <w:r w:rsidR="00204413" w:rsidRPr="00204413">
              <w:rPr>
                <w:rFonts w:eastAsia="Times New Roman" w:cs="Times New Roman"/>
                <w:szCs w:val="24"/>
                <w:lang w:eastAsia="lv-LV"/>
              </w:rPr>
              <w:t>it</w:t>
            </w:r>
            <w:r w:rsidR="00C4253A" w:rsidRPr="00204413">
              <w:rPr>
                <w:rFonts w:eastAsia="Times New Roman" w:cs="Times New Roman"/>
                <w:szCs w:val="24"/>
                <w:lang w:eastAsia="lv-LV"/>
              </w:rPr>
              <w:t>ucionālā struktūra netiek mainīta</w:t>
            </w:r>
            <w:r w:rsidR="00204413" w:rsidRPr="00204413">
              <w:rPr>
                <w:rFonts w:eastAsia="Times New Roman" w:cs="Times New Roman"/>
                <w:szCs w:val="24"/>
                <w:lang w:eastAsia="lv-LV"/>
              </w:rPr>
              <w:t>.</w:t>
            </w:r>
            <w:r w:rsidR="00C4253A" w:rsidRPr="00204413">
              <w:rPr>
                <w:rFonts w:eastAsia="Times New Roman" w:cs="Times New Roman"/>
                <w:szCs w:val="24"/>
                <w:lang w:eastAsia="lv-LV"/>
              </w:rPr>
              <w:t xml:space="preserve"> </w:t>
            </w:r>
            <w:r>
              <w:rPr>
                <w:rFonts w:eastAsia="Times New Roman" w:cs="Times New Roman"/>
                <w:szCs w:val="24"/>
                <w:lang w:eastAsia="lv-LV"/>
              </w:rPr>
              <w:t xml:space="preserve">Valsts ieņēmumu dienestā </w:t>
            </w:r>
            <w:r w:rsidR="00C4253A" w:rsidRPr="00204413">
              <w:rPr>
                <w:rFonts w:eastAsia="Times New Roman" w:cs="Times New Roman"/>
                <w:szCs w:val="24"/>
                <w:lang w:eastAsia="lv-LV"/>
              </w:rPr>
              <w:t xml:space="preserve">tiek izveidotas </w:t>
            </w:r>
            <w:r w:rsidR="00204413" w:rsidRPr="00204413">
              <w:rPr>
                <w:rFonts w:eastAsia="Times New Roman" w:cs="Times New Roman"/>
                <w:szCs w:val="24"/>
                <w:lang w:eastAsia="lv-LV"/>
              </w:rPr>
              <w:t>tr</w:t>
            </w:r>
            <w:r w:rsidR="00C4253A" w:rsidRPr="00204413">
              <w:rPr>
                <w:rFonts w:eastAsia="Times New Roman" w:cs="Times New Roman"/>
                <w:szCs w:val="24"/>
                <w:lang w:eastAsia="lv-LV"/>
              </w:rPr>
              <w:t xml:space="preserve">īs papildus štata vietas (muitas eksperts – </w:t>
            </w:r>
            <w:r w:rsidR="00204413" w:rsidRPr="00204413">
              <w:rPr>
                <w:rFonts w:eastAsia="Times New Roman" w:cs="Times New Roman"/>
                <w:szCs w:val="24"/>
                <w:lang w:eastAsia="lv-LV"/>
              </w:rPr>
              <w:t xml:space="preserve">pieteikuma izskatīšanai </w:t>
            </w:r>
            <w:r w:rsidR="00C4253A" w:rsidRPr="00204413">
              <w:rPr>
                <w:rFonts w:eastAsia="Times New Roman" w:cs="Times New Roman"/>
                <w:szCs w:val="24"/>
                <w:lang w:eastAsia="lv-LV"/>
              </w:rPr>
              <w:t xml:space="preserve">un </w:t>
            </w:r>
            <w:r w:rsidR="00204413" w:rsidRPr="00204413">
              <w:rPr>
                <w:rFonts w:eastAsia="Times New Roman" w:cs="Times New Roman"/>
                <w:szCs w:val="24"/>
                <w:lang w:eastAsia="lv-LV"/>
              </w:rPr>
              <w:t>atļaujas izsniegšanai, divi muitas eksperti izsniegto atļauju uzraudzībai).</w:t>
            </w:r>
            <w:r w:rsidR="00204413">
              <w:rPr>
                <w:rFonts w:eastAsia="Times New Roman" w:cs="Times New Roman"/>
                <w:szCs w:val="24"/>
                <w:lang w:eastAsia="lv-LV"/>
              </w:rPr>
              <w:t xml:space="preserve"> </w:t>
            </w:r>
            <w:r>
              <w:rPr>
                <w:rFonts w:eastAsia="Times New Roman" w:cs="Times New Roman"/>
                <w:szCs w:val="24"/>
                <w:lang w:eastAsia="lv-LV"/>
              </w:rPr>
              <w:t>Valsts ieņēmumu dienesta</w:t>
            </w:r>
            <w:r w:rsidR="00204413">
              <w:rPr>
                <w:rFonts w:eastAsia="Times New Roman" w:cs="Times New Roman"/>
                <w:szCs w:val="24"/>
                <w:lang w:eastAsia="lv-LV"/>
              </w:rPr>
              <w:t xml:space="preserve"> funkcijas tiek papildinātas. </w:t>
            </w:r>
            <w:r w:rsidR="00131264">
              <w:rPr>
                <w:rFonts w:eastAsia="Times New Roman" w:cs="Times New Roman"/>
                <w:szCs w:val="24"/>
                <w:lang w:eastAsia="lv-LV"/>
              </w:rPr>
              <w:t>P</w:t>
            </w:r>
            <w:r w:rsidR="00204413" w:rsidRPr="00204413">
              <w:rPr>
                <w:rFonts w:eastAsia="Times New Roman" w:cs="Times New Roman"/>
                <w:szCs w:val="24"/>
                <w:lang w:eastAsia="lv-LV"/>
              </w:rPr>
              <w:t xml:space="preserve">rojekts neparedz jaunu institūciju veidošanu, kā arī esošo reorganizāciju vai likvidāciju. </w:t>
            </w:r>
          </w:p>
        </w:tc>
      </w:tr>
      <w:tr w:rsidR="005D4AE6" w:rsidRPr="005D4AE6" w14:paraId="15FDC2FE" w14:textId="77777777" w:rsidTr="007B09C7">
        <w:trPr>
          <w:trHeight w:val="390"/>
          <w:jc w:val="center"/>
        </w:trPr>
        <w:tc>
          <w:tcPr>
            <w:tcW w:w="250" w:type="pct"/>
            <w:tcBorders>
              <w:top w:val="outset" w:sz="6" w:space="0" w:color="auto"/>
              <w:left w:val="outset" w:sz="6" w:space="0" w:color="auto"/>
              <w:bottom w:val="outset" w:sz="6" w:space="0" w:color="auto"/>
              <w:right w:val="outset" w:sz="6" w:space="0" w:color="auto"/>
            </w:tcBorders>
            <w:hideMark/>
          </w:tcPr>
          <w:p w14:paraId="162CB950"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t>3.</w:t>
            </w:r>
          </w:p>
        </w:tc>
        <w:tc>
          <w:tcPr>
            <w:tcW w:w="1859" w:type="pct"/>
            <w:tcBorders>
              <w:top w:val="outset" w:sz="6" w:space="0" w:color="auto"/>
              <w:left w:val="outset" w:sz="6" w:space="0" w:color="auto"/>
              <w:bottom w:val="outset" w:sz="6" w:space="0" w:color="auto"/>
              <w:right w:val="outset" w:sz="6" w:space="0" w:color="auto"/>
            </w:tcBorders>
            <w:hideMark/>
          </w:tcPr>
          <w:p w14:paraId="4CCDE503" w14:textId="77777777" w:rsidR="005D4AE6" w:rsidRPr="005D4AE6" w:rsidRDefault="005D4AE6" w:rsidP="005D4AE6">
            <w:pPr>
              <w:spacing w:after="0" w:line="240" w:lineRule="auto"/>
              <w:rPr>
                <w:rFonts w:eastAsia="Times New Roman" w:cs="Times New Roman"/>
                <w:szCs w:val="24"/>
                <w:lang w:eastAsia="lv-LV"/>
              </w:rPr>
            </w:pPr>
            <w:r w:rsidRPr="005D4AE6">
              <w:rPr>
                <w:rFonts w:eastAsia="Times New Roman" w:cs="Times New Roman"/>
                <w:szCs w:val="24"/>
                <w:lang w:eastAsia="lv-LV"/>
              </w:rPr>
              <w:t>Cita informācija</w:t>
            </w:r>
          </w:p>
        </w:tc>
        <w:tc>
          <w:tcPr>
            <w:tcW w:w="2891" w:type="pct"/>
            <w:tcBorders>
              <w:top w:val="outset" w:sz="6" w:space="0" w:color="auto"/>
              <w:left w:val="outset" w:sz="6" w:space="0" w:color="auto"/>
              <w:bottom w:val="outset" w:sz="6" w:space="0" w:color="auto"/>
              <w:right w:val="outset" w:sz="6" w:space="0" w:color="auto"/>
            </w:tcBorders>
            <w:hideMark/>
          </w:tcPr>
          <w:p w14:paraId="11D791B7" w14:textId="77777777" w:rsidR="005D4AE6" w:rsidRPr="005D4AE6" w:rsidRDefault="005D4AE6" w:rsidP="006F7B4F">
            <w:pPr>
              <w:spacing w:before="100" w:beforeAutospacing="1" w:after="100" w:afterAutospacing="1" w:line="240" w:lineRule="auto"/>
              <w:rPr>
                <w:rFonts w:eastAsia="Times New Roman" w:cs="Times New Roman"/>
                <w:szCs w:val="24"/>
                <w:lang w:eastAsia="lv-LV"/>
              </w:rPr>
            </w:pPr>
            <w:r w:rsidRPr="005D4AE6">
              <w:rPr>
                <w:rFonts w:eastAsia="Times New Roman" w:cs="Times New Roman"/>
                <w:szCs w:val="24"/>
                <w:lang w:eastAsia="lv-LV"/>
              </w:rPr>
              <w:t>Nav</w:t>
            </w:r>
          </w:p>
        </w:tc>
      </w:tr>
    </w:tbl>
    <w:p w14:paraId="0B858998" w14:textId="1E5C100C" w:rsidR="00944878" w:rsidRPr="0091678F" w:rsidRDefault="00AD594A" w:rsidP="00136159">
      <w:pPr>
        <w:tabs>
          <w:tab w:val="center" w:pos="0"/>
          <w:tab w:val="right" w:pos="8306"/>
        </w:tabs>
        <w:spacing w:after="0" w:line="240" w:lineRule="auto"/>
        <w:jc w:val="both"/>
        <w:rPr>
          <w:rFonts w:eastAsia="Times New Roman" w:cs="Times New Roman"/>
          <w:i/>
          <w:szCs w:val="28"/>
        </w:rPr>
      </w:pPr>
      <w:r w:rsidRPr="0091678F">
        <w:rPr>
          <w:rFonts w:eastAsia="Times New Roman" w:cs="Times New Roman"/>
          <w:i/>
          <w:szCs w:val="28"/>
        </w:rPr>
        <w:t>Anotācijas III sadaļa – projekts šīs jomas neskar.</w:t>
      </w:r>
    </w:p>
    <w:p w14:paraId="3A16ABD3" w14:textId="77777777" w:rsidR="00AD594A" w:rsidRDefault="00AD594A" w:rsidP="00136159">
      <w:pPr>
        <w:tabs>
          <w:tab w:val="center" w:pos="0"/>
          <w:tab w:val="right" w:pos="8306"/>
        </w:tabs>
        <w:spacing w:after="0" w:line="240" w:lineRule="auto"/>
        <w:jc w:val="both"/>
        <w:rPr>
          <w:rFonts w:eastAsia="Times New Roman" w:cs="Times New Roman"/>
          <w:sz w:val="28"/>
          <w:szCs w:val="28"/>
        </w:rPr>
      </w:pPr>
    </w:p>
    <w:p w14:paraId="76ADF369" w14:textId="77777777" w:rsidR="0091678F" w:rsidRDefault="0091678F" w:rsidP="00136159">
      <w:pPr>
        <w:tabs>
          <w:tab w:val="center" w:pos="0"/>
          <w:tab w:val="right" w:pos="8306"/>
        </w:tabs>
        <w:spacing w:after="0" w:line="240" w:lineRule="auto"/>
        <w:jc w:val="both"/>
        <w:rPr>
          <w:rFonts w:eastAsia="Times New Roman" w:cs="Times New Roman"/>
          <w:sz w:val="28"/>
          <w:szCs w:val="28"/>
        </w:rPr>
      </w:pPr>
    </w:p>
    <w:p w14:paraId="0A5FF1F8" w14:textId="77777777" w:rsidR="0091678F" w:rsidRDefault="0091678F" w:rsidP="00136159">
      <w:pPr>
        <w:tabs>
          <w:tab w:val="center" w:pos="0"/>
          <w:tab w:val="right" w:pos="8306"/>
        </w:tabs>
        <w:spacing w:after="0" w:line="240" w:lineRule="auto"/>
        <w:jc w:val="both"/>
        <w:rPr>
          <w:rFonts w:eastAsia="Times New Roman" w:cs="Times New Roman"/>
          <w:sz w:val="28"/>
          <w:szCs w:val="28"/>
        </w:rPr>
      </w:pPr>
    </w:p>
    <w:p w14:paraId="11811FA2" w14:textId="77777777" w:rsidR="00136159" w:rsidRPr="00136159" w:rsidRDefault="00136159" w:rsidP="00136159">
      <w:pPr>
        <w:tabs>
          <w:tab w:val="center" w:pos="0"/>
          <w:tab w:val="right" w:pos="8306"/>
        </w:tabs>
        <w:spacing w:after="0" w:line="240" w:lineRule="auto"/>
        <w:jc w:val="both"/>
        <w:rPr>
          <w:rFonts w:eastAsia="Times New Roman" w:cs="Times New Roman"/>
          <w:sz w:val="28"/>
          <w:szCs w:val="28"/>
        </w:rPr>
      </w:pPr>
      <w:r w:rsidRPr="00136159">
        <w:rPr>
          <w:rFonts w:eastAsia="Times New Roman" w:cs="Times New Roman"/>
          <w:sz w:val="28"/>
          <w:szCs w:val="28"/>
        </w:rPr>
        <w:t>Finanšu ministrs</w:t>
      </w:r>
      <w:r w:rsidRPr="00136159">
        <w:rPr>
          <w:rFonts w:eastAsia="Times New Roman" w:cs="Times New Roman"/>
          <w:sz w:val="28"/>
          <w:szCs w:val="28"/>
        </w:rPr>
        <w:tab/>
      </w:r>
      <w:proofErr w:type="spellStart"/>
      <w:r w:rsidRPr="00136159">
        <w:rPr>
          <w:rFonts w:eastAsia="Times New Roman" w:cs="Times New Roman"/>
          <w:sz w:val="28"/>
          <w:szCs w:val="28"/>
        </w:rPr>
        <w:t>A.Vilks</w:t>
      </w:r>
      <w:proofErr w:type="spellEnd"/>
    </w:p>
    <w:p w14:paraId="13EAE3ED" w14:textId="77777777" w:rsidR="00944878" w:rsidRPr="00136159" w:rsidRDefault="00944878" w:rsidP="00136159">
      <w:pPr>
        <w:spacing w:after="0" w:line="240" w:lineRule="auto"/>
        <w:jc w:val="both"/>
        <w:rPr>
          <w:rFonts w:eastAsia="Times New Roman" w:cs="Times New Roman"/>
          <w:sz w:val="28"/>
          <w:szCs w:val="28"/>
        </w:rPr>
      </w:pPr>
    </w:p>
    <w:p w14:paraId="41AD589A" w14:textId="79A10876" w:rsidR="00136159" w:rsidRPr="00944878" w:rsidRDefault="00543BDD" w:rsidP="00136159">
      <w:pPr>
        <w:spacing w:after="0" w:line="240" w:lineRule="auto"/>
        <w:jc w:val="both"/>
        <w:rPr>
          <w:rFonts w:eastAsia="Times New Roman" w:cs="Times New Roman"/>
          <w:sz w:val="20"/>
          <w:szCs w:val="24"/>
        </w:rPr>
      </w:pPr>
      <w:r>
        <w:rPr>
          <w:rFonts w:eastAsia="Times New Roman" w:cs="Times New Roman"/>
          <w:sz w:val="20"/>
          <w:szCs w:val="24"/>
        </w:rPr>
        <w:t>2</w:t>
      </w:r>
      <w:r w:rsidR="00D6787E">
        <w:rPr>
          <w:rFonts w:eastAsia="Times New Roman" w:cs="Times New Roman"/>
          <w:sz w:val="20"/>
          <w:szCs w:val="24"/>
        </w:rPr>
        <w:t>6</w:t>
      </w:r>
      <w:r w:rsidR="00425C3E" w:rsidRPr="00944878">
        <w:rPr>
          <w:rFonts w:eastAsia="Times New Roman" w:cs="Times New Roman"/>
          <w:sz w:val="20"/>
          <w:szCs w:val="24"/>
        </w:rPr>
        <w:t>.0</w:t>
      </w:r>
      <w:r w:rsidR="00D520A7">
        <w:rPr>
          <w:rFonts w:eastAsia="Times New Roman" w:cs="Times New Roman"/>
          <w:sz w:val="20"/>
          <w:szCs w:val="24"/>
        </w:rPr>
        <w:t>9</w:t>
      </w:r>
      <w:r w:rsidR="00136159" w:rsidRPr="00944878">
        <w:rPr>
          <w:rFonts w:eastAsia="Times New Roman" w:cs="Times New Roman"/>
          <w:sz w:val="20"/>
          <w:szCs w:val="24"/>
        </w:rPr>
        <w:t xml:space="preserve">.2014. </w:t>
      </w:r>
    </w:p>
    <w:p w14:paraId="0627706B" w14:textId="53E02172" w:rsidR="00D520A7" w:rsidRDefault="00F34AB3" w:rsidP="00136159">
      <w:pPr>
        <w:spacing w:after="0" w:line="240" w:lineRule="auto"/>
        <w:jc w:val="both"/>
        <w:rPr>
          <w:rFonts w:eastAsia="Times New Roman" w:cs="Times New Roman"/>
          <w:sz w:val="20"/>
          <w:szCs w:val="24"/>
        </w:rPr>
      </w:pPr>
      <w:r>
        <w:rPr>
          <w:rFonts w:eastAsia="Times New Roman" w:cs="Times New Roman"/>
          <w:sz w:val="20"/>
          <w:szCs w:val="24"/>
        </w:rPr>
        <w:t>4177</w:t>
      </w:r>
      <w:bookmarkStart w:id="7" w:name="_GoBack"/>
      <w:bookmarkEnd w:id="7"/>
    </w:p>
    <w:p w14:paraId="7F2D650D" w14:textId="4A173867" w:rsidR="00136159" w:rsidRPr="00944878" w:rsidRDefault="006617B4" w:rsidP="00136159">
      <w:pPr>
        <w:spacing w:after="0" w:line="240" w:lineRule="auto"/>
        <w:jc w:val="both"/>
        <w:rPr>
          <w:rFonts w:eastAsia="Times New Roman" w:cs="Times New Roman"/>
          <w:sz w:val="20"/>
          <w:szCs w:val="24"/>
        </w:rPr>
      </w:pPr>
      <w:proofErr w:type="spellStart"/>
      <w:r>
        <w:rPr>
          <w:rFonts w:eastAsia="Times New Roman" w:cs="Times New Roman"/>
          <w:sz w:val="20"/>
          <w:szCs w:val="24"/>
        </w:rPr>
        <w:t>T.Kronberga</w:t>
      </w:r>
      <w:proofErr w:type="spellEnd"/>
    </w:p>
    <w:p w14:paraId="373D2958" w14:textId="024E3174" w:rsidR="00F16663" w:rsidRDefault="00136159" w:rsidP="00136159">
      <w:pPr>
        <w:jc w:val="both"/>
        <w:rPr>
          <w:rFonts w:eastAsia="Times New Roman" w:cs="Times New Roman"/>
          <w:sz w:val="20"/>
          <w:szCs w:val="24"/>
        </w:rPr>
      </w:pPr>
      <w:r w:rsidRPr="00944878">
        <w:rPr>
          <w:rFonts w:eastAsia="Times New Roman" w:cs="Times New Roman"/>
          <w:sz w:val="20"/>
          <w:szCs w:val="24"/>
        </w:rPr>
        <w:t>67</w:t>
      </w:r>
      <w:r w:rsidR="00F16663" w:rsidRPr="00944878">
        <w:rPr>
          <w:rFonts w:eastAsia="Times New Roman" w:cs="Times New Roman"/>
          <w:sz w:val="20"/>
          <w:szCs w:val="24"/>
        </w:rPr>
        <w:t>0</w:t>
      </w:r>
      <w:r w:rsidR="00D46DE1">
        <w:rPr>
          <w:rFonts w:eastAsia="Times New Roman" w:cs="Times New Roman"/>
          <w:sz w:val="20"/>
          <w:szCs w:val="24"/>
        </w:rPr>
        <w:t>83</w:t>
      </w:r>
      <w:r w:rsidR="006617B4">
        <w:rPr>
          <w:rFonts w:eastAsia="Times New Roman" w:cs="Times New Roman"/>
          <w:sz w:val="20"/>
          <w:szCs w:val="24"/>
        </w:rPr>
        <w:t>811</w:t>
      </w:r>
      <w:r w:rsidRPr="00944878">
        <w:rPr>
          <w:rFonts w:eastAsia="Times New Roman" w:cs="Times New Roman"/>
          <w:sz w:val="20"/>
          <w:szCs w:val="24"/>
        </w:rPr>
        <w:t xml:space="preserve">, </w:t>
      </w:r>
      <w:hyperlink r:id="rId9" w:history="1">
        <w:r w:rsidR="006617B4" w:rsidRPr="003A5E07">
          <w:rPr>
            <w:rStyle w:val="Hyperlink"/>
            <w:rFonts w:eastAsia="Times New Roman" w:cs="Times New Roman"/>
            <w:sz w:val="20"/>
            <w:szCs w:val="24"/>
          </w:rPr>
          <w:t>tatjana.kronberga@fm.gov.lv</w:t>
        </w:r>
      </w:hyperlink>
    </w:p>
    <w:p w14:paraId="7708300F" w14:textId="77777777" w:rsidR="006617B4" w:rsidRPr="00944878" w:rsidRDefault="006617B4" w:rsidP="00136159">
      <w:pPr>
        <w:jc w:val="both"/>
        <w:rPr>
          <w:rFonts w:eastAsia="Times New Roman" w:cs="Times New Roman"/>
          <w:sz w:val="20"/>
          <w:szCs w:val="24"/>
        </w:rPr>
      </w:pPr>
    </w:p>
    <w:sectPr w:rsidR="006617B4" w:rsidRPr="00944878" w:rsidSect="00F81885">
      <w:headerReference w:type="default" r:id="rId10"/>
      <w:footerReference w:type="even"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A02FB" w14:textId="77777777" w:rsidR="006312CF" w:rsidRDefault="006312CF" w:rsidP="00231936">
      <w:pPr>
        <w:spacing w:after="0" w:line="240" w:lineRule="auto"/>
      </w:pPr>
      <w:r>
        <w:separator/>
      </w:r>
    </w:p>
  </w:endnote>
  <w:endnote w:type="continuationSeparator" w:id="0">
    <w:p w14:paraId="2369752A" w14:textId="77777777" w:rsidR="006312CF" w:rsidRDefault="006312CF" w:rsidP="00231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A1"/>
    <w:family w:val="roman"/>
    <w:notTrueType/>
    <w:pitch w:val="default"/>
    <w:sig w:usb0="00000081" w:usb1="00000000" w:usb2="00000000" w:usb3="00000000" w:csb0="00000008" w:csb1="00000000"/>
  </w:font>
  <w:font w:name="ArialMT">
    <w:panose1 w:val="00000000000000000000"/>
    <w:charset w:val="BA"/>
    <w:family w:val="auto"/>
    <w:notTrueType/>
    <w:pitch w:val="default"/>
    <w:sig w:usb0="00000005" w:usb1="00000000" w:usb2="00000000" w:usb3="00000000" w:csb0="0000008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110A3" w14:textId="77777777" w:rsidR="001D0C5C" w:rsidRPr="001E25BD" w:rsidRDefault="001D0C5C" w:rsidP="001E25BD">
    <w:pPr>
      <w:pStyle w:val="Footer"/>
    </w:pPr>
    <w:r w:rsidRPr="001E25BD">
      <w:t>FManot_100214; Noteikumu projekta “Muitas procedūras – tranzīts – piemērošanas kārtība” sākotnējās ietekmes novērtējuma ziņojums (anotācija)</w:t>
    </w:r>
  </w:p>
  <w:p w14:paraId="2B81588B" w14:textId="77777777" w:rsidR="001D0C5C" w:rsidRDefault="001D0C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B8EDF" w14:textId="7431878D" w:rsidR="001D0C5C" w:rsidRPr="00AA60CE" w:rsidRDefault="001D0C5C" w:rsidP="001E25BD">
    <w:pPr>
      <w:pStyle w:val="Footer"/>
      <w:rPr>
        <w:sz w:val="22"/>
      </w:rPr>
    </w:pPr>
    <w:r w:rsidRPr="00AA60CE">
      <w:rPr>
        <w:sz w:val="22"/>
      </w:rPr>
      <w:t>FMAnot_</w:t>
    </w:r>
    <w:r w:rsidR="00543BDD">
      <w:rPr>
        <w:sz w:val="22"/>
      </w:rPr>
      <w:t>2</w:t>
    </w:r>
    <w:r w:rsidR="00D6787E">
      <w:rPr>
        <w:sz w:val="22"/>
      </w:rPr>
      <w:t>6</w:t>
    </w:r>
    <w:r w:rsidRPr="00AA60CE">
      <w:rPr>
        <w:sz w:val="22"/>
      </w:rPr>
      <w:t>0</w:t>
    </w:r>
    <w:r w:rsidR="00D520A7">
      <w:rPr>
        <w:sz w:val="22"/>
      </w:rPr>
      <w:t>9</w:t>
    </w:r>
    <w:r w:rsidRPr="00AA60CE">
      <w:rPr>
        <w:sz w:val="22"/>
      </w:rPr>
      <w:t>14_tranzīts; Noteikumu projekta “Muitas procedūras – tranzīts – piemērošanas kārtība” sākotnējās ietekmes novērtējuma ziņojums (anotācija)</w:t>
    </w:r>
  </w:p>
  <w:p w14:paraId="3FE1BA44" w14:textId="77777777" w:rsidR="001D0C5C" w:rsidRDefault="001D0C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7C4EC" w14:textId="61A80BBA" w:rsidR="001D0C5C" w:rsidRPr="00AA60CE" w:rsidRDefault="001D0C5C" w:rsidP="00AA60CE">
    <w:pPr>
      <w:pStyle w:val="Footer"/>
      <w:jc w:val="both"/>
      <w:rPr>
        <w:sz w:val="22"/>
      </w:rPr>
    </w:pPr>
    <w:r w:rsidRPr="00AA60CE">
      <w:rPr>
        <w:sz w:val="22"/>
      </w:rPr>
      <w:t>FMAnot_</w:t>
    </w:r>
    <w:r w:rsidR="006617B4">
      <w:rPr>
        <w:sz w:val="22"/>
      </w:rPr>
      <w:t>2</w:t>
    </w:r>
    <w:r w:rsidR="00D6787E">
      <w:rPr>
        <w:sz w:val="22"/>
      </w:rPr>
      <w:t>6</w:t>
    </w:r>
    <w:r w:rsidR="006617B4">
      <w:rPr>
        <w:sz w:val="22"/>
      </w:rPr>
      <w:t>0</w:t>
    </w:r>
    <w:r w:rsidR="00D520A7">
      <w:rPr>
        <w:sz w:val="22"/>
      </w:rPr>
      <w:t>9</w:t>
    </w:r>
    <w:r w:rsidRPr="00AA60CE">
      <w:rPr>
        <w:sz w:val="22"/>
      </w:rPr>
      <w:t>14; Noteikumu projekta “Muitas procedūras – tranzīts – piemērošanas kārtība” sākotnējās ietekmes novērtējuma ziņojums (anotācija)</w:t>
    </w:r>
  </w:p>
  <w:p w14:paraId="330456EE" w14:textId="77777777" w:rsidR="001D0C5C" w:rsidRDefault="001D0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D76A4" w14:textId="77777777" w:rsidR="006312CF" w:rsidRDefault="006312CF" w:rsidP="00231936">
      <w:pPr>
        <w:spacing w:after="0" w:line="240" w:lineRule="auto"/>
      </w:pPr>
      <w:r>
        <w:separator/>
      </w:r>
    </w:p>
  </w:footnote>
  <w:footnote w:type="continuationSeparator" w:id="0">
    <w:p w14:paraId="69AC3588" w14:textId="77777777" w:rsidR="006312CF" w:rsidRDefault="006312CF" w:rsidP="002319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390491"/>
      <w:docPartObj>
        <w:docPartGallery w:val="Page Numbers (Top of Page)"/>
        <w:docPartUnique/>
      </w:docPartObj>
    </w:sdtPr>
    <w:sdtEndPr>
      <w:rPr>
        <w:noProof/>
      </w:rPr>
    </w:sdtEndPr>
    <w:sdtContent>
      <w:p w14:paraId="00ACEF29" w14:textId="4160D725" w:rsidR="001D0C5C" w:rsidRDefault="001D0C5C">
        <w:pPr>
          <w:pStyle w:val="Header"/>
          <w:jc w:val="center"/>
        </w:pPr>
        <w:r>
          <w:fldChar w:fldCharType="begin"/>
        </w:r>
        <w:r>
          <w:instrText xml:space="preserve"> PAGE   \* MERGEFORMAT </w:instrText>
        </w:r>
        <w:r>
          <w:fldChar w:fldCharType="separate"/>
        </w:r>
        <w:r w:rsidR="00F34AB3">
          <w:rPr>
            <w:noProof/>
          </w:rPr>
          <w:t>13</w:t>
        </w:r>
        <w:r>
          <w:rPr>
            <w:noProof/>
          </w:rPr>
          <w:fldChar w:fldCharType="end"/>
        </w:r>
      </w:p>
    </w:sdtContent>
  </w:sdt>
  <w:p w14:paraId="4C99B84A" w14:textId="77777777" w:rsidR="001D0C5C" w:rsidRDefault="001D0C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229EF"/>
    <w:multiLevelType w:val="hybridMultilevel"/>
    <w:tmpl w:val="9AAAEFD2"/>
    <w:lvl w:ilvl="0" w:tplc="898C44D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B663BDE"/>
    <w:multiLevelType w:val="hybridMultilevel"/>
    <w:tmpl w:val="D46810DA"/>
    <w:lvl w:ilvl="0" w:tplc="5FD4DD0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DA20AF7"/>
    <w:multiLevelType w:val="multilevel"/>
    <w:tmpl w:val="5022A7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25F452E"/>
    <w:multiLevelType w:val="hybridMultilevel"/>
    <w:tmpl w:val="7CF8BDBA"/>
    <w:lvl w:ilvl="0" w:tplc="68D068AE">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nsid w:val="2F550431"/>
    <w:multiLevelType w:val="hybridMultilevel"/>
    <w:tmpl w:val="84F66670"/>
    <w:lvl w:ilvl="0" w:tplc="D904F252">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5AC0C7D"/>
    <w:multiLevelType w:val="hybridMultilevel"/>
    <w:tmpl w:val="1FAEC618"/>
    <w:lvl w:ilvl="0" w:tplc="1A7EAA8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47432B88"/>
    <w:multiLevelType w:val="hybridMultilevel"/>
    <w:tmpl w:val="8D9E6F9C"/>
    <w:lvl w:ilvl="0" w:tplc="419EC6F8">
      <w:start w:val="1"/>
      <w:numFmt w:val="decimal"/>
      <w:lvlText w:val="%1."/>
      <w:lvlJc w:val="left"/>
      <w:pPr>
        <w:ind w:left="786" w:hanging="360"/>
      </w:pPr>
      <w:rPr>
        <w:rFonts w:eastAsia="Calibri" w:hint="default"/>
        <w:sz w:val="28"/>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nsid w:val="620243BB"/>
    <w:multiLevelType w:val="hybridMultilevel"/>
    <w:tmpl w:val="8508F384"/>
    <w:lvl w:ilvl="0" w:tplc="9F94758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71686878"/>
    <w:multiLevelType w:val="hybridMultilevel"/>
    <w:tmpl w:val="6CA69048"/>
    <w:lvl w:ilvl="0" w:tplc="8C8A1DE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7"/>
  </w:num>
  <w:num w:numId="5">
    <w:abstractNumId w:val="3"/>
  </w:num>
  <w:num w:numId="6">
    <w:abstractNumId w:val="1"/>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AE6"/>
    <w:rsid w:val="0000297F"/>
    <w:rsid w:val="00003DD8"/>
    <w:rsid w:val="00004182"/>
    <w:rsid w:val="000224F7"/>
    <w:rsid w:val="0005120B"/>
    <w:rsid w:val="00054043"/>
    <w:rsid w:val="00056A7F"/>
    <w:rsid w:val="0008217B"/>
    <w:rsid w:val="0009291C"/>
    <w:rsid w:val="00096AF1"/>
    <w:rsid w:val="000D29A0"/>
    <w:rsid w:val="000D4580"/>
    <w:rsid w:val="000E39AD"/>
    <w:rsid w:val="000E5A48"/>
    <w:rsid w:val="00102B4B"/>
    <w:rsid w:val="00124680"/>
    <w:rsid w:val="00131264"/>
    <w:rsid w:val="00135779"/>
    <w:rsid w:val="00135D68"/>
    <w:rsid w:val="00136159"/>
    <w:rsid w:val="00141634"/>
    <w:rsid w:val="001457E7"/>
    <w:rsid w:val="00155D67"/>
    <w:rsid w:val="001610D8"/>
    <w:rsid w:val="00170224"/>
    <w:rsid w:val="00183C1F"/>
    <w:rsid w:val="001B4B8E"/>
    <w:rsid w:val="001B6740"/>
    <w:rsid w:val="001D0C5C"/>
    <w:rsid w:val="001E25BD"/>
    <w:rsid w:val="001E7C23"/>
    <w:rsid w:val="001F2EEF"/>
    <w:rsid w:val="001F4727"/>
    <w:rsid w:val="002023D6"/>
    <w:rsid w:val="00204392"/>
    <w:rsid w:val="00204413"/>
    <w:rsid w:val="00210133"/>
    <w:rsid w:val="00225B2B"/>
    <w:rsid w:val="00231936"/>
    <w:rsid w:val="00231BB0"/>
    <w:rsid w:val="002379CB"/>
    <w:rsid w:val="00260167"/>
    <w:rsid w:val="00264AD1"/>
    <w:rsid w:val="00277759"/>
    <w:rsid w:val="002832E0"/>
    <w:rsid w:val="00286F8C"/>
    <w:rsid w:val="002905A1"/>
    <w:rsid w:val="0029309E"/>
    <w:rsid w:val="0029562A"/>
    <w:rsid w:val="002957B6"/>
    <w:rsid w:val="002977E1"/>
    <w:rsid w:val="002B3534"/>
    <w:rsid w:val="002B7FBD"/>
    <w:rsid w:val="002C70FD"/>
    <w:rsid w:val="002D2BFA"/>
    <w:rsid w:val="002F3C7F"/>
    <w:rsid w:val="003223B0"/>
    <w:rsid w:val="00354CE7"/>
    <w:rsid w:val="003627E5"/>
    <w:rsid w:val="00365790"/>
    <w:rsid w:val="00367D1E"/>
    <w:rsid w:val="00371948"/>
    <w:rsid w:val="00393573"/>
    <w:rsid w:val="003962F9"/>
    <w:rsid w:val="003A24E2"/>
    <w:rsid w:val="003A33AF"/>
    <w:rsid w:val="003A68D0"/>
    <w:rsid w:val="003D3F45"/>
    <w:rsid w:val="003E1845"/>
    <w:rsid w:val="0040075D"/>
    <w:rsid w:val="00401D0F"/>
    <w:rsid w:val="00406E01"/>
    <w:rsid w:val="00417FF6"/>
    <w:rsid w:val="00420CAD"/>
    <w:rsid w:val="00425C3E"/>
    <w:rsid w:val="0043222F"/>
    <w:rsid w:val="00434C2D"/>
    <w:rsid w:val="00437746"/>
    <w:rsid w:val="00443834"/>
    <w:rsid w:val="00446838"/>
    <w:rsid w:val="0044775D"/>
    <w:rsid w:val="00464571"/>
    <w:rsid w:val="00465514"/>
    <w:rsid w:val="00484D58"/>
    <w:rsid w:val="00491EDA"/>
    <w:rsid w:val="004B60C9"/>
    <w:rsid w:val="004C7E35"/>
    <w:rsid w:val="004D434B"/>
    <w:rsid w:val="004D531B"/>
    <w:rsid w:val="004D5FAD"/>
    <w:rsid w:val="004E1CBE"/>
    <w:rsid w:val="004F1D6C"/>
    <w:rsid w:val="004F33A7"/>
    <w:rsid w:val="004F456B"/>
    <w:rsid w:val="005006B3"/>
    <w:rsid w:val="00511FE7"/>
    <w:rsid w:val="00515E8D"/>
    <w:rsid w:val="0052235D"/>
    <w:rsid w:val="0052383B"/>
    <w:rsid w:val="005306A5"/>
    <w:rsid w:val="00542025"/>
    <w:rsid w:val="00543BDD"/>
    <w:rsid w:val="0056074D"/>
    <w:rsid w:val="00563025"/>
    <w:rsid w:val="00564EFA"/>
    <w:rsid w:val="005801DF"/>
    <w:rsid w:val="00585FF6"/>
    <w:rsid w:val="00597255"/>
    <w:rsid w:val="005A0017"/>
    <w:rsid w:val="005A2137"/>
    <w:rsid w:val="005A6367"/>
    <w:rsid w:val="005A67AB"/>
    <w:rsid w:val="005D306A"/>
    <w:rsid w:val="005D4AE6"/>
    <w:rsid w:val="005F08FF"/>
    <w:rsid w:val="005F2920"/>
    <w:rsid w:val="00622495"/>
    <w:rsid w:val="006312CF"/>
    <w:rsid w:val="00660017"/>
    <w:rsid w:val="006617B4"/>
    <w:rsid w:val="00671F2F"/>
    <w:rsid w:val="006722FC"/>
    <w:rsid w:val="006868B7"/>
    <w:rsid w:val="00694C18"/>
    <w:rsid w:val="006A451D"/>
    <w:rsid w:val="006A6AC6"/>
    <w:rsid w:val="006F4F44"/>
    <w:rsid w:val="006F63A3"/>
    <w:rsid w:val="006F7B4F"/>
    <w:rsid w:val="00704499"/>
    <w:rsid w:val="0072494A"/>
    <w:rsid w:val="007263F0"/>
    <w:rsid w:val="007269C3"/>
    <w:rsid w:val="007276E5"/>
    <w:rsid w:val="00733C45"/>
    <w:rsid w:val="007441DF"/>
    <w:rsid w:val="00760192"/>
    <w:rsid w:val="007700B4"/>
    <w:rsid w:val="007A63F9"/>
    <w:rsid w:val="007B09C7"/>
    <w:rsid w:val="007B6E65"/>
    <w:rsid w:val="007D46EE"/>
    <w:rsid w:val="007D4AB2"/>
    <w:rsid w:val="007D7909"/>
    <w:rsid w:val="00802069"/>
    <w:rsid w:val="008165DF"/>
    <w:rsid w:val="00820370"/>
    <w:rsid w:val="0083536B"/>
    <w:rsid w:val="00847DFC"/>
    <w:rsid w:val="0085545B"/>
    <w:rsid w:val="00856D7F"/>
    <w:rsid w:val="008667FF"/>
    <w:rsid w:val="008713ED"/>
    <w:rsid w:val="00885351"/>
    <w:rsid w:val="0088617E"/>
    <w:rsid w:val="008B39FD"/>
    <w:rsid w:val="008E12D8"/>
    <w:rsid w:val="008F5823"/>
    <w:rsid w:val="0090552B"/>
    <w:rsid w:val="0091678F"/>
    <w:rsid w:val="0092084B"/>
    <w:rsid w:val="009417C0"/>
    <w:rsid w:val="00941A48"/>
    <w:rsid w:val="00944878"/>
    <w:rsid w:val="00946C29"/>
    <w:rsid w:val="00987FC1"/>
    <w:rsid w:val="00990B19"/>
    <w:rsid w:val="009A2285"/>
    <w:rsid w:val="009A2998"/>
    <w:rsid w:val="009B2ABC"/>
    <w:rsid w:val="009B4569"/>
    <w:rsid w:val="009B7879"/>
    <w:rsid w:val="009C2D48"/>
    <w:rsid w:val="009C44A3"/>
    <w:rsid w:val="009D5A66"/>
    <w:rsid w:val="009F32ED"/>
    <w:rsid w:val="009F6A8A"/>
    <w:rsid w:val="00A2443F"/>
    <w:rsid w:val="00A24BD6"/>
    <w:rsid w:val="00A26729"/>
    <w:rsid w:val="00A574B1"/>
    <w:rsid w:val="00A7055B"/>
    <w:rsid w:val="00A747C5"/>
    <w:rsid w:val="00A87353"/>
    <w:rsid w:val="00AA2F7B"/>
    <w:rsid w:val="00AA3D34"/>
    <w:rsid w:val="00AA60CE"/>
    <w:rsid w:val="00AA6327"/>
    <w:rsid w:val="00AC0076"/>
    <w:rsid w:val="00AC026B"/>
    <w:rsid w:val="00AC6B87"/>
    <w:rsid w:val="00AC6F7E"/>
    <w:rsid w:val="00AD594A"/>
    <w:rsid w:val="00AE54A4"/>
    <w:rsid w:val="00AE5BEC"/>
    <w:rsid w:val="00AF2A7D"/>
    <w:rsid w:val="00AF5F0A"/>
    <w:rsid w:val="00B00091"/>
    <w:rsid w:val="00B1033C"/>
    <w:rsid w:val="00B10CA0"/>
    <w:rsid w:val="00B55D6A"/>
    <w:rsid w:val="00B70BEF"/>
    <w:rsid w:val="00B74F0B"/>
    <w:rsid w:val="00B925FD"/>
    <w:rsid w:val="00B92F3E"/>
    <w:rsid w:val="00BC011C"/>
    <w:rsid w:val="00BC5367"/>
    <w:rsid w:val="00BC58FF"/>
    <w:rsid w:val="00BD6DE8"/>
    <w:rsid w:val="00BE719F"/>
    <w:rsid w:val="00BF22BD"/>
    <w:rsid w:val="00BF4764"/>
    <w:rsid w:val="00C06225"/>
    <w:rsid w:val="00C220C0"/>
    <w:rsid w:val="00C4253A"/>
    <w:rsid w:val="00C71D46"/>
    <w:rsid w:val="00C80999"/>
    <w:rsid w:val="00C955E6"/>
    <w:rsid w:val="00C975AE"/>
    <w:rsid w:val="00CA1570"/>
    <w:rsid w:val="00CA4B88"/>
    <w:rsid w:val="00CB4BA4"/>
    <w:rsid w:val="00CC18B5"/>
    <w:rsid w:val="00CC50A7"/>
    <w:rsid w:val="00CD3997"/>
    <w:rsid w:val="00CD7EAD"/>
    <w:rsid w:val="00D05B9F"/>
    <w:rsid w:val="00D10460"/>
    <w:rsid w:val="00D128F8"/>
    <w:rsid w:val="00D13C11"/>
    <w:rsid w:val="00D13F2A"/>
    <w:rsid w:val="00D14E0A"/>
    <w:rsid w:val="00D34771"/>
    <w:rsid w:val="00D36633"/>
    <w:rsid w:val="00D46DE1"/>
    <w:rsid w:val="00D47A2E"/>
    <w:rsid w:val="00D520A7"/>
    <w:rsid w:val="00D551C1"/>
    <w:rsid w:val="00D62D8A"/>
    <w:rsid w:val="00D62F74"/>
    <w:rsid w:val="00D6787E"/>
    <w:rsid w:val="00D72CAC"/>
    <w:rsid w:val="00D82DF3"/>
    <w:rsid w:val="00DA29CC"/>
    <w:rsid w:val="00DA45D9"/>
    <w:rsid w:val="00DB665E"/>
    <w:rsid w:val="00DB68BB"/>
    <w:rsid w:val="00DC0A40"/>
    <w:rsid w:val="00DD1302"/>
    <w:rsid w:val="00DF77E2"/>
    <w:rsid w:val="00E053EE"/>
    <w:rsid w:val="00E10DEB"/>
    <w:rsid w:val="00E20274"/>
    <w:rsid w:val="00E24208"/>
    <w:rsid w:val="00E77039"/>
    <w:rsid w:val="00E959A8"/>
    <w:rsid w:val="00EA5199"/>
    <w:rsid w:val="00EA7491"/>
    <w:rsid w:val="00EB1032"/>
    <w:rsid w:val="00EC45D3"/>
    <w:rsid w:val="00EC7F2C"/>
    <w:rsid w:val="00ED30CD"/>
    <w:rsid w:val="00ED5D78"/>
    <w:rsid w:val="00EF4E31"/>
    <w:rsid w:val="00F110F5"/>
    <w:rsid w:val="00F16253"/>
    <w:rsid w:val="00F16663"/>
    <w:rsid w:val="00F21408"/>
    <w:rsid w:val="00F22B1B"/>
    <w:rsid w:val="00F343FB"/>
    <w:rsid w:val="00F34AB3"/>
    <w:rsid w:val="00F47435"/>
    <w:rsid w:val="00F532BA"/>
    <w:rsid w:val="00F5747A"/>
    <w:rsid w:val="00F6254F"/>
    <w:rsid w:val="00F74A02"/>
    <w:rsid w:val="00F76ECC"/>
    <w:rsid w:val="00F81885"/>
    <w:rsid w:val="00F85E56"/>
    <w:rsid w:val="00FA274A"/>
    <w:rsid w:val="00FB7D26"/>
    <w:rsid w:val="00FC66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CC51F"/>
  <w15:docId w15:val="{3DE1B652-EBE2-4CB0-B972-584FDAA0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5D4AE6"/>
    <w:pPr>
      <w:spacing w:before="100" w:beforeAutospacing="1" w:after="100" w:afterAutospacing="1" w:line="240" w:lineRule="auto"/>
    </w:pPr>
    <w:rPr>
      <w:rFonts w:eastAsia="Times New Roman" w:cs="Times New Roman"/>
      <w:szCs w:val="24"/>
      <w:lang w:eastAsia="lv-LV"/>
    </w:rPr>
  </w:style>
  <w:style w:type="paragraph" w:customStyle="1" w:styleId="naisnod">
    <w:name w:val="naisnod"/>
    <w:basedOn w:val="Normal"/>
    <w:rsid w:val="005D4AE6"/>
    <w:pPr>
      <w:spacing w:before="100" w:beforeAutospacing="1" w:after="100" w:afterAutospacing="1" w:line="240" w:lineRule="auto"/>
    </w:pPr>
    <w:rPr>
      <w:rFonts w:eastAsia="Times New Roman" w:cs="Times New Roman"/>
      <w:szCs w:val="24"/>
      <w:lang w:eastAsia="lv-LV"/>
    </w:rPr>
  </w:style>
  <w:style w:type="paragraph" w:customStyle="1" w:styleId="naisc">
    <w:name w:val="naisc"/>
    <w:basedOn w:val="Normal"/>
    <w:rsid w:val="005D4AE6"/>
    <w:pPr>
      <w:spacing w:before="100" w:beforeAutospacing="1" w:after="100" w:afterAutospacing="1" w:line="240" w:lineRule="auto"/>
    </w:pPr>
    <w:rPr>
      <w:rFonts w:eastAsia="Times New Roman" w:cs="Times New Roman"/>
      <w:szCs w:val="24"/>
      <w:lang w:eastAsia="lv-LV"/>
    </w:rPr>
  </w:style>
  <w:style w:type="paragraph" w:customStyle="1" w:styleId="naisf">
    <w:name w:val="naisf"/>
    <w:basedOn w:val="Normal"/>
    <w:rsid w:val="005D4AE6"/>
    <w:pPr>
      <w:spacing w:before="100" w:beforeAutospacing="1" w:after="100" w:afterAutospacing="1" w:line="240" w:lineRule="auto"/>
    </w:pPr>
    <w:rPr>
      <w:rFonts w:eastAsia="Times New Roman" w:cs="Times New Roman"/>
      <w:szCs w:val="24"/>
      <w:lang w:eastAsia="lv-LV"/>
    </w:rPr>
  </w:style>
  <w:style w:type="paragraph" w:styleId="ListParagraph">
    <w:name w:val="List Paragraph"/>
    <w:basedOn w:val="Normal"/>
    <w:uiPriority w:val="34"/>
    <w:qFormat/>
    <w:rsid w:val="00367D1E"/>
    <w:pPr>
      <w:ind w:left="720"/>
      <w:contextualSpacing/>
    </w:pPr>
  </w:style>
  <w:style w:type="paragraph" w:styleId="Header">
    <w:name w:val="header"/>
    <w:basedOn w:val="Normal"/>
    <w:link w:val="HeaderChar"/>
    <w:uiPriority w:val="99"/>
    <w:unhideWhenUsed/>
    <w:rsid w:val="002319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31936"/>
  </w:style>
  <w:style w:type="paragraph" w:styleId="Footer">
    <w:name w:val="footer"/>
    <w:basedOn w:val="Normal"/>
    <w:link w:val="FooterChar"/>
    <w:uiPriority w:val="99"/>
    <w:unhideWhenUsed/>
    <w:rsid w:val="002319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31936"/>
  </w:style>
  <w:style w:type="paragraph" w:styleId="BalloonText">
    <w:name w:val="Balloon Text"/>
    <w:basedOn w:val="Normal"/>
    <w:link w:val="BalloonTextChar"/>
    <w:uiPriority w:val="99"/>
    <w:semiHidden/>
    <w:unhideWhenUsed/>
    <w:rsid w:val="00231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936"/>
    <w:rPr>
      <w:rFonts w:ascii="Tahoma" w:hAnsi="Tahoma" w:cs="Tahoma"/>
      <w:sz w:val="16"/>
      <w:szCs w:val="16"/>
    </w:rPr>
  </w:style>
  <w:style w:type="character" w:styleId="CommentReference">
    <w:name w:val="annotation reference"/>
    <w:basedOn w:val="DefaultParagraphFont"/>
    <w:uiPriority w:val="99"/>
    <w:semiHidden/>
    <w:unhideWhenUsed/>
    <w:rsid w:val="009B4569"/>
    <w:rPr>
      <w:sz w:val="16"/>
      <w:szCs w:val="16"/>
    </w:rPr>
  </w:style>
  <w:style w:type="paragraph" w:styleId="CommentText">
    <w:name w:val="annotation text"/>
    <w:basedOn w:val="Normal"/>
    <w:link w:val="CommentTextChar"/>
    <w:uiPriority w:val="99"/>
    <w:semiHidden/>
    <w:unhideWhenUsed/>
    <w:rsid w:val="009B4569"/>
    <w:pPr>
      <w:spacing w:line="240" w:lineRule="auto"/>
    </w:pPr>
    <w:rPr>
      <w:sz w:val="20"/>
      <w:szCs w:val="20"/>
    </w:rPr>
  </w:style>
  <w:style w:type="character" w:customStyle="1" w:styleId="CommentTextChar">
    <w:name w:val="Comment Text Char"/>
    <w:basedOn w:val="DefaultParagraphFont"/>
    <w:link w:val="CommentText"/>
    <w:uiPriority w:val="99"/>
    <w:semiHidden/>
    <w:rsid w:val="009B4569"/>
    <w:rPr>
      <w:sz w:val="20"/>
      <w:szCs w:val="20"/>
    </w:rPr>
  </w:style>
  <w:style w:type="paragraph" w:styleId="CommentSubject">
    <w:name w:val="annotation subject"/>
    <w:basedOn w:val="CommentText"/>
    <w:next w:val="CommentText"/>
    <w:link w:val="CommentSubjectChar"/>
    <w:uiPriority w:val="99"/>
    <w:semiHidden/>
    <w:unhideWhenUsed/>
    <w:rsid w:val="009B4569"/>
    <w:rPr>
      <w:b/>
      <w:bCs/>
    </w:rPr>
  </w:style>
  <w:style w:type="character" w:customStyle="1" w:styleId="CommentSubjectChar">
    <w:name w:val="Comment Subject Char"/>
    <w:basedOn w:val="CommentTextChar"/>
    <w:link w:val="CommentSubject"/>
    <w:uiPriority w:val="99"/>
    <w:semiHidden/>
    <w:rsid w:val="009B4569"/>
    <w:rPr>
      <w:b/>
      <w:bCs/>
      <w:sz w:val="20"/>
      <w:szCs w:val="20"/>
    </w:rPr>
  </w:style>
  <w:style w:type="paragraph" w:styleId="Revision">
    <w:name w:val="Revision"/>
    <w:hidden/>
    <w:uiPriority w:val="99"/>
    <w:semiHidden/>
    <w:rsid w:val="00417FF6"/>
    <w:pPr>
      <w:spacing w:after="0" w:line="240" w:lineRule="auto"/>
    </w:pPr>
  </w:style>
  <w:style w:type="paragraph" w:customStyle="1" w:styleId="Default">
    <w:name w:val="Default"/>
    <w:rsid w:val="00E77039"/>
    <w:pPr>
      <w:autoSpaceDE w:val="0"/>
      <w:autoSpaceDN w:val="0"/>
      <w:adjustRightInd w:val="0"/>
      <w:spacing w:after="0" w:line="240" w:lineRule="auto"/>
    </w:pPr>
    <w:rPr>
      <w:rFonts w:ascii="EUAlbertina" w:hAnsi="EUAlbertina" w:cs="EUAlbertina"/>
      <w:color w:val="000000"/>
      <w:szCs w:val="24"/>
    </w:rPr>
  </w:style>
  <w:style w:type="character" w:styleId="Hyperlink">
    <w:name w:val="Hyperlink"/>
    <w:basedOn w:val="DefaultParagraphFont"/>
    <w:uiPriority w:val="99"/>
    <w:unhideWhenUsed/>
    <w:rsid w:val="00F16663"/>
    <w:rPr>
      <w:color w:val="0000FF" w:themeColor="hyperlink"/>
      <w:u w:val="single"/>
    </w:rPr>
  </w:style>
  <w:style w:type="paragraph" w:customStyle="1" w:styleId="norm">
    <w:name w:val="norm"/>
    <w:basedOn w:val="Normal"/>
    <w:rsid w:val="00564EFA"/>
    <w:pPr>
      <w:spacing w:before="100" w:beforeAutospacing="1" w:after="100" w:afterAutospacing="1" w:line="240" w:lineRule="auto"/>
    </w:pPr>
    <w:rPr>
      <w:rFonts w:eastAsia="Times New Roman" w:cs="Times New Roman"/>
      <w:szCs w:val="24"/>
      <w:lang w:eastAsia="lv-LV"/>
    </w:rPr>
  </w:style>
  <w:style w:type="paragraph" w:customStyle="1" w:styleId="List1">
    <w:name w:val="List1"/>
    <w:basedOn w:val="Normal"/>
    <w:rsid w:val="00564EFA"/>
    <w:pPr>
      <w:spacing w:before="100" w:beforeAutospacing="1" w:after="100" w:afterAutospacing="1" w:line="240" w:lineRule="auto"/>
    </w:pPr>
    <w:rPr>
      <w:rFonts w:eastAsia="Times New Roman" w:cs="Times New Roman"/>
      <w:szCs w:val="24"/>
      <w:lang w:eastAsia="lv-LV"/>
    </w:rPr>
  </w:style>
  <w:style w:type="character" w:styleId="FollowedHyperlink">
    <w:name w:val="FollowedHyperlink"/>
    <w:uiPriority w:val="99"/>
    <w:semiHidden/>
    <w:rsid w:val="00B74F0B"/>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4203">
      <w:bodyDiv w:val="1"/>
      <w:marLeft w:val="0"/>
      <w:marRight w:val="0"/>
      <w:marTop w:val="0"/>
      <w:marBottom w:val="0"/>
      <w:divBdr>
        <w:top w:val="none" w:sz="0" w:space="0" w:color="auto"/>
        <w:left w:val="none" w:sz="0" w:space="0" w:color="auto"/>
        <w:bottom w:val="none" w:sz="0" w:space="0" w:color="auto"/>
        <w:right w:val="none" w:sz="0" w:space="0" w:color="auto"/>
      </w:divBdr>
    </w:div>
    <w:div w:id="64306685">
      <w:bodyDiv w:val="1"/>
      <w:marLeft w:val="0"/>
      <w:marRight w:val="0"/>
      <w:marTop w:val="0"/>
      <w:marBottom w:val="0"/>
      <w:divBdr>
        <w:top w:val="none" w:sz="0" w:space="0" w:color="auto"/>
        <w:left w:val="none" w:sz="0" w:space="0" w:color="auto"/>
        <w:bottom w:val="none" w:sz="0" w:space="0" w:color="auto"/>
        <w:right w:val="none" w:sz="0" w:space="0" w:color="auto"/>
      </w:divBdr>
    </w:div>
    <w:div w:id="128058951">
      <w:bodyDiv w:val="1"/>
      <w:marLeft w:val="0"/>
      <w:marRight w:val="0"/>
      <w:marTop w:val="0"/>
      <w:marBottom w:val="0"/>
      <w:divBdr>
        <w:top w:val="none" w:sz="0" w:space="0" w:color="auto"/>
        <w:left w:val="none" w:sz="0" w:space="0" w:color="auto"/>
        <w:bottom w:val="none" w:sz="0" w:space="0" w:color="auto"/>
        <w:right w:val="none" w:sz="0" w:space="0" w:color="auto"/>
      </w:divBdr>
    </w:div>
    <w:div w:id="1396513417">
      <w:bodyDiv w:val="1"/>
      <w:marLeft w:val="0"/>
      <w:marRight w:val="0"/>
      <w:marTop w:val="0"/>
      <w:marBottom w:val="0"/>
      <w:divBdr>
        <w:top w:val="none" w:sz="0" w:space="0" w:color="auto"/>
        <w:left w:val="none" w:sz="0" w:space="0" w:color="auto"/>
        <w:bottom w:val="none" w:sz="0" w:space="0" w:color="auto"/>
        <w:right w:val="none" w:sz="0" w:space="0" w:color="auto"/>
      </w:divBdr>
    </w:div>
    <w:div w:id="1654260038">
      <w:bodyDiv w:val="1"/>
      <w:marLeft w:val="0"/>
      <w:marRight w:val="0"/>
      <w:marTop w:val="0"/>
      <w:marBottom w:val="0"/>
      <w:divBdr>
        <w:top w:val="none" w:sz="0" w:space="0" w:color="auto"/>
        <w:left w:val="none" w:sz="0" w:space="0" w:color="auto"/>
        <w:bottom w:val="none" w:sz="0" w:space="0" w:color="auto"/>
        <w:right w:val="none" w:sz="0" w:space="0" w:color="auto"/>
      </w:divBdr>
    </w:div>
    <w:div w:id="203581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gov.lv/lv/sadalas/muitas_politika/noderiga_informacija/"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tjana.kronberga@f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C6CE3-1422-46C4-A6CA-E609B5DCF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21717</Words>
  <Characters>12380</Characters>
  <Application>Microsoft Office Word</Application>
  <DocSecurity>0</DocSecurity>
  <Lines>103</Lines>
  <Paragraphs>68</Paragraphs>
  <ScaleCrop>false</ScaleCrop>
  <HeadingPairs>
    <vt:vector size="2" baseType="variant">
      <vt:variant>
        <vt:lpstr>Title</vt:lpstr>
      </vt:variant>
      <vt:variant>
        <vt:i4>1</vt:i4>
      </vt:variant>
    </vt:vector>
  </HeadingPairs>
  <TitlesOfParts>
    <vt:vector size="1" baseType="lpstr">
      <vt:lpstr>Noteikumu projekta “Muitas procedūras – tranzīts – piemērošanas kārtība” sākotnējās ietekmes novērtējuma ziņojums (anotācija)</vt:lpstr>
    </vt:vector>
  </TitlesOfParts>
  <Company>Finanšu ministrija</Company>
  <LinksUpToDate>false</LinksUpToDate>
  <CharactersWithSpaces>34029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“Muitas procedūras – tranzīts – piemērošanas kārtība” sākotnējās ietekmes novērtējuma ziņojums (anotācija)</dc:title>
  <dc:subject>anotācija</dc:subject>
  <dc:creator>Tatjana Kronberga</dc:creator>
  <dc:description>T.Kronberga
67083811, tatjana.kronberga@fm.gov.lv</dc:description>
  <cp:lastModifiedBy>Liene Strēlniece</cp:lastModifiedBy>
  <cp:revision>4</cp:revision>
  <cp:lastPrinted>2014-07-18T07:43:00Z</cp:lastPrinted>
  <dcterms:created xsi:type="dcterms:W3CDTF">2014-09-26T08:04:00Z</dcterms:created>
  <dcterms:modified xsi:type="dcterms:W3CDTF">2014-09-26T13:02:00Z</dcterms:modified>
</cp:coreProperties>
</file>