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8B" w:rsidRPr="00825BA1" w:rsidRDefault="001B0D8B" w:rsidP="0012397E">
      <w:pPr>
        <w:pStyle w:val="Footer"/>
        <w:jc w:val="center"/>
        <w:rPr>
          <w:rFonts w:ascii="Times New Roman" w:hAnsi="Times New Roman" w:cs="Times New Roman"/>
          <w:b/>
          <w:sz w:val="24"/>
          <w:szCs w:val="24"/>
        </w:rPr>
      </w:pPr>
      <w:r w:rsidRPr="00825BA1">
        <w:rPr>
          <w:rFonts w:ascii="Times New Roman" w:hAnsi="Times New Roman" w:cs="Times New Roman"/>
          <w:b/>
          <w:sz w:val="24"/>
          <w:szCs w:val="24"/>
        </w:rPr>
        <w:t xml:space="preserve">Ministru kabineta </w:t>
      </w:r>
      <w:r w:rsidR="00D00F79" w:rsidRPr="00825BA1">
        <w:rPr>
          <w:rFonts w:ascii="Times New Roman" w:hAnsi="Times New Roman" w:cs="Times New Roman"/>
          <w:b/>
          <w:sz w:val="24"/>
          <w:szCs w:val="24"/>
        </w:rPr>
        <w:t xml:space="preserve">rīkojuma </w:t>
      </w:r>
      <w:r w:rsidRPr="00825BA1">
        <w:rPr>
          <w:rFonts w:ascii="Times New Roman" w:hAnsi="Times New Roman" w:cs="Times New Roman"/>
          <w:b/>
          <w:sz w:val="24"/>
          <w:szCs w:val="24"/>
        </w:rPr>
        <w:t>projekta</w:t>
      </w:r>
    </w:p>
    <w:p w:rsidR="00521527" w:rsidRPr="00825BA1" w:rsidRDefault="001B0D8B" w:rsidP="009441EF">
      <w:pPr>
        <w:spacing w:after="0" w:line="240" w:lineRule="auto"/>
        <w:jc w:val="center"/>
        <w:rPr>
          <w:rFonts w:ascii="Times New Roman" w:eastAsia="Times New Roman" w:hAnsi="Times New Roman" w:cs="Times New Roman"/>
          <w:i/>
          <w:iCs/>
          <w:sz w:val="24"/>
          <w:szCs w:val="24"/>
          <w:lang w:eastAsia="lv-LV"/>
        </w:rPr>
      </w:pPr>
      <w:r w:rsidRPr="00825BA1">
        <w:rPr>
          <w:rFonts w:ascii="Times New Roman" w:hAnsi="Times New Roman" w:cs="Times New Roman"/>
          <w:b/>
          <w:sz w:val="24"/>
          <w:szCs w:val="24"/>
        </w:rPr>
        <w:t>„</w:t>
      </w:r>
      <w:r w:rsidR="00F5482B" w:rsidRPr="00825BA1">
        <w:rPr>
          <w:rFonts w:ascii="Times New Roman" w:hAnsi="Times New Roman" w:cs="Times New Roman"/>
          <w:b/>
          <w:sz w:val="24"/>
          <w:szCs w:val="24"/>
        </w:rPr>
        <w:t>Par darbības programm</w:t>
      </w:r>
      <w:r w:rsidR="003B45AD" w:rsidRPr="00825BA1">
        <w:rPr>
          <w:rFonts w:ascii="Times New Roman" w:hAnsi="Times New Roman" w:cs="Times New Roman"/>
          <w:b/>
          <w:sz w:val="24"/>
          <w:szCs w:val="24"/>
        </w:rPr>
        <w:t>as</w:t>
      </w:r>
      <w:r w:rsidR="00F5482B" w:rsidRPr="00825BA1">
        <w:rPr>
          <w:rFonts w:ascii="Times New Roman" w:hAnsi="Times New Roman" w:cs="Times New Roman"/>
          <w:b/>
          <w:sz w:val="24"/>
          <w:szCs w:val="24"/>
        </w:rPr>
        <w:t xml:space="preserve"> ,,Izaugsme un nodarbinātība</w:t>
      </w:r>
      <w:r w:rsidR="008D4C9A" w:rsidRPr="00825BA1">
        <w:rPr>
          <w:rFonts w:ascii="Times New Roman" w:hAnsi="Times New Roman" w:cs="Times New Roman"/>
          <w:b/>
          <w:sz w:val="24"/>
          <w:szCs w:val="24"/>
        </w:rPr>
        <w:t>”</w:t>
      </w:r>
      <w:r w:rsidR="008C478F" w:rsidRPr="00825BA1">
        <w:rPr>
          <w:rFonts w:ascii="Times New Roman" w:hAnsi="Times New Roman" w:cs="Times New Roman"/>
          <w:b/>
          <w:sz w:val="24"/>
          <w:szCs w:val="24"/>
        </w:rPr>
        <w:t xml:space="preserve"> </w:t>
      </w:r>
      <w:r w:rsidR="003B45AD" w:rsidRPr="00825BA1">
        <w:rPr>
          <w:rFonts w:ascii="Times New Roman" w:hAnsi="Times New Roman" w:cs="Times New Roman"/>
          <w:b/>
          <w:sz w:val="24"/>
          <w:szCs w:val="24"/>
        </w:rPr>
        <w:t xml:space="preserve">projektu </w:t>
      </w:r>
      <w:r w:rsidR="003B45AD" w:rsidRPr="00825BA1">
        <w:rPr>
          <w:rFonts w:ascii="Times New Roman" w:hAnsi="Times New Roman" w:cs="Times New Roman"/>
          <w:b/>
          <w:sz w:val="24"/>
          <w:szCs w:val="24"/>
          <w:lang w:val="de-DE"/>
        </w:rPr>
        <w:t>2014.-2020.gada plānošanas periodam“</w:t>
      </w:r>
      <w:r w:rsidR="003B45AD" w:rsidRPr="00825BA1">
        <w:rPr>
          <w:rFonts w:ascii="Times New Roman" w:hAnsi="Times New Roman" w:cs="Times New Roman"/>
          <w:b/>
          <w:sz w:val="24"/>
          <w:szCs w:val="24"/>
        </w:rPr>
        <w:t xml:space="preserve"> </w:t>
      </w:r>
      <w:r w:rsidRPr="00825BA1">
        <w:rPr>
          <w:rFonts w:ascii="Times New Roman" w:hAnsi="Times New Roman" w:cs="Times New Roman"/>
          <w:b/>
          <w:sz w:val="24"/>
          <w:szCs w:val="24"/>
        </w:rPr>
        <w:t xml:space="preserve">sākotnējās ietekmes novērtējuma ziņojums </w:t>
      </w:r>
      <w:r w:rsidRPr="00825BA1">
        <w:rPr>
          <w:rFonts w:ascii="Times New Roman" w:hAnsi="Times New Roman" w:cs="Times New Roman"/>
          <w:sz w:val="24"/>
          <w:szCs w:val="24"/>
        </w:rPr>
        <w:t>(anotācija)</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424"/>
        <w:gridCol w:w="5674"/>
      </w:tblGrid>
      <w:tr w:rsidR="002C59EB" w:rsidRPr="00825BA1" w:rsidTr="00AF0003">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521527" w:rsidRPr="00825BA1" w:rsidRDefault="00521527" w:rsidP="00C034B1">
            <w:pPr>
              <w:spacing w:after="0" w:line="240" w:lineRule="auto"/>
              <w:ind w:firstLine="300"/>
              <w:jc w:val="center"/>
              <w:rPr>
                <w:rFonts w:ascii="Times New Roman" w:eastAsia="Times New Roman" w:hAnsi="Times New Roman" w:cs="Times New Roman"/>
                <w:b/>
                <w:bCs/>
                <w:sz w:val="24"/>
                <w:szCs w:val="24"/>
                <w:lang w:eastAsia="lv-LV"/>
              </w:rPr>
            </w:pPr>
            <w:r w:rsidRPr="00825BA1">
              <w:rPr>
                <w:rFonts w:ascii="Times New Roman" w:eastAsia="Times New Roman" w:hAnsi="Times New Roman" w:cs="Times New Roman"/>
                <w:b/>
                <w:bCs/>
                <w:sz w:val="24"/>
                <w:szCs w:val="24"/>
                <w:lang w:eastAsia="lv-LV"/>
              </w:rPr>
              <w:t>I. Tiesību akta projekta izstrādes nepieciešamība</w:t>
            </w:r>
          </w:p>
        </w:tc>
      </w:tr>
      <w:tr w:rsidR="002C59EB" w:rsidRPr="00825BA1" w:rsidTr="00AF0003">
        <w:trPr>
          <w:trHeight w:val="405"/>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ind w:firstLine="300"/>
              <w:jc w:val="center"/>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1.</w:t>
            </w:r>
          </w:p>
        </w:tc>
        <w:tc>
          <w:tcPr>
            <w:tcW w:w="1351"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Pamatojums</w:t>
            </w:r>
          </w:p>
        </w:tc>
        <w:tc>
          <w:tcPr>
            <w:tcW w:w="3142" w:type="pct"/>
            <w:tcBorders>
              <w:top w:val="outset" w:sz="6" w:space="0" w:color="auto"/>
              <w:left w:val="outset" w:sz="6" w:space="0" w:color="auto"/>
              <w:bottom w:val="outset" w:sz="6" w:space="0" w:color="auto"/>
              <w:right w:val="outset" w:sz="6" w:space="0" w:color="auto"/>
            </w:tcBorders>
            <w:hideMark/>
          </w:tcPr>
          <w:p w:rsidR="00D05C28" w:rsidRPr="00825BA1" w:rsidRDefault="00B837FC" w:rsidP="00435D46">
            <w:pPr>
              <w:tabs>
                <w:tab w:val="center" w:pos="709"/>
                <w:tab w:val="center" w:pos="4153"/>
                <w:tab w:val="right" w:pos="8306"/>
              </w:tabs>
              <w:spacing w:after="0" w:line="240" w:lineRule="auto"/>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Eiropas Savienības struktūrfondu un Kohēzijas fonda 2014.–2020.gada plānošanas perioda darbības programma</w:t>
            </w:r>
            <w:r w:rsidR="003B45AD" w:rsidRPr="00825BA1">
              <w:rPr>
                <w:rFonts w:ascii="Times New Roman" w:eastAsia="Times New Roman" w:hAnsi="Times New Roman" w:cs="Times New Roman"/>
                <w:color w:val="000000"/>
                <w:sz w:val="24"/>
                <w:szCs w:val="24"/>
                <w:lang w:eastAsia="lv-LV"/>
              </w:rPr>
              <w:t>s</w:t>
            </w:r>
            <w:r w:rsidRPr="00825BA1">
              <w:rPr>
                <w:rFonts w:ascii="Times New Roman" w:eastAsia="Times New Roman" w:hAnsi="Times New Roman" w:cs="Times New Roman"/>
                <w:color w:val="000000"/>
                <w:sz w:val="24"/>
                <w:szCs w:val="24"/>
                <w:lang w:eastAsia="lv-LV"/>
              </w:rPr>
              <w:t xml:space="preserve"> ,,Izaugsme un nodarbinātība” (turpmāk –</w:t>
            </w:r>
            <w:r w:rsidR="00BB2AC1" w:rsidRPr="00825BA1">
              <w:rPr>
                <w:rFonts w:ascii="Times New Roman" w:eastAsia="Times New Roman" w:hAnsi="Times New Roman" w:cs="Times New Roman"/>
                <w:color w:val="000000"/>
                <w:sz w:val="24"/>
                <w:szCs w:val="24"/>
                <w:lang w:eastAsia="lv-LV"/>
              </w:rPr>
              <w:t xml:space="preserve"> </w:t>
            </w:r>
            <w:r w:rsidRPr="00825BA1">
              <w:rPr>
                <w:rFonts w:ascii="Times New Roman" w:eastAsia="Times New Roman" w:hAnsi="Times New Roman" w:cs="Times New Roman"/>
                <w:color w:val="000000"/>
                <w:sz w:val="24"/>
                <w:szCs w:val="24"/>
                <w:lang w:eastAsia="lv-LV"/>
              </w:rPr>
              <w:t xml:space="preserve">darbības programma)  </w:t>
            </w:r>
            <w:r w:rsidR="003B45AD" w:rsidRPr="00825BA1">
              <w:rPr>
                <w:rFonts w:ascii="Times New Roman" w:eastAsia="Times New Roman" w:hAnsi="Times New Roman" w:cs="Times New Roman"/>
                <w:color w:val="000000"/>
                <w:sz w:val="24"/>
                <w:szCs w:val="24"/>
                <w:lang w:eastAsia="lv-LV"/>
              </w:rPr>
              <w:t xml:space="preserve">projekts </w:t>
            </w:r>
            <w:r w:rsidR="00D05C28" w:rsidRPr="00825BA1">
              <w:rPr>
                <w:rFonts w:ascii="Times New Roman" w:eastAsia="Times New Roman" w:hAnsi="Times New Roman" w:cs="Times New Roman"/>
                <w:color w:val="000000"/>
                <w:sz w:val="24"/>
                <w:szCs w:val="24"/>
                <w:lang w:eastAsia="lv-LV"/>
              </w:rPr>
              <w:t>ir virzāms Ministru kabinetā</w:t>
            </w:r>
            <w:r w:rsidR="0003669E" w:rsidRPr="00825BA1">
              <w:rPr>
                <w:rFonts w:ascii="Times New Roman" w:eastAsia="Times New Roman" w:hAnsi="Times New Roman" w:cs="Times New Roman"/>
                <w:color w:val="000000"/>
                <w:sz w:val="24"/>
                <w:szCs w:val="24"/>
                <w:lang w:eastAsia="lv-LV"/>
              </w:rPr>
              <w:t xml:space="preserve"> (turpmāk – MK)</w:t>
            </w:r>
            <w:r w:rsidR="00D05C28" w:rsidRPr="00825BA1">
              <w:rPr>
                <w:rFonts w:ascii="Times New Roman" w:eastAsia="Times New Roman" w:hAnsi="Times New Roman" w:cs="Times New Roman"/>
                <w:color w:val="000000"/>
                <w:sz w:val="24"/>
                <w:szCs w:val="24"/>
                <w:lang w:eastAsia="lv-LV"/>
              </w:rPr>
              <w:t xml:space="preserve"> apstiprināšanai</w:t>
            </w:r>
            <w:r w:rsidR="00E278C7" w:rsidRPr="00825BA1">
              <w:rPr>
                <w:rFonts w:ascii="Times New Roman" w:eastAsia="Times New Roman" w:hAnsi="Times New Roman" w:cs="Times New Roman"/>
                <w:color w:val="000000"/>
                <w:sz w:val="24"/>
                <w:szCs w:val="24"/>
                <w:lang w:eastAsia="lv-LV"/>
              </w:rPr>
              <w:t>,</w:t>
            </w:r>
            <w:r w:rsidR="00D05C28" w:rsidRPr="00825BA1">
              <w:rPr>
                <w:rFonts w:ascii="Times New Roman" w:eastAsia="Times New Roman" w:hAnsi="Times New Roman" w:cs="Times New Roman"/>
                <w:color w:val="000000"/>
                <w:sz w:val="24"/>
                <w:szCs w:val="24"/>
                <w:lang w:eastAsia="lv-LV"/>
              </w:rPr>
              <w:t xml:space="preserve"> pamatojoties uz </w:t>
            </w:r>
            <w:r w:rsidR="0003669E" w:rsidRPr="00825BA1">
              <w:rPr>
                <w:rFonts w:ascii="Times New Roman" w:hAnsi="Times New Roman" w:cs="Times New Roman"/>
                <w:sz w:val="24"/>
                <w:szCs w:val="24"/>
              </w:rPr>
              <w:t>MK</w:t>
            </w:r>
            <w:r w:rsidR="001C6E28" w:rsidRPr="00825BA1">
              <w:rPr>
                <w:rFonts w:ascii="Times New Roman" w:hAnsi="Times New Roman" w:cs="Times New Roman"/>
                <w:sz w:val="24"/>
                <w:szCs w:val="24"/>
              </w:rPr>
              <w:t xml:space="preserve"> 2013.gada 4.jūnija rīkojuma Nr.230 “Par </w:t>
            </w:r>
            <w:r w:rsidR="001C6E28" w:rsidRPr="00825BA1">
              <w:rPr>
                <w:rFonts w:ascii="Times New Roman" w:eastAsia="Times New Roman" w:hAnsi="Times New Roman" w:cs="Times New Roman"/>
                <w:color w:val="000000"/>
                <w:sz w:val="24"/>
                <w:szCs w:val="24"/>
                <w:lang w:eastAsia="lv-LV"/>
              </w:rPr>
              <w:t>Koncepciju par Eiropas Reģionālās attīstības fonda, Eiropas Sociālā fonda, Kohēzijas fonda, Eiropas Lauksaimniecības fonda lauku attīstībai un Eiropas Jūrlietu un zivsaimniecības fonda ieviešanu 2014.–2020.gadā Latvijā</w:t>
            </w:r>
            <w:r w:rsidR="001C6E28" w:rsidRPr="00825BA1">
              <w:rPr>
                <w:rFonts w:ascii="Times New Roman" w:hAnsi="Times New Roman" w:cs="Times New Roman"/>
                <w:sz w:val="24"/>
                <w:szCs w:val="24"/>
              </w:rPr>
              <w:t xml:space="preserve">” 2.punktu. </w:t>
            </w:r>
          </w:p>
          <w:p w:rsidR="00D05C28" w:rsidRPr="00825BA1" w:rsidRDefault="00B837FC" w:rsidP="00435D46">
            <w:pPr>
              <w:tabs>
                <w:tab w:val="center" w:pos="709"/>
                <w:tab w:val="center" w:pos="4153"/>
                <w:tab w:val="right" w:pos="8306"/>
              </w:tabs>
              <w:spacing w:after="0" w:line="240" w:lineRule="auto"/>
              <w:jc w:val="both"/>
              <w:rPr>
                <w:rFonts w:ascii="Times New Roman" w:hAnsi="Times New Roman" w:cs="Times New Roman"/>
                <w:sz w:val="24"/>
                <w:szCs w:val="24"/>
              </w:rPr>
            </w:pPr>
            <w:r w:rsidRPr="00825BA1">
              <w:rPr>
                <w:rFonts w:ascii="Times New Roman" w:eastAsia="Times New Roman" w:hAnsi="Times New Roman" w:cs="Times New Roman"/>
                <w:color w:val="000000"/>
                <w:sz w:val="24"/>
                <w:szCs w:val="24"/>
                <w:lang w:eastAsia="lv-LV"/>
              </w:rPr>
              <w:t>Darbības programma</w:t>
            </w:r>
            <w:r w:rsidR="00D05C28" w:rsidRPr="00825BA1">
              <w:rPr>
                <w:rFonts w:ascii="Times New Roman" w:eastAsia="Times New Roman" w:hAnsi="Times New Roman" w:cs="Times New Roman"/>
                <w:color w:val="000000"/>
                <w:sz w:val="24"/>
                <w:szCs w:val="24"/>
                <w:lang w:eastAsia="lv-LV"/>
              </w:rPr>
              <w:t xml:space="preserve"> ir </w:t>
            </w:r>
            <w:r w:rsidR="0032034C" w:rsidRPr="00825BA1">
              <w:rPr>
                <w:rFonts w:ascii="Times New Roman" w:hAnsi="Times New Roman" w:cs="Times New Roman"/>
                <w:sz w:val="24"/>
                <w:szCs w:val="24"/>
              </w:rPr>
              <w:t>izstrādāt</w:t>
            </w:r>
            <w:r w:rsidRPr="00825BA1">
              <w:rPr>
                <w:rFonts w:ascii="Times New Roman" w:hAnsi="Times New Roman" w:cs="Times New Roman"/>
                <w:sz w:val="24"/>
                <w:szCs w:val="24"/>
              </w:rPr>
              <w:t>a</w:t>
            </w:r>
            <w:r w:rsidR="0032034C" w:rsidRPr="00825BA1">
              <w:rPr>
                <w:rFonts w:ascii="Times New Roman" w:hAnsi="Times New Roman" w:cs="Times New Roman"/>
                <w:sz w:val="24"/>
                <w:szCs w:val="24"/>
              </w:rPr>
              <w:t xml:space="preserve"> saskaņā ar:</w:t>
            </w:r>
          </w:p>
          <w:p w:rsidR="0032034C" w:rsidRPr="00825BA1" w:rsidRDefault="0032034C" w:rsidP="00435D46">
            <w:pPr>
              <w:spacing w:after="0" w:line="240" w:lineRule="auto"/>
              <w:ind w:left="57" w:right="57"/>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(turpmāk – Regula Nr.1303/2013);</w:t>
            </w:r>
          </w:p>
          <w:p w:rsidR="0032034C" w:rsidRPr="00825BA1" w:rsidRDefault="0032034C" w:rsidP="00435D46">
            <w:pPr>
              <w:spacing w:after="0" w:line="240" w:lineRule="auto"/>
              <w:ind w:left="57" w:right="57"/>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Nr.1301/2013 par  Eiropas Reģionālās attīstības fondu un īpašiem noteikumiem attiecībā uz mērķi “Ieguldījums izaugsmei un nodarbinātībai” un ar ko atceļ Regulu (EK) Nr.1080/2006</w:t>
            </w:r>
            <w:r w:rsidR="00B837FC" w:rsidRPr="00825BA1">
              <w:rPr>
                <w:rFonts w:ascii="Times New Roman" w:hAnsi="Times New Roman" w:cs="Times New Roman"/>
                <w:sz w:val="24"/>
                <w:szCs w:val="24"/>
              </w:rPr>
              <w:t xml:space="preserve"> (turpmāk – Regula Nr. 1301/2013)</w:t>
            </w:r>
            <w:r w:rsidRPr="00825BA1">
              <w:rPr>
                <w:rFonts w:ascii="Times New Roman" w:hAnsi="Times New Roman" w:cs="Times New Roman"/>
                <w:sz w:val="24"/>
                <w:szCs w:val="24"/>
              </w:rPr>
              <w:t>;</w:t>
            </w:r>
          </w:p>
          <w:p w:rsidR="0032034C" w:rsidRPr="00825BA1" w:rsidRDefault="0032034C" w:rsidP="00435D46">
            <w:pPr>
              <w:spacing w:after="0" w:line="240" w:lineRule="auto"/>
              <w:ind w:left="57" w:right="57"/>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Nr.1304/2013 par Eiropas Sociālo fondu un ar ko atceļ Padomes Regulu (EK) Nr.1081/2006</w:t>
            </w:r>
            <w:r w:rsidR="00B837FC" w:rsidRPr="00825BA1">
              <w:rPr>
                <w:rFonts w:ascii="Times New Roman" w:hAnsi="Times New Roman" w:cs="Times New Roman"/>
                <w:sz w:val="24"/>
                <w:szCs w:val="24"/>
              </w:rPr>
              <w:t>(turpmāk – Regula Nr. 1304/2013)</w:t>
            </w:r>
            <w:r w:rsidRPr="00825BA1">
              <w:rPr>
                <w:rFonts w:ascii="Times New Roman" w:hAnsi="Times New Roman" w:cs="Times New Roman"/>
                <w:sz w:val="24"/>
                <w:szCs w:val="24"/>
              </w:rPr>
              <w:t>;</w:t>
            </w:r>
          </w:p>
          <w:p w:rsidR="00CA33F0" w:rsidRPr="00825BA1" w:rsidRDefault="0032034C" w:rsidP="00EF5E2D">
            <w:pPr>
              <w:spacing w:after="0" w:line="240" w:lineRule="auto"/>
              <w:ind w:left="57" w:right="57"/>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Nr.1300/2013  par Kohēzijas fondu un ar ko atceļ Padomes Regulu (EK) Nr.1084/2006</w:t>
            </w:r>
            <w:r w:rsidR="00B837FC" w:rsidRPr="00825BA1">
              <w:rPr>
                <w:rFonts w:ascii="Times New Roman" w:hAnsi="Times New Roman" w:cs="Times New Roman"/>
                <w:sz w:val="24"/>
                <w:szCs w:val="24"/>
              </w:rPr>
              <w:t>(turpmāk – Regula Nr. 1300/2013)</w:t>
            </w:r>
            <w:r w:rsidR="00E278C7" w:rsidRPr="00825BA1">
              <w:rPr>
                <w:rFonts w:ascii="Times New Roman" w:hAnsi="Times New Roman" w:cs="Times New Roman"/>
                <w:sz w:val="24"/>
                <w:szCs w:val="24"/>
              </w:rPr>
              <w:t>.</w:t>
            </w:r>
          </w:p>
        </w:tc>
      </w:tr>
      <w:tr w:rsidR="002C59EB" w:rsidRPr="00825BA1" w:rsidTr="00AF0003">
        <w:trPr>
          <w:trHeight w:val="465"/>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ind w:firstLine="300"/>
              <w:jc w:val="center"/>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2.</w:t>
            </w:r>
          </w:p>
        </w:tc>
        <w:tc>
          <w:tcPr>
            <w:tcW w:w="1351"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2" w:type="pct"/>
            <w:tcBorders>
              <w:top w:val="outset" w:sz="6" w:space="0" w:color="auto"/>
              <w:left w:val="outset" w:sz="6" w:space="0" w:color="auto"/>
              <w:bottom w:val="outset" w:sz="6" w:space="0" w:color="auto"/>
              <w:right w:val="outset" w:sz="6" w:space="0" w:color="auto"/>
            </w:tcBorders>
            <w:hideMark/>
          </w:tcPr>
          <w:p w:rsidR="00DC405E" w:rsidRPr="00825BA1" w:rsidRDefault="00DC405E" w:rsidP="00435D46">
            <w:pPr>
              <w:tabs>
                <w:tab w:val="center" w:pos="709"/>
                <w:tab w:val="center" w:pos="4153"/>
                <w:tab w:val="right" w:pos="8306"/>
              </w:tabs>
              <w:spacing w:after="0" w:line="240" w:lineRule="auto"/>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Saskaņā ar Finanšu min</w:t>
            </w:r>
            <w:r w:rsidR="00FE4701" w:rsidRPr="00825BA1">
              <w:rPr>
                <w:rFonts w:ascii="Times New Roman" w:eastAsia="Times New Roman" w:hAnsi="Times New Roman" w:cs="Times New Roman"/>
                <w:color w:val="000000"/>
                <w:sz w:val="24"/>
                <w:szCs w:val="24"/>
                <w:lang w:eastAsia="lv-LV"/>
              </w:rPr>
              <w:t>istrijas izstrādāto Koncepciju</w:t>
            </w:r>
            <w:r w:rsidRPr="00825BA1">
              <w:rPr>
                <w:rFonts w:ascii="Times New Roman" w:eastAsia="Times New Roman" w:hAnsi="Times New Roman" w:cs="Times New Roman"/>
                <w:color w:val="000000"/>
                <w:sz w:val="24"/>
                <w:szCs w:val="24"/>
                <w:lang w:eastAsia="lv-LV"/>
              </w:rPr>
              <w:t xml:space="preserve"> par Eiropas Reģionālās attīstības fonda, Eiropas Sociālā fonda, Kohēzijas fonda, Eiropas Lauksaimniecības fonda lauku attīstībai un Eiropas Jūrlietu un zivsaimniecības fonda ieviešanu 2014.–2020.gadā Latvijā (izskatīta MK </w:t>
            </w:r>
            <w:r w:rsidR="00B837FC" w:rsidRPr="00825BA1">
              <w:rPr>
                <w:rFonts w:ascii="Times New Roman" w:eastAsia="Times New Roman" w:hAnsi="Times New Roman" w:cs="Times New Roman"/>
                <w:color w:val="000000"/>
                <w:sz w:val="24"/>
                <w:szCs w:val="24"/>
                <w:lang w:eastAsia="lv-LV"/>
              </w:rPr>
              <w:t xml:space="preserve">2013.gada 4.jūnija </w:t>
            </w:r>
            <w:r w:rsidRPr="00825BA1">
              <w:rPr>
                <w:rFonts w:ascii="Times New Roman" w:eastAsia="Times New Roman" w:hAnsi="Times New Roman" w:cs="Times New Roman"/>
                <w:color w:val="000000"/>
                <w:sz w:val="24"/>
                <w:szCs w:val="24"/>
                <w:lang w:eastAsia="lv-LV"/>
              </w:rPr>
              <w:t xml:space="preserve">sēdē; protokols Nr.33 22.§; TA-939), Finanšu ministrijai uzdots sadarbībā ar Zemkopības ministriju, </w:t>
            </w:r>
            <w:proofErr w:type="spellStart"/>
            <w:r w:rsidRPr="00825BA1">
              <w:rPr>
                <w:rFonts w:ascii="Times New Roman" w:eastAsia="Times New Roman" w:hAnsi="Times New Roman" w:cs="Times New Roman"/>
                <w:color w:val="000000"/>
                <w:sz w:val="24"/>
                <w:szCs w:val="24"/>
                <w:lang w:eastAsia="lv-LV"/>
              </w:rPr>
              <w:t>Pārresoru</w:t>
            </w:r>
            <w:proofErr w:type="spellEnd"/>
            <w:r w:rsidRPr="00825BA1">
              <w:rPr>
                <w:rFonts w:ascii="Times New Roman" w:eastAsia="Times New Roman" w:hAnsi="Times New Roman" w:cs="Times New Roman"/>
                <w:color w:val="000000"/>
                <w:sz w:val="24"/>
                <w:szCs w:val="24"/>
                <w:lang w:eastAsia="lv-LV"/>
              </w:rPr>
              <w:t xml:space="preserve"> koordinācijas centru, atbildīgajām nozaru ministrijām un Valsts kanceleju, konsultējoties ar sociālajiem, sadarbības, nevalstiskā sektora un reģionālajiem partneriem, izstrādāt un finanšu ministram iesniegt noteiktā kārtībā MK Partnerības līgumu un </w:t>
            </w:r>
            <w:r w:rsidR="002B1835" w:rsidRPr="00825BA1">
              <w:rPr>
                <w:rFonts w:ascii="Times New Roman" w:eastAsia="Times New Roman" w:hAnsi="Times New Roman" w:cs="Times New Roman"/>
                <w:color w:val="000000"/>
                <w:sz w:val="24"/>
                <w:szCs w:val="24"/>
                <w:lang w:eastAsia="lv-LV"/>
              </w:rPr>
              <w:t xml:space="preserve">Eiropas Sociālā fonda (turpmāk – ESF), Eiropas Reģionālās attīstības fonda (turpmāk – ERAF) un Kohēzijas fonda (turpmāk – KF) </w:t>
            </w:r>
            <w:r w:rsidRPr="00825BA1">
              <w:rPr>
                <w:rFonts w:ascii="Times New Roman" w:eastAsia="Times New Roman" w:hAnsi="Times New Roman" w:cs="Times New Roman"/>
                <w:color w:val="000000"/>
                <w:sz w:val="24"/>
                <w:szCs w:val="24"/>
                <w:lang w:eastAsia="lv-LV"/>
              </w:rPr>
              <w:t xml:space="preserve">darbības programmu “Izaugsme un nodarbinātība”. </w:t>
            </w:r>
            <w:r w:rsidRPr="00825BA1">
              <w:rPr>
                <w:rFonts w:ascii="Times New Roman" w:eastAsia="Times New Roman" w:hAnsi="Times New Roman" w:cs="Times New Roman"/>
                <w:sz w:val="24"/>
                <w:szCs w:val="24"/>
              </w:rPr>
              <w:t xml:space="preserve"> </w:t>
            </w:r>
          </w:p>
          <w:p w:rsidR="00BC119A" w:rsidRPr="00825BA1" w:rsidRDefault="00B837FC" w:rsidP="00435D46">
            <w:pPr>
              <w:spacing w:before="120" w:after="0" w:line="240" w:lineRule="auto"/>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 xml:space="preserve">Darbības programma </w:t>
            </w:r>
            <w:r w:rsidR="007E0799" w:rsidRPr="00825BA1">
              <w:rPr>
                <w:rFonts w:ascii="Times New Roman" w:eastAsia="Times New Roman" w:hAnsi="Times New Roman" w:cs="Times New Roman"/>
                <w:color w:val="000000"/>
                <w:sz w:val="24"/>
                <w:szCs w:val="24"/>
                <w:lang w:eastAsia="lv-LV"/>
              </w:rPr>
              <w:t xml:space="preserve">ir </w:t>
            </w:r>
            <w:r w:rsidR="002B1835" w:rsidRPr="00825BA1">
              <w:rPr>
                <w:rFonts w:ascii="Times New Roman" w:eastAsia="Times New Roman" w:hAnsi="Times New Roman" w:cs="Times New Roman"/>
                <w:color w:val="000000"/>
                <w:sz w:val="24"/>
                <w:szCs w:val="24"/>
                <w:lang w:eastAsia="lv-LV"/>
              </w:rPr>
              <w:t xml:space="preserve">nacionāla līmeņa plānošanas dokuments, kas iezīmē Latvijai piešķirto ESF, ERAF un KF finansējumu. Darbības programma </w:t>
            </w:r>
            <w:r w:rsidRPr="00825BA1">
              <w:rPr>
                <w:rFonts w:ascii="Times New Roman" w:eastAsia="Times New Roman" w:hAnsi="Times New Roman" w:cs="Times New Roman"/>
                <w:color w:val="000000"/>
                <w:sz w:val="24"/>
                <w:szCs w:val="24"/>
                <w:lang w:eastAsia="lv-LV"/>
              </w:rPr>
              <w:t xml:space="preserve">ir izstrādāta, balstoties uz </w:t>
            </w:r>
            <w:r w:rsidR="007E0799" w:rsidRPr="00825BA1">
              <w:rPr>
                <w:rFonts w:ascii="Times New Roman" w:eastAsia="Times New Roman" w:hAnsi="Times New Roman" w:cs="Times New Roman"/>
                <w:color w:val="000000"/>
                <w:sz w:val="24"/>
                <w:szCs w:val="24"/>
                <w:lang w:eastAsia="lv-LV"/>
              </w:rPr>
              <w:t>Nacionālajā attīstības plānā 2014</w:t>
            </w:r>
            <w:r w:rsidR="004652A4">
              <w:rPr>
                <w:rFonts w:ascii="Times New Roman" w:eastAsia="Times New Roman" w:hAnsi="Times New Roman" w:cs="Times New Roman"/>
                <w:color w:val="000000"/>
                <w:sz w:val="24"/>
                <w:szCs w:val="24"/>
                <w:lang w:eastAsia="lv-LV"/>
              </w:rPr>
              <w:t>.</w:t>
            </w:r>
            <w:r w:rsidR="007E0799" w:rsidRPr="00825BA1">
              <w:rPr>
                <w:rFonts w:ascii="Times New Roman" w:eastAsia="Times New Roman" w:hAnsi="Times New Roman" w:cs="Times New Roman"/>
                <w:color w:val="000000"/>
                <w:sz w:val="24"/>
                <w:szCs w:val="24"/>
                <w:lang w:eastAsia="lv-LV"/>
              </w:rPr>
              <w:t>–2020.gadam i</w:t>
            </w:r>
            <w:r w:rsidRPr="00825BA1">
              <w:rPr>
                <w:rFonts w:ascii="Times New Roman" w:eastAsia="Times New Roman" w:hAnsi="Times New Roman" w:cs="Times New Roman"/>
                <w:color w:val="000000"/>
                <w:sz w:val="24"/>
                <w:szCs w:val="24"/>
                <w:lang w:eastAsia="lv-LV"/>
              </w:rPr>
              <w:t xml:space="preserve">dentificētajām tautsaimniecības vajadzībām un noteiktajiem uzdevumiem. Darbības programmā tiek norādīti prioritārie virzieni, tematiskie mērķi un investīciju prioritātes, kur identificējami konkrēti sasniedzamie mērķi, plānotais finansējuma apmērs un atbilstošs nacionālais līdzfinansējums. Katram prioritārajam virzienam tiek noteikti rādītāji (finanšu, iznākuma un rezultāta), uz kuriem balstoties tiks vērtēts darbības programmas īstenošanas progress virzībā uz mērķu sasniegšanu un kas tiks izmantoti kā pamats ES fondu izpildes uzraudzībai, izvērtēšanai un pārskatīšanai.   </w:t>
            </w:r>
          </w:p>
          <w:p w:rsidR="007B115B" w:rsidRPr="00825BA1" w:rsidRDefault="003A59EF" w:rsidP="007E0799">
            <w:pPr>
              <w:spacing w:before="120" w:after="0" w:line="240" w:lineRule="auto"/>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 xml:space="preserve">Saskaņā ar </w:t>
            </w:r>
            <w:r w:rsidR="003B45AD" w:rsidRPr="00825BA1">
              <w:rPr>
                <w:rFonts w:ascii="Times New Roman" w:eastAsia="Times New Roman" w:hAnsi="Times New Roman" w:cs="Times New Roman"/>
                <w:color w:val="000000"/>
                <w:sz w:val="24"/>
                <w:szCs w:val="24"/>
                <w:lang w:eastAsia="lv-LV"/>
              </w:rPr>
              <w:t xml:space="preserve">MK </w:t>
            </w:r>
            <w:r w:rsidRPr="00825BA1">
              <w:rPr>
                <w:rFonts w:ascii="Times New Roman" w:hAnsi="Times New Roman" w:cs="Times New Roman"/>
                <w:sz w:val="24"/>
                <w:szCs w:val="24"/>
              </w:rPr>
              <w:t xml:space="preserve">2014.gada </w:t>
            </w:r>
            <w:r w:rsidR="00B837FC" w:rsidRPr="00825BA1">
              <w:rPr>
                <w:rFonts w:ascii="Times New Roman" w:hAnsi="Times New Roman" w:cs="Times New Roman"/>
                <w:sz w:val="24"/>
                <w:szCs w:val="24"/>
              </w:rPr>
              <w:t>17.februāra</w:t>
            </w:r>
            <w:r w:rsidR="00BB2AC1" w:rsidRPr="00825BA1">
              <w:rPr>
                <w:rFonts w:ascii="Times New Roman" w:hAnsi="Times New Roman" w:cs="Times New Roman"/>
                <w:sz w:val="24"/>
                <w:szCs w:val="24"/>
              </w:rPr>
              <w:t xml:space="preserve"> </w:t>
            </w:r>
            <w:r w:rsidRPr="00825BA1">
              <w:rPr>
                <w:rFonts w:ascii="Times New Roman" w:hAnsi="Times New Roman" w:cs="Times New Roman"/>
                <w:sz w:val="24"/>
                <w:szCs w:val="24"/>
              </w:rPr>
              <w:t xml:space="preserve"> rīkojumu Nr.</w:t>
            </w:r>
            <w:r w:rsidR="00BB2AC1" w:rsidRPr="00825BA1">
              <w:rPr>
                <w:rFonts w:ascii="Times New Roman" w:hAnsi="Times New Roman" w:cs="Times New Roman"/>
                <w:sz w:val="24"/>
                <w:szCs w:val="24"/>
              </w:rPr>
              <w:t>7</w:t>
            </w:r>
            <w:r w:rsidRPr="00825BA1">
              <w:rPr>
                <w:rFonts w:ascii="Times New Roman" w:hAnsi="Times New Roman" w:cs="Times New Roman"/>
                <w:sz w:val="24"/>
                <w:szCs w:val="24"/>
              </w:rPr>
              <w:t>1</w:t>
            </w:r>
            <w:r w:rsidR="00BB2AC1" w:rsidRPr="00825BA1">
              <w:rPr>
                <w:rFonts w:ascii="Times New Roman" w:hAnsi="Times New Roman" w:cs="Times New Roman"/>
                <w:sz w:val="24"/>
                <w:szCs w:val="24"/>
              </w:rPr>
              <w:t xml:space="preserve"> </w:t>
            </w:r>
            <w:r w:rsidR="00090F47" w:rsidRPr="00825BA1">
              <w:rPr>
                <w:rFonts w:ascii="Times New Roman" w:hAnsi="Times New Roman" w:cs="Times New Roman"/>
                <w:sz w:val="24"/>
                <w:szCs w:val="24"/>
              </w:rPr>
              <w:t>“Par darbības programmas “</w:t>
            </w:r>
            <w:r w:rsidR="00BB2AC1" w:rsidRPr="00825BA1">
              <w:rPr>
                <w:rFonts w:ascii="Times New Roman" w:hAnsi="Times New Roman" w:cs="Times New Roman"/>
                <w:sz w:val="24"/>
                <w:szCs w:val="24"/>
              </w:rPr>
              <w:t>Izaugsme un nodarbinātība" projektu 2014.–2020.gada plānošanas periodam (LV OP 2014/36.2.)</w:t>
            </w:r>
            <w:r w:rsidR="00090F47" w:rsidRPr="00825BA1">
              <w:rPr>
                <w:rFonts w:ascii="Times New Roman" w:hAnsi="Times New Roman" w:cs="Times New Roman"/>
                <w:sz w:val="24"/>
                <w:szCs w:val="24"/>
              </w:rPr>
              <w:t>” d</w:t>
            </w:r>
            <w:r w:rsidR="00B837FC" w:rsidRPr="00825BA1">
              <w:rPr>
                <w:rFonts w:ascii="Times New Roman" w:eastAsia="Times New Roman" w:hAnsi="Times New Roman" w:cs="Times New Roman"/>
                <w:color w:val="000000"/>
                <w:sz w:val="24"/>
                <w:szCs w:val="24"/>
                <w:lang w:eastAsia="lv-LV"/>
              </w:rPr>
              <w:t>arbības programma</w:t>
            </w:r>
            <w:r w:rsidR="001E5679" w:rsidRPr="00825BA1">
              <w:rPr>
                <w:rFonts w:ascii="Times New Roman" w:eastAsia="Times New Roman" w:hAnsi="Times New Roman" w:cs="Times New Roman"/>
                <w:color w:val="000000"/>
                <w:sz w:val="24"/>
                <w:szCs w:val="24"/>
                <w:lang w:eastAsia="lv-LV"/>
              </w:rPr>
              <w:t xml:space="preserve"> tika apstiprināt</w:t>
            </w:r>
            <w:r w:rsidR="00B837FC" w:rsidRPr="00825BA1">
              <w:rPr>
                <w:rFonts w:ascii="Times New Roman" w:eastAsia="Times New Roman" w:hAnsi="Times New Roman" w:cs="Times New Roman"/>
                <w:color w:val="000000"/>
                <w:sz w:val="24"/>
                <w:szCs w:val="24"/>
                <w:lang w:eastAsia="lv-LV"/>
              </w:rPr>
              <w:t>a</w:t>
            </w:r>
            <w:r w:rsidR="001E5679" w:rsidRPr="00825BA1">
              <w:rPr>
                <w:rFonts w:ascii="Times New Roman" w:eastAsia="Times New Roman" w:hAnsi="Times New Roman" w:cs="Times New Roman"/>
                <w:color w:val="000000"/>
                <w:sz w:val="24"/>
                <w:szCs w:val="24"/>
                <w:lang w:eastAsia="lv-LV"/>
              </w:rPr>
              <w:t xml:space="preserve"> iesniegšanai Eiropas Komisijai. </w:t>
            </w:r>
            <w:r w:rsidR="001E5679" w:rsidRPr="00825BA1">
              <w:rPr>
                <w:rFonts w:ascii="Times New Roman" w:eastAsia="Times New Roman" w:hAnsi="Times New Roman" w:cs="Times New Roman"/>
                <w:sz w:val="24"/>
                <w:szCs w:val="24"/>
              </w:rPr>
              <w:t xml:space="preserve"> </w:t>
            </w:r>
            <w:r w:rsidR="00B837FC" w:rsidRPr="00825BA1">
              <w:rPr>
                <w:rFonts w:ascii="Times New Roman" w:eastAsia="Times New Roman" w:hAnsi="Times New Roman" w:cs="Times New Roman"/>
                <w:sz w:val="24"/>
                <w:szCs w:val="24"/>
              </w:rPr>
              <w:t>Darbības programma,</w:t>
            </w:r>
            <w:r w:rsidR="001E5679" w:rsidRPr="00825BA1">
              <w:rPr>
                <w:rFonts w:ascii="Times New Roman" w:eastAsia="Times New Roman" w:hAnsi="Times New Roman" w:cs="Times New Roman"/>
                <w:sz w:val="24"/>
                <w:szCs w:val="24"/>
              </w:rPr>
              <w:t xml:space="preserve"> pamatojoties uz Vispārīgās regulas</w:t>
            </w:r>
            <w:r w:rsidR="001E5679" w:rsidRPr="00825BA1">
              <w:rPr>
                <w:rFonts w:ascii="Times New Roman" w:eastAsia="Times New Roman" w:hAnsi="Times New Roman" w:cs="Times New Roman"/>
                <w:sz w:val="24"/>
                <w:szCs w:val="24"/>
                <w:vertAlign w:val="superscript"/>
              </w:rPr>
              <w:footnoteReference w:id="1"/>
            </w:r>
            <w:r w:rsidR="001E5679" w:rsidRPr="00825BA1">
              <w:rPr>
                <w:rFonts w:ascii="Times New Roman" w:eastAsia="Times New Roman" w:hAnsi="Times New Roman" w:cs="Times New Roman"/>
                <w:sz w:val="24"/>
                <w:szCs w:val="24"/>
              </w:rPr>
              <w:t xml:space="preserve"> 14.panta ceturto daļu</w:t>
            </w:r>
            <w:r w:rsidR="009654C8" w:rsidRPr="00825BA1">
              <w:rPr>
                <w:rFonts w:ascii="Times New Roman" w:eastAsia="Times New Roman" w:hAnsi="Times New Roman" w:cs="Times New Roman"/>
                <w:sz w:val="24"/>
                <w:szCs w:val="24"/>
              </w:rPr>
              <w:t>,</w:t>
            </w:r>
            <w:r w:rsidR="001E5679" w:rsidRPr="00825BA1">
              <w:rPr>
                <w:rFonts w:ascii="Times New Roman" w:eastAsia="Times New Roman" w:hAnsi="Times New Roman" w:cs="Times New Roman"/>
                <w:sz w:val="24"/>
                <w:szCs w:val="24"/>
              </w:rPr>
              <w:t xml:space="preserve"> 2014.gada </w:t>
            </w:r>
            <w:r w:rsidR="00B837FC" w:rsidRPr="00825BA1">
              <w:rPr>
                <w:rFonts w:ascii="Times New Roman" w:eastAsia="Times New Roman" w:hAnsi="Times New Roman" w:cs="Times New Roman"/>
                <w:sz w:val="24"/>
                <w:szCs w:val="24"/>
              </w:rPr>
              <w:t>4.martā</w:t>
            </w:r>
            <w:r w:rsidR="001E5679" w:rsidRPr="00825BA1">
              <w:rPr>
                <w:rFonts w:ascii="Times New Roman" w:eastAsia="Times New Roman" w:hAnsi="Times New Roman" w:cs="Times New Roman"/>
                <w:sz w:val="24"/>
                <w:szCs w:val="24"/>
              </w:rPr>
              <w:t xml:space="preserve"> tika oficiāli iesniegt</w:t>
            </w:r>
            <w:r w:rsidR="00B837FC" w:rsidRPr="00825BA1">
              <w:rPr>
                <w:rFonts w:ascii="Times New Roman" w:eastAsia="Times New Roman" w:hAnsi="Times New Roman" w:cs="Times New Roman"/>
                <w:sz w:val="24"/>
                <w:szCs w:val="24"/>
              </w:rPr>
              <w:t>a</w:t>
            </w:r>
            <w:r w:rsidR="001E5679" w:rsidRPr="00825BA1">
              <w:rPr>
                <w:rFonts w:ascii="Times New Roman" w:eastAsia="Times New Roman" w:hAnsi="Times New Roman" w:cs="Times New Roman"/>
                <w:sz w:val="24"/>
                <w:szCs w:val="24"/>
              </w:rPr>
              <w:t xml:space="preserve"> Eiropas Komisijā</w:t>
            </w:r>
            <w:r w:rsidR="009654C8" w:rsidRPr="00825BA1">
              <w:rPr>
                <w:rFonts w:ascii="Times New Roman" w:eastAsia="Times New Roman" w:hAnsi="Times New Roman" w:cs="Times New Roman"/>
                <w:sz w:val="24"/>
                <w:szCs w:val="24"/>
              </w:rPr>
              <w:t>,</w:t>
            </w:r>
            <w:r w:rsidR="001E5679" w:rsidRPr="00825BA1">
              <w:rPr>
                <w:rFonts w:ascii="Times New Roman" w:eastAsia="Times New Roman" w:hAnsi="Times New Roman" w:cs="Times New Roman"/>
                <w:sz w:val="24"/>
                <w:szCs w:val="24"/>
              </w:rPr>
              <w:t xml:space="preserve"> izmantojot Eiropas Komisijas SFC 2014 sistēmu. 2014.gada </w:t>
            </w:r>
            <w:r w:rsidR="00B837FC" w:rsidRPr="00825BA1">
              <w:rPr>
                <w:rFonts w:ascii="Times New Roman" w:eastAsia="Times New Roman" w:hAnsi="Times New Roman" w:cs="Times New Roman"/>
                <w:sz w:val="24"/>
                <w:szCs w:val="24"/>
              </w:rPr>
              <w:t>13.maijā</w:t>
            </w:r>
            <w:r w:rsidR="001E5679" w:rsidRPr="00825BA1">
              <w:rPr>
                <w:rFonts w:ascii="Times New Roman" w:eastAsia="Times New Roman" w:hAnsi="Times New Roman" w:cs="Times New Roman"/>
                <w:sz w:val="24"/>
                <w:szCs w:val="24"/>
                <w:vertAlign w:val="superscript"/>
              </w:rPr>
              <w:footnoteReference w:id="2"/>
            </w:r>
            <w:r w:rsidR="001E5679" w:rsidRPr="00825BA1">
              <w:rPr>
                <w:rFonts w:ascii="Times New Roman" w:eastAsia="Times New Roman" w:hAnsi="Times New Roman" w:cs="Times New Roman"/>
                <w:sz w:val="24"/>
                <w:szCs w:val="24"/>
              </w:rPr>
              <w:t xml:space="preserve"> tika saņemti oficiālie Eiropas Komisijas komentāri par Latvijas iesniegto </w:t>
            </w:r>
            <w:r w:rsidR="00B837FC" w:rsidRPr="00825BA1">
              <w:rPr>
                <w:rFonts w:ascii="Times New Roman" w:eastAsia="Times New Roman" w:hAnsi="Times New Roman" w:cs="Times New Roman"/>
                <w:sz w:val="24"/>
                <w:szCs w:val="24"/>
              </w:rPr>
              <w:t>darbības programmu</w:t>
            </w:r>
            <w:r w:rsidR="001E5679" w:rsidRPr="00825BA1">
              <w:rPr>
                <w:rFonts w:ascii="Times New Roman" w:eastAsia="Times New Roman" w:hAnsi="Times New Roman" w:cs="Times New Roman"/>
                <w:sz w:val="24"/>
                <w:szCs w:val="24"/>
              </w:rPr>
              <w:t xml:space="preserve">. </w:t>
            </w:r>
          </w:p>
          <w:p w:rsidR="00825BA1" w:rsidRDefault="001E5679" w:rsidP="00FA28FF">
            <w:pPr>
              <w:pStyle w:val="ListParagraph"/>
              <w:spacing w:after="0" w:line="240" w:lineRule="auto"/>
              <w:ind w:left="0"/>
              <w:contextualSpacing w:val="0"/>
              <w:jc w:val="both"/>
              <w:rPr>
                <w:rFonts w:ascii="Times New Roman" w:eastAsia="Times New Roman" w:hAnsi="Times New Roman" w:cs="Times New Roman"/>
                <w:sz w:val="24"/>
                <w:szCs w:val="24"/>
              </w:rPr>
            </w:pPr>
            <w:r w:rsidRPr="00825BA1">
              <w:rPr>
                <w:rFonts w:ascii="Times New Roman" w:eastAsia="Times New Roman" w:hAnsi="Times New Roman" w:cs="Times New Roman"/>
                <w:sz w:val="24"/>
                <w:szCs w:val="24"/>
              </w:rPr>
              <w:t xml:space="preserve">Eiropas Komisijas </w:t>
            </w:r>
            <w:r w:rsidR="00762281" w:rsidRPr="00825BA1">
              <w:rPr>
                <w:rFonts w:ascii="Times New Roman" w:eastAsia="Times New Roman" w:hAnsi="Times New Roman" w:cs="Times New Roman"/>
                <w:sz w:val="24"/>
                <w:szCs w:val="24"/>
              </w:rPr>
              <w:t xml:space="preserve">būtiskākie komentāri ir par </w:t>
            </w:r>
            <w:r w:rsidR="00B644A6" w:rsidRPr="00825BA1">
              <w:rPr>
                <w:rFonts w:ascii="Times New Roman" w:eastAsia="Times New Roman" w:hAnsi="Times New Roman" w:cs="Times New Roman"/>
                <w:sz w:val="24"/>
                <w:szCs w:val="24"/>
              </w:rPr>
              <w:t>specifisko atbalsta mērķu (turpmāk – SAM) un to rezultātu precizēšanu</w:t>
            </w:r>
            <w:r w:rsidR="00825BA1">
              <w:rPr>
                <w:rFonts w:ascii="Times New Roman" w:eastAsia="Times New Roman" w:hAnsi="Times New Roman" w:cs="Times New Roman"/>
                <w:sz w:val="24"/>
                <w:szCs w:val="24"/>
              </w:rPr>
              <w:t>:</w:t>
            </w:r>
          </w:p>
          <w:p w:rsidR="00F5740B" w:rsidRPr="00825BA1" w:rsidRDefault="00F5740B" w:rsidP="00FA28FF">
            <w:pPr>
              <w:pStyle w:val="ListParagraph"/>
              <w:spacing w:after="0" w:line="240" w:lineRule="auto"/>
              <w:ind w:left="0"/>
              <w:contextualSpacing w:val="0"/>
              <w:jc w:val="both"/>
              <w:rPr>
                <w:rFonts w:ascii="Times New Roman" w:eastAsia="Times New Roman" w:hAnsi="Times New Roman" w:cs="Times New Roman"/>
                <w:sz w:val="24"/>
                <w:szCs w:val="24"/>
              </w:rPr>
            </w:pPr>
            <w:r w:rsidRPr="00825BA1">
              <w:rPr>
                <w:rFonts w:ascii="Times New Roman" w:eastAsia="Times New Roman" w:hAnsi="Times New Roman" w:cs="Times New Roman"/>
                <w:sz w:val="24"/>
                <w:szCs w:val="24"/>
              </w:rPr>
              <w:t>N</w:t>
            </w:r>
            <w:r w:rsidR="007B115B" w:rsidRPr="00825BA1">
              <w:rPr>
                <w:rFonts w:ascii="Times New Roman" w:hAnsi="Times New Roman" w:cs="Times New Roman"/>
                <w:color w:val="000000"/>
                <w:sz w:val="24"/>
                <w:szCs w:val="24"/>
              </w:rPr>
              <w:t>av pietiekami plaši atspoguļot</w:t>
            </w:r>
            <w:r w:rsidRPr="00825BA1">
              <w:rPr>
                <w:rFonts w:ascii="Times New Roman" w:hAnsi="Times New Roman" w:cs="Times New Roman"/>
                <w:color w:val="000000"/>
                <w:sz w:val="24"/>
                <w:szCs w:val="24"/>
              </w:rPr>
              <w:t>i</w:t>
            </w:r>
            <w:r w:rsidR="007B115B" w:rsidRPr="00825BA1">
              <w:rPr>
                <w:rFonts w:ascii="Times New Roman" w:hAnsi="Times New Roman" w:cs="Times New Roman"/>
                <w:color w:val="000000"/>
                <w:sz w:val="24"/>
                <w:szCs w:val="24"/>
              </w:rPr>
              <w:t xml:space="preserve"> 3.tematiskā mērķa “</w:t>
            </w:r>
            <w:r w:rsidR="00C9060B" w:rsidRPr="00825BA1">
              <w:rPr>
                <w:rFonts w:ascii="Times New Roman" w:hAnsi="Times New Roman" w:cs="Times New Roman"/>
                <w:sz w:val="24"/>
                <w:szCs w:val="24"/>
                <w:lang w:eastAsia="lv-LV"/>
              </w:rPr>
              <w:t>Mazo un vidējo komersantu konkurētspēja</w:t>
            </w:r>
            <w:r w:rsidR="007B115B" w:rsidRPr="00825BA1">
              <w:rPr>
                <w:rFonts w:ascii="Times New Roman" w:hAnsi="Times New Roman" w:cs="Times New Roman"/>
                <w:color w:val="000000"/>
                <w:sz w:val="24"/>
                <w:szCs w:val="24"/>
              </w:rPr>
              <w:t>”  (</w:t>
            </w:r>
            <w:r w:rsidR="007B115B" w:rsidRPr="00825BA1">
              <w:rPr>
                <w:rFonts w:ascii="Times New Roman" w:hAnsi="Times New Roman" w:cs="Times New Roman"/>
                <w:sz w:val="24"/>
                <w:szCs w:val="24"/>
              </w:rPr>
              <w:t xml:space="preserve">turpmāk – 3.tematiskais mērķis) rādītāji, kas raksturotu izaugsmes kvalitāti (t.i., raksturotu produktivitāti, novatorismu, konkurētspēju u.tml.). Vienlaikus nepieciešams finansējuma uzņēmējdarbības infrastruktūrai </w:t>
            </w:r>
            <w:r w:rsidR="00290CDA">
              <w:rPr>
                <w:rFonts w:ascii="Times New Roman" w:hAnsi="Times New Roman" w:cs="Times New Roman"/>
                <w:sz w:val="24"/>
                <w:szCs w:val="24"/>
              </w:rPr>
              <w:t>samazinājums no pašreizējiem 28</w:t>
            </w:r>
            <w:r w:rsidR="007B115B" w:rsidRPr="00825BA1">
              <w:rPr>
                <w:rFonts w:ascii="Times New Roman" w:hAnsi="Times New Roman" w:cs="Times New Roman"/>
                <w:sz w:val="24"/>
                <w:szCs w:val="24"/>
              </w:rPr>
              <w:t>% no kopē</w:t>
            </w:r>
            <w:r w:rsidR="004652A4">
              <w:rPr>
                <w:rFonts w:ascii="Times New Roman" w:hAnsi="Times New Roman" w:cs="Times New Roman"/>
                <w:sz w:val="24"/>
                <w:szCs w:val="24"/>
              </w:rPr>
              <w:t>jā 3.</w:t>
            </w:r>
            <w:r w:rsidR="007B115B" w:rsidRPr="00825BA1">
              <w:rPr>
                <w:rFonts w:ascii="Times New Roman" w:hAnsi="Times New Roman" w:cs="Times New Roman"/>
                <w:sz w:val="24"/>
                <w:szCs w:val="24"/>
              </w:rPr>
              <w:t xml:space="preserve">tematiskā </w:t>
            </w:r>
            <w:r w:rsidR="007B115B" w:rsidRPr="00825BA1">
              <w:rPr>
                <w:rFonts w:ascii="Times New Roman" w:hAnsi="Times New Roman" w:cs="Times New Roman"/>
                <w:color w:val="000000"/>
                <w:sz w:val="24"/>
                <w:szCs w:val="24"/>
              </w:rPr>
              <w:t>m</w:t>
            </w:r>
            <w:r w:rsidR="00290CDA">
              <w:rPr>
                <w:rFonts w:ascii="Times New Roman" w:hAnsi="Times New Roman" w:cs="Times New Roman"/>
                <w:color w:val="000000"/>
                <w:sz w:val="24"/>
                <w:szCs w:val="24"/>
              </w:rPr>
              <w:t>ērķa finansējuma apjoma līdz 16% (</w:t>
            </w:r>
            <w:proofErr w:type="spellStart"/>
            <w:r w:rsidR="00290CDA">
              <w:rPr>
                <w:rFonts w:ascii="Times New Roman" w:hAnsi="Times New Roman" w:cs="Times New Roman"/>
                <w:color w:val="000000"/>
                <w:sz w:val="24"/>
                <w:szCs w:val="24"/>
              </w:rPr>
              <w:t>max</w:t>
            </w:r>
            <w:proofErr w:type="spellEnd"/>
            <w:r w:rsidR="00290CDA">
              <w:rPr>
                <w:rFonts w:ascii="Times New Roman" w:hAnsi="Times New Roman" w:cs="Times New Roman"/>
                <w:color w:val="000000"/>
                <w:sz w:val="24"/>
                <w:szCs w:val="24"/>
              </w:rPr>
              <w:t xml:space="preserve"> 20</w:t>
            </w:r>
            <w:r w:rsidR="007B115B" w:rsidRPr="00825BA1">
              <w:rPr>
                <w:rFonts w:ascii="Times New Roman" w:hAnsi="Times New Roman" w:cs="Times New Roman"/>
                <w:color w:val="000000"/>
                <w:sz w:val="24"/>
                <w:szCs w:val="24"/>
              </w:rPr>
              <w:t xml:space="preserve">%). Tāpat Eiropas Komisija savos komentāros norādījusi uz nepieciešamību atbalsta </w:t>
            </w:r>
            <w:r w:rsidR="007B115B" w:rsidRPr="00825BA1">
              <w:rPr>
                <w:rFonts w:ascii="Times New Roman" w:hAnsi="Times New Roman" w:cs="Times New Roman"/>
                <w:sz w:val="24"/>
                <w:szCs w:val="24"/>
              </w:rPr>
              <w:t>pasākumu pārstrukturēšanai starp 1.</w:t>
            </w:r>
            <w:r w:rsidR="00C9060B" w:rsidRPr="00825BA1">
              <w:rPr>
                <w:rFonts w:ascii="Times New Roman" w:hAnsi="Times New Roman" w:cs="Times New Roman"/>
                <w:sz w:val="24"/>
                <w:szCs w:val="24"/>
              </w:rPr>
              <w:t>tematisko mērķi</w:t>
            </w:r>
            <w:r w:rsidR="00C9060B" w:rsidRPr="00825BA1">
              <w:rPr>
                <w:rFonts w:ascii="Times New Roman" w:hAnsi="Times New Roman" w:cs="Times New Roman"/>
                <w:sz w:val="24"/>
                <w:szCs w:val="24"/>
                <w:lang w:eastAsia="lv-LV"/>
              </w:rPr>
              <w:t xml:space="preserve"> “Pētniecības, tehnoloģiju attīstība un inovācijas”</w:t>
            </w:r>
            <w:r w:rsidR="005C4495" w:rsidRPr="00825BA1">
              <w:rPr>
                <w:rFonts w:ascii="Times New Roman" w:hAnsi="Times New Roman" w:cs="Times New Roman"/>
                <w:sz w:val="24"/>
                <w:szCs w:val="24"/>
                <w:lang w:eastAsia="lv-LV"/>
              </w:rPr>
              <w:t xml:space="preserve"> (turpmāk – 1.tematiskais mērķis)</w:t>
            </w:r>
            <w:r w:rsidR="00C9060B" w:rsidRPr="00825BA1">
              <w:rPr>
                <w:rFonts w:ascii="Times New Roman" w:hAnsi="Times New Roman" w:cs="Times New Roman"/>
                <w:sz w:val="24"/>
                <w:szCs w:val="24"/>
                <w:lang w:eastAsia="lv-LV"/>
              </w:rPr>
              <w:t xml:space="preserve"> </w:t>
            </w:r>
            <w:r w:rsidR="007B115B" w:rsidRPr="00825BA1">
              <w:rPr>
                <w:rFonts w:ascii="Times New Roman" w:hAnsi="Times New Roman" w:cs="Times New Roman"/>
                <w:sz w:val="24"/>
                <w:szCs w:val="24"/>
              </w:rPr>
              <w:t xml:space="preserve"> u</w:t>
            </w:r>
            <w:r w:rsidR="00290CDA">
              <w:rPr>
                <w:rFonts w:ascii="Times New Roman" w:hAnsi="Times New Roman" w:cs="Times New Roman"/>
                <w:sz w:val="24"/>
                <w:szCs w:val="24"/>
              </w:rPr>
              <w:t>n 3.</w:t>
            </w:r>
            <w:r w:rsidR="004652A4">
              <w:rPr>
                <w:rFonts w:ascii="Times New Roman" w:hAnsi="Times New Roman" w:cs="Times New Roman"/>
                <w:sz w:val="24"/>
                <w:szCs w:val="24"/>
              </w:rPr>
              <w:t>tematisko mērķi, kā arī 3.</w:t>
            </w:r>
            <w:r w:rsidR="007B115B" w:rsidRPr="00825BA1">
              <w:rPr>
                <w:rFonts w:ascii="Times New Roman" w:hAnsi="Times New Roman" w:cs="Times New Roman"/>
                <w:sz w:val="24"/>
                <w:szCs w:val="24"/>
              </w:rPr>
              <w:t>tematiskā mērķa pārstruk</w:t>
            </w:r>
            <w:r w:rsidR="004652A4">
              <w:rPr>
                <w:rFonts w:ascii="Times New Roman" w:hAnsi="Times New Roman" w:cs="Times New Roman"/>
                <w:sz w:val="24"/>
                <w:szCs w:val="24"/>
              </w:rPr>
              <w:t>turēšana, skaidrāk aprakstot 3.</w:t>
            </w:r>
            <w:r w:rsidR="007B115B" w:rsidRPr="00825BA1">
              <w:rPr>
                <w:rFonts w:ascii="Times New Roman" w:hAnsi="Times New Roman" w:cs="Times New Roman"/>
                <w:sz w:val="24"/>
                <w:szCs w:val="24"/>
              </w:rPr>
              <w:t>tematiskā mērķa instrumentus un atbalstāmās darbības.</w:t>
            </w:r>
            <w:r w:rsidR="007139DB" w:rsidRPr="00825BA1">
              <w:rPr>
                <w:rFonts w:ascii="Times New Roman" w:hAnsi="Times New Roman" w:cs="Times New Roman"/>
                <w:sz w:val="24"/>
                <w:szCs w:val="24"/>
              </w:rPr>
              <w:t xml:space="preserve"> </w:t>
            </w:r>
            <w:r w:rsidR="00806FF6" w:rsidRPr="00825BA1">
              <w:rPr>
                <w:rFonts w:ascii="Times New Roman" w:hAnsi="Times New Roman" w:cs="Times New Roman"/>
                <w:sz w:val="24"/>
                <w:szCs w:val="24"/>
              </w:rPr>
              <w:t>Papildus</w:t>
            </w:r>
            <w:r w:rsidR="007B115B" w:rsidRPr="00825BA1">
              <w:rPr>
                <w:rFonts w:ascii="Times New Roman" w:hAnsi="Times New Roman" w:cs="Times New Roman"/>
                <w:sz w:val="24"/>
                <w:szCs w:val="24"/>
              </w:rPr>
              <w:t xml:space="preserve"> </w:t>
            </w:r>
            <w:r w:rsidR="007B115B" w:rsidRPr="00825BA1">
              <w:rPr>
                <w:rFonts w:ascii="Times New Roman" w:hAnsi="Times New Roman" w:cs="Times New Roman"/>
                <w:color w:val="000000"/>
                <w:sz w:val="24"/>
                <w:szCs w:val="24"/>
              </w:rPr>
              <w:t xml:space="preserve">Eiropas Komisija </w:t>
            </w:r>
            <w:r w:rsidR="00B644A6" w:rsidRPr="00825BA1">
              <w:rPr>
                <w:rFonts w:ascii="Times New Roman" w:eastAsia="Times New Roman" w:hAnsi="Times New Roman" w:cs="Times New Roman"/>
                <w:sz w:val="24"/>
                <w:szCs w:val="24"/>
              </w:rPr>
              <w:t xml:space="preserve">aicina to pārstrādāt piedāvājumu un pamatojumu tūrisma atbalstam. Vienlaikus Eiropas Komisija neformālās diskusijas laikā ir uzsvērusi, ka kultūras, sporta un tūrisma infrastruktūras objektu kopējo izmaksu limits nedrīkst pārsniegt 5 milj. EUR un attiecīgi, ja vienā teritorijā ir vairāki funkcionāli nodalīti infrastruktūras objekti, finansējuma ierobežojums attiecas uz katru no tiem atsevišķi. </w:t>
            </w:r>
          </w:p>
          <w:p w:rsidR="007B115B" w:rsidRPr="00825BA1" w:rsidRDefault="00B644A6" w:rsidP="001D601E">
            <w:pPr>
              <w:pStyle w:val="ListParagraph"/>
              <w:spacing w:after="0" w:line="240" w:lineRule="auto"/>
              <w:ind w:left="0"/>
              <w:contextualSpacing w:val="0"/>
              <w:jc w:val="both"/>
              <w:rPr>
                <w:rFonts w:ascii="Times New Roman" w:eastAsia="Times New Roman" w:hAnsi="Times New Roman" w:cs="Times New Roman"/>
                <w:sz w:val="24"/>
                <w:szCs w:val="24"/>
              </w:rPr>
            </w:pPr>
            <w:r w:rsidRPr="00825BA1">
              <w:rPr>
                <w:rFonts w:ascii="Times New Roman" w:eastAsia="Times New Roman" w:hAnsi="Times New Roman" w:cs="Times New Roman"/>
                <w:sz w:val="24"/>
                <w:szCs w:val="24"/>
              </w:rPr>
              <w:t xml:space="preserve">Attiecībā uz augstākās izglītības SAM Eiropas </w:t>
            </w:r>
            <w:r w:rsidR="00F5740B" w:rsidRPr="00825BA1">
              <w:rPr>
                <w:rFonts w:ascii="Times New Roman" w:eastAsia="Times New Roman" w:hAnsi="Times New Roman" w:cs="Times New Roman"/>
                <w:sz w:val="24"/>
                <w:szCs w:val="24"/>
              </w:rPr>
              <w:t xml:space="preserve">Komisija </w:t>
            </w:r>
            <w:r w:rsidRPr="00825BA1">
              <w:rPr>
                <w:rFonts w:ascii="Times New Roman" w:eastAsia="Times New Roman" w:hAnsi="Times New Roman" w:cs="Times New Roman"/>
                <w:sz w:val="24"/>
                <w:szCs w:val="24"/>
              </w:rPr>
              <w:t xml:space="preserve">piedāvā pārgrupēt atbalstu </w:t>
            </w:r>
            <w:r w:rsidR="00290CDA">
              <w:rPr>
                <w:rFonts w:ascii="Times New Roman" w:eastAsia="Times New Roman" w:hAnsi="Times New Roman" w:cs="Times New Roman"/>
                <w:sz w:val="24"/>
                <w:szCs w:val="24"/>
              </w:rPr>
              <w:t>–</w:t>
            </w:r>
            <w:r w:rsidRPr="00825BA1">
              <w:rPr>
                <w:rFonts w:ascii="Times New Roman" w:eastAsia="Times New Roman" w:hAnsi="Times New Roman" w:cs="Times New Roman"/>
                <w:sz w:val="24"/>
                <w:szCs w:val="24"/>
              </w:rPr>
              <w:t xml:space="preserve"> mazināt fragmentāciju, stiprināt pārvaldību, atbalstīt personāla attīstību, kas notiek sasaistē ar internacionalizāciju. Attiecībā uz priekšlaicīgu mācību pārtraukšanu (</w:t>
            </w:r>
            <w:proofErr w:type="spellStart"/>
            <w:r w:rsidRPr="00825BA1">
              <w:rPr>
                <w:rFonts w:ascii="Times New Roman" w:eastAsia="Times New Roman" w:hAnsi="Times New Roman" w:cs="Times New Roman"/>
                <w:sz w:val="24"/>
                <w:szCs w:val="24"/>
              </w:rPr>
              <w:t>NEETs</w:t>
            </w:r>
            <w:proofErr w:type="spellEnd"/>
            <w:r w:rsidRPr="00825BA1">
              <w:rPr>
                <w:rFonts w:ascii="Times New Roman" w:eastAsia="Times New Roman" w:hAnsi="Times New Roman" w:cs="Times New Roman"/>
                <w:sz w:val="24"/>
                <w:szCs w:val="24"/>
              </w:rPr>
              <w:t xml:space="preserve">), Eiropas Komisija norāda, ka jāsagaida pētījuma rezultāti, lai varētu plānot turpmāko atbalstu, attiecīgi šobrīd konkrētu atbalsta veidu </w:t>
            </w:r>
            <w:r w:rsidR="00F5740B" w:rsidRPr="00825BA1">
              <w:rPr>
                <w:rFonts w:ascii="Times New Roman" w:eastAsia="Times New Roman" w:hAnsi="Times New Roman" w:cs="Times New Roman"/>
                <w:sz w:val="24"/>
                <w:szCs w:val="24"/>
              </w:rPr>
              <w:t>norādīšana darbības programmā nav atbalstāma</w:t>
            </w:r>
            <w:r w:rsidRPr="00825BA1">
              <w:rPr>
                <w:rFonts w:ascii="Times New Roman" w:eastAsia="Times New Roman" w:hAnsi="Times New Roman" w:cs="Times New Roman"/>
                <w:sz w:val="24"/>
                <w:szCs w:val="24"/>
              </w:rPr>
              <w:t>.</w:t>
            </w:r>
          </w:p>
          <w:p w:rsidR="00F5740B" w:rsidRPr="00825BA1" w:rsidRDefault="00FA28FF" w:rsidP="001D601E">
            <w:pPr>
              <w:spacing w:after="0" w:line="240" w:lineRule="auto"/>
              <w:jc w:val="both"/>
              <w:rPr>
                <w:rFonts w:ascii="Times New Roman" w:eastAsia="Times New Roman" w:hAnsi="Times New Roman" w:cs="Times New Roman"/>
                <w:sz w:val="24"/>
                <w:szCs w:val="24"/>
              </w:rPr>
            </w:pPr>
            <w:r w:rsidRPr="00825BA1">
              <w:rPr>
                <w:rFonts w:ascii="Times New Roman" w:eastAsia="Times New Roman" w:hAnsi="Times New Roman" w:cs="Times New Roman"/>
                <w:sz w:val="24"/>
                <w:szCs w:val="24"/>
              </w:rPr>
              <w:t xml:space="preserve"> </w:t>
            </w:r>
            <w:r w:rsidR="00340E07" w:rsidRPr="00825BA1">
              <w:rPr>
                <w:rFonts w:ascii="Times New Roman" w:eastAsia="Times New Roman" w:hAnsi="Times New Roman" w:cs="Times New Roman"/>
                <w:sz w:val="24"/>
                <w:szCs w:val="24"/>
              </w:rPr>
              <w:t xml:space="preserve">Būtiskākie precizējumi </w:t>
            </w:r>
            <w:r w:rsidR="00B837FC" w:rsidRPr="00825BA1">
              <w:rPr>
                <w:rFonts w:ascii="Times New Roman" w:eastAsia="Times New Roman" w:hAnsi="Times New Roman" w:cs="Times New Roman"/>
                <w:sz w:val="24"/>
                <w:szCs w:val="24"/>
              </w:rPr>
              <w:t>darbības</w:t>
            </w:r>
            <w:r w:rsidR="00511ED8" w:rsidRPr="00825BA1">
              <w:rPr>
                <w:rFonts w:ascii="Times New Roman" w:eastAsia="Times New Roman" w:hAnsi="Times New Roman" w:cs="Times New Roman"/>
                <w:sz w:val="24"/>
                <w:szCs w:val="24"/>
              </w:rPr>
              <w:t xml:space="preserve"> </w:t>
            </w:r>
            <w:r w:rsidR="00B837FC" w:rsidRPr="00825BA1">
              <w:rPr>
                <w:rFonts w:ascii="Times New Roman" w:eastAsia="Times New Roman" w:hAnsi="Times New Roman" w:cs="Times New Roman"/>
                <w:sz w:val="24"/>
                <w:szCs w:val="24"/>
              </w:rPr>
              <w:t>programmā</w:t>
            </w:r>
            <w:r w:rsidR="00340E07" w:rsidRPr="00825BA1">
              <w:rPr>
                <w:rFonts w:ascii="Times New Roman" w:eastAsia="Times New Roman" w:hAnsi="Times New Roman" w:cs="Times New Roman"/>
                <w:sz w:val="24"/>
                <w:szCs w:val="24"/>
              </w:rPr>
              <w:t xml:space="preserve"> </w:t>
            </w:r>
            <w:r w:rsidR="00B644A6" w:rsidRPr="00825BA1">
              <w:rPr>
                <w:rFonts w:ascii="Times New Roman" w:eastAsia="Times New Roman" w:hAnsi="Times New Roman" w:cs="Times New Roman"/>
                <w:sz w:val="24"/>
                <w:szCs w:val="24"/>
              </w:rPr>
              <w:t>ietver</w:t>
            </w:r>
            <w:r w:rsidRPr="00825BA1">
              <w:rPr>
                <w:rFonts w:ascii="Times New Roman" w:eastAsia="Times New Roman" w:hAnsi="Times New Roman" w:cs="Times New Roman"/>
                <w:sz w:val="24"/>
                <w:szCs w:val="24"/>
              </w:rPr>
              <w:t>:</w:t>
            </w:r>
            <w:r w:rsidR="007B115B" w:rsidRPr="00825BA1">
              <w:rPr>
                <w:rFonts w:ascii="Times New Roman" w:eastAsia="Times New Roman" w:hAnsi="Times New Roman" w:cs="Times New Roman"/>
                <w:sz w:val="24"/>
                <w:szCs w:val="24"/>
              </w:rPr>
              <w:t xml:space="preserve"> </w:t>
            </w:r>
          </w:p>
          <w:p w:rsidR="00F5740B" w:rsidRPr="00825BA1" w:rsidRDefault="007B115B" w:rsidP="001D601E">
            <w:pPr>
              <w:pStyle w:val="ListParagraph"/>
              <w:numPr>
                <w:ilvl w:val="0"/>
                <w:numId w:val="19"/>
              </w:numPr>
              <w:spacing w:after="0" w:line="240" w:lineRule="auto"/>
              <w:contextualSpacing w:val="0"/>
              <w:jc w:val="both"/>
              <w:rPr>
                <w:rFonts w:ascii="Times New Roman" w:hAnsi="Times New Roman" w:cs="Times New Roman"/>
                <w:color w:val="000000"/>
                <w:sz w:val="24"/>
                <w:szCs w:val="24"/>
              </w:rPr>
            </w:pPr>
            <w:r w:rsidRPr="00825BA1">
              <w:rPr>
                <w:rFonts w:ascii="Times New Roman" w:eastAsia="Times New Roman" w:hAnsi="Times New Roman" w:cs="Times New Roman"/>
                <w:sz w:val="24"/>
                <w:szCs w:val="24"/>
              </w:rPr>
              <w:t>Atbilstoši Eiropas K</w:t>
            </w:r>
            <w:r w:rsidR="00B17C76">
              <w:rPr>
                <w:rFonts w:ascii="Times New Roman" w:eastAsia="Times New Roman" w:hAnsi="Times New Roman" w:cs="Times New Roman"/>
                <w:sz w:val="24"/>
                <w:szCs w:val="24"/>
              </w:rPr>
              <w:t>omisijas komentāriem par 3.3.1.</w:t>
            </w:r>
            <w:r w:rsidRPr="00825BA1">
              <w:rPr>
                <w:rFonts w:ascii="Times New Roman" w:eastAsia="Times New Roman" w:hAnsi="Times New Roman" w:cs="Times New Roman"/>
                <w:sz w:val="24"/>
                <w:szCs w:val="24"/>
              </w:rPr>
              <w:t xml:space="preserve">SAM, </w:t>
            </w:r>
            <w:r w:rsidR="00806FF6" w:rsidRPr="00825BA1">
              <w:rPr>
                <w:rFonts w:ascii="Times New Roman" w:hAnsi="Times New Roman" w:cs="Times New Roman"/>
                <w:color w:val="000000"/>
                <w:sz w:val="24"/>
                <w:szCs w:val="24"/>
              </w:rPr>
              <w:t xml:space="preserve">precizētais </w:t>
            </w:r>
            <w:r w:rsidRPr="00825BA1">
              <w:rPr>
                <w:rFonts w:ascii="Times New Roman" w:hAnsi="Times New Roman" w:cs="Times New Roman"/>
                <w:color w:val="000000"/>
                <w:sz w:val="24"/>
                <w:szCs w:val="24"/>
              </w:rPr>
              <w:t>darbības programmas priekšlikums fokusējas uz infrastruktūras attīstības, nevis biznesa attīstības konceptu</w:t>
            </w:r>
            <w:r w:rsidR="00806FF6" w:rsidRPr="00825BA1">
              <w:rPr>
                <w:rFonts w:ascii="Times New Roman" w:hAnsi="Times New Roman" w:cs="Times New Roman"/>
                <w:color w:val="000000"/>
                <w:sz w:val="24"/>
                <w:szCs w:val="24"/>
              </w:rPr>
              <w:t xml:space="preserve">. </w:t>
            </w:r>
          </w:p>
          <w:p w:rsidR="00F5740B" w:rsidRPr="00825BA1" w:rsidRDefault="003B45AD" w:rsidP="001D601E">
            <w:pPr>
              <w:pStyle w:val="ListParagraph"/>
              <w:numPr>
                <w:ilvl w:val="0"/>
                <w:numId w:val="19"/>
              </w:numPr>
              <w:spacing w:after="0" w:line="240" w:lineRule="auto"/>
              <w:jc w:val="both"/>
              <w:rPr>
                <w:rFonts w:ascii="Times New Roman" w:hAnsi="Times New Roman" w:cs="Times New Roman"/>
                <w:sz w:val="24"/>
                <w:szCs w:val="24"/>
              </w:rPr>
            </w:pPr>
            <w:r w:rsidRPr="00825BA1">
              <w:rPr>
                <w:rFonts w:ascii="Times New Roman" w:hAnsi="Times New Roman" w:cs="Times New Roman"/>
                <w:color w:val="000000"/>
                <w:sz w:val="24"/>
                <w:szCs w:val="24"/>
              </w:rPr>
              <w:t>P</w:t>
            </w:r>
            <w:r w:rsidR="00F5740B" w:rsidRPr="00825BA1">
              <w:rPr>
                <w:rFonts w:ascii="Times New Roman" w:hAnsi="Times New Roman" w:cs="Times New Roman"/>
                <w:color w:val="000000"/>
                <w:sz w:val="24"/>
                <w:szCs w:val="24"/>
              </w:rPr>
              <w:t>recizēts</w:t>
            </w:r>
            <w:r w:rsidR="00806FF6" w:rsidRPr="00825BA1">
              <w:rPr>
                <w:rFonts w:ascii="Times New Roman" w:hAnsi="Times New Roman" w:cs="Times New Roman"/>
                <w:color w:val="000000"/>
                <w:sz w:val="24"/>
                <w:szCs w:val="24"/>
              </w:rPr>
              <w:t xml:space="preserve"> </w:t>
            </w:r>
            <w:r w:rsidR="007B115B" w:rsidRPr="00825BA1">
              <w:rPr>
                <w:rFonts w:ascii="Times New Roman" w:hAnsi="Times New Roman" w:cs="Times New Roman"/>
                <w:color w:val="000000"/>
                <w:sz w:val="24"/>
                <w:szCs w:val="24"/>
              </w:rPr>
              <w:t>5</w:t>
            </w:r>
            <w:r w:rsidR="00B17C76">
              <w:rPr>
                <w:rFonts w:ascii="Times New Roman" w:eastAsia="Times New Roman" w:hAnsi="Times New Roman" w:cs="Times New Roman"/>
                <w:sz w:val="24"/>
                <w:szCs w:val="24"/>
              </w:rPr>
              <w:t>.6.1.</w:t>
            </w:r>
            <w:r w:rsidR="00EC3178" w:rsidRPr="00825BA1">
              <w:rPr>
                <w:rFonts w:ascii="Times New Roman" w:eastAsia="Times New Roman" w:hAnsi="Times New Roman" w:cs="Times New Roman"/>
                <w:sz w:val="24"/>
                <w:szCs w:val="24"/>
              </w:rPr>
              <w:t>SAM “Veicināt</w:t>
            </w:r>
            <w:r w:rsidR="00B17C76">
              <w:rPr>
                <w:rFonts w:ascii="Times New Roman" w:eastAsia="Times New Roman" w:hAnsi="Times New Roman" w:cs="Times New Roman"/>
                <w:sz w:val="24"/>
                <w:szCs w:val="24"/>
              </w:rPr>
              <w:t xml:space="preserve"> Rīgas pilsētas </w:t>
            </w:r>
            <w:proofErr w:type="spellStart"/>
            <w:r w:rsidR="00B17C76">
              <w:rPr>
                <w:rFonts w:ascii="Times New Roman" w:eastAsia="Times New Roman" w:hAnsi="Times New Roman" w:cs="Times New Roman"/>
                <w:sz w:val="24"/>
                <w:szCs w:val="24"/>
              </w:rPr>
              <w:t>revitalizāciju</w:t>
            </w:r>
            <w:proofErr w:type="spellEnd"/>
            <w:r w:rsidR="00B17C76">
              <w:rPr>
                <w:rFonts w:ascii="Times New Roman" w:eastAsia="Times New Roman" w:hAnsi="Times New Roman" w:cs="Times New Roman"/>
                <w:sz w:val="24"/>
                <w:szCs w:val="24"/>
              </w:rPr>
              <w:t>,</w:t>
            </w:r>
            <w:r w:rsidR="00EC3178" w:rsidRPr="00825BA1">
              <w:rPr>
                <w:rFonts w:ascii="Times New Roman" w:eastAsia="Times New Roman" w:hAnsi="Times New Roman" w:cs="Times New Roman"/>
                <w:sz w:val="24"/>
                <w:szCs w:val="24"/>
              </w:rPr>
              <w:t xml:space="preserve"> nodrošinot teritorijas efektīvu sociālekonomisko izmantošanu”, paredzot  degradēto teritoriju </w:t>
            </w:r>
            <w:proofErr w:type="spellStart"/>
            <w:r w:rsidR="00F5740B" w:rsidRPr="00825BA1">
              <w:rPr>
                <w:rFonts w:ascii="Times New Roman" w:eastAsia="Times New Roman" w:hAnsi="Times New Roman" w:cs="Times New Roman"/>
                <w:sz w:val="24"/>
                <w:szCs w:val="24"/>
              </w:rPr>
              <w:t>revitalizāciju</w:t>
            </w:r>
            <w:proofErr w:type="spellEnd"/>
            <w:r w:rsidR="00F5740B" w:rsidRPr="00825BA1">
              <w:rPr>
                <w:rFonts w:ascii="Times New Roman" w:eastAsia="Times New Roman" w:hAnsi="Times New Roman" w:cs="Times New Roman"/>
                <w:sz w:val="24"/>
                <w:szCs w:val="24"/>
              </w:rPr>
              <w:t xml:space="preserve"> </w:t>
            </w:r>
            <w:r w:rsidR="00EC3178" w:rsidRPr="00825BA1">
              <w:rPr>
                <w:rFonts w:ascii="Times New Roman" w:eastAsia="Times New Roman" w:hAnsi="Times New Roman" w:cs="Times New Roman"/>
                <w:sz w:val="24"/>
                <w:szCs w:val="24"/>
              </w:rPr>
              <w:t>Rīgas pilsētā, attiecīgi veicot ieguldījumu maza mēroga sabiedriskos objektos.</w:t>
            </w:r>
          </w:p>
          <w:p w:rsidR="00F5740B" w:rsidRPr="00825BA1" w:rsidRDefault="00EC3178" w:rsidP="001D601E">
            <w:pPr>
              <w:pStyle w:val="ListParagraph"/>
              <w:numPr>
                <w:ilvl w:val="0"/>
                <w:numId w:val="19"/>
              </w:numPr>
              <w:spacing w:after="0" w:line="240" w:lineRule="auto"/>
              <w:jc w:val="both"/>
              <w:rPr>
                <w:rFonts w:ascii="Times New Roman" w:hAnsi="Times New Roman" w:cs="Times New Roman"/>
                <w:sz w:val="24"/>
                <w:szCs w:val="24"/>
              </w:rPr>
            </w:pPr>
            <w:r w:rsidRPr="00825BA1">
              <w:rPr>
                <w:rFonts w:ascii="Times New Roman" w:eastAsia="Times New Roman" w:hAnsi="Times New Roman" w:cs="Times New Roman"/>
                <w:sz w:val="24"/>
                <w:szCs w:val="24"/>
              </w:rPr>
              <w:t>Attiecībā uz enerģētiku un vides atbalsta pasākumiem</w:t>
            </w:r>
            <w:r w:rsidR="00F5740B" w:rsidRPr="00825BA1">
              <w:rPr>
                <w:rFonts w:ascii="Times New Roman" w:eastAsia="Times New Roman" w:hAnsi="Times New Roman" w:cs="Times New Roman"/>
                <w:sz w:val="24"/>
                <w:szCs w:val="24"/>
              </w:rPr>
              <w:t>,</w:t>
            </w:r>
            <w:r w:rsidRPr="00825BA1">
              <w:rPr>
                <w:rFonts w:ascii="Times New Roman" w:eastAsia="Times New Roman" w:hAnsi="Times New Roman" w:cs="Times New Roman"/>
                <w:sz w:val="24"/>
                <w:szCs w:val="24"/>
              </w:rPr>
              <w:t xml:space="preserve"> ņemta vērā Eiropas Komisijas prasī</w:t>
            </w:r>
            <w:r w:rsidR="00F5740B" w:rsidRPr="00825BA1">
              <w:rPr>
                <w:rFonts w:ascii="Times New Roman" w:eastAsia="Times New Roman" w:hAnsi="Times New Roman" w:cs="Times New Roman"/>
                <w:sz w:val="24"/>
                <w:szCs w:val="24"/>
              </w:rPr>
              <w:t>b</w:t>
            </w:r>
            <w:r w:rsidRPr="00825BA1">
              <w:rPr>
                <w:rFonts w:ascii="Times New Roman" w:eastAsia="Times New Roman" w:hAnsi="Times New Roman" w:cs="Times New Roman"/>
                <w:sz w:val="24"/>
                <w:szCs w:val="24"/>
              </w:rPr>
              <w:t xml:space="preserve">a neierobežot atjaunojamo energoresursu izmantošanas iespēju un vides sektoram novirzītais finansējuma apjoms palielināts, lai izpildītu vides direktīvu </w:t>
            </w:r>
            <w:proofErr w:type="spellStart"/>
            <w:r w:rsidRPr="00B17C76">
              <w:rPr>
                <w:rFonts w:ascii="Times New Roman" w:eastAsia="Times New Roman" w:hAnsi="Times New Roman" w:cs="Times New Roman"/>
                <w:i/>
                <w:sz w:val="24"/>
                <w:szCs w:val="24"/>
              </w:rPr>
              <w:t>acquis</w:t>
            </w:r>
            <w:proofErr w:type="spellEnd"/>
            <w:r w:rsidRPr="00825BA1">
              <w:rPr>
                <w:rFonts w:ascii="Times New Roman" w:eastAsia="Times New Roman" w:hAnsi="Times New Roman" w:cs="Times New Roman"/>
                <w:sz w:val="24"/>
                <w:szCs w:val="24"/>
              </w:rPr>
              <w:t xml:space="preserve"> prasības.</w:t>
            </w:r>
          </w:p>
          <w:p w:rsidR="00F5740B" w:rsidRPr="00825BA1" w:rsidRDefault="00806FF6" w:rsidP="001D601E">
            <w:pPr>
              <w:pStyle w:val="ListParagraph"/>
              <w:numPr>
                <w:ilvl w:val="0"/>
                <w:numId w:val="19"/>
              </w:numPr>
              <w:spacing w:after="0" w:line="240" w:lineRule="auto"/>
              <w:jc w:val="both"/>
              <w:rPr>
                <w:rFonts w:ascii="Times New Roman" w:hAnsi="Times New Roman" w:cs="Times New Roman"/>
                <w:sz w:val="24"/>
                <w:szCs w:val="24"/>
              </w:rPr>
            </w:pPr>
            <w:r w:rsidRPr="00825BA1">
              <w:rPr>
                <w:rFonts w:ascii="Times New Roman" w:eastAsia="Times New Roman" w:hAnsi="Times New Roman" w:cs="Times New Roman"/>
                <w:sz w:val="24"/>
                <w:szCs w:val="24"/>
              </w:rPr>
              <w:t xml:space="preserve"> </w:t>
            </w:r>
            <w:r w:rsidR="0091316B" w:rsidRPr="00825BA1">
              <w:rPr>
                <w:rFonts w:ascii="Times New Roman" w:hAnsi="Times New Roman" w:cs="Times New Roman"/>
                <w:sz w:val="24"/>
                <w:szCs w:val="24"/>
              </w:rPr>
              <w:t>Atbilstoši E</w:t>
            </w:r>
            <w:r w:rsidRPr="00825BA1">
              <w:rPr>
                <w:rFonts w:ascii="Times New Roman" w:hAnsi="Times New Roman" w:cs="Times New Roman"/>
                <w:sz w:val="24"/>
                <w:szCs w:val="24"/>
              </w:rPr>
              <w:t>iropas Komisijas</w:t>
            </w:r>
            <w:r w:rsidR="0091316B" w:rsidRPr="00825BA1">
              <w:rPr>
                <w:rFonts w:ascii="Times New Roman" w:hAnsi="Times New Roman" w:cs="Times New Roman"/>
                <w:sz w:val="24"/>
                <w:szCs w:val="24"/>
              </w:rPr>
              <w:t xml:space="preserve"> komentāram, lai nodrošinātu pārredzamāku </w:t>
            </w:r>
            <w:r w:rsidR="00F5740B" w:rsidRPr="00825BA1">
              <w:rPr>
                <w:rFonts w:ascii="Times New Roman" w:hAnsi="Times New Roman" w:cs="Times New Roman"/>
                <w:sz w:val="24"/>
                <w:szCs w:val="24"/>
              </w:rPr>
              <w:t>Eiropas Savienības stratēģijas “Eiropa 2020”</w:t>
            </w:r>
            <w:r w:rsidR="0091316B" w:rsidRPr="00825BA1">
              <w:rPr>
                <w:rFonts w:ascii="Times New Roman" w:hAnsi="Times New Roman" w:cs="Times New Roman"/>
                <w:sz w:val="24"/>
                <w:szCs w:val="24"/>
              </w:rPr>
              <w:t xml:space="preserve"> mērķu sasniegšanu, 7.prioritārais virziens</w:t>
            </w:r>
            <w:r w:rsidR="005C4495" w:rsidRPr="00825BA1">
              <w:rPr>
                <w:rFonts w:ascii="Times New Roman" w:hAnsi="Times New Roman" w:cs="Times New Roman"/>
                <w:sz w:val="24"/>
                <w:szCs w:val="24"/>
              </w:rPr>
              <w:t xml:space="preserve"> </w:t>
            </w:r>
            <w:r w:rsidR="005C4495" w:rsidRPr="00825BA1">
              <w:rPr>
                <w:rFonts w:ascii="Times New Roman" w:eastAsia="Calibri" w:hAnsi="Times New Roman" w:cs="Times New Roman"/>
                <w:sz w:val="24"/>
                <w:szCs w:val="24"/>
                <w:lang w:eastAsia="lv-LV"/>
              </w:rPr>
              <w:t xml:space="preserve"> “Nodarbinātība</w:t>
            </w:r>
            <w:r w:rsidR="00F5740B" w:rsidRPr="00825BA1">
              <w:rPr>
                <w:rFonts w:ascii="Times New Roman" w:eastAsia="Calibri" w:hAnsi="Times New Roman" w:cs="Times New Roman"/>
                <w:sz w:val="24"/>
                <w:szCs w:val="24"/>
                <w:lang w:eastAsia="lv-LV"/>
              </w:rPr>
              <w:t>,</w:t>
            </w:r>
            <w:r w:rsidR="005C4495" w:rsidRPr="00825BA1">
              <w:rPr>
                <w:rFonts w:ascii="Times New Roman" w:eastAsia="Calibri" w:hAnsi="Times New Roman" w:cs="Times New Roman"/>
                <w:sz w:val="24"/>
                <w:szCs w:val="24"/>
                <w:lang w:eastAsia="lv-LV"/>
              </w:rPr>
              <w:t xml:space="preserve"> darbaspēka mobilitāte</w:t>
            </w:r>
            <w:r w:rsidR="00F5740B" w:rsidRPr="00825BA1">
              <w:rPr>
                <w:rFonts w:ascii="Times New Roman" w:eastAsia="Calibri" w:hAnsi="Times New Roman" w:cs="Times New Roman"/>
                <w:sz w:val="24"/>
                <w:szCs w:val="24"/>
                <w:lang w:eastAsia="lv-LV"/>
              </w:rPr>
              <w:t xml:space="preserve"> un sociālā iekļaušana</w:t>
            </w:r>
            <w:r w:rsidR="005C4495" w:rsidRPr="00825BA1">
              <w:rPr>
                <w:rFonts w:ascii="Times New Roman" w:eastAsia="Calibri" w:hAnsi="Times New Roman" w:cs="Times New Roman"/>
                <w:sz w:val="24"/>
                <w:szCs w:val="24"/>
                <w:lang w:eastAsia="lv-LV"/>
              </w:rPr>
              <w:t xml:space="preserve">” (turpmāk </w:t>
            </w:r>
            <w:r w:rsidR="00B17C76">
              <w:rPr>
                <w:rFonts w:ascii="Times New Roman" w:eastAsia="Calibri" w:hAnsi="Times New Roman" w:cs="Times New Roman"/>
                <w:sz w:val="24"/>
                <w:szCs w:val="24"/>
                <w:lang w:eastAsia="lv-LV"/>
              </w:rPr>
              <w:t>–</w:t>
            </w:r>
            <w:r w:rsidR="005C4495" w:rsidRPr="00825BA1">
              <w:rPr>
                <w:rFonts w:ascii="Times New Roman" w:eastAsia="Calibri" w:hAnsi="Times New Roman" w:cs="Times New Roman"/>
                <w:sz w:val="24"/>
                <w:szCs w:val="24"/>
                <w:lang w:eastAsia="lv-LV"/>
              </w:rPr>
              <w:t xml:space="preserve"> 7.prioritārais virziens)</w:t>
            </w:r>
            <w:r w:rsidR="0091316B" w:rsidRPr="00825BA1">
              <w:rPr>
                <w:rFonts w:ascii="Times New Roman" w:hAnsi="Times New Roman" w:cs="Times New Roman"/>
                <w:sz w:val="24"/>
                <w:szCs w:val="24"/>
              </w:rPr>
              <w:t xml:space="preserve"> tiek sadalīts divos: 7.prioritārajā virzienā atbalsts nodarbinātības un darba spēka mobilitātes problēmu risināšanai un jauns 9.prioritārais virziens</w:t>
            </w:r>
            <w:r w:rsidR="005C4495" w:rsidRPr="00825BA1">
              <w:rPr>
                <w:rFonts w:ascii="Times New Roman" w:hAnsi="Times New Roman" w:cs="Times New Roman"/>
                <w:sz w:val="24"/>
                <w:szCs w:val="24"/>
              </w:rPr>
              <w:t xml:space="preserve"> “</w:t>
            </w:r>
            <w:r w:rsidR="005C4495" w:rsidRPr="00825BA1">
              <w:rPr>
                <w:rFonts w:ascii="Times New Roman" w:eastAsia="Calibri" w:hAnsi="Times New Roman" w:cs="Times New Roman"/>
                <w:sz w:val="24"/>
                <w:szCs w:val="24"/>
                <w:lang w:eastAsia="lv-LV"/>
              </w:rPr>
              <w:t xml:space="preserve">Sociālā iekļaušana un nabadzības apkarošana”, </w:t>
            </w:r>
            <w:r w:rsidR="0091316B" w:rsidRPr="00825BA1">
              <w:rPr>
                <w:rFonts w:ascii="Times New Roman" w:hAnsi="Times New Roman" w:cs="Times New Roman"/>
                <w:sz w:val="24"/>
                <w:szCs w:val="24"/>
              </w:rPr>
              <w:t xml:space="preserve"> kas vērsts uz atbalstu sociālās iekļaušanas jomā.</w:t>
            </w:r>
            <w:r w:rsidR="00F02EA9" w:rsidRPr="00825BA1">
              <w:rPr>
                <w:rFonts w:ascii="Times New Roman" w:eastAsia="Times New Roman" w:hAnsi="Times New Roman" w:cs="Times New Roman"/>
                <w:sz w:val="24"/>
                <w:szCs w:val="24"/>
              </w:rPr>
              <w:t xml:space="preserve"> </w:t>
            </w:r>
          </w:p>
          <w:p w:rsidR="00F02EA9" w:rsidRPr="00825BA1" w:rsidRDefault="0091316B" w:rsidP="001D601E">
            <w:pPr>
              <w:pStyle w:val="ListParagraph"/>
              <w:numPr>
                <w:ilvl w:val="0"/>
                <w:numId w:val="19"/>
              </w:num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Būtiski tika pārstrādāts atbalsts augstākajai izglītībai, sadalot iepriekš plānotos SAM, kas nodrošināja atbalsta novirzīšanu četros virzienos </w:t>
            </w:r>
            <w:r w:rsidR="00B17C76">
              <w:rPr>
                <w:rFonts w:ascii="Times New Roman" w:hAnsi="Times New Roman" w:cs="Times New Roman"/>
                <w:sz w:val="24"/>
                <w:szCs w:val="24"/>
              </w:rPr>
              <w:t>–</w:t>
            </w:r>
            <w:r w:rsidRPr="00825BA1">
              <w:rPr>
                <w:rFonts w:ascii="Times New Roman" w:hAnsi="Times New Roman" w:cs="Times New Roman"/>
                <w:sz w:val="24"/>
                <w:szCs w:val="24"/>
              </w:rPr>
              <w:t xml:space="preserve"> studiju programmu fragmentācijas mazināšanai, akadēmiskā personālā  kapacitātes stiprināšanai, augstākās izglītības iestāžu labākās pārvaldības nodrošināšanai un atbalstam EQAR aģentūrai izvirzīto prasību izpildei. Minēti pasākumi  atbilst ES </w:t>
            </w:r>
            <w:r w:rsidR="00B17C76">
              <w:rPr>
                <w:rFonts w:ascii="Times New Roman" w:hAnsi="Times New Roman" w:cs="Times New Roman"/>
                <w:sz w:val="24"/>
                <w:szCs w:val="24"/>
              </w:rPr>
              <w:t>padomes rekomendācijai, kas nosa</w:t>
            </w:r>
            <w:r w:rsidRPr="00825BA1">
              <w:rPr>
                <w:rFonts w:ascii="Times New Roman" w:hAnsi="Times New Roman" w:cs="Times New Roman"/>
                <w:sz w:val="24"/>
                <w:szCs w:val="24"/>
              </w:rPr>
              <w:t>ka paātrināt augstākās izglītības reformas ieviešanu.</w:t>
            </w:r>
            <w:r w:rsidR="00F02EA9" w:rsidRPr="00825BA1">
              <w:rPr>
                <w:rFonts w:ascii="Times New Roman" w:hAnsi="Times New Roman" w:cs="Times New Roman"/>
                <w:sz w:val="24"/>
                <w:szCs w:val="24"/>
              </w:rPr>
              <w:t xml:space="preserve"> </w:t>
            </w:r>
          </w:p>
          <w:p w:rsidR="00FB544C" w:rsidRPr="00825BA1" w:rsidRDefault="00B17C76" w:rsidP="001D601E">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Pilnveidots a</w:t>
            </w:r>
            <w:r w:rsidR="0091316B" w:rsidRPr="00825BA1">
              <w:rPr>
                <w:rFonts w:ascii="Times New Roman" w:hAnsi="Times New Roman" w:cs="Times New Roman"/>
                <w:sz w:val="24"/>
                <w:szCs w:val="24"/>
              </w:rPr>
              <w:t xml:space="preserve">tbalsts skolēnu iesaistei vispārējās izglītības procesā un noturēšanai, sadalot atbalstu divos virzienos – atbalsts </w:t>
            </w:r>
            <w:r w:rsidR="0091316B" w:rsidRPr="00825BA1">
              <w:rPr>
                <w:rFonts w:ascii="Times New Roman" w:hAnsi="Times New Roman" w:cs="Times New Roman"/>
                <w:bCs/>
                <w:sz w:val="24"/>
                <w:szCs w:val="24"/>
              </w:rPr>
              <w:t>NEET</w:t>
            </w:r>
            <w:r w:rsidR="0091316B" w:rsidRPr="00825BA1">
              <w:rPr>
                <w:rFonts w:ascii="Times New Roman" w:hAnsi="Times New Roman" w:cs="Times New Roman"/>
                <w:sz w:val="24"/>
                <w:szCs w:val="24"/>
              </w:rPr>
              <w:t xml:space="preserve"> jauniešiem un atbalsts </w:t>
            </w:r>
            <w:r w:rsidR="0091316B" w:rsidRPr="00825BA1">
              <w:rPr>
                <w:rFonts w:ascii="Times New Roman" w:hAnsi="Times New Roman" w:cs="Times New Roman"/>
                <w:bCs/>
                <w:sz w:val="24"/>
                <w:szCs w:val="24"/>
              </w:rPr>
              <w:t>priekšlaicīgu skolu pamešanas gadījumu samazināšanai</w:t>
            </w:r>
            <w:r w:rsidR="0091316B" w:rsidRPr="00825BA1">
              <w:rPr>
                <w:rFonts w:ascii="Times New Roman" w:hAnsi="Times New Roman" w:cs="Times New Roman"/>
                <w:sz w:val="24"/>
                <w:szCs w:val="24"/>
              </w:rPr>
              <w:t>.  </w:t>
            </w:r>
          </w:p>
          <w:p w:rsidR="00FB544C" w:rsidRPr="00825BA1" w:rsidRDefault="00B44D06" w:rsidP="001D601E">
            <w:pPr>
              <w:pStyle w:val="ListParagraph"/>
              <w:numPr>
                <w:ilvl w:val="0"/>
                <w:numId w:val="19"/>
              </w:num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V</w:t>
            </w:r>
            <w:r w:rsidR="00E627F8" w:rsidRPr="00825BA1">
              <w:rPr>
                <w:rFonts w:ascii="Times New Roman" w:hAnsi="Times New Roman" w:cs="Times New Roman"/>
                <w:sz w:val="24"/>
                <w:szCs w:val="24"/>
              </w:rPr>
              <w:t xml:space="preserve">eselības ministrijas plānotais atbalsts </w:t>
            </w:r>
            <w:r w:rsidR="00E627F8" w:rsidRPr="00825BA1">
              <w:rPr>
                <w:rFonts w:ascii="Times New Roman" w:hAnsi="Times New Roman" w:cs="Times New Roman"/>
                <w:bCs/>
                <w:sz w:val="24"/>
                <w:szCs w:val="24"/>
              </w:rPr>
              <w:t>veselības pakalpojumu</w:t>
            </w:r>
            <w:r w:rsidR="00E627F8" w:rsidRPr="00825BA1">
              <w:rPr>
                <w:rFonts w:ascii="Times New Roman" w:hAnsi="Times New Roman" w:cs="Times New Roman"/>
                <w:sz w:val="24"/>
                <w:szCs w:val="24"/>
              </w:rPr>
              <w:t xml:space="preserve"> pieejamības un kvalitātes nodrošināšanai tika būtiski pārstrādāts, nodrošinot tā atbilstību reformai veselības jomā</w:t>
            </w:r>
            <w:r w:rsidR="00FB544C" w:rsidRPr="00825BA1">
              <w:rPr>
                <w:rFonts w:ascii="Times New Roman" w:hAnsi="Times New Roman" w:cs="Times New Roman"/>
                <w:sz w:val="24"/>
                <w:szCs w:val="24"/>
              </w:rPr>
              <w:t>.</w:t>
            </w:r>
          </w:p>
          <w:p w:rsidR="001129E5" w:rsidRPr="00B17C76" w:rsidRDefault="00511ED8" w:rsidP="001D601E">
            <w:pPr>
              <w:pStyle w:val="ListParagraph"/>
              <w:numPr>
                <w:ilvl w:val="0"/>
                <w:numId w:val="19"/>
              </w:num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Izrietoši no precizējumiem </w:t>
            </w:r>
            <w:r w:rsidR="0011656C" w:rsidRPr="00825BA1">
              <w:rPr>
                <w:rFonts w:ascii="Times New Roman" w:hAnsi="Times New Roman" w:cs="Times New Roman"/>
                <w:sz w:val="24"/>
                <w:szCs w:val="24"/>
              </w:rPr>
              <w:t xml:space="preserve">SAM </w:t>
            </w:r>
            <w:r w:rsidRPr="00825BA1">
              <w:rPr>
                <w:rFonts w:ascii="Times New Roman" w:hAnsi="Times New Roman" w:cs="Times New Roman"/>
                <w:sz w:val="24"/>
                <w:szCs w:val="24"/>
              </w:rPr>
              <w:t>iznākuma rādītājos, izpildes ietvara tabulās ir precizētas izvirzītās starpposma un mērķa vērtības.</w:t>
            </w:r>
          </w:p>
        </w:tc>
      </w:tr>
      <w:tr w:rsidR="002C59EB" w:rsidRPr="00825BA1" w:rsidTr="00AF0003">
        <w:trPr>
          <w:trHeight w:val="465"/>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ind w:firstLine="300"/>
              <w:jc w:val="center"/>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3.</w:t>
            </w:r>
          </w:p>
        </w:tc>
        <w:tc>
          <w:tcPr>
            <w:tcW w:w="1351"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Projekta izstrādē iesaistītās institūcijas</w:t>
            </w:r>
          </w:p>
        </w:tc>
        <w:tc>
          <w:tcPr>
            <w:tcW w:w="3142" w:type="pct"/>
            <w:tcBorders>
              <w:top w:val="outset" w:sz="6" w:space="0" w:color="auto"/>
              <w:left w:val="outset" w:sz="6" w:space="0" w:color="auto"/>
              <w:bottom w:val="outset" w:sz="6" w:space="0" w:color="auto"/>
              <w:right w:val="outset" w:sz="6" w:space="0" w:color="auto"/>
            </w:tcBorders>
            <w:hideMark/>
          </w:tcPr>
          <w:p w:rsidR="00F8040E" w:rsidRPr="00825BA1" w:rsidRDefault="002B1835" w:rsidP="0028005D">
            <w:pPr>
              <w:spacing w:after="0" w:line="240" w:lineRule="auto"/>
              <w:ind w:left="66"/>
              <w:jc w:val="both"/>
              <w:rPr>
                <w:rFonts w:ascii="Times New Roman" w:hAnsi="Times New Roman" w:cs="Times New Roman"/>
                <w:bCs/>
                <w:sz w:val="24"/>
                <w:szCs w:val="24"/>
              </w:rPr>
            </w:pPr>
            <w:r w:rsidRPr="00825BA1">
              <w:rPr>
                <w:rFonts w:ascii="Times New Roman" w:hAnsi="Times New Roman" w:cs="Times New Roman"/>
                <w:bCs/>
                <w:sz w:val="24"/>
                <w:szCs w:val="24"/>
              </w:rPr>
              <w:t>D</w:t>
            </w:r>
            <w:r w:rsidR="00B837FC" w:rsidRPr="00825BA1">
              <w:rPr>
                <w:rFonts w:ascii="Times New Roman" w:hAnsi="Times New Roman" w:cs="Times New Roman"/>
                <w:bCs/>
                <w:sz w:val="24"/>
                <w:szCs w:val="24"/>
              </w:rPr>
              <w:t>arbības programmas</w:t>
            </w:r>
            <w:r w:rsidR="0027228A" w:rsidRPr="00825BA1">
              <w:rPr>
                <w:rFonts w:ascii="Times New Roman" w:hAnsi="Times New Roman" w:cs="Times New Roman"/>
                <w:bCs/>
                <w:sz w:val="24"/>
                <w:szCs w:val="24"/>
              </w:rPr>
              <w:t xml:space="preserve"> izstādē tika iesaistītas visas atbildīgās ministrijas</w:t>
            </w:r>
            <w:r w:rsidR="00B17C76">
              <w:rPr>
                <w:rFonts w:ascii="Times New Roman" w:hAnsi="Times New Roman" w:cs="Times New Roman"/>
                <w:bCs/>
                <w:sz w:val="24"/>
                <w:szCs w:val="24"/>
              </w:rPr>
              <w:t>, Valsts kanceleja</w:t>
            </w:r>
            <w:r w:rsidR="0027228A" w:rsidRPr="00825BA1">
              <w:rPr>
                <w:rFonts w:ascii="Times New Roman" w:hAnsi="Times New Roman" w:cs="Times New Roman"/>
                <w:bCs/>
                <w:sz w:val="24"/>
                <w:szCs w:val="24"/>
              </w:rPr>
              <w:t>, kā arī sociālie un sadarbības partneri</w:t>
            </w:r>
            <w:r w:rsidR="00D72753" w:rsidRPr="00825BA1">
              <w:rPr>
                <w:rFonts w:ascii="Times New Roman" w:hAnsi="Times New Roman" w:cs="Times New Roman"/>
                <w:bCs/>
                <w:sz w:val="24"/>
                <w:szCs w:val="24"/>
              </w:rPr>
              <w:t>, proti,</w:t>
            </w:r>
            <w:r w:rsidR="0027228A" w:rsidRPr="00825BA1">
              <w:rPr>
                <w:rFonts w:ascii="Times New Roman" w:hAnsi="Times New Roman" w:cs="Times New Roman"/>
                <w:bCs/>
                <w:sz w:val="24"/>
                <w:szCs w:val="24"/>
              </w:rPr>
              <w:t xml:space="preserve"> </w:t>
            </w:r>
            <w:r w:rsidR="00116539" w:rsidRPr="00825BA1">
              <w:rPr>
                <w:rFonts w:ascii="Times New Roman" w:eastAsia="Times New Roman" w:hAnsi="Times New Roman" w:cs="Times New Roman"/>
                <w:iCs/>
                <w:sz w:val="24"/>
                <w:szCs w:val="24"/>
                <w:lang w:eastAsia="lv-LV"/>
              </w:rPr>
              <w:t>Ekonomikas ministrija, Tieslietu ministrija, Vides aizsardzības un reģionālās attīstības ministrija, Satiksmes ministrija, Zemkopības ministrija, Veselības ministrija, Labklājības ministrijas</w:t>
            </w:r>
            <w:r w:rsidR="00D72753" w:rsidRPr="00825BA1">
              <w:rPr>
                <w:rFonts w:ascii="Times New Roman" w:eastAsia="Times New Roman" w:hAnsi="Times New Roman" w:cs="Times New Roman"/>
                <w:iCs/>
                <w:sz w:val="24"/>
                <w:szCs w:val="24"/>
                <w:lang w:eastAsia="lv-LV"/>
              </w:rPr>
              <w:t>,</w:t>
            </w:r>
            <w:r w:rsidR="00116539" w:rsidRPr="00825BA1">
              <w:rPr>
                <w:rFonts w:ascii="Times New Roman" w:eastAsia="Times New Roman" w:hAnsi="Times New Roman" w:cs="Times New Roman"/>
                <w:iCs/>
                <w:sz w:val="24"/>
                <w:szCs w:val="24"/>
                <w:lang w:eastAsia="lv-LV"/>
              </w:rPr>
              <w:t xml:space="preserve"> Valsts kanceleja, Kultūras ministrija, Izglītības un zinātnes ministrija</w:t>
            </w:r>
            <w:r w:rsidR="0076487A" w:rsidRPr="00825BA1">
              <w:rPr>
                <w:rFonts w:ascii="Times New Roman" w:eastAsia="Times New Roman" w:hAnsi="Times New Roman" w:cs="Times New Roman"/>
                <w:iCs/>
                <w:sz w:val="24"/>
                <w:szCs w:val="24"/>
                <w:lang w:eastAsia="lv-LV"/>
              </w:rPr>
              <w:t>,</w:t>
            </w:r>
            <w:r w:rsidR="00116539" w:rsidRPr="00825BA1">
              <w:rPr>
                <w:rFonts w:ascii="Times New Roman" w:eastAsia="Times New Roman" w:hAnsi="Times New Roman" w:cs="Times New Roman"/>
                <w:iCs/>
                <w:sz w:val="24"/>
                <w:szCs w:val="24"/>
                <w:lang w:eastAsia="lv-LV"/>
              </w:rPr>
              <w:t xml:space="preserve"> </w:t>
            </w:r>
            <w:proofErr w:type="spellStart"/>
            <w:r w:rsidR="0028005D" w:rsidRPr="00825BA1">
              <w:rPr>
                <w:rFonts w:ascii="Times New Roman" w:eastAsia="Times New Roman" w:hAnsi="Times New Roman" w:cs="Times New Roman"/>
                <w:iCs/>
                <w:sz w:val="24"/>
                <w:szCs w:val="24"/>
                <w:lang w:eastAsia="lv-LV"/>
              </w:rPr>
              <w:t>Pārresoru</w:t>
            </w:r>
            <w:proofErr w:type="spellEnd"/>
            <w:r w:rsidR="0028005D" w:rsidRPr="00825BA1">
              <w:rPr>
                <w:rFonts w:ascii="Times New Roman" w:eastAsia="Times New Roman" w:hAnsi="Times New Roman" w:cs="Times New Roman"/>
                <w:iCs/>
                <w:sz w:val="24"/>
                <w:szCs w:val="24"/>
                <w:lang w:eastAsia="lv-LV"/>
              </w:rPr>
              <w:t xml:space="preserve"> koordinācijas centrs, Latvijas Pašvaldību savienība, Latvijas lielo pilsētu asociācija, </w:t>
            </w:r>
            <w:r w:rsidR="00116539" w:rsidRPr="00825BA1">
              <w:rPr>
                <w:rFonts w:ascii="Times New Roman" w:eastAsia="Times New Roman" w:hAnsi="Times New Roman" w:cs="Times New Roman"/>
                <w:iCs/>
                <w:sz w:val="24"/>
                <w:szCs w:val="24"/>
                <w:lang w:eastAsia="lv-LV"/>
              </w:rPr>
              <w:t>biedrība „Latvijas Pilsoniskā alianse”</w:t>
            </w:r>
            <w:r w:rsidR="0028005D" w:rsidRPr="00825BA1">
              <w:rPr>
                <w:rFonts w:ascii="Times New Roman" w:eastAsia="Times New Roman" w:hAnsi="Times New Roman" w:cs="Times New Roman"/>
                <w:iCs/>
                <w:sz w:val="24"/>
                <w:szCs w:val="24"/>
                <w:lang w:eastAsia="lv-LV"/>
              </w:rPr>
              <w:t>,</w:t>
            </w:r>
            <w:r w:rsidR="0076487A" w:rsidRPr="00825BA1">
              <w:rPr>
                <w:rFonts w:ascii="Times New Roman" w:eastAsia="Times New Roman" w:hAnsi="Times New Roman" w:cs="Times New Roman"/>
                <w:iCs/>
                <w:sz w:val="24"/>
                <w:szCs w:val="24"/>
                <w:lang w:eastAsia="lv-LV"/>
              </w:rPr>
              <w:t xml:space="preserve"> </w:t>
            </w:r>
            <w:r w:rsidR="00116539" w:rsidRPr="00825BA1">
              <w:rPr>
                <w:rFonts w:ascii="Times New Roman" w:eastAsia="Times New Roman" w:hAnsi="Times New Roman" w:cs="Times New Roman"/>
                <w:iCs/>
                <w:sz w:val="24"/>
                <w:szCs w:val="24"/>
                <w:lang w:eastAsia="lv-LV"/>
              </w:rPr>
              <w:t xml:space="preserve"> Latvi</w:t>
            </w:r>
            <w:r w:rsidR="0028005D" w:rsidRPr="00825BA1">
              <w:rPr>
                <w:rFonts w:ascii="Times New Roman" w:eastAsia="Times New Roman" w:hAnsi="Times New Roman" w:cs="Times New Roman"/>
                <w:iCs/>
                <w:sz w:val="24"/>
                <w:szCs w:val="24"/>
                <w:lang w:eastAsia="lv-LV"/>
              </w:rPr>
              <w:t xml:space="preserve">jas darba devēju konfederācija, plānošanas reģioni, </w:t>
            </w:r>
            <w:r w:rsidR="00D72753" w:rsidRPr="00825BA1">
              <w:rPr>
                <w:rFonts w:ascii="Times New Roman" w:eastAsia="Times New Roman" w:hAnsi="Times New Roman" w:cs="Times New Roman"/>
                <w:iCs/>
                <w:sz w:val="24"/>
                <w:szCs w:val="24"/>
                <w:lang w:eastAsia="lv-LV"/>
              </w:rPr>
              <w:t>u</w:t>
            </w:r>
            <w:r w:rsidR="00882894" w:rsidRPr="00825BA1">
              <w:rPr>
                <w:rFonts w:ascii="Times New Roman" w:eastAsia="Times New Roman" w:hAnsi="Times New Roman" w:cs="Times New Roman"/>
                <w:iCs/>
                <w:sz w:val="24"/>
                <w:szCs w:val="24"/>
                <w:lang w:eastAsia="lv-LV"/>
              </w:rPr>
              <w:t>.c</w:t>
            </w:r>
            <w:r w:rsidR="00D72753" w:rsidRPr="00825BA1">
              <w:rPr>
                <w:rFonts w:ascii="Times New Roman" w:eastAsia="Times New Roman" w:hAnsi="Times New Roman" w:cs="Times New Roman"/>
                <w:iCs/>
                <w:sz w:val="24"/>
                <w:szCs w:val="24"/>
                <w:lang w:eastAsia="lv-LV"/>
              </w:rPr>
              <w:t>.</w:t>
            </w:r>
          </w:p>
        </w:tc>
      </w:tr>
      <w:tr w:rsidR="002C59EB" w:rsidRPr="00825BA1" w:rsidTr="00AF0003">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ind w:firstLine="300"/>
              <w:jc w:val="center"/>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4.</w:t>
            </w:r>
          </w:p>
        </w:tc>
        <w:tc>
          <w:tcPr>
            <w:tcW w:w="1351" w:type="pct"/>
            <w:tcBorders>
              <w:top w:val="outset" w:sz="6" w:space="0" w:color="auto"/>
              <w:left w:val="outset" w:sz="6" w:space="0" w:color="auto"/>
              <w:bottom w:val="outset" w:sz="6" w:space="0" w:color="auto"/>
              <w:right w:val="outset" w:sz="6" w:space="0" w:color="auto"/>
            </w:tcBorders>
            <w:hideMark/>
          </w:tcPr>
          <w:p w:rsidR="00521527" w:rsidRPr="00825BA1" w:rsidRDefault="00521527" w:rsidP="00C034B1">
            <w:pPr>
              <w:spacing w:after="0" w:line="240" w:lineRule="auto"/>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Cita informācija</w:t>
            </w:r>
          </w:p>
        </w:tc>
        <w:tc>
          <w:tcPr>
            <w:tcW w:w="3142" w:type="pct"/>
            <w:tcBorders>
              <w:top w:val="outset" w:sz="6" w:space="0" w:color="auto"/>
              <w:left w:val="outset" w:sz="6" w:space="0" w:color="auto"/>
              <w:bottom w:val="outset" w:sz="6" w:space="0" w:color="auto"/>
              <w:right w:val="outset" w:sz="6" w:space="0" w:color="auto"/>
            </w:tcBorders>
            <w:hideMark/>
          </w:tcPr>
          <w:p w:rsidR="00392389" w:rsidRPr="00825BA1" w:rsidRDefault="00392389" w:rsidP="008A7175">
            <w:pPr>
              <w:spacing w:after="0" w:line="240" w:lineRule="auto"/>
              <w:rPr>
                <w:rFonts w:ascii="Times New Roman" w:eastAsia="Times New Roman" w:hAnsi="Times New Roman" w:cs="Times New Roman"/>
                <w:sz w:val="24"/>
                <w:szCs w:val="24"/>
                <w:lang w:eastAsia="lv-LV"/>
              </w:rPr>
            </w:pPr>
            <w:r w:rsidRPr="00825BA1">
              <w:rPr>
                <w:rFonts w:ascii="Times New Roman" w:eastAsia="Times New Roman" w:hAnsi="Times New Roman" w:cs="Times New Roman"/>
                <w:sz w:val="24"/>
                <w:szCs w:val="24"/>
                <w:lang w:eastAsia="lv-LV"/>
              </w:rPr>
              <w:t>Nav</w:t>
            </w:r>
          </w:p>
        </w:tc>
      </w:tr>
    </w:tbl>
    <w:p w:rsidR="001B0682" w:rsidRPr="00825BA1" w:rsidRDefault="001B0682" w:rsidP="00C034B1">
      <w:pPr>
        <w:spacing w:after="0" w:line="240" w:lineRule="auto"/>
        <w:ind w:firstLine="300"/>
        <w:rPr>
          <w:rFonts w:ascii="Times New Roman" w:eastAsia="Times New Roman" w:hAnsi="Times New Roman" w:cs="Times New Roman"/>
          <w:sz w:val="24"/>
          <w:szCs w:val="24"/>
          <w:lang w:eastAsia="lv-LV"/>
        </w:rPr>
      </w:pPr>
    </w:p>
    <w:p w:rsidR="00665131" w:rsidRPr="00825BA1" w:rsidRDefault="00665131" w:rsidP="00C034B1">
      <w:pPr>
        <w:spacing w:after="0" w:line="240" w:lineRule="auto"/>
        <w:ind w:firstLine="300"/>
        <w:rPr>
          <w:rFonts w:ascii="Times New Roman" w:eastAsia="Times New Roman" w:hAnsi="Times New Roman" w:cs="Times New Roman"/>
          <w:sz w:val="24"/>
          <w:szCs w:val="24"/>
          <w:lang w:eastAsia="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2D16B4" w:rsidRPr="00825BA1" w:rsidTr="009347BA">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rsidR="002D16B4" w:rsidRPr="00825BA1" w:rsidRDefault="002D16B4" w:rsidP="009347BA">
            <w:pPr>
              <w:spacing w:before="136" w:after="136"/>
              <w:jc w:val="center"/>
              <w:rPr>
                <w:rFonts w:ascii="Times New Roman" w:hAnsi="Times New Roman" w:cs="Times New Roman"/>
                <w:b/>
                <w:bCs/>
                <w:sz w:val="24"/>
                <w:szCs w:val="24"/>
                <w:lang w:eastAsia="lv-LV"/>
              </w:rPr>
            </w:pPr>
            <w:r w:rsidRPr="00825BA1">
              <w:rPr>
                <w:rFonts w:ascii="Times New Roman" w:hAnsi="Times New Roman" w:cs="Times New Roman"/>
                <w:b/>
                <w:bCs/>
                <w:sz w:val="24"/>
                <w:szCs w:val="24"/>
                <w:lang w:eastAsia="lv-LV"/>
              </w:rPr>
              <w:t> II. Tiesību akta projekta ietekme uz sabiedrību, tautsaimniecības attīstību un administratīvo slogu</w:t>
            </w:r>
          </w:p>
        </w:tc>
      </w:tr>
      <w:tr w:rsidR="002D16B4"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441EF">
            <w:pPr>
              <w:spacing w:after="0"/>
              <w:rPr>
                <w:rFonts w:ascii="Times New Roman" w:hAnsi="Times New Roman" w:cs="Times New Roman"/>
                <w:sz w:val="24"/>
                <w:szCs w:val="24"/>
                <w:lang w:eastAsia="lv-LV"/>
              </w:rPr>
            </w:pPr>
            <w:r w:rsidRPr="00825BA1">
              <w:rPr>
                <w:rFonts w:ascii="Times New Roman" w:hAnsi="Times New Roman" w:cs="Times New Roman"/>
                <w:sz w:val="24"/>
                <w:szCs w:val="24"/>
                <w:lang w:eastAsia="lv-LV"/>
              </w:rPr>
              <w:t xml:space="preserve">Sabiedrības </w:t>
            </w:r>
            <w:proofErr w:type="spellStart"/>
            <w:r w:rsidRPr="00825BA1">
              <w:rPr>
                <w:rFonts w:ascii="Times New Roman" w:hAnsi="Times New Roman" w:cs="Times New Roman"/>
                <w:sz w:val="24"/>
                <w:szCs w:val="24"/>
                <w:lang w:eastAsia="lv-LV"/>
              </w:rPr>
              <w:t>mērķgrupas</w:t>
            </w:r>
            <w:proofErr w:type="spellEnd"/>
            <w:r w:rsidRPr="00825BA1">
              <w:rPr>
                <w:rFonts w:ascii="Times New Roman" w:hAnsi="Times New Roman" w:cs="Times New Roman"/>
                <w:sz w:val="24"/>
                <w:szCs w:val="24"/>
                <w:lang w:eastAsia="lv-LV"/>
              </w:rPr>
              <w:t>, kuras tiesiskais regulējums ietekmē vai varētu ietekmēt</w:t>
            </w:r>
          </w:p>
        </w:tc>
        <w:tc>
          <w:tcPr>
            <w:tcW w:w="5812" w:type="dxa"/>
            <w:tcBorders>
              <w:top w:val="outset" w:sz="6" w:space="0" w:color="auto"/>
              <w:left w:val="outset" w:sz="6" w:space="0" w:color="auto"/>
              <w:bottom w:val="outset" w:sz="6" w:space="0" w:color="auto"/>
              <w:right w:val="outset" w:sz="6" w:space="0" w:color="auto"/>
            </w:tcBorders>
            <w:hideMark/>
          </w:tcPr>
          <w:p w:rsidR="002D16B4" w:rsidRPr="00825BA1" w:rsidRDefault="00234FD4" w:rsidP="00B837FC">
            <w:pPr>
              <w:spacing w:after="0"/>
              <w:jc w:val="both"/>
              <w:rPr>
                <w:rFonts w:ascii="Times New Roman" w:hAnsi="Times New Roman" w:cs="Times New Roman"/>
                <w:sz w:val="24"/>
                <w:szCs w:val="24"/>
                <w:lang w:eastAsia="lv-LV"/>
              </w:rPr>
            </w:pPr>
            <w:r w:rsidRPr="00825BA1">
              <w:rPr>
                <w:rFonts w:ascii="Times New Roman" w:hAnsi="Times New Roman" w:cs="Times New Roman"/>
                <w:sz w:val="24"/>
                <w:szCs w:val="24"/>
              </w:rPr>
              <w:t xml:space="preserve">Potenciālie </w:t>
            </w:r>
            <w:r w:rsidR="00B837FC" w:rsidRPr="00825BA1">
              <w:rPr>
                <w:rFonts w:ascii="Times New Roman" w:hAnsi="Times New Roman" w:cs="Times New Roman"/>
                <w:sz w:val="24"/>
                <w:szCs w:val="24"/>
              </w:rPr>
              <w:t>ES</w:t>
            </w:r>
            <w:r w:rsidR="00E625FD" w:rsidRPr="00825BA1">
              <w:rPr>
                <w:rFonts w:ascii="Times New Roman" w:hAnsi="Times New Roman" w:cs="Times New Roman"/>
                <w:sz w:val="24"/>
                <w:szCs w:val="24"/>
              </w:rPr>
              <w:t xml:space="preserve"> </w:t>
            </w:r>
            <w:r w:rsidRPr="00825BA1">
              <w:rPr>
                <w:rFonts w:ascii="Times New Roman" w:hAnsi="Times New Roman" w:cs="Times New Roman"/>
                <w:sz w:val="24"/>
                <w:szCs w:val="24"/>
              </w:rPr>
              <w:t>fondu finansējuma saņēmēji, to sadarbības partneri un gala labuma guvēji.</w:t>
            </w:r>
          </w:p>
        </w:tc>
      </w:tr>
      <w:tr w:rsidR="002D16B4"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2.</w:t>
            </w:r>
          </w:p>
        </w:tc>
        <w:tc>
          <w:tcPr>
            <w:tcW w:w="3118"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441EF">
            <w:pPr>
              <w:spacing w:after="0"/>
              <w:rPr>
                <w:rFonts w:ascii="Times New Roman" w:hAnsi="Times New Roman" w:cs="Times New Roman"/>
                <w:sz w:val="24"/>
                <w:szCs w:val="24"/>
                <w:lang w:eastAsia="lv-LV"/>
              </w:rPr>
            </w:pPr>
            <w:r w:rsidRPr="00825BA1">
              <w:rPr>
                <w:rFonts w:ascii="Times New Roman" w:hAnsi="Times New Roman" w:cs="Times New Roman"/>
                <w:sz w:val="24"/>
                <w:szCs w:val="24"/>
                <w:lang w:eastAsia="lv-LV"/>
              </w:rPr>
              <w:t>Tiesiskā regulējuma ietekme uz tautsaimniecību un administratīvo slogu</w:t>
            </w:r>
          </w:p>
        </w:tc>
        <w:tc>
          <w:tcPr>
            <w:tcW w:w="5812" w:type="dxa"/>
            <w:tcBorders>
              <w:top w:val="outset" w:sz="6" w:space="0" w:color="auto"/>
              <w:left w:val="outset" w:sz="6" w:space="0" w:color="auto"/>
              <w:bottom w:val="outset" w:sz="6" w:space="0" w:color="auto"/>
              <w:right w:val="outset" w:sz="6" w:space="0" w:color="auto"/>
            </w:tcBorders>
            <w:hideMark/>
          </w:tcPr>
          <w:p w:rsidR="002D16B4" w:rsidRPr="00825BA1" w:rsidRDefault="00234FD4" w:rsidP="00197714">
            <w:pPr>
              <w:shd w:val="clear" w:color="auto" w:fill="FFFFFF"/>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Ņemot vērā plānotās </w:t>
            </w:r>
            <w:r w:rsidR="0003669E" w:rsidRPr="00825BA1">
              <w:rPr>
                <w:rFonts w:ascii="Times New Roman" w:hAnsi="Times New Roman" w:cs="Times New Roman"/>
                <w:sz w:val="24"/>
                <w:szCs w:val="24"/>
              </w:rPr>
              <w:t>ES</w:t>
            </w:r>
            <w:r w:rsidR="004765BE" w:rsidRPr="00825BA1">
              <w:rPr>
                <w:rFonts w:ascii="Times New Roman" w:eastAsia="Times New Roman" w:hAnsi="Times New Roman" w:cs="Times New Roman"/>
                <w:color w:val="000000"/>
                <w:sz w:val="24"/>
                <w:szCs w:val="24"/>
                <w:lang w:eastAsia="lv-LV"/>
              </w:rPr>
              <w:t xml:space="preserve"> fondu</w:t>
            </w:r>
            <w:r w:rsidRPr="00825BA1">
              <w:rPr>
                <w:rFonts w:ascii="Times New Roman" w:hAnsi="Times New Roman" w:cs="Times New Roman"/>
                <w:sz w:val="24"/>
                <w:szCs w:val="24"/>
              </w:rPr>
              <w:t xml:space="preserve"> investīcijas </w:t>
            </w:r>
            <w:r w:rsidR="0003669E" w:rsidRPr="00825BA1">
              <w:rPr>
                <w:rFonts w:ascii="Times New Roman" w:hAnsi="Times New Roman" w:cs="Times New Roman"/>
                <w:sz w:val="24"/>
                <w:szCs w:val="24"/>
              </w:rPr>
              <w:t>4,4</w:t>
            </w:r>
            <w:r w:rsidR="004765BE" w:rsidRPr="00825BA1">
              <w:rPr>
                <w:rFonts w:ascii="Times New Roman" w:hAnsi="Times New Roman" w:cs="Times New Roman"/>
                <w:sz w:val="24"/>
                <w:szCs w:val="24"/>
              </w:rPr>
              <w:t xml:space="preserve"> </w:t>
            </w:r>
            <w:proofErr w:type="spellStart"/>
            <w:r w:rsidRPr="00825BA1">
              <w:rPr>
                <w:rFonts w:ascii="Times New Roman" w:hAnsi="Times New Roman" w:cs="Times New Roman"/>
                <w:sz w:val="24"/>
                <w:szCs w:val="24"/>
              </w:rPr>
              <w:t>milj</w:t>
            </w:r>
            <w:r w:rsidR="00A07F47" w:rsidRPr="00825BA1">
              <w:rPr>
                <w:rFonts w:ascii="Times New Roman" w:hAnsi="Times New Roman" w:cs="Times New Roman"/>
                <w:sz w:val="24"/>
                <w:szCs w:val="24"/>
              </w:rPr>
              <w:t>r</w:t>
            </w:r>
            <w:r w:rsidRPr="00825BA1">
              <w:rPr>
                <w:rFonts w:ascii="Times New Roman" w:hAnsi="Times New Roman" w:cs="Times New Roman"/>
                <w:sz w:val="24"/>
                <w:szCs w:val="24"/>
              </w:rPr>
              <w:t>d</w:t>
            </w:r>
            <w:proofErr w:type="spellEnd"/>
            <w:r w:rsidRPr="00825BA1">
              <w:rPr>
                <w:rFonts w:ascii="Times New Roman" w:hAnsi="Times New Roman" w:cs="Times New Roman"/>
                <w:sz w:val="24"/>
                <w:szCs w:val="24"/>
              </w:rPr>
              <w:t xml:space="preserve">. </w:t>
            </w:r>
            <w:r w:rsidR="00B17C76">
              <w:rPr>
                <w:rFonts w:ascii="Times New Roman" w:hAnsi="Times New Roman" w:cs="Times New Roman"/>
                <w:sz w:val="24"/>
                <w:szCs w:val="24"/>
              </w:rPr>
              <w:t>EUR</w:t>
            </w:r>
            <w:r w:rsidRPr="00825BA1">
              <w:rPr>
                <w:rFonts w:ascii="Times New Roman" w:hAnsi="Times New Roman" w:cs="Times New Roman"/>
                <w:sz w:val="24"/>
                <w:szCs w:val="24"/>
              </w:rPr>
              <w:t xml:space="preserve"> apmērā laika posmā no 2014. līdz 2020.gadam,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rsidR="00907131" w:rsidRPr="00825BA1" w:rsidRDefault="00907131" w:rsidP="0028005D">
            <w:pPr>
              <w:shd w:val="clear" w:color="auto" w:fill="FFFFFF"/>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Detalizētāks </w:t>
            </w:r>
            <w:r w:rsidR="0003669E" w:rsidRPr="00825BA1">
              <w:rPr>
                <w:rFonts w:ascii="Times New Roman" w:hAnsi="Times New Roman" w:cs="Times New Roman"/>
                <w:sz w:val="24"/>
                <w:szCs w:val="24"/>
              </w:rPr>
              <w:t>ES fondu finansējuma sadalījums tiks ietverts darbības programmas papildinājumā</w:t>
            </w:r>
            <w:r w:rsidR="0028005D" w:rsidRPr="00825BA1">
              <w:rPr>
                <w:rFonts w:ascii="Times New Roman" w:hAnsi="Times New Roman" w:cs="Times New Roman"/>
                <w:sz w:val="24"/>
                <w:szCs w:val="24"/>
              </w:rPr>
              <w:t>,</w:t>
            </w:r>
            <w:r w:rsidR="0003669E" w:rsidRPr="00825BA1">
              <w:rPr>
                <w:rFonts w:ascii="Times New Roman" w:hAnsi="Times New Roman" w:cs="Times New Roman"/>
                <w:sz w:val="24"/>
                <w:szCs w:val="24"/>
              </w:rPr>
              <w:t xml:space="preserve"> </w:t>
            </w:r>
            <w:r w:rsidR="00C4710F" w:rsidRPr="00825BA1">
              <w:rPr>
                <w:rFonts w:ascii="Times New Roman" w:eastAsia="Times New Roman" w:hAnsi="Times New Roman" w:cs="Times New Roman"/>
                <w:color w:val="000000"/>
                <w:sz w:val="24"/>
                <w:szCs w:val="24"/>
                <w:lang w:eastAsia="lv-LV"/>
              </w:rPr>
              <w:t xml:space="preserve">kā arī pakārtotos MK noteikumos par specifisko atbalsta mērķu īstenošanu. </w:t>
            </w:r>
          </w:p>
        </w:tc>
      </w:tr>
      <w:tr w:rsidR="002D16B4"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3.</w:t>
            </w:r>
          </w:p>
        </w:tc>
        <w:tc>
          <w:tcPr>
            <w:tcW w:w="3118"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Administratīvo izmaksu monetārs novērtējums</w:t>
            </w:r>
          </w:p>
        </w:tc>
        <w:tc>
          <w:tcPr>
            <w:tcW w:w="5812" w:type="dxa"/>
            <w:tcBorders>
              <w:top w:val="outset" w:sz="6" w:space="0" w:color="auto"/>
              <w:left w:val="outset" w:sz="6" w:space="0" w:color="auto"/>
              <w:bottom w:val="outset" w:sz="6" w:space="0" w:color="auto"/>
              <w:right w:val="outset" w:sz="6" w:space="0" w:color="auto"/>
            </w:tcBorders>
            <w:hideMark/>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rPr>
              <w:t>Nav attiecināms.</w:t>
            </w:r>
          </w:p>
        </w:tc>
      </w:tr>
      <w:tr w:rsidR="002D16B4"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4.</w:t>
            </w:r>
          </w:p>
        </w:tc>
        <w:tc>
          <w:tcPr>
            <w:tcW w:w="3118" w:type="dxa"/>
            <w:tcBorders>
              <w:top w:val="outset" w:sz="6" w:space="0" w:color="auto"/>
              <w:left w:val="outset" w:sz="6" w:space="0" w:color="auto"/>
              <w:bottom w:val="outset" w:sz="6" w:space="0" w:color="auto"/>
              <w:right w:val="outset" w:sz="6" w:space="0" w:color="auto"/>
            </w:tcBorders>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Cita informācija</w:t>
            </w:r>
          </w:p>
        </w:tc>
        <w:tc>
          <w:tcPr>
            <w:tcW w:w="5812" w:type="dxa"/>
            <w:tcBorders>
              <w:top w:val="outset" w:sz="6" w:space="0" w:color="auto"/>
              <w:left w:val="outset" w:sz="6" w:space="0" w:color="auto"/>
              <w:bottom w:val="outset" w:sz="6" w:space="0" w:color="auto"/>
              <w:right w:val="outset" w:sz="6" w:space="0" w:color="auto"/>
            </w:tcBorders>
          </w:tcPr>
          <w:p w:rsidR="002D16B4" w:rsidRPr="00825BA1" w:rsidRDefault="002D16B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Nav.</w:t>
            </w:r>
          </w:p>
        </w:tc>
      </w:tr>
    </w:tbl>
    <w:p w:rsidR="002D16B4" w:rsidRPr="00825BA1" w:rsidRDefault="002D16B4" w:rsidP="00C034B1">
      <w:pPr>
        <w:spacing w:after="0" w:line="240" w:lineRule="auto"/>
        <w:ind w:firstLine="300"/>
        <w:rPr>
          <w:rFonts w:ascii="Times New Roman" w:eastAsia="Times New Roman" w:hAnsi="Times New Roman" w:cs="Times New Roman"/>
          <w:sz w:val="24"/>
          <w:szCs w:val="24"/>
          <w:lang w:eastAsia="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5B71E4" w:rsidRPr="00825BA1" w:rsidTr="009347BA">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136" w:after="136"/>
              <w:jc w:val="center"/>
              <w:rPr>
                <w:rFonts w:ascii="Times New Roman" w:hAnsi="Times New Roman" w:cs="Times New Roman"/>
                <w:b/>
                <w:bCs/>
                <w:sz w:val="24"/>
                <w:szCs w:val="24"/>
                <w:lang w:eastAsia="lv-LV"/>
              </w:rPr>
            </w:pPr>
            <w:r w:rsidRPr="00825BA1">
              <w:rPr>
                <w:rFonts w:ascii="Times New Roman" w:hAnsi="Times New Roman" w:cs="Times New Roman"/>
                <w:b/>
                <w:bCs/>
                <w:sz w:val="24"/>
                <w:szCs w:val="24"/>
                <w:lang w:eastAsia="lv-LV"/>
              </w:rPr>
              <w:t>III. Tiesību akta projekta ietekme uz valsts budžetu un pašvaldību budžetiem</w:t>
            </w:r>
          </w:p>
        </w:tc>
      </w:tr>
      <w:tr w:rsidR="005B71E4" w:rsidRPr="00825BA1" w:rsidTr="009347BA">
        <w:trPr>
          <w:tblCellSpacing w:w="0" w:type="dxa"/>
        </w:trPr>
        <w:tc>
          <w:tcPr>
            <w:tcW w:w="9498" w:type="dxa"/>
            <w:gridSpan w:val="3"/>
            <w:tcBorders>
              <w:top w:val="outset" w:sz="6" w:space="0" w:color="auto"/>
              <w:left w:val="outset" w:sz="6" w:space="0" w:color="auto"/>
              <w:bottom w:val="outset" w:sz="6" w:space="0" w:color="auto"/>
              <w:right w:val="outset" w:sz="6" w:space="0" w:color="auto"/>
            </w:tcBorders>
          </w:tcPr>
          <w:p w:rsidR="005B71E4" w:rsidRPr="00825BA1" w:rsidRDefault="00A07AE8" w:rsidP="0003669E">
            <w:pPr>
              <w:spacing w:before="68" w:after="68"/>
              <w:jc w:val="both"/>
              <w:rPr>
                <w:rFonts w:ascii="Times New Roman" w:hAnsi="Times New Roman" w:cs="Times New Roman"/>
                <w:sz w:val="24"/>
                <w:szCs w:val="24"/>
                <w:lang w:eastAsia="lv-LV"/>
              </w:rPr>
            </w:pPr>
            <w:r w:rsidRPr="00825BA1">
              <w:rPr>
                <w:rFonts w:ascii="Times New Roman" w:hAnsi="Times New Roman" w:cs="Times New Roman"/>
                <w:sz w:val="24"/>
                <w:szCs w:val="24"/>
                <w:lang w:eastAsia="lv-LV"/>
              </w:rPr>
              <w:t>Tieša i</w:t>
            </w:r>
            <w:r w:rsidR="006866BA" w:rsidRPr="00825BA1">
              <w:rPr>
                <w:rFonts w:ascii="Times New Roman" w:hAnsi="Times New Roman" w:cs="Times New Roman"/>
                <w:sz w:val="24"/>
                <w:szCs w:val="24"/>
                <w:lang w:eastAsia="lv-LV"/>
              </w:rPr>
              <w:t>etekme uz valsts un pašvaldību budžetiem tiks vērtēta</w:t>
            </w:r>
            <w:r w:rsidRPr="00825BA1">
              <w:rPr>
                <w:rFonts w:ascii="Times New Roman" w:hAnsi="Times New Roman" w:cs="Times New Roman"/>
                <w:sz w:val="24"/>
                <w:szCs w:val="24"/>
                <w:lang w:eastAsia="lv-LV"/>
              </w:rPr>
              <w:t>,</w:t>
            </w:r>
            <w:r w:rsidR="006866BA" w:rsidRPr="00825BA1">
              <w:rPr>
                <w:rFonts w:ascii="Times New Roman" w:hAnsi="Times New Roman" w:cs="Times New Roman"/>
                <w:sz w:val="24"/>
                <w:szCs w:val="24"/>
                <w:lang w:eastAsia="lv-LV"/>
              </w:rPr>
              <w:t xml:space="preserve"> izstrādājot </w:t>
            </w:r>
            <w:r w:rsidR="0003669E" w:rsidRPr="00825BA1">
              <w:rPr>
                <w:rFonts w:ascii="Times New Roman" w:hAnsi="Times New Roman" w:cs="Times New Roman"/>
                <w:sz w:val="24"/>
                <w:szCs w:val="24"/>
                <w:lang w:eastAsia="lv-LV"/>
              </w:rPr>
              <w:t>MK</w:t>
            </w:r>
            <w:r w:rsidR="00AA1963" w:rsidRPr="00825BA1">
              <w:rPr>
                <w:rFonts w:ascii="Times New Roman" w:hAnsi="Times New Roman" w:cs="Times New Roman"/>
                <w:sz w:val="24"/>
                <w:szCs w:val="24"/>
                <w:lang w:eastAsia="lv-LV"/>
              </w:rPr>
              <w:t xml:space="preserve"> </w:t>
            </w:r>
            <w:r w:rsidR="006866BA" w:rsidRPr="00825BA1">
              <w:rPr>
                <w:rFonts w:ascii="Times New Roman" w:hAnsi="Times New Roman" w:cs="Times New Roman"/>
                <w:sz w:val="24"/>
                <w:szCs w:val="24"/>
                <w:lang w:eastAsia="lv-LV"/>
              </w:rPr>
              <w:t xml:space="preserve">noteikumus par specifisko atbalsta mērķu </w:t>
            </w:r>
            <w:r w:rsidR="0003669E" w:rsidRPr="00825BA1">
              <w:rPr>
                <w:rFonts w:ascii="Times New Roman" w:hAnsi="Times New Roman" w:cs="Times New Roman"/>
                <w:sz w:val="24"/>
                <w:szCs w:val="24"/>
                <w:lang w:eastAsia="lv-LV"/>
              </w:rPr>
              <w:t>īstenošanu</w:t>
            </w:r>
            <w:r w:rsidR="006866BA" w:rsidRPr="00825BA1">
              <w:rPr>
                <w:rFonts w:ascii="Times New Roman" w:hAnsi="Times New Roman" w:cs="Times New Roman"/>
                <w:sz w:val="24"/>
                <w:szCs w:val="24"/>
                <w:lang w:eastAsia="lv-LV"/>
              </w:rPr>
              <w:t xml:space="preserve">.  </w:t>
            </w:r>
          </w:p>
        </w:tc>
      </w:tr>
      <w:tr w:rsidR="005B71E4" w:rsidRPr="00825BA1" w:rsidTr="009347BA">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136" w:after="136"/>
              <w:jc w:val="center"/>
              <w:rPr>
                <w:rFonts w:ascii="Times New Roman" w:hAnsi="Times New Roman" w:cs="Times New Roman"/>
                <w:b/>
                <w:bCs/>
                <w:sz w:val="24"/>
                <w:szCs w:val="24"/>
                <w:lang w:eastAsia="lv-LV"/>
              </w:rPr>
            </w:pPr>
            <w:r w:rsidRPr="00825BA1">
              <w:rPr>
                <w:rFonts w:ascii="Times New Roman" w:hAnsi="Times New Roman" w:cs="Times New Roman"/>
                <w:b/>
                <w:bCs/>
                <w:sz w:val="24"/>
                <w:szCs w:val="24"/>
                <w:lang w:eastAsia="lv-LV"/>
              </w:rPr>
              <w:t>IV. Tiesību akta projekta ietekme uz spēkā esošo tiesību normu sistēmu</w:t>
            </w:r>
          </w:p>
        </w:tc>
      </w:tr>
      <w:tr w:rsidR="00490F1A"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90F1A" w:rsidRPr="00825BA1" w:rsidRDefault="00490F1A"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490F1A" w:rsidRPr="00825BA1" w:rsidRDefault="00490F1A" w:rsidP="009441EF">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 xml:space="preserve">Nepieciešamie saistītie tiesību aktu projekti </w:t>
            </w:r>
          </w:p>
        </w:tc>
        <w:tc>
          <w:tcPr>
            <w:tcW w:w="5812" w:type="dxa"/>
            <w:tcBorders>
              <w:top w:val="outset" w:sz="6" w:space="0" w:color="auto"/>
              <w:left w:val="outset" w:sz="6" w:space="0" w:color="auto"/>
              <w:bottom w:val="outset" w:sz="6" w:space="0" w:color="auto"/>
              <w:right w:val="outset" w:sz="6" w:space="0" w:color="auto"/>
            </w:tcBorders>
            <w:hideMark/>
          </w:tcPr>
          <w:p w:rsidR="0003669E" w:rsidRDefault="0028005D" w:rsidP="0003669E">
            <w:p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S</w:t>
            </w:r>
            <w:r w:rsidR="0003669E" w:rsidRPr="00825BA1">
              <w:rPr>
                <w:rFonts w:ascii="Times New Roman" w:hAnsi="Times New Roman" w:cs="Times New Roman"/>
                <w:sz w:val="24"/>
                <w:szCs w:val="24"/>
              </w:rPr>
              <w:t>pecifisko atbalsta mērķu ieviešanu regulēs MK noteikumi par specifisko atbalsta mērķu īstenošanu</w:t>
            </w:r>
            <w:r w:rsidR="00C841E5" w:rsidRPr="00825BA1">
              <w:rPr>
                <w:rFonts w:ascii="Times New Roman" w:hAnsi="Times New Roman" w:cs="Times New Roman"/>
                <w:sz w:val="24"/>
                <w:szCs w:val="24"/>
              </w:rPr>
              <w:t xml:space="preserve">, kas tiks izstrādāti </w:t>
            </w:r>
            <w:r w:rsidR="00C841E5" w:rsidRPr="00825BA1">
              <w:rPr>
                <w:rFonts w:ascii="Times New Roman" w:hAnsi="Times New Roman" w:cs="Times New Roman"/>
                <w:sz w:val="24"/>
                <w:szCs w:val="24"/>
              </w:rPr>
              <w:lastRenderedPageBreak/>
              <w:t>atbilstoši darbības programmas papildinājumā ietvertajam laika g</w:t>
            </w:r>
            <w:r w:rsidR="00613697">
              <w:rPr>
                <w:rFonts w:ascii="Times New Roman" w:hAnsi="Times New Roman" w:cs="Times New Roman"/>
                <w:sz w:val="24"/>
                <w:szCs w:val="24"/>
              </w:rPr>
              <w:t>rafikam līdz 2017.gada 31.decem</w:t>
            </w:r>
            <w:r w:rsidR="00C841E5" w:rsidRPr="00825BA1">
              <w:rPr>
                <w:rFonts w:ascii="Times New Roman" w:hAnsi="Times New Roman" w:cs="Times New Roman"/>
                <w:sz w:val="24"/>
                <w:szCs w:val="24"/>
              </w:rPr>
              <w:t>b</w:t>
            </w:r>
            <w:r w:rsidR="00613697">
              <w:rPr>
                <w:rFonts w:ascii="Times New Roman" w:hAnsi="Times New Roman" w:cs="Times New Roman"/>
                <w:sz w:val="24"/>
                <w:szCs w:val="24"/>
              </w:rPr>
              <w:t>r</w:t>
            </w:r>
            <w:r w:rsidR="00C841E5" w:rsidRPr="00825BA1">
              <w:rPr>
                <w:rFonts w:ascii="Times New Roman" w:hAnsi="Times New Roman" w:cs="Times New Roman"/>
                <w:sz w:val="24"/>
                <w:szCs w:val="24"/>
              </w:rPr>
              <w:t>im</w:t>
            </w:r>
            <w:r w:rsidR="0003669E" w:rsidRPr="00825BA1">
              <w:rPr>
                <w:rFonts w:ascii="Times New Roman" w:hAnsi="Times New Roman" w:cs="Times New Roman"/>
                <w:sz w:val="24"/>
                <w:szCs w:val="24"/>
              </w:rPr>
              <w:t>.</w:t>
            </w:r>
          </w:p>
          <w:p w:rsidR="00974700" w:rsidRPr="00825BA1" w:rsidRDefault="00974700" w:rsidP="0003669E">
            <w:p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Ņemot vērā iepriekš minēto, nepieciešams atzīt par spēku zaudējušu MK 2014.gada 17.februāra rīkojumu Nr.71 “Par darbības programmas "Izaugsme un nodarbinātība" projektu 2014.–2020.gada plānošanas periodam”, kas ir zaudējis aktualitāti, jo </w:t>
            </w:r>
            <w:r w:rsidRPr="00825BA1">
              <w:rPr>
                <w:rFonts w:ascii="Times New Roman" w:eastAsia="Times New Roman" w:hAnsi="Times New Roman" w:cs="Times New Roman"/>
                <w:sz w:val="24"/>
                <w:szCs w:val="24"/>
              </w:rPr>
              <w:t>darbības programmu ar veiktajiem precizējumiem nepieciešams atkārtoti virzīt apstiprināšanai MK.</w:t>
            </w:r>
          </w:p>
        </w:tc>
      </w:tr>
      <w:tr w:rsidR="00490F1A"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490F1A" w:rsidRPr="00825BA1" w:rsidRDefault="00490F1A"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lastRenderedPageBreak/>
              <w:t> 2.</w:t>
            </w:r>
          </w:p>
        </w:tc>
        <w:tc>
          <w:tcPr>
            <w:tcW w:w="3118" w:type="dxa"/>
            <w:tcBorders>
              <w:top w:val="outset" w:sz="6" w:space="0" w:color="auto"/>
              <w:left w:val="outset" w:sz="6" w:space="0" w:color="auto"/>
              <w:bottom w:val="outset" w:sz="6" w:space="0" w:color="auto"/>
              <w:right w:val="outset" w:sz="6" w:space="0" w:color="auto"/>
            </w:tcBorders>
            <w:hideMark/>
          </w:tcPr>
          <w:p w:rsidR="00490F1A" w:rsidRPr="00825BA1" w:rsidRDefault="00490F1A" w:rsidP="009441EF">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 xml:space="preserve"> Atbildīgā institūcija </w:t>
            </w:r>
          </w:p>
        </w:tc>
        <w:tc>
          <w:tcPr>
            <w:tcW w:w="5812" w:type="dxa"/>
            <w:tcBorders>
              <w:top w:val="outset" w:sz="6" w:space="0" w:color="auto"/>
              <w:left w:val="outset" w:sz="6" w:space="0" w:color="auto"/>
              <w:bottom w:val="outset" w:sz="6" w:space="0" w:color="auto"/>
              <w:right w:val="outset" w:sz="6" w:space="0" w:color="auto"/>
            </w:tcBorders>
            <w:hideMark/>
          </w:tcPr>
          <w:p w:rsidR="00490F1A" w:rsidRPr="00825BA1" w:rsidRDefault="00490F1A" w:rsidP="0003669E">
            <w:pPr>
              <w:spacing w:after="0" w:line="240" w:lineRule="auto"/>
              <w:jc w:val="both"/>
              <w:rPr>
                <w:rFonts w:ascii="Times New Roman" w:hAnsi="Times New Roman" w:cs="Times New Roman"/>
                <w:sz w:val="24"/>
                <w:szCs w:val="24"/>
                <w:lang w:eastAsia="lv-LV"/>
              </w:rPr>
            </w:pPr>
            <w:r w:rsidRPr="00825BA1">
              <w:rPr>
                <w:rFonts w:ascii="Times New Roman" w:hAnsi="Times New Roman" w:cs="Times New Roman"/>
                <w:sz w:val="24"/>
                <w:szCs w:val="24"/>
              </w:rPr>
              <w:t xml:space="preserve"> Finanšu ministrija</w:t>
            </w:r>
          </w:p>
        </w:tc>
      </w:tr>
      <w:tr w:rsidR="00953A9D" w:rsidRPr="00825BA1" w:rsidTr="009347BA">
        <w:trPr>
          <w:tblCellSpacing w:w="0" w:type="dxa"/>
        </w:trPr>
        <w:tc>
          <w:tcPr>
            <w:tcW w:w="568" w:type="dxa"/>
            <w:tcBorders>
              <w:top w:val="outset" w:sz="6" w:space="0" w:color="auto"/>
              <w:left w:val="outset" w:sz="6" w:space="0" w:color="auto"/>
              <w:bottom w:val="outset" w:sz="6" w:space="0" w:color="auto"/>
              <w:right w:val="outset" w:sz="6" w:space="0" w:color="auto"/>
            </w:tcBorders>
          </w:tcPr>
          <w:p w:rsidR="00953A9D" w:rsidRPr="00825BA1" w:rsidRDefault="00953A9D"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3.</w:t>
            </w:r>
          </w:p>
        </w:tc>
        <w:tc>
          <w:tcPr>
            <w:tcW w:w="3118" w:type="dxa"/>
            <w:tcBorders>
              <w:top w:val="outset" w:sz="6" w:space="0" w:color="auto"/>
              <w:left w:val="outset" w:sz="6" w:space="0" w:color="auto"/>
              <w:bottom w:val="outset" w:sz="6" w:space="0" w:color="auto"/>
              <w:right w:val="outset" w:sz="6" w:space="0" w:color="auto"/>
            </w:tcBorders>
          </w:tcPr>
          <w:p w:rsidR="00953A9D" w:rsidRPr="00825BA1" w:rsidRDefault="00953A9D">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Cita informācija</w:t>
            </w:r>
          </w:p>
        </w:tc>
        <w:tc>
          <w:tcPr>
            <w:tcW w:w="5812" w:type="dxa"/>
            <w:tcBorders>
              <w:top w:val="outset" w:sz="6" w:space="0" w:color="auto"/>
              <w:left w:val="outset" w:sz="6" w:space="0" w:color="auto"/>
              <w:bottom w:val="outset" w:sz="6" w:space="0" w:color="auto"/>
              <w:right w:val="outset" w:sz="6" w:space="0" w:color="auto"/>
            </w:tcBorders>
          </w:tcPr>
          <w:p w:rsidR="00953A9D" w:rsidRPr="00825BA1" w:rsidRDefault="00953A9D">
            <w:p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Nav </w:t>
            </w:r>
          </w:p>
        </w:tc>
      </w:tr>
    </w:tbl>
    <w:p w:rsidR="005B71E4" w:rsidRPr="00825BA1" w:rsidRDefault="005B71E4" w:rsidP="009441EF">
      <w:pPr>
        <w:spacing w:before="120" w:after="240"/>
        <w:rPr>
          <w:rFonts w:ascii="Times New Roman" w:hAnsi="Times New Roman" w:cs="Times New Roman"/>
          <w:b/>
          <w:sz w:val="24"/>
          <w:szCs w:val="24"/>
        </w:rPr>
      </w:pPr>
    </w:p>
    <w:p w:rsidR="002D16B4" w:rsidRPr="00825BA1" w:rsidRDefault="002D16B4" w:rsidP="009441EF">
      <w:pPr>
        <w:spacing w:after="0" w:line="240" w:lineRule="auto"/>
        <w:rPr>
          <w:rFonts w:ascii="Times New Roman" w:eastAsia="Times New Roman" w:hAnsi="Times New Roman" w:cs="Times New Roman"/>
          <w:sz w:val="24"/>
          <w:szCs w:val="24"/>
          <w:lang w:eastAsia="lv-LV"/>
        </w:rPr>
      </w:pPr>
    </w:p>
    <w:tbl>
      <w:tblPr>
        <w:tblW w:w="954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
        <w:gridCol w:w="476"/>
        <w:gridCol w:w="1704"/>
        <w:gridCol w:w="267"/>
        <w:gridCol w:w="742"/>
        <w:gridCol w:w="129"/>
        <w:gridCol w:w="952"/>
        <w:gridCol w:w="1279"/>
        <w:gridCol w:w="1378"/>
        <w:gridCol w:w="2586"/>
        <w:gridCol w:w="12"/>
      </w:tblGrid>
      <w:tr w:rsidR="007F18F2" w:rsidRPr="00825BA1" w:rsidTr="006A3B37">
        <w:trPr>
          <w:gridAfter w:val="1"/>
          <w:wAfter w:w="12" w:type="dxa"/>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jc w:val="center"/>
              <w:rPr>
                <w:rFonts w:ascii="Times New Roman" w:hAnsi="Times New Roman" w:cs="Times New Roman"/>
                <w:b/>
                <w:sz w:val="24"/>
                <w:szCs w:val="24"/>
              </w:rPr>
            </w:pPr>
            <w:r w:rsidRPr="00825BA1">
              <w:rPr>
                <w:rFonts w:ascii="Times New Roman" w:hAnsi="Times New Roman" w:cs="Times New Roman"/>
                <w:b/>
                <w:sz w:val="24"/>
                <w:szCs w:val="24"/>
              </w:rPr>
              <w:t>V. Tiesību akta projekta atbilstība Latvijas Republikas starptautiskajām saistībām</w:t>
            </w:r>
          </w:p>
        </w:tc>
      </w:tr>
      <w:tr w:rsidR="007F18F2" w:rsidRPr="00825BA1" w:rsidTr="006A3B37">
        <w:trPr>
          <w:gridAfter w:val="1"/>
          <w:wAfter w:w="12" w:type="dxa"/>
          <w:jc w:val="center"/>
        </w:trPr>
        <w:tc>
          <w:tcPr>
            <w:tcW w:w="497" w:type="dxa"/>
            <w:gridSpan w:val="2"/>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7F18F2" w:rsidRPr="00825BA1" w:rsidRDefault="007F18F2" w:rsidP="00017F7C">
            <w:pPr>
              <w:spacing w:after="0" w:line="240" w:lineRule="auto"/>
              <w:ind w:left="57"/>
              <w:jc w:val="both"/>
              <w:rPr>
                <w:rFonts w:ascii="Times New Roman" w:hAnsi="Times New Roman" w:cs="Times New Roman"/>
                <w:sz w:val="24"/>
                <w:szCs w:val="24"/>
              </w:rPr>
            </w:pPr>
            <w:r w:rsidRPr="00825BA1">
              <w:rPr>
                <w:rFonts w:ascii="Times New Roman" w:hAnsi="Times New Roman" w:cs="Times New Roman"/>
                <w:sz w:val="24"/>
                <w:szCs w:val="24"/>
              </w:rPr>
              <w:t xml:space="preserve">Eiropas Parlamenta un Padomes 2013.gada 17.decembra regula (ES) Nr.1303/2013, </w:t>
            </w:r>
            <w:r w:rsidRPr="00825BA1">
              <w:rPr>
                <w:rFonts w:ascii="Times New Roman" w:hAnsi="Times New Roman" w:cs="Times New Roman"/>
                <w:noProof/>
                <w:snapToGrid w:val="0"/>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4446FC" w:rsidRPr="00825BA1">
              <w:rPr>
                <w:rFonts w:ascii="Times New Roman" w:hAnsi="Times New Roman" w:cs="Times New Roman"/>
                <w:noProof/>
                <w:snapToGrid w:val="0"/>
                <w:sz w:val="24"/>
                <w:szCs w:val="24"/>
              </w:rPr>
              <w:t>.</w:t>
            </w:r>
            <w:r w:rsidRPr="00825BA1">
              <w:rPr>
                <w:rFonts w:ascii="Times New Roman" w:hAnsi="Times New Roman" w:cs="Times New Roman"/>
                <w:noProof/>
                <w:snapToGrid w:val="0"/>
                <w:sz w:val="24"/>
                <w:szCs w:val="24"/>
              </w:rPr>
              <w:t xml:space="preserve"> </w:t>
            </w:r>
          </w:p>
        </w:tc>
      </w:tr>
      <w:tr w:rsidR="007F18F2" w:rsidRPr="00825BA1" w:rsidTr="006A3B37">
        <w:trPr>
          <w:gridAfter w:val="1"/>
          <w:wAfter w:w="12" w:type="dxa"/>
          <w:jc w:val="center"/>
        </w:trPr>
        <w:tc>
          <w:tcPr>
            <w:tcW w:w="497" w:type="dxa"/>
            <w:gridSpan w:val="2"/>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jc w:val="both"/>
              <w:rPr>
                <w:rFonts w:ascii="Times New Roman" w:hAnsi="Times New Roman" w:cs="Times New Roman"/>
                <w:sz w:val="24"/>
                <w:szCs w:val="24"/>
              </w:rPr>
            </w:pPr>
            <w:r w:rsidRPr="00825BA1">
              <w:rPr>
                <w:rFonts w:ascii="Times New Roman" w:hAnsi="Times New Roman" w:cs="Times New Roman"/>
                <w:sz w:val="24"/>
                <w:szCs w:val="24"/>
              </w:rPr>
              <w:t>Nav</w:t>
            </w:r>
          </w:p>
        </w:tc>
      </w:tr>
      <w:tr w:rsidR="007F18F2" w:rsidRPr="00825BA1" w:rsidTr="006A3B37">
        <w:trPr>
          <w:gridAfter w:val="1"/>
          <w:wAfter w:w="12" w:type="dxa"/>
          <w:jc w:val="center"/>
        </w:trPr>
        <w:tc>
          <w:tcPr>
            <w:tcW w:w="497" w:type="dxa"/>
            <w:gridSpan w:val="2"/>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jc w:val="both"/>
              <w:rPr>
                <w:rFonts w:ascii="Times New Roman" w:hAnsi="Times New Roman" w:cs="Times New Roman"/>
                <w:sz w:val="24"/>
                <w:szCs w:val="24"/>
              </w:rPr>
            </w:pPr>
            <w:r w:rsidRPr="00825BA1">
              <w:rPr>
                <w:rFonts w:ascii="Times New Roman" w:hAnsi="Times New Roman" w:cs="Times New Roman"/>
                <w:sz w:val="24"/>
                <w:szCs w:val="24"/>
              </w:rPr>
              <w:t>Nav</w:t>
            </w:r>
          </w:p>
        </w:tc>
      </w:tr>
      <w:tr w:rsidR="007F18F2" w:rsidRPr="00825BA1" w:rsidTr="006A3B37">
        <w:trPr>
          <w:gridAfter w:val="1"/>
          <w:wAfter w:w="12" w:type="dxa"/>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b/>
                <w:sz w:val="24"/>
                <w:szCs w:val="24"/>
              </w:rPr>
            </w:pPr>
            <w:r w:rsidRPr="00825BA1">
              <w:rPr>
                <w:rFonts w:ascii="Times New Roman" w:hAnsi="Times New Roman" w:cs="Times New Roman"/>
                <w:b/>
                <w:sz w:val="24"/>
                <w:szCs w:val="24"/>
              </w:rPr>
              <w:t>1.tabula</w:t>
            </w:r>
          </w:p>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b/>
                <w:sz w:val="24"/>
                <w:szCs w:val="24"/>
              </w:rPr>
              <w:t>Tiesību akta projekta atbilstība ES tiesību aktiem</w:t>
            </w:r>
          </w:p>
        </w:tc>
      </w:tr>
      <w:tr w:rsidR="007F18F2" w:rsidRPr="00825BA1" w:rsidTr="006A3B37">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Attiecīgā ES tiesību akta datums, numurs un nosaukums</w:t>
            </w:r>
          </w:p>
        </w:tc>
        <w:tc>
          <w:tcPr>
            <w:tcW w:w="7332" w:type="dxa"/>
            <w:gridSpan w:val="7"/>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jc w:val="both"/>
              <w:rPr>
                <w:rFonts w:ascii="Times New Roman" w:hAnsi="Times New Roman" w:cs="Times New Roman"/>
                <w:sz w:val="24"/>
                <w:szCs w:val="24"/>
              </w:rPr>
            </w:pPr>
            <w:r w:rsidRPr="00825BA1">
              <w:rPr>
                <w:rFonts w:ascii="Times New Roman" w:hAnsi="Times New Roman" w:cs="Times New Roman"/>
                <w:sz w:val="24"/>
                <w:szCs w:val="24"/>
              </w:rPr>
              <w:t xml:space="preserve">Eiropas Parlamenta un Padomes 2013.gada 17.decembra regula (ES) Nr.1303/2013, </w:t>
            </w:r>
            <w:r w:rsidRPr="00825BA1">
              <w:rPr>
                <w:rFonts w:ascii="Times New Roman" w:hAnsi="Times New Roman" w:cs="Times New Roman"/>
                <w:noProof/>
                <w:snapToGrid w:val="0"/>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53A9D" w:rsidRPr="00825BA1">
              <w:rPr>
                <w:rFonts w:ascii="Times New Roman" w:hAnsi="Times New Roman" w:cs="Times New Roman"/>
                <w:noProof/>
                <w:snapToGrid w:val="0"/>
                <w:sz w:val="24"/>
                <w:szCs w:val="24"/>
              </w:rPr>
              <w:t xml:space="preserve">. </w:t>
            </w:r>
          </w:p>
        </w:tc>
      </w:tr>
      <w:tr w:rsidR="007F18F2" w:rsidRPr="00825BA1" w:rsidTr="006A3B37">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t>A</w:t>
            </w:r>
          </w:p>
        </w:tc>
        <w:tc>
          <w:tcPr>
            <w:tcW w:w="2090" w:type="dxa"/>
            <w:gridSpan w:val="4"/>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t>D</w:t>
            </w:r>
          </w:p>
        </w:tc>
      </w:tr>
      <w:tr w:rsidR="007F18F2" w:rsidRPr="00825BA1" w:rsidTr="006A3B37">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Informācija par to, vai šīs tabulas A ailē minētās ES tiesību akta vienības tiek pārņemtas vai ieviestas pilnībā vai daļēji.</w:t>
            </w:r>
          </w:p>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 xml:space="preserve">Ja attiecīgā ES tiesību akta vienība tiek pārņemta vai ieviesta daļēji, sniedz attiecīgu skaidrojumu, kā arī precīzi norāda, kad un </w:t>
            </w:r>
            <w:r w:rsidRPr="00825BA1">
              <w:rPr>
                <w:rFonts w:ascii="Times New Roman" w:hAnsi="Times New Roman" w:cs="Times New Roman"/>
                <w:spacing w:val="-3"/>
                <w:sz w:val="24"/>
                <w:szCs w:val="24"/>
              </w:rPr>
              <w:lastRenderedPageBreak/>
              <w:t>kādā veidā ES tiesību akta vienība tiks pārņemta vai ieviesta pilnībā.</w:t>
            </w:r>
          </w:p>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pacing w:val="-3"/>
                <w:sz w:val="24"/>
                <w:szCs w:val="24"/>
              </w:rPr>
              <w:lastRenderedPageBreak/>
              <w:t xml:space="preserve">Informācija par to, vai šīs </w:t>
            </w:r>
            <w:r w:rsidRPr="00825BA1">
              <w:rPr>
                <w:rFonts w:ascii="Times New Roman" w:hAnsi="Times New Roman" w:cs="Times New Roman"/>
                <w:sz w:val="24"/>
                <w:szCs w:val="24"/>
              </w:rPr>
              <w:t>tabulas B ailē minētās projekta vienības paredz stingrākas prasības nekā šīs tabulas A ailē minētās ES tiesību akta vienības.</w:t>
            </w:r>
          </w:p>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Ja projekts satur stingrā</w:t>
            </w:r>
            <w:r w:rsidRPr="00825BA1">
              <w:rPr>
                <w:rFonts w:ascii="Times New Roman" w:hAnsi="Times New Roman" w:cs="Times New Roman"/>
                <w:sz w:val="24"/>
                <w:szCs w:val="24"/>
              </w:rPr>
              <w:softHyphen/>
              <w:t>kas prasības nekā attie</w:t>
            </w:r>
            <w:r w:rsidRPr="00825BA1">
              <w:rPr>
                <w:rFonts w:ascii="Times New Roman" w:hAnsi="Times New Roman" w:cs="Times New Roman"/>
                <w:sz w:val="24"/>
                <w:szCs w:val="24"/>
              </w:rPr>
              <w:softHyphen/>
              <w:t xml:space="preserve">cīgais ES tiesību akts, </w:t>
            </w:r>
            <w:r w:rsidRPr="00825BA1">
              <w:rPr>
                <w:rFonts w:ascii="Times New Roman" w:hAnsi="Times New Roman" w:cs="Times New Roman"/>
                <w:sz w:val="24"/>
                <w:szCs w:val="24"/>
              </w:rPr>
              <w:lastRenderedPageBreak/>
              <w:t>norāda pamatojumu un samērīgumu.</w:t>
            </w:r>
          </w:p>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825BA1">
              <w:rPr>
                <w:rFonts w:ascii="Times New Roman" w:hAnsi="Times New Roman" w:cs="Times New Roman"/>
                <w:spacing w:val="-3"/>
                <w:sz w:val="24"/>
                <w:szCs w:val="24"/>
              </w:rPr>
              <w:t xml:space="preserve"> noteikšanas, nekā paredzēts attiecīgajos ES tiesību aktos</w:t>
            </w:r>
          </w:p>
        </w:tc>
      </w:tr>
      <w:tr w:rsidR="007F18F2" w:rsidRPr="00825BA1" w:rsidTr="00D421F9">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C841E5">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lastRenderedPageBreak/>
              <w:t xml:space="preserve">Regulas </w:t>
            </w:r>
            <w:r w:rsidR="00C841E5" w:rsidRPr="00825BA1">
              <w:rPr>
                <w:rFonts w:ascii="Times New Roman" w:hAnsi="Times New Roman" w:cs="Times New Roman"/>
                <w:sz w:val="24"/>
                <w:szCs w:val="24"/>
              </w:rPr>
              <w:t>26</w:t>
            </w:r>
            <w:r w:rsidR="004A2BBF" w:rsidRPr="00825BA1">
              <w:rPr>
                <w:rFonts w:ascii="Times New Roman" w:hAnsi="Times New Roman" w:cs="Times New Roman"/>
                <w:sz w:val="24"/>
                <w:szCs w:val="24"/>
              </w:rPr>
              <w:t xml:space="preserve">.panta </w:t>
            </w:r>
            <w:r w:rsidR="00C841E5" w:rsidRPr="00825BA1">
              <w:rPr>
                <w:rFonts w:ascii="Times New Roman" w:hAnsi="Times New Roman" w:cs="Times New Roman"/>
                <w:sz w:val="24"/>
                <w:szCs w:val="24"/>
              </w:rPr>
              <w:t>2. un 4.punkts</w:t>
            </w:r>
            <w:r w:rsidR="004A2BBF" w:rsidRPr="00825BA1">
              <w:rPr>
                <w:rFonts w:ascii="Times New Roman" w:hAnsi="Times New Roman" w:cs="Times New Roman"/>
                <w:sz w:val="24"/>
                <w:szCs w:val="24"/>
              </w:rPr>
              <w:t xml:space="preserve"> </w:t>
            </w:r>
          </w:p>
        </w:tc>
        <w:tc>
          <w:tcPr>
            <w:tcW w:w="2090" w:type="dxa"/>
            <w:gridSpan w:val="4"/>
            <w:tcBorders>
              <w:top w:val="outset" w:sz="6" w:space="0" w:color="auto"/>
              <w:left w:val="outset" w:sz="6" w:space="0" w:color="auto"/>
              <w:bottom w:val="outset" w:sz="6" w:space="0" w:color="auto"/>
              <w:right w:val="outset" w:sz="6" w:space="0" w:color="auto"/>
            </w:tcBorders>
          </w:tcPr>
          <w:p w:rsidR="007F18F2" w:rsidRPr="00825BA1" w:rsidRDefault="004A2BBF" w:rsidP="0057279E">
            <w:pPr>
              <w:spacing w:after="0" w:line="240" w:lineRule="auto"/>
              <w:ind w:left="57"/>
              <w:rPr>
                <w:rFonts w:ascii="Times New Roman" w:hAnsi="Times New Roman" w:cs="Times New Roman"/>
                <w:spacing w:val="-2"/>
                <w:sz w:val="24"/>
                <w:szCs w:val="24"/>
              </w:rPr>
            </w:pPr>
            <w:r w:rsidRPr="00825BA1">
              <w:rPr>
                <w:rFonts w:ascii="Times New Roman" w:hAnsi="Times New Roman" w:cs="Times New Roman"/>
                <w:spacing w:val="-2"/>
                <w:sz w:val="24"/>
                <w:szCs w:val="24"/>
              </w:rPr>
              <w:t>Rīkojuma projekta 1.</w:t>
            </w:r>
            <w:r w:rsidR="00C841E5" w:rsidRPr="00825BA1">
              <w:rPr>
                <w:rFonts w:ascii="Times New Roman" w:hAnsi="Times New Roman" w:cs="Times New Roman"/>
                <w:spacing w:val="-2"/>
                <w:sz w:val="24"/>
                <w:szCs w:val="24"/>
              </w:rPr>
              <w:t>punkts</w:t>
            </w:r>
            <w:r w:rsidRPr="00825BA1">
              <w:rPr>
                <w:rFonts w:ascii="Times New Roman" w:hAnsi="Times New Roman" w:cs="Times New Roman"/>
                <w:spacing w:val="-2"/>
                <w:sz w:val="24"/>
                <w:szCs w:val="24"/>
              </w:rPr>
              <w:t xml:space="preserve"> un 2.</w:t>
            </w:r>
            <w:r w:rsidR="00C841E5" w:rsidRPr="00825BA1">
              <w:rPr>
                <w:rFonts w:ascii="Times New Roman" w:hAnsi="Times New Roman" w:cs="Times New Roman"/>
                <w:spacing w:val="-2"/>
                <w:sz w:val="24"/>
                <w:szCs w:val="24"/>
              </w:rPr>
              <w:t>2.apakš</w:t>
            </w:r>
            <w:r w:rsidRPr="00825BA1">
              <w:rPr>
                <w:rFonts w:ascii="Times New Roman" w:hAnsi="Times New Roman" w:cs="Times New Roman"/>
                <w:spacing w:val="-2"/>
                <w:sz w:val="24"/>
                <w:szCs w:val="24"/>
              </w:rPr>
              <w:t xml:space="preserve">punkts  </w:t>
            </w:r>
          </w:p>
        </w:tc>
        <w:tc>
          <w:tcPr>
            <w:tcW w:w="2657" w:type="dxa"/>
            <w:gridSpan w:val="2"/>
            <w:tcBorders>
              <w:top w:val="outset" w:sz="6" w:space="0" w:color="auto"/>
              <w:left w:val="outset" w:sz="6" w:space="0" w:color="auto"/>
              <w:bottom w:val="outset" w:sz="6" w:space="0" w:color="auto"/>
              <w:right w:val="outset" w:sz="6" w:space="0" w:color="auto"/>
            </w:tcBorders>
            <w:shd w:val="clear" w:color="auto" w:fill="auto"/>
          </w:tcPr>
          <w:p w:rsidR="007F18F2" w:rsidRPr="00825BA1" w:rsidRDefault="00BB6AE1" w:rsidP="00907131">
            <w:pPr>
              <w:spacing w:after="0" w:line="240" w:lineRule="auto"/>
              <w:ind w:left="57"/>
              <w:rPr>
                <w:rFonts w:ascii="Times New Roman" w:hAnsi="Times New Roman" w:cs="Times New Roman"/>
                <w:spacing w:val="-2"/>
                <w:sz w:val="24"/>
                <w:szCs w:val="24"/>
              </w:rPr>
            </w:pPr>
            <w:r w:rsidRPr="00825BA1">
              <w:rPr>
                <w:rFonts w:ascii="Times New Roman" w:hAnsi="Times New Roman" w:cs="Times New Roman"/>
                <w:spacing w:val="-2"/>
                <w:sz w:val="24"/>
                <w:szCs w:val="24"/>
              </w:rPr>
              <w:t xml:space="preserve">Ieviests. </w:t>
            </w:r>
          </w:p>
        </w:tc>
        <w:tc>
          <w:tcPr>
            <w:tcW w:w="2585" w:type="dxa"/>
            <w:tcBorders>
              <w:top w:val="outset" w:sz="6" w:space="0" w:color="auto"/>
              <w:left w:val="outset" w:sz="6" w:space="0" w:color="auto"/>
              <w:bottom w:val="outset" w:sz="6" w:space="0" w:color="auto"/>
              <w:right w:val="outset" w:sz="6" w:space="0" w:color="auto"/>
            </w:tcBorders>
          </w:tcPr>
          <w:p w:rsidR="007F18F2" w:rsidRPr="00825BA1" w:rsidRDefault="004A2BBF" w:rsidP="0057279E">
            <w:pPr>
              <w:spacing w:after="0" w:line="240" w:lineRule="auto"/>
              <w:ind w:left="57"/>
              <w:rPr>
                <w:rFonts w:ascii="Times New Roman" w:hAnsi="Times New Roman" w:cs="Times New Roman"/>
                <w:spacing w:val="-2"/>
                <w:sz w:val="24"/>
                <w:szCs w:val="24"/>
              </w:rPr>
            </w:pPr>
            <w:r w:rsidRPr="00825BA1">
              <w:rPr>
                <w:rFonts w:ascii="Times New Roman" w:hAnsi="Times New Roman" w:cs="Times New Roman"/>
                <w:spacing w:val="-2"/>
                <w:sz w:val="24"/>
                <w:szCs w:val="24"/>
              </w:rPr>
              <w:t xml:space="preserve">Nav attiecināms </w:t>
            </w:r>
          </w:p>
        </w:tc>
      </w:tr>
      <w:tr w:rsidR="007F18F2" w:rsidRPr="00825BA1" w:rsidTr="006A3B37">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Kā ir izmantota ES tiesību aktā paredzētā rīcības brīvība dalīb</w:t>
            </w:r>
            <w:r w:rsidRPr="00825BA1">
              <w:rPr>
                <w:rFonts w:ascii="Times New Roman" w:hAnsi="Times New Roman" w:cs="Times New Roman"/>
                <w:spacing w:val="-3"/>
                <w:sz w:val="24"/>
                <w:szCs w:val="24"/>
              </w:rPr>
              <w:softHyphen/>
              <w:t>valstij pārņemt vai ieviest noteiktas ES tiesību akta normas?</w:t>
            </w:r>
          </w:p>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3"/>
                <w:sz w:val="24"/>
                <w:szCs w:val="24"/>
              </w:rPr>
              <w:t>Kādēļ?</w:t>
            </w:r>
          </w:p>
        </w:tc>
        <w:tc>
          <w:tcPr>
            <w:tcW w:w="7332" w:type="dxa"/>
            <w:gridSpan w:val="7"/>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Projekts šo jomu neskar.</w:t>
            </w:r>
          </w:p>
        </w:tc>
      </w:tr>
      <w:tr w:rsidR="007F18F2" w:rsidRPr="00825BA1" w:rsidTr="006A3B37">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pacing w:val="-3"/>
                <w:sz w:val="24"/>
                <w:szCs w:val="24"/>
              </w:rPr>
            </w:pPr>
            <w:r w:rsidRPr="00825BA1">
              <w:rPr>
                <w:rFonts w:ascii="Times New Roman" w:hAnsi="Times New Roman" w:cs="Times New Roman"/>
                <w:spacing w:val="-4"/>
                <w:sz w:val="24"/>
                <w:szCs w:val="24"/>
              </w:rPr>
              <w:t>Saistības sniegt paziņojumu ES insti</w:t>
            </w:r>
            <w:r w:rsidRPr="00825BA1">
              <w:rPr>
                <w:rFonts w:ascii="Times New Roman" w:hAnsi="Times New Roman" w:cs="Times New Roman"/>
                <w:spacing w:val="-4"/>
                <w:sz w:val="24"/>
                <w:szCs w:val="24"/>
              </w:rPr>
              <w:softHyphen/>
              <w:t>tūcijām un ES dalīb</w:t>
            </w:r>
            <w:r w:rsidRPr="00825BA1">
              <w:rPr>
                <w:rFonts w:ascii="Times New Roman" w:hAnsi="Times New Roman" w:cs="Times New Roman"/>
                <w:spacing w:val="-4"/>
                <w:sz w:val="24"/>
                <w:szCs w:val="24"/>
              </w:rPr>
              <w:softHyphen/>
              <w:t>valstīm atbilstoši normatīvajiem aktiem, kas regulē informā</w:t>
            </w:r>
            <w:r w:rsidRPr="00825BA1">
              <w:rPr>
                <w:rFonts w:ascii="Times New Roman" w:hAnsi="Times New Roman" w:cs="Times New Roman"/>
                <w:spacing w:val="-4"/>
                <w:sz w:val="24"/>
                <w:szCs w:val="24"/>
              </w:rPr>
              <w:softHyphen/>
              <w:t>cijas sniegšanu par tehnisko noteikumu, valsts atbalsta piešķir</w:t>
            </w:r>
            <w:r w:rsidRPr="00825BA1">
              <w:rPr>
                <w:rFonts w:ascii="Times New Roman" w:hAnsi="Times New Roman" w:cs="Times New Roman"/>
                <w:spacing w:val="-4"/>
                <w:sz w:val="24"/>
                <w:szCs w:val="24"/>
              </w:rPr>
              <w:softHyphen/>
              <w:t>šanas un finanšu noteikumu (attiecībā uz monetāro politiku) projektiem</w:t>
            </w:r>
          </w:p>
        </w:tc>
        <w:tc>
          <w:tcPr>
            <w:tcW w:w="7332" w:type="dxa"/>
            <w:gridSpan w:val="7"/>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Projekts šo jomu neskar.</w:t>
            </w:r>
          </w:p>
        </w:tc>
      </w:tr>
      <w:tr w:rsidR="007F18F2" w:rsidRPr="00825BA1" w:rsidTr="006A3B37">
        <w:trPr>
          <w:gridAfter w:val="1"/>
          <w:wAfter w:w="12" w:type="dxa"/>
          <w:jc w:val="center"/>
        </w:trPr>
        <w:tc>
          <w:tcPr>
            <w:tcW w:w="2203" w:type="dxa"/>
            <w:gridSpan w:val="3"/>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Cita informācija</w:t>
            </w:r>
          </w:p>
        </w:tc>
        <w:tc>
          <w:tcPr>
            <w:tcW w:w="7332" w:type="dxa"/>
            <w:gridSpan w:val="7"/>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Nav</w:t>
            </w:r>
          </w:p>
        </w:tc>
      </w:tr>
      <w:tr w:rsidR="007F18F2" w:rsidRPr="00825BA1" w:rsidTr="006A3B37">
        <w:trPr>
          <w:gridAfter w:val="1"/>
          <w:wAfter w:w="12" w:type="dxa"/>
          <w:jc w:val="center"/>
        </w:trPr>
        <w:tc>
          <w:tcPr>
            <w:tcW w:w="9535" w:type="dxa"/>
            <w:gridSpan w:val="10"/>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F18F2" w:rsidRPr="00825BA1" w:rsidRDefault="007F18F2" w:rsidP="0057279E">
            <w:pPr>
              <w:spacing w:after="0" w:line="240" w:lineRule="auto"/>
              <w:ind w:left="57"/>
              <w:rPr>
                <w:rFonts w:ascii="Times New Roman" w:hAnsi="Times New Roman" w:cs="Times New Roman"/>
                <w:sz w:val="24"/>
                <w:szCs w:val="24"/>
              </w:rPr>
            </w:pPr>
          </w:p>
          <w:p w:rsidR="007F18F2" w:rsidRPr="00825BA1" w:rsidRDefault="007F18F2" w:rsidP="0057279E">
            <w:pPr>
              <w:spacing w:after="0" w:line="240" w:lineRule="auto"/>
              <w:ind w:left="57"/>
              <w:rPr>
                <w:rFonts w:ascii="Times New Roman" w:hAnsi="Times New Roman" w:cs="Times New Roman"/>
                <w:sz w:val="24"/>
                <w:szCs w:val="24"/>
              </w:rPr>
            </w:pPr>
          </w:p>
        </w:tc>
      </w:tr>
      <w:tr w:rsidR="007F18F2" w:rsidRPr="00825BA1" w:rsidTr="006A3B37">
        <w:trPr>
          <w:gridAfter w:val="1"/>
          <w:wAfter w:w="12" w:type="dxa"/>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b/>
                <w:sz w:val="24"/>
                <w:szCs w:val="24"/>
              </w:rPr>
            </w:pPr>
            <w:r w:rsidRPr="00825BA1">
              <w:rPr>
                <w:rFonts w:ascii="Times New Roman" w:hAnsi="Times New Roman" w:cs="Times New Roman"/>
                <w:b/>
                <w:sz w:val="24"/>
                <w:szCs w:val="24"/>
              </w:rPr>
              <w:t>2.tabula</w:t>
            </w:r>
          </w:p>
          <w:p w:rsidR="007F18F2" w:rsidRPr="00825BA1" w:rsidRDefault="007F18F2" w:rsidP="0057279E">
            <w:pPr>
              <w:spacing w:after="0" w:line="240" w:lineRule="auto"/>
              <w:ind w:left="57"/>
              <w:jc w:val="center"/>
              <w:rPr>
                <w:rFonts w:ascii="Times New Roman" w:hAnsi="Times New Roman" w:cs="Times New Roman"/>
                <w:b/>
                <w:sz w:val="24"/>
                <w:szCs w:val="24"/>
              </w:rPr>
            </w:pPr>
            <w:r w:rsidRPr="00825BA1">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7F18F2" w:rsidRPr="00825BA1" w:rsidRDefault="007F18F2" w:rsidP="0057279E">
            <w:pPr>
              <w:spacing w:after="0" w:line="240" w:lineRule="auto"/>
              <w:ind w:left="57"/>
              <w:jc w:val="center"/>
              <w:rPr>
                <w:rFonts w:ascii="Times New Roman" w:hAnsi="Times New Roman" w:cs="Times New Roman"/>
                <w:b/>
                <w:sz w:val="24"/>
                <w:szCs w:val="24"/>
              </w:rPr>
            </w:pPr>
            <w:r w:rsidRPr="00825BA1">
              <w:rPr>
                <w:rFonts w:ascii="Times New Roman" w:hAnsi="Times New Roman" w:cs="Times New Roman"/>
                <w:b/>
                <w:sz w:val="24"/>
                <w:szCs w:val="24"/>
              </w:rPr>
              <w:t>Pasākumi šo saistību izpildei</w:t>
            </w:r>
          </w:p>
        </w:tc>
      </w:tr>
      <w:tr w:rsidR="007F18F2"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 xml:space="preserve">Attiecīgā starptautiskā tiesību akta vai starptautiskas institūcijas vai organizācijas dokumenta (turpmāk – </w:t>
            </w:r>
            <w:r w:rsidRPr="00825BA1">
              <w:rPr>
                <w:rFonts w:ascii="Times New Roman" w:hAnsi="Times New Roman" w:cs="Times New Roman"/>
                <w:sz w:val="24"/>
                <w:szCs w:val="24"/>
              </w:rPr>
              <w:lastRenderedPageBreak/>
              <w:t>starptautiskais dokuments) datums, numurs un nosaukums</w:t>
            </w:r>
          </w:p>
        </w:tc>
        <w:tc>
          <w:tcPr>
            <w:tcW w:w="7065" w:type="dxa"/>
            <w:gridSpan w:val="6"/>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lastRenderedPageBreak/>
              <w:t>Projekts šo jomu neskar.</w:t>
            </w:r>
          </w:p>
        </w:tc>
      </w:tr>
      <w:tr w:rsidR="007F18F2"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lastRenderedPageBreak/>
              <w:t>A</w:t>
            </w:r>
          </w:p>
        </w:tc>
        <w:tc>
          <w:tcPr>
            <w:tcW w:w="3102" w:type="dxa"/>
            <w:gridSpan w:val="4"/>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t>B</w:t>
            </w:r>
          </w:p>
        </w:tc>
        <w:tc>
          <w:tcPr>
            <w:tcW w:w="3963" w:type="dxa"/>
            <w:gridSpan w:val="2"/>
            <w:tcBorders>
              <w:top w:val="outset" w:sz="6" w:space="0" w:color="auto"/>
              <w:left w:val="outset" w:sz="6" w:space="0" w:color="auto"/>
              <w:bottom w:val="outset" w:sz="6" w:space="0" w:color="auto"/>
              <w:right w:val="outset" w:sz="6" w:space="0" w:color="auto"/>
            </w:tcBorders>
            <w:vAlign w:val="center"/>
          </w:tcPr>
          <w:p w:rsidR="007F18F2" w:rsidRPr="00825BA1" w:rsidRDefault="007F18F2" w:rsidP="0057279E">
            <w:pPr>
              <w:spacing w:after="0" w:line="240" w:lineRule="auto"/>
              <w:ind w:left="57"/>
              <w:jc w:val="center"/>
              <w:rPr>
                <w:rFonts w:ascii="Times New Roman" w:hAnsi="Times New Roman" w:cs="Times New Roman"/>
                <w:sz w:val="24"/>
                <w:szCs w:val="24"/>
              </w:rPr>
            </w:pPr>
            <w:r w:rsidRPr="00825BA1">
              <w:rPr>
                <w:rFonts w:ascii="Times New Roman" w:hAnsi="Times New Roman" w:cs="Times New Roman"/>
                <w:sz w:val="24"/>
                <w:szCs w:val="24"/>
              </w:rPr>
              <w:t>C</w:t>
            </w:r>
          </w:p>
        </w:tc>
      </w:tr>
      <w:tr w:rsidR="007F18F2"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Starptautiskās saistības (pēc būtības), kas izriet no norādītā starptautis</w:t>
            </w:r>
            <w:r w:rsidRPr="00825BA1">
              <w:rPr>
                <w:rFonts w:ascii="Times New Roman" w:hAnsi="Times New Roman" w:cs="Times New Roman"/>
                <w:sz w:val="24"/>
                <w:szCs w:val="24"/>
              </w:rPr>
              <w:softHyphen/>
              <w:t>kā dokumenta.</w:t>
            </w:r>
          </w:p>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Konkrēti veicamie pasākumi vai uzdevumi, kas nepieciešami šo starptautisko saistību izpildei</w:t>
            </w:r>
          </w:p>
        </w:tc>
        <w:tc>
          <w:tcPr>
            <w:tcW w:w="3102"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3" w:type="dxa"/>
            <w:gridSpan w:val="2"/>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Informācija par to, vai starptautiskās saistības, kas minētas šīs tabulas A ailē, tiek izpildītas pilnībā vai daļēji.</w:t>
            </w:r>
          </w:p>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7F18F2" w:rsidRPr="00825BA1" w:rsidRDefault="007F18F2" w:rsidP="0057279E">
            <w:pPr>
              <w:spacing w:after="0" w:line="240" w:lineRule="auto"/>
              <w:ind w:left="57" w:right="57"/>
              <w:rPr>
                <w:rFonts w:ascii="Times New Roman" w:hAnsi="Times New Roman" w:cs="Times New Roman"/>
                <w:sz w:val="24"/>
                <w:szCs w:val="24"/>
              </w:rPr>
            </w:pPr>
            <w:r w:rsidRPr="00825BA1">
              <w:rPr>
                <w:rFonts w:ascii="Times New Roman" w:hAnsi="Times New Roman" w:cs="Times New Roman"/>
                <w:sz w:val="24"/>
                <w:szCs w:val="24"/>
              </w:rPr>
              <w:t>Norāda institūciju, kas ir atbildīga par šo saistību izpildi pilnībā</w:t>
            </w:r>
          </w:p>
        </w:tc>
      </w:tr>
      <w:tr w:rsidR="007F18F2"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p>
        </w:tc>
        <w:tc>
          <w:tcPr>
            <w:tcW w:w="3102"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p>
        </w:tc>
        <w:tc>
          <w:tcPr>
            <w:tcW w:w="3963" w:type="dxa"/>
            <w:gridSpan w:val="2"/>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p>
        </w:tc>
      </w:tr>
      <w:tr w:rsidR="007F18F2"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Vai starptautiskajā dokumentā paredzētās saistības nav pretrunā ar jau esošajām Latvijas Republikas starptautis</w:t>
            </w:r>
            <w:r w:rsidRPr="00825BA1">
              <w:rPr>
                <w:rFonts w:ascii="Times New Roman" w:hAnsi="Times New Roman" w:cs="Times New Roman"/>
                <w:sz w:val="24"/>
                <w:szCs w:val="24"/>
              </w:rPr>
              <w:softHyphen/>
              <w:t>kajām saistībām</w:t>
            </w:r>
          </w:p>
        </w:tc>
        <w:tc>
          <w:tcPr>
            <w:tcW w:w="7065" w:type="dxa"/>
            <w:gridSpan w:val="6"/>
            <w:tcBorders>
              <w:top w:val="outset" w:sz="6" w:space="0" w:color="auto"/>
              <w:left w:val="outset" w:sz="6" w:space="0" w:color="auto"/>
              <w:bottom w:val="outset" w:sz="6" w:space="0" w:color="auto"/>
              <w:right w:val="outset" w:sz="6" w:space="0" w:color="auto"/>
            </w:tcBorders>
          </w:tcPr>
          <w:p w:rsidR="007F18F2" w:rsidRPr="00825BA1" w:rsidRDefault="00953A9D" w:rsidP="0057279E">
            <w:pPr>
              <w:spacing w:after="0" w:line="240" w:lineRule="auto"/>
              <w:ind w:left="57"/>
              <w:jc w:val="both"/>
              <w:rPr>
                <w:rFonts w:ascii="Times New Roman" w:hAnsi="Times New Roman" w:cs="Times New Roman"/>
                <w:sz w:val="24"/>
                <w:szCs w:val="24"/>
              </w:rPr>
            </w:pPr>
            <w:r w:rsidRPr="00825BA1">
              <w:rPr>
                <w:rFonts w:ascii="Times New Roman" w:hAnsi="Times New Roman" w:cs="Times New Roman"/>
                <w:sz w:val="24"/>
                <w:szCs w:val="24"/>
              </w:rPr>
              <w:t>Projekts šo jomu neskar.</w:t>
            </w:r>
          </w:p>
        </w:tc>
      </w:tr>
      <w:tr w:rsidR="007F18F2"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rPr>
                <w:rFonts w:ascii="Times New Roman" w:hAnsi="Times New Roman" w:cs="Times New Roman"/>
                <w:sz w:val="24"/>
                <w:szCs w:val="24"/>
              </w:rPr>
            </w:pPr>
            <w:r w:rsidRPr="00825BA1">
              <w:rPr>
                <w:rFonts w:ascii="Times New Roman" w:hAnsi="Times New Roman" w:cs="Times New Roman"/>
                <w:sz w:val="24"/>
                <w:szCs w:val="24"/>
              </w:rPr>
              <w:t>Cita informācija</w:t>
            </w:r>
          </w:p>
        </w:tc>
        <w:tc>
          <w:tcPr>
            <w:tcW w:w="7065" w:type="dxa"/>
            <w:gridSpan w:val="6"/>
            <w:tcBorders>
              <w:top w:val="outset" w:sz="6" w:space="0" w:color="auto"/>
              <w:left w:val="outset" w:sz="6" w:space="0" w:color="auto"/>
              <w:bottom w:val="outset" w:sz="6" w:space="0" w:color="auto"/>
              <w:right w:val="outset" w:sz="6" w:space="0" w:color="auto"/>
            </w:tcBorders>
          </w:tcPr>
          <w:p w:rsidR="007F18F2" w:rsidRPr="00825BA1" w:rsidRDefault="007F18F2" w:rsidP="0057279E">
            <w:pPr>
              <w:spacing w:after="0" w:line="240" w:lineRule="auto"/>
              <w:ind w:left="57"/>
              <w:jc w:val="both"/>
              <w:rPr>
                <w:rFonts w:ascii="Times New Roman" w:hAnsi="Times New Roman" w:cs="Times New Roman"/>
                <w:sz w:val="24"/>
                <w:szCs w:val="24"/>
              </w:rPr>
            </w:pPr>
            <w:r w:rsidRPr="00825BA1">
              <w:rPr>
                <w:rFonts w:ascii="Times New Roman" w:hAnsi="Times New Roman" w:cs="Times New Roman"/>
                <w:sz w:val="24"/>
                <w:szCs w:val="24"/>
              </w:rPr>
              <w:t>Nav</w:t>
            </w:r>
          </w:p>
        </w:tc>
      </w:tr>
      <w:tr w:rsidR="006A3B37" w:rsidRPr="00825BA1" w:rsidTr="006A3B37">
        <w:trPr>
          <w:gridAfter w:val="1"/>
          <w:wAfter w:w="12" w:type="dxa"/>
          <w:jc w:val="center"/>
        </w:trPr>
        <w:tc>
          <w:tcPr>
            <w:tcW w:w="2470" w:type="dxa"/>
            <w:gridSpan w:val="4"/>
            <w:tcBorders>
              <w:top w:val="outset" w:sz="6" w:space="0" w:color="auto"/>
              <w:left w:val="outset" w:sz="6" w:space="0" w:color="auto"/>
              <w:bottom w:val="outset" w:sz="6" w:space="0" w:color="auto"/>
              <w:right w:val="outset" w:sz="6" w:space="0" w:color="auto"/>
            </w:tcBorders>
          </w:tcPr>
          <w:p w:rsidR="006A3B37" w:rsidRPr="00825BA1" w:rsidRDefault="006A3B37" w:rsidP="0057279E">
            <w:pPr>
              <w:spacing w:after="0" w:line="240" w:lineRule="auto"/>
              <w:ind w:left="57"/>
              <w:rPr>
                <w:rFonts w:ascii="Times New Roman" w:hAnsi="Times New Roman" w:cs="Times New Roman"/>
                <w:sz w:val="24"/>
                <w:szCs w:val="24"/>
              </w:rPr>
            </w:pPr>
          </w:p>
        </w:tc>
        <w:tc>
          <w:tcPr>
            <w:tcW w:w="7065" w:type="dxa"/>
            <w:gridSpan w:val="6"/>
            <w:tcBorders>
              <w:top w:val="outset" w:sz="6" w:space="0" w:color="auto"/>
              <w:left w:val="outset" w:sz="6" w:space="0" w:color="auto"/>
              <w:bottom w:val="outset" w:sz="6" w:space="0" w:color="auto"/>
              <w:right w:val="outset" w:sz="6" w:space="0" w:color="auto"/>
            </w:tcBorders>
          </w:tcPr>
          <w:p w:rsidR="006A3B37" w:rsidRPr="00825BA1" w:rsidRDefault="006A3B37" w:rsidP="0057279E">
            <w:pPr>
              <w:spacing w:after="0" w:line="240" w:lineRule="auto"/>
              <w:ind w:left="57"/>
              <w:jc w:val="both"/>
              <w:rPr>
                <w:rFonts w:ascii="Times New Roman" w:hAnsi="Times New Roman" w:cs="Times New Roman"/>
                <w:sz w:val="24"/>
                <w:szCs w:val="24"/>
              </w:rPr>
            </w:pPr>
          </w:p>
        </w:tc>
      </w:tr>
      <w:tr w:rsidR="006A3B37" w:rsidRPr="00825BA1" w:rsidTr="006A3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421"/>
          <w:jc w:val="center"/>
        </w:trPr>
        <w:tc>
          <w:tcPr>
            <w:tcW w:w="9524" w:type="dxa"/>
            <w:gridSpan w:val="10"/>
            <w:vAlign w:val="center"/>
          </w:tcPr>
          <w:p w:rsidR="006A3B37" w:rsidRPr="00825BA1" w:rsidRDefault="006A3B37" w:rsidP="0057279E">
            <w:pPr>
              <w:pStyle w:val="naisnod"/>
              <w:spacing w:before="0" w:beforeAutospacing="0" w:after="0" w:afterAutospacing="0"/>
              <w:ind w:left="57" w:right="57"/>
              <w:jc w:val="center"/>
            </w:pPr>
            <w:r w:rsidRPr="00825BA1">
              <w:rPr>
                <w:b/>
              </w:rPr>
              <w:t>VI. Sabiedrības līdzdalība un komunikācijas aktivitātes</w:t>
            </w:r>
          </w:p>
        </w:tc>
      </w:tr>
      <w:tr w:rsidR="006A3B37" w:rsidRPr="00825BA1" w:rsidTr="006A3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553"/>
          <w:jc w:val="center"/>
        </w:trPr>
        <w:tc>
          <w:tcPr>
            <w:tcW w:w="476" w:type="dxa"/>
          </w:tcPr>
          <w:p w:rsidR="006A3B37" w:rsidRPr="00825BA1" w:rsidRDefault="006A3B37" w:rsidP="0057279E">
            <w:pPr>
              <w:spacing w:after="0" w:line="240" w:lineRule="auto"/>
              <w:ind w:left="57" w:right="57"/>
              <w:jc w:val="both"/>
              <w:rPr>
                <w:rFonts w:ascii="Times New Roman" w:hAnsi="Times New Roman" w:cs="Times New Roman"/>
                <w:bCs/>
                <w:sz w:val="24"/>
                <w:szCs w:val="24"/>
              </w:rPr>
            </w:pPr>
            <w:r w:rsidRPr="00825BA1">
              <w:rPr>
                <w:rFonts w:ascii="Times New Roman" w:hAnsi="Times New Roman" w:cs="Times New Roman"/>
                <w:bCs/>
                <w:sz w:val="24"/>
                <w:szCs w:val="24"/>
              </w:rPr>
              <w:t>1.</w:t>
            </w:r>
          </w:p>
        </w:tc>
        <w:tc>
          <w:tcPr>
            <w:tcW w:w="2842" w:type="dxa"/>
            <w:gridSpan w:val="4"/>
          </w:tcPr>
          <w:p w:rsidR="006A3B37" w:rsidRPr="00825BA1" w:rsidRDefault="006A3B37" w:rsidP="0057279E">
            <w:pPr>
              <w:tabs>
                <w:tab w:val="left" w:pos="170"/>
              </w:tabs>
              <w:spacing w:after="0" w:line="240" w:lineRule="auto"/>
              <w:ind w:left="57" w:right="57"/>
              <w:rPr>
                <w:rFonts w:ascii="Times New Roman" w:hAnsi="Times New Roman" w:cs="Times New Roman"/>
                <w:sz w:val="24"/>
                <w:szCs w:val="24"/>
              </w:rPr>
            </w:pPr>
            <w:r w:rsidRPr="00825BA1">
              <w:rPr>
                <w:rFonts w:ascii="Times New Roman" w:hAnsi="Times New Roman" w:cs="Times New Roman"/>
                <w:sz w:val="24"/>
                <w:szCs w:val="24"/>
              </w:rPr>
              <w:t>Plānotās sabiedrības līdzdalības un komunikācijas aktivitātes saistībā ar projektu</w:t>
            </w:r>
          </w:p>
        </w:tc>
        <w:tc>
          <w:tcPr>
            <w:tcW w:w="6206" w:type="dxa"/>
            <w:gridSpan w:val="5"/>
          </w:tcPr>
          <w:p w:rsidR="006A3B37" w:rsidRPr="00825BA1" w:rsidRDefault="006A3B37" w:rsidP="00C95C0D">
            <w:pPr>
              <w:shd w:val="clear" w:color="auto" w:fill="FFFFFF"/>
              <w:spacing w:after="0" w:line="240" w:lineRule="auto"/>
              <w:ind w:left="57" w:right="57"/>
              <w:jc w:val="both"/>
              <w:rPr>
                <w:rFonts w:ascii="Times New Roman" w:hAnsi="Times New Roman" w:cs="Times New Roman"/>
                <w:sz w:val="24"/>
                <w:szCs w:val="24"/>
              </w:rPr>
            </w:pPr>
            <w:bookmarkStart w:id="0" w:name="p61"/>
            <w:bookmarkEnd w:id="0"/>
            <w:r w:rsidRPr="00825BA1">
              <w:rPr>
                <w:rFonts w:ascii="Times New Roman" w:hAnsi="Times New Roman" w:cs="Times New Roman"/>
                <w:sz w:val="24"/>
                <w:szCs w:val="24"/>
              </w:rPr>
              <w:t xml:space="preserve">Sabiedrības pārstāvji varēja līdzdarboties </w:t>
            </w:r>
            <w:r w:rsidR="0003669E" w:rsidRPr="00825BA1">
              <w:rPr>
                <w:rFonts w:ascii="Times New Roman" w:hAnsi="Times New Roman" w:cs="Times New Roman"/>
                <w:sz w:val="24"/>
                <w:szCs w:val="24"/>
              </w:rPr>
              <w:t xml:space="preserve">darbības programmas </w:t>
            </w:r>
            <w:r w:rsidRPr="00825BA1">
              <w:rPr>
                <w:rFonts w:ascii="Times New Roman" w:hAnsi="Times New Roman" w:cs="Times New Roman"/>
                <w:sz w:val="24"/>
                <w:szCs w:val="24"/>
              </w:rPr>
              <w:t>izstrādē, sniedzot atzinumu par to pēc izsludināšanas Valsts sekretāru sanāksmē, piedalīties sabiedriskajā apspriedē</w:t>
            </w:r>
            <w:r w:rsidR="00C95C0D" w:rsidRPr="00825BA1">
              <w:rPr>
                <w:rFonts w:ascii="Times New Roman" w:hAnsi="Times New Roman" w:cs="Times New Roman"/>
                <w:sz w:val="24"/>
                <w:szCs w:val="24"/>
              </w:rPr>
              <w:t>, sniegt atzinumus saskaņošanas procesā</w:t>
            </w:r>
            <w:r w:rsidR="00E81605" w:rsidRPr="00825BA1">
              <w:rPr>
                <w:rFonts w:ascii="Times New Roman" w:hAnsi="Times New Roman" w:cs="Times New Roman"/>
                <w:sz w:val="24"/>
                <w:szCs w:val="24"/>
              </w:rPr>
              <w:t xml:space="preserve"> un </w:t>
            </w:r>
            <w:r w:rsidR="00C95C0D" w:rsidRPr="00825BA1">
              <w:rPr>
                <w:rFonts w:ascii="Times New Roman" w:hAnsi="Times New Roman" w:cs="Times New Roman"/>
                <w:sz w:val="24"/>
                <w:szCs w:val="24"/>
              </w:rPr>
              <w:t xml:space="preserve">piedalīties </w:t>
            </w:r>
            <w:r w:rsidR="00E81605" w:rsidRPr="00825BA1">
              <w:rPr>
                <w:rFonts w:ascii="Times New Roman" w:hAnsi="Times New Roman" w:cs="Times New Roman"/>
                <w:sz w:val="24"/>
                <w:szCs w:val="24"/>
              </w:rPr>
              <w:t>MK sēdē</w:t>
            </w:r>
            <w:r w:rsidRPr="00825BA1">
              <w:rPr>
                <w:rFonts w:ascii="Times New Roman" w:hAnsi="Times New Roman" w:cs="Times New Roman"/>
                <w:sz w:val="24"/>
                <w:szCs w:val="24"/>
              </w:rPr>
              <w:t xml:space="preserve">. </w:t>
            </w:r>
          </w:p>
        </w:tc>
      </w:tr>
      <w:tr w:rsidR="006A3B37" w:rsidRPr="00825BA1" w:rsidTr="006A3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339"/>
          <w:jc w:val="center"/>
        </w:trPr>
        <w:tc>
          <w:tcPr>
            <w:tcW w:w="476" w:type="dxa"/>
          </w:tcPr>
          <w:p w:rsidR="006A3B37" w:rsidRPr="00825BA1" w:rsidRDefault="006A3B37" w:rsidP="0057279E">
            <w:pPr>
              <w:spacing w:after="0" w:line="240" w:lineRule="auto"/>
              <w:ind w:left="57" w:right="57"/>
              <w:jc w:val="both"/>
              <w:rPr>
                <w:rFonts w:ascii="Times New Roman" w:hAnsi="Times New Roman" w:cs="Times New Roman"/>
                <w:bCs/>
                <w:sz w:val="24"/>
                <w:szCs w:val="24"/>
              </w:rPr>
            </w:pPr>
            <w:r w:rsidRPr="00825BA1">
              <w:rPr>
                <w:rFonts w:ascii="Times New Roman" w:hAnsi="Times New Roman" w:cs="Times New Roman"/>
                <w:bCs/>
                <w:sz w:val="24"/>
                <w:szCs w:val="24"/>
              </w:rPr>
              <w:t>2.</w:t>
            </w:r>
          </w:p>
        </w:tc>
        <w:tc>
          <w:tcPr>
            <w:tcW w:w="2842" w:type="dxa"/>
            <w:gridSpan w:val="4"/>
          </w:tcPr>
          <w:p w:rsidR="006A3B37" w:rsidRPr="00825BA1" w:rsidRDefault="006A3B37" w:rsidP="0057279E">
            <w:pPr>
              <w:spacing w:after="0" w:line="240" w:lineRule="auto"/>
              <w:ind w:left="57" w:right="57"/>
              <w:rPr>
                <w:rFonts w:ascii="Times New Roman" w:hAnsi="Times New Roman" w:cs="Times New Roman"/>
                <w:sz w:val="24"/>
                <w:szCs w:val="24"/>
              </w:rPr>
            </w:pPr>
            <w:r w:rsidRPr="00825BA1">
              <w:rPr>
                <w:rFonts w:ascii="Times New Roman" w:hAnsi="Times New Roman" w:cs="Times New Roman"/>
                <w:sz w:val="24"/>
                <w:szCs w:val="24"/>
              </w:rPr>
              <w:t>Sabiedrības līdzdalība projekta izstrādē</w:t>
            </w:r>
          </w:p>
        </w:tc>
        <w:tc>
          <w:tcPr>
            <w:tcW w:w="6206" w:type="dxa"/>
            <w:gridSpan w:val="5"/>
          </w:tcPr>
          <w:p w:rsidR="006A3B37" w:rsidRPr="00825BA1" w:rsidRDefault="006A3B37" w:rsidP="009441EF">
            <w:pPr>
              <w:shd w:val="clear" w:color="auto" w:fill="FFFFFF"/>
              <w:spacing w:after="0" w:line="240" w:lineRule="auto"/>
              <w:ind w:right="57"/>
              <w:jc w:val="both"/>
              <w:rPr>
                <w:rFonts w:ascii="Times New Roman" w:hAnsi="Times New Roman" w:cs="Times New Roman"/>
                <w:sz w:val="24"/>
                <w:szCs w:val="24"/>
              </w:rPr>
            </w:pPr>
            <w:bookmarkStart w:id="1" w:name="p62"/>
            <w:bookmarkEnd w:id="1"/>
            <w:r w:rsidRPr="00825BA1">
              <w:rPr>
                <w:rFonts w:ascii="Times New Roman" w:hAnsi="Times New Roman" w:cs="Times New Roman"/>
                <w:sz w:val="24"/>
                <w:szCs w:val="24"/>
              </w:rPr>
              <w:t xml:space="preserve">Finanšu ministrijas </w:t>
            </w:r>
            <w:r w:rsidR="00E81605" w:rsidRPr="00825BA1">
              <w:rPr>
                <w:rFonts w:ascii="Times New Roman" w:hAnsi="Times New Roman" w:cs="Times New Roman"/>
                <w:sz w:val="24"/>
                <w:szCs w:val="24"/>
              </w:rPr>
              <w:t xml:space="preserve">2013.gadā </w:t>
            </w:r>
            <w:r w:rsidR="0003669E" w:rsidRPr="00825BA1">
              <w:rPr>
                <w:rFonts w:ascii="Times New Roman" w:hAnsi="Times New Roman" w:cs="Times New Roman"/>
                <w:sz w:val="24"/>
                <w:szCs w:val="24"/>
              </w:rPr>
              <w:t>darbības programmai</w:t>
            </w:r>
            <w:r w:rsidR="00E81605" w:rsidRPr="00825BA1">
              <w:rPr>
                <w:rFonts w:ascii="Times New Roman" w:hAnsi="Times New Roman" w:cs="Times New Roman"/>
                <w:sz w:val="24"/>
                <w:szCs w:val="24"/>
              </w:rPr>
              <w:t xml:space="preserve"> rīkoja sabiedriskās apspriedes procedūru,</w:t>
            </w:r>
            <w:r w:rsidRPr="00825BA1">
              <w:rPr>
                <w:rFonts w:ascii="Times New Roman" w:hAnsi="Times New Roman" w:cs="Times New Roman"/>
                <w:sz w:val="24"/>
                <w:szCs w:val="24"/>
              </w:rPr>
              <w:t xml:space="preserve"> </w:t>
            </w:r>
            <w:r w:rsidR="00E81605" w:rsidRPr="00825BA1">
              <w:rPr>
                <w:rFonts w:ascii="Times New Roman" w:hAnsi="Times New Roman" w:cs="Times New Roman"/>
                <w:sz w:val="24"/>
                <w:szCs w:val="24"/>
              </w:rPr>
              <w:t xml:space="preserve">kurā piedalījās plašs ieinteresēto pārstāvju loks, t.sk. plānošanās reģionu pārstāvji, asociāciju un biedrību pārstāvji, pašvaldību pārstāvji utt., </w:t>
            </w:r>
            <w:r w:rsidRPr="00825BA1">
              <w:rPr>
                <w:rFonts w:ascii="Times New Roman" w:hAnsi="Times New Roman" w:cs="Times New Roman"/>
                <w:sz w:val="24"/>
                <w:szCs w:val="24"/>
              </w:rPr>
              <w:t>kuras laikā tika dota iespēja sabiedrības pārstāvjiem izteikt komentārus un</w:t>
            </w:r>
            <w:r w:rsidR="00E81605" w:rsidRPr="00825BA1">
              <w:rPr>
                <w:rFonts w:ascii="Times New Roman" w:hAnsi="Times New Roman" w:cs="Times New Roman"/>
                <w:sz w:val="24"/>
                <w:szCs w:val="24"/>
              </w:rPr>
              <w:t xml:space="preserve"> priekšlikumus par </w:t>
            </w:r>
            <w:r w:rsidR="0003669E" w:rsidRPr="00825BA1">
              <w:rPr>
                <w:rFonts w:ascii="Times New Roman" w:hAnsi="Times New Roman" w:cs="Times New Roman"/>
                <w:sz w:val="24"/>
                <w:szCs w:val="24"/>
              </w:rPr>
              <w:t>darbības programmu</w:t>
            </w:r>
            <w:r w:rsidRPr="00825BA1">
              <w:rPr>
                <w:rFonts w:ascii="Times New Roman" w:hAnsi="Times New Roman" w:cs="Times New Roman"/>
                <w:sz w:val="24"/>
                <w:szCs w:val="24"/>
              </w:rPr>
              <w:t>.</w:t>
            </w:r>
          </w:p>
          <w:p w:rsidR="00F37303" w:rsidRPr="00825BA1" w:rsidRDefault="00667222" w:rsidP="00825BA1">
            <w:pPr>
              <w:shd w:val="clear" w:color="auto" w:fill="FFFFFF"/>
              <w:spacing w:after="0" w:line="240" w:lineRule="auto"/>
              <w:ind w:right="57"/>
              <w:jc w:val="both"/>
              <w:rPr>
                <w:rFonts w:ascii="Times New Roman" w:hAnsi="Times New Roman" w:cs="Times New Roman"/>
                <w:sz w:val="24"/>
                <w:szCs w:val="24"/>
              </w:rPr>
            </w:pPr>
            <w:r w:rsidRPr="00825BA1">
              <w:rPr>
                <w:rFonts w:ascii="Times New Roman" w:hAnsi="Times New Roman" w:cs="Times New Roman"/>
                <w:sz w:val="24"/>
                <w:szCs w:val="24"/>
              </w:rPr>
              <w:t xml:space="preserve">Papildus </w:t>
            </w:r>
            <w:r w:rsidR="0003669E" w:rsidRPr="00825BA1">
              <w:rPr>
                <w:rFonts w:ascii="Times New Roman" w:hAnsi="Times New Roman" w:cs="Times New Roman"/>
                <w:sz w:val="24"/>
                <w:szCs w:val="24"/>
              </w:rPr>
              <w:t>darbības programmas</w:t>
            </w:r>
            <w:r w:rsidR="00F37303" w:rsidRPr="00825BA1">
              <w:rPr>
                <w:rFonts w:ascii="Times New Roman" w:hAnsi="Times New Roman" w:cs="Times New Roman"/>
                <w:sz w:val="24"/>
                <w:szCs w:val="24"/>
              </w:rPr>
              <w:t xml:space="preserve"> izstrādes procesā tika organizēts vairāk nekā 30 tematisko diskusiju, kā arī nodrošināta dalība vairākās pašvaldību un partneru rīkotās konferencēs, kurās partneri un ieinteresētās personas un organizācijas izteikušas gan savus iebildumus, gan priekšlikumus</w:t>
            </w:r>
            <w:r w:rsidR="00DD5345" w:rsidRPr="00825BA1">
              <w:rPr>
                <w:rFonts w:ascii="Times New Roman" w:hAnsi="Times New Roman" w:cs="Times New Roman"/>
                <w:sz w:val="24"/>
                <w:szCs w:val="24"/>
              </w:rPr>
              <w:t>.</w:t>
            </w:r>
            <w:r w:rsidR="00825BA1">
              <w:rPr>
                <w:rFonts w:ascii="Times New Roman" w:hAnsi="Times New Roman" w:cs="Times New Roman"/>
                <w:sz w:val="24"/>
                <w:szCs w:val="24"/>
              </w:rPr>
              <w:t xml:space="preserve"> Papildus minētajam sabiedrības pārstāvji tika informēt par veiktajiem precizējumiem darbības programmā </w:t>
            </w:r>
            <w:r w:rsidR="00825BA1" w:rsidRPr="00825BA1">
              <w:rPr>
                <w:rFonts w:ascii="Times New Roman" w:hAnsi="Times New Roman" w:cs="Times New Roman"/>
                <w:sz w:val="24"/>
                <w:szCs w:val="24"/>
              </w:rPr>
              <w:t>Eiropas Savienības struktūrfondu un Kohēzijas fond</w:t>
            </w:r>
            <w:r w:rsidR="00825BA1">
              <w:rPr>
                <w:rFonts w:ascii="Times New Roman" w:hAnsi="Times New Roman" w:cs="Times New Roman"/>
                <w:sz w:val="24"/>
                <w:szCs w:val="24"/>
              </w:rPr>
              <w:t xml:space="preserve">a pagaidu uzraudzības komitejas ietvaros. </w:t>
            </w:r>
          </w:p>
        </w:tc>
      </w:tr>
      <w:tr w:rsidR="006A3B37" w:rsidRPr="00825BA1" w:rsidTr="006A3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476"/>
          <w:jc w:val="center"/>
        </w:trPr>
        <w:tc>
          <w:tcPr>
            <w:tcW w:w="476" w:type="dxa"/>
          </w:tcPr>
          <w:p w:rsidR="006A3B37" w:rsidRPr="00825BA1" w:rsidRDefault="006A3B37" w:rsidP="0057279E">
            <w:pPr>
              <w:spacing w:after="0" w:line="240" w:lineRule="auto"/>
              <w:ind w:left="57" w:right="57"/>
              <w:jc w:val="both"/>
              <w:rPr>
                <w:rFonts w:ascii="Times New Roman" w:hAnsi="Times New Roman" w:cs="Times New Roman"/>
                <w:bCs/>
                <w:sz w:val="24"/>
                <w:szCs w:val="24"/>
              </w:rPr>
            </w:pPr>
            <w:r w:rsidRPr="00825BA1">
              <w:rPr>
                <w:rFonts w:ascii="Times New Roman" w:hAnsi="Times New Roman" w:cs="Times New Roman"/>
                <w:bCs/>
                <w:sz w:val="24"/>
                <w:szCs w:val="24"/>
              </w:rPr>
              <w:t>3.</w:t>
            </w:r>
          </w:p>
        </w:tc>
        <w:tc>
          <w:tcPr>
            <w:tcW w:w="2842" w:type="dxa"/>
            <w:gridSpan w:val="4"/>
          </w:tcPr>
          <w:p w:rsidR="006A3B37" w:rsidRPr="00825BA1" w:rsidRDefault="006A3B37" w:rsidP="0057279E">
            <w:pPr>
              <w:spacing w:after="0" w:line="240" w:lineRule="auto"/>
              <w:ind w:left="57" w:right="57"/>
              <w:rPr>
                <w:rFonts w:ascii="Times New Roman" w:hAnsi="Times New Roman" w:cs="Times New Roman"/>
                <w:sz w:val="24"/>
                <w:szCs w:val="24"/>
              </w:rPr>
            </w:pPr>
            <w:r w:rsidRPr="00825BA1">
              <w:rPr>
                <w:rFonts w:ascii="Times New Roman" w:hAnsi="Times New Roman" w:cs="Times New Roman"/>
                <w:sz w:val="24"/>
                <w:szCs w:val="24"/>
              </w:rPr>
              <w:t>Sabiedrības līdzdalības rezultāti</w:t>
            </w:r>
          </w:p>
        </w:tc>
        <w:tc>
          <w:tcPr>
            <w:tcW w:w="6206" w:type="dxa"/>
            <w:gridSpan w:val="5"/>
          </w:tcPr>
          <w:p w:rsidR="006A3B37" w:rsidRPr="00825BA1" w:rsidRDefault="00DD5345" w:rsidP="00C95C0D">
            <w:pPr>
              <w:shd w:val="clear" w:color="auto" w:fill="FFFFFF"/>
              <w:tabs>
                <w:tab w:val="left" w:pos="878"/>
              </w:tabs>
              <w:spacing w:after="120" w:line="240" w:lineRule="auto"/>
              <w:ind w:right="57"/>
              <w:jc w:val="both"/>
              <w:rPr>
                <w:rFonts w:ascii="Times New Roman" w:hAnsi="Times New Roman" w:cs="Times New Roman"/>
                <w:sz w:val="24"/>
                <w:szCs w:val="24"/>
              </w:rPr>
            </w:pPr>
            <w:r w:rsidRPr="00825BA1">
              <w:rPr>
                <w:rFonts w:ascii="Times New Roman" w:hAnsi="Times New Roman" w:cs="Times New Roman"/>
                <w:sz w:val="24"/>
                <w:szCs w:val="24"/>
              </w:rPr>
              <w:t>Partneru un ieinteresēt</w:t>
            </w:r>
            <w:r w:rsidR="00C95C0D" w:rsidRPr="00825BA1">
              <w:rPr>
                <w:rFonts w:ascii="Times New Roman" w:hAnsi="Times New Roman" w:cs="Times New Roman"/>
                <w:sz w:val="24"/>
                <w:szCs w:val="24"/>
              </w:rPr>
              <w:t>o</w:t>
            </w:r>
            <w:r w:rsidRPr="00825BA1">
              <w:rPr>
                <w:rFonts w:ascii="Times New Roman" w:hAnsi="Times New Roman" w:cs="Times New Roman"/>
                <w:sz w:val="24"/>
                <w:szCs w:val="24"/>
              </w:rPr>
              <w:t xml:space="preserve"> person</w:t>
            </w:r>
            <w:r w:rsidR="00C95C0D" w:rsidRPr="00825BA1">
              <w:rPr>
                <w:rFonts w:ascii="Times New Roman" w:hAnsi="Times New Roman" w:cs="Times New Roman"/>
                <w:sz w:val="24"/>
                <w:szCs w:val="24"/>
              </w:rPr>
              <w:t>u</w:t>
            </w:r>
            <w:r w:rsidRPr="00825BA1">
              <w:rPr>
                <w:rFonts w:ascii="Times New Roman" w:hAnsi="Times New Roman" w:cs="Times New Roman"/>
                <w:sz w:val="24"/>
                <w:szCs w:val="24"/>
              </w:rPr>
              <w:t xml:space="preserve"> un organizācij</w:t>
            </w:r>
            <w:r w:rsidR="00C95C0D" w:rsidRPr="00825BA1">
              <w:rPr>
                <w:rFonts w:ascii="Times New Roman" w:hAnsi="Times New Roman" w:cs="Times New Roman"/>
                <w:sz w:val="24"/>
                <w:szCs w:val="24"/>
              </w:rPr>
              <w:t>u</w:t>
            </w:r>
            <w:r w:rsidRPr="00825BA1">
              <w:rPr>
                <w:rFonts w:ascii="Times New Roman" w:hAnsi="Times New Roman" w:cs="Times New Roman"/>
                <w:sz w:val="24"/>
                <w:szCs w:val="24"/>
              </w:rPr>
              <w:t xml:space="preserve"> izteiktie iebildumi, gan priekšlikumi, tika izanalizēti un attiecīgi iestrādāti </w:t>
            </w:r>
            <w:r w:rsidR="0003669E" w:rsidRPr="00825BA1">
              <w:rPr>
                <w:rFonts w:ascii="Times New Roman" w:hAnsi="Times New Roman" w:cs="Times New Roman"/>
                <w:sz w:val="24"/>
                <w:szCs w:val="24"/>
              </w:rPr>
              <w:t>darbības programmā</w:t>
            </w:r>
            <w:r w:rsidRPr="00825BA1">
              <w:rPr>
                <w:rFonts w:ascii="Times New Roman" w:hAnsi="Times New Roman" w:cs="Times New Roman"/>
                <w:sz w:val="24"/>
                <w:szCs w:val="24"/>
              </w:rPr>
              <w:t>.</w:t>
            </w:r>
          </w:p>
        </w:tc>
      </w:tr>
      <w:tr w:rsidR="006A3B37" w:rsidRPr="00825BA1" w:rsidTr="006A3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23" w:type="dxa"/>
          <w:trHeight w:val="476"/>
          <w:jc w:val="center"/>
        </w:trPr>
        <w:tc>
          <w:tcPr>
            <w:tcW w:w="476" w:type="dxa"/>
          </w:tcPr>
          <w:p w:rsidR="006A3B37" w:rsidRPr="00825BA1" w:rsidRDefault="006A3B37" w:rsidP="0057279E">
            <w:pPr>
              <w:spacing w:after="0" w:line="240" w:lineRule="auto"/>
              <w:ind w:left="57" w:right="57"/>
              <w:jc w:val="both"/>
              <w:rPr>
                <w:rFonts w:ascii="Times New Roman" w:hAnsi="Times New Roman" w:cs="Times New Roman"/>
                <w:bCs/>
                <w:sz w:val="24"/>
                <w:szCs w:val="24"/>
              </w:rPr>
            </w:pPr>
            <w:r w:rsidRPr="00825BA1">
              <w:rPr>
                <w:rFonts w:ascii="Times New Roman" w:hAnsi="Times New Roman" w:cs="Times New Roman"/>
                <w:bCs/>
                <w:sz w:val="24"/>
                <w:szCs w:val="24"/>
              </w:rPr>
              <w:t>4.</w:t>
            </w:r>
          </w:p>
        </w:tc>
        <w:tc>
          <w:tcPr>
            <w:tcW w:w="2842" w:type="dxa"/>
            <w:gridSpan w:val="4"/>
          </w:tcPr>
          <w:p w:rsidR="006A3B37" w:rsidRPr="00825BA1" w:rsidRDefault="006A3B37" w:rsidP="0057279E">
            <w:pPr>
              <w:spacing w:after="0" w:line="240" w:lineRule="auto"/>
              <w:ind w:left="57" w:right="57"/>
              <w:rPr>
                <w:rFonts w:ascii="Times New Roman" w:hAnsi="Times New Roman" w:cs="Times New Roman"/>
                <w:sz w:val="24"/>
                <w:szCs w:val="24"/>
              </w:rPr>
            </w:pPr>
            <w:r w:rsidRPr="00825BA1">
              <w:rPr>
                <w:rFonts w:ascii="Times New Roman" w:hAnsi="Times New Roman" w:cs="Times New Roman"/>
                <w:sz w:val="24"/>
                <w:szCs w:val="24"/>
              </w:rPr>
              <w:t>Cita informācija</w:t>
            </w:r>
          </w:p>
        </w:tc>
        <w:tc>
          <w:tcPr>
            <w:tcW w:w="6206" w:type="dxa"/>
            <w:gridSpan w:val="5"/>
          </w:tcPr>
          <w:p w:rsidR="006A3B37" w:rsidRPr="00825BA1" w:rsidRDefault="006A3B37" w:rsidP="0057279E">
            <w:pPr>
              <w:spacing w:after="0" w:line="240" w:lineRule="auto"/>
              <w:ind w:left="57" w:right="57"/>
              <w:jc w:val="both"/>
              <w:rPr>
                <w:rFonts w:ascii="Times New Roman" w:hAnsi="Times New Roman" w:cs="Times New Roman"/>
                <w:sz w:val="24"/>
                <w:szCs w:val="24"/>
              </w:rPr>
            </w:pPr>
            <w:r w:rsidRPr="00825BA1">
              <w:rPr>
                <w:rFonts w:ascii="Times New Roman" w:hAnsi="Times New Roman" w:cs="Times New Roman"/>
                <w:sz w:val="24"/>
                <w:szCs w:val="24"/>
              </w:rPr>
              <w:t>Nav</w:t>
            </w:r>
          </w:p>
        </w:tc>
      </w:tr>
    </w:tbl>
    <w:p w:rsidR="007F18F2" w:rsidRPr="00825BA1" w:rsidRDefault="007F18F2" w:rsidP="00C034B1">
      <w:pPr>
        <w:spacing w:after="0" w:line="240" w:lineRule="auto"/>
        <w:ind w:firstLine="300"/>
        <w:rPr>
          <w:rFonts w:ascii="Times New Roman" w:eastAsia="Times New Roman" w:hAnsi="Times New Roman" w:cs="Times New Roman"/>
          <w:sz w:val="24"/>
          <w:szCs w:val="24"/>
          <w:lang w:eastAsia="lv-LV"/>
        </w:rPr>
      </w:pPr>
    </w:p>
    <w:p w:rsidR="00DE2F3F" w:rsidRPr="00825BA1" w:rsidRDefault="00DE2F3F" w:rsidP="009441EF">
      <w:pPr>
        <w:spacing w:after="0" w:line="240" w:lineRule="auto"/>
        <w:rPr>
          <w:rFonts w:ascii="Times New Roman" w:hAnsi="Times New Roman" w:cs="Times New Roman"/>
          <w:sz w:val="24"/>
          <w:szCs w:val="24"/>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5B71E4" w:rsidRPr="00825BA1" w:rsidTr="009347BA">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68" w:after="68"/>
              <w:jc w:val="center"/>
              <w:rPr>
                <w:rFonts w:ascii="Times New Roman" w:hAnsi="Times New Roman" w:cs="Times New Roman"/>
                <w:sz w:val="24"/>
                <w:szCs w:val="24"/>
                <w:lang w:eastAsia="lv-LV"/>
              </w:rPr>
            </w:pPr>
            <w:r w:rsidRPr="00825BA1">
              <w:rPr>
                <w:rFonts w:ascii="Times New Roman" w:hAnsi="Times New Roman" w:cs="Times New Roman"/>
                <w:b/>
                <w:bCs/>
                <w:sz w:val="24"/>
                <w:szCs w:val="24"/>
                <w:lang w:eastAsia="lv-LV"/>
              </w:rPr>
              <w:t> VII. Tiesību akta projekta izpildes nodrošināšana un tās ietekme uz institūcijām</w:t>
            </w:r>
          </w:p>
        </w:tc>
      </w:tr>
      <w:tr w:rsidR="005B71E4" w:rsidRPr="00825BA1" w:rsidTr="009347BA">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5B71E4" w:rsidRPr="00825BA1" w:rsidRDefault="005B71E4" w:rsidP="009441EF">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rsidR="005B71E4" w:rsidRPr="00825BA1" w:rsidRDefault="00645820" w:rsidP="00825BA1">
            <w:p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Eiropas Savienības struktūrfondu un Kohēzijas fond</w:t>
            </w:r>
            <w:r w:rsidR="00825BA1">
              <w:rPr>
                <w:rFonts w:ascii="Times New Roman" w:hAnsi="Times New Roman" w:cs="Times New Roman"/>
                <w:sz w:val="24"/>
                <w:szCs w:val="24"/>
              </w:rPr>
              <w:t>a</w:t>
            </w:r>
            <w:r w:rsidRPr="00825BA1">
              <w:rPr>
                <w:rFonts w:ascii="Times New Roman" w:hAnsi="Times New Roman" w:cs="Times New Roman"/>
                <w:sz w:val="24"/>
                <w:szCs w:val="24"/>
              </w:rPr>
              <w:t xml:space="preserve"> vadībā iesaistītās institūcijas</w:t>
            </w:r>
            <w:r w:rsidR="0003669E" w:rsidRPr="00825BA1">
              <w:rPr>
                <w:rFonts w:ascii="Times New Roman" w:hAnsi="Times New Roman" w:cs="Times New Roman"/>
                <w:sz w:val="24"/>
                <w:szCs w:val="24"/>
              </w:rPr>
              <w:t xml:space="preserve"> saskaņā ar </w:t>
            </w:r>
            <w:r w:rsidRPr="00825BA1">
              <w:rPr>
                <w:rFonts w:ascii="Times New Roman" w:hAnsi="Times New Roman" w:cs="Times New Roman"/>
                <w:sz w:val="24"/>
                <w:szCs w:val="24"/>
              </w:rPr>
              <w:t>Eiropas Savienības struktūrfondu un Kohēzijas fonda 2014.</w:t>
            </w:r>
            <w:r w:rsidR="0022150D" w:rsidRPr="00825BA1">
              <w:rPr>
                <w:rFonts w:ascii="Times New Roman" w:hAnsi="Times New Roman" w:cs="Times New Roman"/>
                <w:sz w:val="24"/>
                <w:szCs w:val="24"/>
              </w:rPr>
              <w:t>–</w:t>
            </w:r>
            <w:r w:rsidRPr="00825BA1">
              <w:rPr>
                <w:rFonts w:ascii="Times New Roman" w:hAnsi="Times New Roman" w:cs="Times New Roman"/>
                <w:sz w:val="24"/>
                <w:szCs w:val="24"/>
              </w:rPr>
              <w:t>2020.gada plānošanas perioda vadības likumā</w:t>
            </w:r>
            <w:r w:rsidR="0003669E" w:rsidRPr="00825BA1">
              <w:rPr>
                <w:rFonts w:ascii="Times New Roman" w:hAnsi="Times New Roman" w:cs="Times New Roman"/>
                <w:sz w:val="24"/>
                <w:szCs w:val="24"/>
              </w:rPr>
              <w:t xml:space="preserve"> noteikto</w:t>
            </w:r>
            <w:r w:rsidR="00AA1963" w:rsidRPr="00825BA1">
              <w:rPr>
                <w:rFonts w:ascii="Times New Roman" w:hAnsi="Times New Roman" w:cs="Times New Roman"/>
                <w:sz w:val="24"/>
                <w:szCs w:val="24"/>
              </w:rPr>
              <w:t>.</w:t>
            </w:r>
          </w:p>
        </w:tc>
      </w:tr>
      <w:tr w:rsidR="005B71E4" w:rsidRPr="00825BA1" w:rsidTr="009347BA">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2.</w:t>
            </w:r>
          </w:p>
        </w:tc>
        <w:tc>
          <w:tcPr>
            <w:tcW w:w="3118" w:type="dxa"/>
            <w:tcBorders>
              <w:top w:val="outset" w:sz="6" w:space="0" w:color="auto"/>
              <w:left w:val="outset" w:sz="6" w:space="0" w:color="auto"/>
              <w:bottom w:val="outset" w:sz="6" w:space="0" w:color="auto"/>
              <w:right w:val="outset" w:sz="6" w:space="0" w:color="auto"/>
            </w:tcBorders>
            <w:hideMark/>
          </w:tcPr>
          <w:p w:rsidR="005B71E4" w:rsidRPr="00825BA1" w:rsidRDefault="005B71E4" w:rsidP="009441EF">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 xml:space="preserve"> Projekta izpildes ietekme uz pārvaldes funkcijām un pārvaldes institucionālo struktūru. </w:t>
            </w:r>
          </w:p>
          <w:p w:rsidR="005B71E4" w:rsidRPr="00825BA1" w:rsidRDefault="005B71E4" w:rsidP="009441EF">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rsidR="005B71E4" w:rsidRPr="00825BA1" w:rsidRDefault="00D802E5" w:rsidP="009441EF">
            <w:pPr>
              <w:spacing w:after="0" w:line="240" w:lineRule="auto"/>
              <w:jc w:val="both"/>
              <w:rPr>
                <w:rFonts w:ascii="Times New Roman" w:hAnsi="Times New Roman" w:cs="Times New Roman"/>
                <w:sz w:val="24"/>
                <w:szCs w:val="24"/>
                <w:lang w:eastAsia="lv-LV"/>
              </w:rPr>
            </w:pPr>
            <w:r w:rsidRPr="00825BA1">
              <w:rPr>
                <w:rFonts w:ascii="Times New Roman" w:hAnsi="Times New Roman" w:cs="Times New Roman"/>
                <w:sz w:val="24"/>
                <w:szCs w:val="24"/>
              </w:rPr>
              <w:t>Jaunu institūciju izveide, esošu institūciju likvidācija vai reorga</w:t>
            </w:r>
            <w:r w:rsidRPr="00825BA1">
              <w:rPr>
                <w:rFonts w:ascii="Times New Roman" w:hAnsi="Times New Roman" w:cs="Times New Roman"/>
                <w:sz w:val="24"/>
                <w:szCs w:val="24"/>
              </w:rPr>
              <w:softHyphen/>
              <w:t>nizācija nav paredzēta.</w:t>
            </w:r>
          </w:p>
        </w:tc>
      </w:tr>
      <w:tr w:rsidR="005B71E4" w:rsidRPr="00825BA1" w:rsidTr="009347BA">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3.</w:t>
            </w:r>
          </w:p>
        </w:tc>
        <w:tc>
          <w:tcPr>
            <w:tcW w:w="3118" w:type="dxa"/>
            <w:tcBorders>
              <w:top w:val="outset" w:sz="6" w:space="0" w:color="auto"/>
              <w:left w:val="outset" w:sz="6" w:space="0" w:color="auto"/>
              <w:bottom w:val="outset" w:sz="6" w:space="0" w:color="auto"/>
              <w:right w:val="outset" w:sz="6" w:space="0" w:color="auto"/>
            </w:tcBorders>
            <w:hideMark/>
          </w:tcPr>
          <w:p w:rsidR="005B71E4" w:rsidRPr="00825BA1" w:rsidRDefault="005B71E4" w:rsidP="009347BA">
            <w:pPr>
              <w:spacing w:before="68" w:after="68"/>
              <w:rPr>
                <w:rFonts w:ascii="Times New Roman" w:hAnsi="Times New Roman" w:cs="Times New Roman"/>
                <w:sz w:val="24"/>
                <w:szCs w:val="24"/>
                <w:lang w:eastAsia="lv-LV"/>
              </w:rPr>
            </w:pPr>
            <w:r w:rsidRPr="00825BA1">
              <w:rPr>
                <w:rFonts w:ascii="Times New Roman" w:hAnsi="Times New Roman" w:cs="Times New Roman"/>
                <w:sz w:val="24"/>
                <w:szCs w:val="24"/>
                <w:lang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rsidR="005B71E4" w:rsidRPr="00825BA1" w:rsidRDefault="005B71E4" w:rsidP="005B71E4">
            <w:pPr>
              <w:spacing w:before="68" w:after="68"/>
              <w:jc w:val="both"/>
              <w:rPr>
                <w:rFonts w:ascii="Times New Roman" w:hAnsi="Times New Roman" w:cs="Times New Roman"/>
                <w:sz w:val="24"/>
                <w:szCs w:val="24"/>
                <w:lang w:eastAsia="lv-LV"/>
              </w:rPr>
            </w:pPr>
            <w:r w:rsidRPr="00825BA1">
              <w:rPr>
                <w:rFonts w:ascii="Times New Roman" w:hAnsi="Times New Roman" w:cs="Times New Roman"/>
                <w:sz w:val="24"/>
                <w:szCs w:val="24"/>
                <w:lang w:eastAsia="lv-LV"/>
              </w:rPr>
              <w:t> </w:t>
            </w:r>
            <w:r w:rsidR="0024484F" w:rsidRPr="00825BA1">
              <w:rPr>
                <w:rFonts w:ascii="Times New Roman" w:hAnsi="Times New Roman" w:cs="Times New Roman"/>
                <w:sz w:val="24"/>
                <w:szCs w:val="24"/>
                <w:lang w:eastAsia="lv-LV"/>
              </w:rPr>
              <w:t>Nav.</w:t>
            </w:r>
          </w:p>
        </w:tc>
      </w:tr>
    </w:tbl>
    <w:p w:rsidR="00665131" w:rsidRPr="00825BA1" w:rsidRDefault="00665131" w:rsidP="00C034B1">
      <w:pPr>
        <w:spacing w:after="0" w:line="240" w:lineRule="auto"/>
        <w:rPr>
          <w:rFonts w:ascii="Times New Roman" w:hAnsi="Times New Roman" w:cs="Times New Roman"/>
          <w:sz w:val="24"/>
          <w:szCs w:val="24"/>
        </w:rPr>
      </w:pPr>
    </w:p>
    <w:p w:rsidR="007B3163" w:rsidRDefault="007B3163" w:rsidP="001129E5">
      <w:pPr>
        <w:tabs>
          <w:tab w:val="left" w:pos="4320"/>
        </w:tabs>
        <w:spacing w:after="0" w:line="240" w:lineRule="auto"/>
        <w:ind w:firstLine="720"/>
        <w:rPr>
          <w:rFonts w:ascii="Times New Roman" w:hAnsi="Times New Roman" w:cs="Times New Roman"/>
          <w:sz w:val="24"/>
          <w:szCs w:val="24"/>
        </w:rPr>
      </w:pPr>
    </w:p>
    <w:p w:rsidR="00F0429D" w:rsidRPr="00825BA1" w:rsidRDefault="00EC3B9C" w:rsidP="001129E5">
      <w:pPr>
        <w:tabs>
          <w:tab w:val="left" w:pos="4320"/>
        </w:tabs>
        <w:spacing w:after="0" w:line="240" w:lineRule="auto"/>
        <w:ind w:firstLine="720"/>
        <w:rPr>
          <w:rFonts w:ascii="Times New Roman" w:hAnsi="Times New Roman" w:cs="Times New Roman"/>
          <w:sz w:val="24"/>
          <w:szCs w:val="24"/>
        </w:rPr>
      </w:pPr>
      <w:r w:rsidRPr="00825BA1">
        <w:rPr>
          <w:rFonts w:ascii="Times New Roman" w:hAnsi="Times New Roman" w:cs="Times New Roman"/>
          <w:sz w:val="24"/>
          <w:szCs w:val="24"/>
        </w:rPr>
        <w:t>Finanšu ministrs</w:t>
      </w:r>
      <w:r w:rsidRPr="00825BA1">
        <w:rPr>
          <w:rFonts w:ascii="Times New Roman" w:hAnsi="Times New Roman" w:cs="Times New Roman"/>
          <w:sz w:val="24"/>
          <w:szCs w:val="24"/>
        </w:rPr>
        <w:tab/>
      </w:r>
      <w:r w:rsidRPr="00825BA1">
        <w:rPr>
          <w:rFonts w:ascii="Times New Roman" w:hAnsi="Times New Roman" w:cs="Times New Roman"/>
          <w:sz w:val="24"/>
          <w:szCs w:val="24"/>
        </w:rPr>
        <w:tab/>
      </w:r>
      <w:r w:rsidRPr="00825BA1">
        <w:rPr>
          <w:rFonts w:ascii="Times New Roman" w:hAnsi="Times New Roman" w:cs="Times New Roman"/>
          <w:sz w:val="24"/>
          <w:szCs w:val="24"/>
        </w:rPr>
        <w:tab/>
      </w:r>
      <w:r w:rsidRPr="00825BA1">
        <w:rPr>
          <w:rFonts w:ascii="Times New Roman" w:hAnsi="Times New Roman" w:cs="Times New Roman"/>
          <w:sz w:val="24"/>
          <w:szCs w:val="24"/>
        </w:rPr>
        <w:tab/>
      </w:r>
      <w:r w:rsidRPr="00825BA1">
        <w:rPr>
          <w:rFonts w:ascii="Times New Roman" w:hAnsi="Times New Roman" w:cs="Times New Roman"/>
          <w:sz w:val="24"/>
          <w:szCs w:val="24"/>
        </w:rPr>
        <w:tab/>
        <w:t>A.</w:t>
      </w:r>
      <w:r w:rsidR="00D00F79" w:rsidRPr="00825BA1">
        <w:rPr>
          <w:rFonts w:ascii="Times New Roman" w:hAnsi="Times New Roman" w:cs="Times New Roman"/>
          <w:sz w:val="24"/>
          <w:szCs w:val="24"/>
        </w:rPr>
        <w:t xml:space="preserve"> </w:t>
      </w:r>
      <w:r w:rsidRPr="00825BA1">
        <w:rPr>
          <w:rFonts w:ascii="Times New Roman" w:hAnsi="Times New Roman" w:cs="Times New Roman"/>
          <w:sz w:val="24"/>
          <w:szCs w:val="24"/>
        </w:rPr>
        <w:t>Vilks</w:t>
      </w:r>
    </w:p>
    <w:p w:rsidR="001129E5" w:rsidRPr="00825BA1" w:rsidRDefault="001129E5" w:rsidP="001129E5">
      <w:pPr>
        <w:tabs>
          <w:tab w:val="left" w:pos="4680"/>
        </w:tabs>
        <w:spacing w:after="0" w:line="240" w:lineRule="auto"/>
        <w:ind w:firstLine="720"/>
        <w:rPr>
          <w:rFonts w:ascii="Times New Roman" w:hAnsi="Times New Roman" w:cs="Times New Roman"/>
          <w:sz w:val="24"/>
          <w:szCs w:val="24"/>
        </w:rPr>
      </w:pPr>
    </w:p>
    <w:p w:rsidR="000701D8" w:rsidRDefault="00EC3B9C" w:rsidP="001129E5">
      <w:pPr>
        <w:tabs>
          <w:tab w:val="left" w:pos="4680"/>
        </w:tabs>
        <w:spacing w:after="0" w:line="240" w:lineRule="auto"/>
        <w:ind w:firstLine="720"/>
        <w:rPr>
          <w:rFonts w:ascii="Times New Roman" w:hAnsi="Times New Roman" w:cs="Times New Roman"/>
          <w:sz w:val="24"/>
          <w:szCs w:val="24"/>
        </w:rPr>
      </w:pPr>
      <w:r w:rsidRPr="00825BA1">
        <w:rPr>
          <w:rFonts w:ascii="Times New Roman" w:hAnsi="Times New Roman" w:cs="Times New Roman"/>
          <w:sz w:val="24"/>
          <w:szCs w:val="24"/>
        </w:rPr>
        <w:t>Vīza: Valsts sekretāre</w:t>
      </w:r>
      <w:r w:rsidR="00F46BA4">
        <w:rPr>
          <w:rFonts w:ascii="Times New Roman" w:hAnsi="Times New Roman" w:cs="Times New Roman"/>
          <w:sz w:val="24"/>
          <w:szCs w:val="24"/>
        </w:rPr>
        <w:tab/>
      </w:r>
      <w:r w:rsidR="00F46BA4">
        <w:rPr>
          <w:rFonts w:ascii="Times New Roman" w:hAnsi="Times New Roman" w:cs="Times New Roman"/>
          <w:sz w:val="24"/>
          <w:szCs w:val="24"/>
        </w:rPr>
        <w:tab/>
      </w:r>
      <w:r w:rsidR="00F46BA4">
        <w:rPr>
          <w:rFonts w:ascii="Times New Roman" w:hAnsi="Times New Roman" w:cs="Times New Roman"/>
          <w:sz w:val="24"/>
          <w:szCs w:val="24"/>
        </w:rPr>
        <w:tab/>
      </w:r>
      <w:r w:rsidR="00F46BA4">
        <w:rPr>
          <w:rFonts w:ascii="Times New Roman" w:hAnsi="Times New Roman" w:cs="Times New Roman"/>
          <w:sz w:val="24"/>
          <w:szCs w:val="24"/>
        </w:rPr>
        <w:tab/>
      </w:r>
      <w:r w:rsidR="00F46BA4">
        <w:rPr>
          <w:rFonts w:ascii="Times New Roman" w:hAnsi="Times New Roman" w:cs="Times New Roman"/>
          <w:sz w:val="24"/>
          <w:szCs w:val="24"/>
        </w:rPr>
        <w:tab/>
      </w:r>
      <w:proofErr w:type="spellStart"/>
      <w:r w:rsidR="00F46BA4">
        <w:rPr>
          <w:rFonts w:ascii="Times New Roman" w:hAnsi="Times New Roman" w:cs="Times New Roman"/>
          <w:sz w:val="24"/>
          <w:szCs w:val="24"/>
        </w:rPr>
        <w:t>B.Bāne</w:t>
      </w:r>
      <w:proofErr w:type="spellEnd"/>
    </w:p>
    <w:p w:rsidR="000701D8" w:rsidRDefault="000701D8" w:rsidP="001129E5">
      <w:pPr>
        <w:tabs>
          <w:tab w:val="left" w:pos="468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429D" w:rsidRPr="00371B00" w:rsidRDefault="001173B4" w:rsidP="006C0B24">
      <w:pPr>
        <w:tabs>
          <w:tab w:val="left" w:pos="3390"/>
        </w:tabs>
        <w:spacing w:after="0" w:line="240" w:lineRule="auto"/>
        <w:ind w:right="26"/>
        <w:jc w:val="both"/>
        <w:rPr>
          <w:rFonts w:ascii="Times New Roman" w:hAnsi="Times New Roman" w:cs="Times New Roman"/>
          <w:sz w:val="16"/>
          <w:szCs w:val="20"/>
        </w:rPr>
      </w:pPr>
      <w:bookmarkStart w:id="2" w:name="_GoBack"/>
      <w:bookmarkEnd w:id="2"/>
      <w:r w:rsidRPr="00371B00">
        <w:rPr>
          <w:rFonts w:ascii="Times New Roman" w:hAnsi="Times New Roman" w:cs="Times New Roman"/>
          <w:sz w:val="16"/>
          <w:szCs w:val="20"/>
        </w:rPr>
        <w:t>2</w:t>
      </w:r>
      <w:r w:rsidR="004652A4" w:rsidRPr="00371B00">
        <w:rPr>
          <w:rFonts w:ascii="Times New Roman" w:hAnsi="Times New Roman" w:cs="Times New Roman"/>
          <w:sz w:val="16"/>
          <w:szCs w:val="20"/>
        </w:rPr>
        <w:t>9</w:t>
      </w:r>
      <w:r w:rsidRPr="00371B00">
        <w:rPr>
          <w:rFonts w:ascii="Times New Roman" w:hAnsi="Times New Roman" w:cs="Times New Roman"/>
          <w:sz w:val="16"/>
          <w:szCs w:val="20"/>
        </w:rPr>
        <w:t>.08</w:t>
      </w:r>
      <w:r w:rsidR="00F0429D" w:rsidRPr="00371B00">
        <w:rPr>
          <w:rFonts w:ascii="Times New Roman" w:hAnsi="Times New Roman" w:cs="Times New Roman"/>
          <w:sz w:val="16"/>
          <w:szCs w:val="20"/>
        </w:rPr>
        <w:t xml:space="preserve">.2014. </w:t>
      </w:r>
      <w:r w:rsidR="0033766D">
        <w:rPr>
          <w:rFonts w:ascii="Times New Roman" w:hAnsi="Times New Roman" w:cs="Times New Roman"/>
          <w:sz w:val="16"/>
          <w:szCs w:val="20"/>
        </w:rPr>
        <w:t>09:20</w:t>
      </w:r>
      <w:r w:rsidR="00F0429D" w:rsidRPr="00371B00">
        <w:rPr>
          <w:rFonts w:ascii="Times New Roman" w:hAnsi="Times New Roman" w:cs="Times New Roman"/>
          <w:sz w:val="16"/>
          <w:szCs w:val="20"/>
        </w:rPr>
        <w:tab/>
      </w:r>
    </w:p>
    <w:p w:rsidR="00C91A51" w:rsidRPr="00371B00" w:rsidRDefault="00371B00" w:rsidP="009441EF">
      <w:pPr>
        <w:tabs>
          <w:tab w:val="left" w:pos="6804"/>
        </w:tabs>
        <w:spacing w:after="0" w:line="240" w:lineRule="auto"/>
        <w:ind w:right="26"/>
        <w:jc w:val="both"/>
        <w:rPr>
          <w:rFonts w:ascii="Times New Roman" w:hAnsi="Times New Roman" w:cs="Times New Roman"/>
          <w:sz w:val="16"/>
          <w:szCs w:val="20"/>
        </w:rPr>
      </w:pPr>
      <w:r>
        <w:rPr>
          <w:rFonts w:ascii="Times New Roman" w:hAnsi="Times New Roman" w:cs="Times New Roman"/>
          <w:sz w:val="16"/>
          <w:szCs w:val="20"/>
        </w:rPr>
        <w:t>2191</w:t>
      </w:r>
    </w:p>
    <w:p w:rsidR="00371B00" w:rsidRPr="00371B00" w:rsidRDefault="00371B00" w:rsidP="00371B00">
      <w:pPr>
        <w:tabs>
          <w:tab w:val="left" w:pos="6804"/>
        </w:tabs>
        <w:spacing w:after="0" w:line="240" w:lineRule="auto"/>
        <w:ind w:right="26"/>
        <w:jc w:val="both"/>
        <w:rPr>
          <w:rFonts w:ascii="Times New Roman" w:hAnsi="Times New Roman" w:cs="Times New Roman"/>
          <w:sz w:val="16"/>
          <w:szCs w:val="20"/>
        </w:rPr>
      </w:pPr>
      <w:proofErr w:type="spellStart"/>
      <w:r w:rsidRPr="00371B00">
        <w:rPr>
          <w:rFonts w:ascii="Times New Roman" w:hAnsi="Times New Roman" w:cs="Times New Roman"/>
          <w:sz w:val="16"/>
          <w:szCs w:val="20"/>
        </w:rPr>
        <w:t>I.Kudrjašova</w:t>
      </w:r>
      <w:proofErr w:type="spellEnd"/>
    </w:p>
    <w:p w:rsidR="00371B00" w:rsidRPr="00371B00" w:rsidRDefault="00371B00" w:rsidP="00371B00">
      <w:pPr>
        <w:tabs>
          <w:tab w:val="left" w:pos="6804"/>
        </w:tabs>
        <w:spacing w:after="0" w:line="240" w:lineRule="auto"/>
        <w:ind w:right="26"/>
        <w:jc w:val="both"/>
        <w:rPr>
          <w:rFonts w:ascii="Times New Roman" w:hAnsi="Times New Roman" w:cs="Times New Roman"/>
          <w:sz w:val="16"/>
          <w:szCs w:val="20"/>
        </w:rPr>
      </w:pPr>
      <w:r w:rsidRPr="00371B00">
        <w:rPr>
          <w:rFonts w:ascii="Times New Roman" w:hAnsi="Times New Roman" w:cs="Times New Roman"/>
          <w:sz w:val="16"/>
          <w:szCs w:val="20"/>
        </w:rPr>
        <w:t xml:space="preserve">Finanšu ministrijas Eiropas Savienības fondu </w:t>
      </w:r>
    </w:p>
    <w:p w:rsidR="00371B00" w:rsidRPr="00371B00" w:rsidRDefault="00371B00" w:rsidP="00371B00">
      <w:pPr>
        <w:tabs>
          <w:tab w:val="left" w:pos="6804"/>
        </w:tabs>
        <w:spacing w:after="0" w:line="240" w:lineRule="auto"/>
        <w:ind w:right="26"/>
        <w:jc w:val="both"/>
        <w:rPr>
          <w:rFonts w:ascii="Times New Roman" w:hAnsi="Times New Roman" w:cs="Times New Roman"/>
          <w:sz w:val="16"/>
          <w:szCs w:val="20"/>
        </w:rPr>
      </w:pPr>
      <w:r w:rsidRPr="00371B00">
        <w:rPr>
          <w:rFonts w:ascii="Times New Roman" w:hAnsi="Times New Roman" w:cs="Times New Roman"/>
          <w:sz w:val="16"/>
          <w:szCs w:val="20"/>
        </w:rPr>
        <w:t>stratēģijas departamenta</w:t>
      </w:r>
    </w:p>
    <w:p w:rsidR="00371B00" w:rsidRPr="00371B00" w:rsidRDefault="00371B00" w:rsidP="00371B00">
      <w:pPr>
        <w:tabs>
          <w:tab w:val="left" w:pos="6804"/>
        </w:tabs>
        <w:spacing w:after="0" w:line="240" w:lineRule="auto"/>
        <w:ind w:right="26"/>
        <w:jc w:val="both"/>
        <w:rPr>
          <w:rFonts w:ascii="Times New Roman" w:hAnsi="Times New Roman" w:cs="Times New Roman"/>
          <w:sz w:val="16"/>
          <w:szCs w:val="20"/>
        </w:rPr>
      </w:pPr>
      <w:r w:rsidRPr="00371B00">
        <w:rPr>
          <w:rFonts w:ascii="Times New Roman" w:hAnsi="Times New Roman" w:cs="Times New Roman"/>
          <w:sz w:val="16"/>
          <w:szCs w:val="20"/>
        </w:rPr>
        <w:t xml:space="preserve">Cilvēkresursu un publisko investīciju </w:t>
      </w:r>
    </w:p>
    <w:p w:rsidR="00371B00" w:rsidRPr="00371B00" w:rsidRDefault="00371B00" w:rsidP="00371B00">
      <w:pPr>
        <w:tabs>
          <w:tab w:val="left" w:pos="6804"/>
        </w:tabs>
        <w:spacing w:after="0" w:line="240" w:lineRule="auto"/>
        <w:ind w:right="26"/>
        <w:jc w:val="both"/>
        <w:rPr>
          <w:rFonts w:ascii="Times New Roman" w:hAnsi="Times New Roman" w:cs="Times New Roman"/>
          <w:sz w:val="16"/>
          <w:szCs w:val="20"/>
        </w:rPr>
      </w:pPr>
      <w:r w:rsidRPr="00371B00">
        <w:rPr>
          <w:rFonts w:ascii="Times New Roman" w:hAnsi="Times New Roman" w:cs="Times New Roman"/>
          <w:sz w:val="16"/>
          <w:szCs w:val="20"/>
        </w:rPr>
        <w:t>plānošanas nodaļas referente</w:t>
      </w:r>
    </w:p>
    <w:p w:rsidR="00371B00" w:rsidRPr="00371B00" w:rsidRDefault="00371B00" w:rsidP="00371B00">
      <w:pPr>
        <w:tabs>
          <w:tab w:val="left" w:pos="6804"/>
        </w:tabs>
        <w:spacing w:after="0" w:line="240" w:lineRule="auto"/>
        <w:ind w:right="26"/>
        <w:jc w:val="both"/>
        <w:rPr>
          <w:rFonts w:ascii="Times New Roman" w:hAnsi="Times New Roman" w:cs="Times New Roman"/>
          <w:sz w:val="16"/>
          <w:szCs w:val="20"/>
        </w:rPr>
      </w:pPr>
      <w:r w:rsidRPr="00371B00">
        <w:rPr>
          <w:rFonts w:ascii="Times New Roman" w:hAnsi="Times New Roman" w:cs="Times New Roman"/>
          <w:sz w:val="16"/>
          <w:szCs w:val="20"/>
        </w:rPr>
        <w:t>tālr.: 67083879</w:t>
      </w:r>
    </w:p>
    <w:p w:rsidR="001C79A6" w:rsidRPr="00371B00" w:rsidRDefault="00371B00" w:rsidP="00371B00">
      <w:pPr>
        <w:tabs>
          <w:tab w:val="left" w:pos="6804"/>
        </w:tabs>
        <w:spacing w:after="0" w:line="240" w:lineRule="auto"/>
        <w:ind w:right="26"/>
        <w:jc w:val="both"/>
        <w:rPr>
          <w:rFonts w:ascii="Times New Roman" w:hAnsi="Times New Roman" w:cs="Times New Roman"/>
          <w:sz w:val="20"/>
          <w:szCs w:val="24"/>
        </w:rPr>
      </w:pPr>
      <w:r w:rsidRPr="00371B00">
        <w:rPr>
          <w:rFonts w:ascii="Times New Roman" w:hAnsi="Times New Roman" w:cs="Times New Roman"/>
          <w:sz w:val="16"/>
          <w:szCs w:val="20"/>
        </w:rPr>
        <w:t>e-pasts: Ineta.Kudrjasova@fm.gov.lv</w:t>
      </w:r>
    </w:p>
    <w:sectPr w:rsidR="001C79A6" w:rsidRPr="00371B00" w:rsidSect="001B0D8B">
      <w:headerReference w:type="default" r:id="rId11"/>
      <w:footerReference w:type="default" r:id="rId12"/>
      <w:footerReference w:type="first" r:id="rId13"/>
      <w:pgSz w:w="11906" w:h="16838"/>
      <w:pgMar w:top="1418" w:right="1134" w:bottom="1134" w:left="1701" w:header="709"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32" w:rsidRDefault="00F40632" w:rsidP="00643120">
      <w:pPr>
        <w:spacing w:after="0" w:line="240" w:lineRule="auto"/>
      </w:pPr>
      <w:r>
        <w:separator/>
      </w:r>
    </w:p>
  </w:endnote>
  <w:endnote w:type="continuationSeparator" w:id="0">
    <w:p w:rsidR="00F40632" w:rsidRDefault="00F40632"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9A" w:rsidRPr="008D4C9A" w:rsidRDefault="00290CDA" w:rsidP="008D4C9A">
    <w:pPr>
      <w:pStyle w:val="Footer"/>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AF0003">
      <w:rPr>
        <w:rFonts w:ascii="Times New Roman" w:eastAsia="Calibri" w:hAnsi="Times New Roman" w:cs="Times New Roman"/>
        <w:noProof/>
        <w:sz w:val="20"/>
        <w:szCs w:val="20"/>
      </w:rPr>
      <w:t>FMAnot_2980814_DP</w:t>
    </w:r>
    <w:r>
      <w:rPr>
        <w:rFonts w:ascii="Times New Roman" w:eastAsia="Calibri" w:hAnsi="Times New Roman" w:cs="Times New Roman"/>
        <w:sz w:val="20"/>
        <w:szCs w:val="20"/>
      </w:rPr>
      <w:fldChar w:fldCharType="end"/>
    </w:r>
    <w:r w:rsidR="0003669E" w:rsidRPr="008D4C9A">
      <w:rPr>
        <w:rFonts w:ascii="Times New Roman" w:eastAsia="Calibri" w:hAnsi="Times New Roman" w:cs="Times New Roman"/>
        <w:sz w:val="20"/>
        <w:szCs w:val="20"/>
      </w:rPr>
      <w:t xml:space="preserve">; </w:t>
    </w:r>
    <w:r w:rsidR="0003669E" w:rsidRPr="0003669E">
      <w:rPr>
        <w:rFonts w:ascii="Times New Roman" w:hAnsi="Times New Roman" w:cs="Times New Roman"/>
        <w:sz w:val="20"/>
        <w:szCs w:val="20"/>
      </w:rPr>
      <w:t>Mini</w:t>
    </w:r>
    <w:r w:rsidR="0003669E">
      <w:rPr>
        <w:rFonts w:ascii="Times New Roman" w:hAnsi="Times New Roman" w:cs="Times New Roman"/>
        <w:sz w:val="20"/>
        <w:szCs w:val="20"/>
      </w:rPr>
      <w:t>stru kabineta rīkojuma projekta „</w:t>
    </w:r>
    <w:r w:rsidR="00EF3B6F" w:rsidRPr="00EF3B6F">
      <w:rPr>
        <w:rFonts w:ascii="Times New Roman" w:hAnsi="Times New Roman" w:cs="Times New Roman"/>
        <w:sz w:val="20"/>
        <w:szCs w:val="28"/>
      </w:rPr>
      <w:t xml:space="preserve">Par darbības programmas ,,Izaugsme un nodarbinātība” projektu </w:t>
    </w:r>
    <w:r w:rsidR="00EF3B6F" w:rsidRPr="00EF3B6F">
      <w:rPr>
        <w:rFonts w:ascii="Times New Roman" w:hAnsi="Times New Roman" w:cs="Times New Roman"/>
        <w:sz w:val="20"/>
        <w:szCs w:val="28"/>
        <w:lang w:val="de-DE"/>
      </w:rPr>
      <w:t>2014.</w:t>
    </w:r>
    <w:r>
      <w:rPr>
        <w:rFonts w:ascii="Times New Roman" w:hAnsi="Times New Roman" w:cs="Times New Roman"/>
        <w:sz w:val="20"/>
        <w:szCs w:val="28"/>
        <w:lang w:val="de-DE"/>
      </w:rPr>
      <w:t>–</w:t>
    </w:r>
    <w:r w:rsidR="00EF3B6F" w:rsidRPr="00EF3B6F">
      <w:rPr>
        <w:rFonts w:ascii="Times New Roman" w:hAnsi="Times New Roman" w:cs="Times New Roman"/>
        <w:sz w:val="20"/>
        <w:szCs w:val="28"/>
        <w:lang w:val="de-DE"/>
      </w:rPr>
      <w:t>2020.gada plānošanas periodam“</w:t>
    </w:r>
    <w:r w:rsidR="0003669E" w:rsidRPr="0003669E">
      <w:rPr>
        <w:rFonts w:ascii="Times New Roman" w:hAnsi="Times New Roman" w:cs="Times New Roman"/>
        <w:sz w:val="20"/>
        <w:szCs w:val="20"/>
      </w:rPr>
      <w:t>” sākotnējās ietekmes novērtējuma ziņojums (anotācija)</w:t>
    </w:r>
  </w:p>
  <w:p w:rsidR="00643120" w:rsidRDefault="006431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79" w:rsidRPr="009347BA" w:rsidRDefault="004652A4" w:rsidP="0003669E">
    <w:pPr>
      <w:pStyle w:val="Footer"/>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AF0003">
      <w:rPr>
        <w:rFonts w:ascii="Times New Roman" w:eastAsia="Calibri" w:hAnsi="Times New Roman" w:cs="Times New Roman"/>
        <w:noProof/>
        <w:sz w:val="20"/>
        <w:szCs w:val="20"/>
      </w:rPr>
      <w:t>FMAnot_2980814_DP</w:t>
    </w:r>
    <w:r>
      <w:rPr>
        <w:rFonts w:ascii="Times New Roman" w:eastAsia="Calibri" w:hAnsi="Times New Roman" w:cs="Times New Roman"/>
        <w:sz w:val="20"/>
        <w:szCs w:val="20"/>
      </w:rPr>
      <w:fldChar w:fldCharType="end"/>
    </w:r>
    <w:r w:rsidR="00D00F79" w:rsidRPr="008D4C9A">
      <w:rPr>
        <w:rFonts w:ascii="Times New Roman" w:eastAsia="Calibri" w:hAnsi="Times New Roman" w:cs="Times New Roman"/>
        <w:sz w:val="20"/>
        <w:szCs w:val="20"/>
      </w:rPr>
      <w:t xml:space="preserve">; </w:t>
    </w:r>
    <w:r w:rsidR="0003669E" w:rsidRPr="0003669E">
      <w:rPr>
        <w:rFonts w:ascii="Times New Roman" w:hAnsi="Times New Roman" w:cs="Times New Roman"/>
        <w:sz w:val="20"/>
        <w:szCs w:val="20"/>
      </w:rPr>
      <w:t>Mini</w:t>
    </w:r>
    <w:r w:rsidR="0003669E">
      <w:rPr>
        <w:rFonts w:ascii="Times New Roman" w:hAnsi="Times New Roman" w:cs="Times New Roman"/>
        <w:sz w:val="20"/>
        <w:szCs w:val="20"/>
      </w:rPr>
      <w:t>stru kabineta rīkojuma projekta „</w:t>
    </w:r>
    <w:r w:rsidR="00EF3B6F" w:rsidRPr="00EF3B6F">
      <w:rPr>
        <w:rFonts w:ascii="Times New Roman" w:hAnsi="Times New Roman" w:cs="Times New Roman"/>
        <w:sz w:val="20"/>
        <w:szCs w:val="28"/>
      </w:rPr>
      <w:t xml:space="preserve">Par darbības programmas ,,Izaugsme un nodarbinātība” projektu </w:t>
    </w:r>
    <w:r w:rsidR="00EF3B6F" w:rsidRPr="00EF3B6F">
      <w:rPr>
        <w:rFonts w:ascii="Times New Roman" w:hAnsi="Times New Roman" w:cs="Times New Roman"/>
        <w:sz w:val="20"/>
        <w:szCs w:val="28"/>
        <w:lang w:val="de-DE"/>
      </w:rPr>
      <w:t>2014.</w:t>
    </w:r>
    <w:r>
      <w:rPr>
        <w:rFonts w:ascii="Times New Roman" w:hAnsi="Times New Roman" w:cs="Times New Roman"/>
        <w:sz w:val="20"/>
        <w:szCs w:val="28"/>
        <w:lang w:val="de-DE"/>
      </w:rPr>
      <w:t>–</w:t>
    </w:r>
    <w:r w:rsidR="00EF3B6F" w:rsidRPr="00EF3B6F">
      <w:rPr>
        <w:rFonts w:ascii="Times New Roman" w:hAnsi="Times New Roman" w:cs="Times New Roman"/>
        <w:sz w:val="20"/>
        <w:szCs w:val="28"/>
        <w:lang w:val="de-DE"/>
      </w:rPr>
      <w:t>2020.gada plānošanas periodam“</w:t>
    </w:r>
    <w:r w:rsidR="0003669E" w:rsidRPr="0003669E">
      <w:rPr>
        <w:rFonts w:ascii="Times New Roman" w:hAnsi="Times New Roman" w:cs="Times New Roman"/>
        <w:sz w:val="20"/>
        <w:szCs w:val="20"/>
      </w:rPr>
      <w:t xml:space="preserve"> sākotnējās ietekmes novērtējuma ziņojums (anotācija)</w:t>
    </w:r>
  </w:p>
  <w:p w:rsidR="00550F50" w:rsidRPr="00B46011" w:rsidRDefault="00550F50" w:rsidP="00C04076">
    <w:pPr>
      <w:spacing w:after="0" w:line="240" w:lineRule="auto"/>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32" w:rsidRDefault="00F40632" w:rsidP="00643120">
      <w:pPr>
        <w:spacing w:after="0" w:line="240" w:lineRule="auto"/>
      </w:pPr>
      <w:r>
        <w:separator/>
      </w:r>
    </w:p>
  </w:footnote>
  <w:footnote w:type="continuationSeparator" w:id="0">
    <w:p w:rsidR="00F40632" w:rsidRDefault="00F40632" w:rsidP="00643120">
      <w:pPr>
        <w:spacing w:after="0" w:line="240" w:lineRule="auto"/>
      </w:pPr>
      <w:r>
        <w:continuationSeparator/>
      </w:r>
    </w:p>
  </w:footnote>
  <w:footnote w:id="1">
    <w:p w:rsidR="001E5679" w:rsidRPr="00200131" w:rsidRDefault="001E5679" w:rsidP="001E5679">
      <w:pPr>
        <w:autoSpaceDE w:val="0"/>
        <w:autoSpaceDN w:val="0"/>
        <w:adjustRightInd w:val="0"/>
        <w:spacing w:after="0" w:line="240" w:lineRule="auto"/>
        <w:jc w:val="both"/>
      </w:pPr>
      <w:r>
        <w:rPr>
          <w:rStyle w:val="FootnoteReference"/>
        </w:rPr>
        <w:footnoteRef/>
      </w:r>
      <w:r>
        <w:t xml:space="preserve"> </w:t>
      </w:r>
      <w:r w:rsidRPr="00C4381E">
        <w:rPr>
          <w:rFonts w:ascii="TimesNewRoman,Bold" w:hAnsi="TimesNewRoman,Bold" w:cs="TimesNewRoman,Bold"/>
          <w:bCs/>
          <w:sz w:val="20"/>
        </w:rPr>
        <w:t>EIROPAS PARLAMENTA UN PADOMES REGULA</w:t>
      </w:r>
      <w:r w:rsidR="00290CDA">
        <w:rPr>
          <w:rFonts w:ascii="TimesNewRoman,Bold" w:hAnsi="TimesNewRoman,Bold" w:cs="TimesNewRoman,Bold"/>
          <w:bCs/>
          <w:sz w:val="20"/>
        </w:rPr>
        <w:t xml:space="preserve"> (ES) Nr.1303/2013 (2013.gada 17.</w:t>
      </w:r>
      <w:r>
        <w:rPr>
          <w:rFonts w:ascii="TimesNewRoman,Bold" w:hAnsi="TimesNewRoman,Bold" w:cs="TimesNewRoman,Bold"/>
          <w:bCs/>
          <w:sz w:val="20"/>
        </w:rPr>
        <w:t>decembris)</w:t>
      </w:r>
      <w:r w:rsidR="00290CDA">
        <w:rPr>
          <w:rFonts w:ascii="TimesNewRoman,Bold" w:hAnsi="TimesNewRoman,Bold" w:cs="TimesNewRoman,Bold"/>
          <w:bCs/>
          <w:sz w:val="20"/>
        </w:rPr>
        <w:t>,</w:t>
      </w:r>
      <w:r w:rsidRPr="00C4381E">
        <w:rPr>
          <w:rFonts w:ascii="TimesNewRoman,Bold" w:hAnsi="TimesNewRoman,Bold" w:cs="TimesNewRoman,Bold"/>
          <w:bCs/>
          <w:sz w:val="20"/>
        </w:rPr>
        <w:t xml:space="preserve">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w:t>
      </w:r>
      <w:r>
        <w:rPr>
          <w:rFonts w:ascii="TimesNewRoman,Bold" w:hAnsi="TimesNewRoman,Bold" w:cs="TimesNewRoman,Bold"/>
          <w:bCs/>
          <w:sz w:val="20"/>
        </w:rPr>
        <w:t xml:space="preserve"> </w:t>
      </w:r>
      <w:r w:rsidRPr="00C4381E">
        <w:rPr>
          <w:rFonts w:ascii="TimesNewRoman,Bold" w:hAnsi="TimesNewRoman,Bold" w:cs="TimesNewRoman,Bold"/>
          <w:bCs/>
          <w:sz w:val="20"/>
        </w:rPr>
        <w:t>Sociālo fondu un Kohēzijas fondu u</w:t>
      </w:r>
      <w:r w:rsidR="00290CDA">
        <w:rPr>
          <w:rFonts w:ascii="TimesNewRoman,Bold" w:hAnsi="TimesNewRoman,Bold" w:cs="TimesNewRoman,Bold"/>
          <w:bCs/>
          <w:sz w:val="20"/>
        </w:rPr>
        <w:t>n atceļ Padomes Regulu (EK) Nr.</w:t>
      </w:r>
      <w:r w:rsidRPr="00C4381E">
        <w:rPr>
          <w:rFonts w:ascii="TimesNewRoman,Bold" w:hAnsi="TimesNewRoman,Bold" w:cs="TimesNewRoman,Bold"/>
          <w:bCs/>
          <w:sz w:val="20"/>
        </w:rPr>
        <w:t>1083/2006</w:t>
      </w:r>
    </w:p>
  </w:footnote>
  <w:footnote w:id="2">
    <w:p w:rsidR="001E5679" w:rsidRDefault="001E5679" w:rsidP="001E5679">
      <w:pPr>
        <w:pStyle w:val="FootnoteText"/>
      </w:pPr>
      <w:r w:rsidRPr="00C9060B">
        <w:rPr>
          <w:rStyle w:val="FootnoteReference"/>
        </w:rPr>
        <w:footnoteRef/>
      </w:r>
      <w:r w:rsidRPr="00C9060B">
        <w:t xml:space="preserve"> EK 2014.gada </w:t>
      </w:r>
      <w:r w:rsidR="00012484" w:rsidRPr="00C9060B">
        <w:t>13</w:t>
      </w:r>
      <w:r w:rsidR="004B67E3" w:rsidRPr="00C9060B">
        <w:t>.maija</w:t>
      </w:r>
      <w:r w:rsidRPr="00C9060B">
        <w:t xml:space="preserve"> vēstule DGREGIO/WD </w:t>
      </w:r>
      <w:proofErr w:type="spellStart"/>
      <w:r w:rsidRPr="00C9060B">
        <w:t>Ares</w:t>
      </w:r>
      <w:proofErr w:type="spellEnd"/>
      <w:r w:rsidRPr="00C9060B">
        <w:t xml:space="preserve"> (2014) </w:t>
      </w:r>
      <w:r w:rsidR="0070255C" w:rsidRPr="00C9060B">
        <w:t>1143918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3265"/>
      <w:docPartObj>
        <w:docPartGallery w:val="Page Numbers (Top of Page)"/>
        <w:docPartUnique/>
      </w:docPartObj>
    </w:sdtPr>
    <w:sdtEndPr>
      <w:rPr>
        <w:noProof/>
      </w:rPr>
    </w:sdtEndPr>
    <w:sdtContent>
      <w:p w:rsidR="00550F50" w:rsidRDefault="00550F50">
        <w:pPr>
          <w:pStyle w:val="Header"/>
          <w:jc w:val="center"/>
        </w:pPr>
        <w:r>
          <w:fldChar w:fldCharType="begin"/>
        </w:r>
        <w:r>
          <w:instrText xml:space="preserve"> PAGE   \* MERGEFORMAT </w:instrText>
        </w:r>
        <w:r>
          <w:fldChar w:fldCharType="separate"/>
        </w:r>
        <w:r w:rsidR="00AF0003">
          <w:rPr>
            <w:noProof/>
          </w:rPr>
          <w:t>8</w:t>
        </w:r>
        <w:r>
          <w:rPr>
            <w:noProof/>
          </w:rPr>
          <w:fldChar w:fldCharType="end"/>
        </w:r>
      </w:p>
    </w:sdtContent>
  </w:sdt>
  <w:p w:rsidR="00042085" w:rsidRDefault="00042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4">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6">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7">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9">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0">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14">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16">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6"/>
  </w:num>
  <w:num w:numId="2">
    <w:abstractNumId w:val="10"/>
  </w:num>
  <w:num w:numId="3">
    <w:abstractNumId w:val="13"/>
  </w:num>
  <w:num w:numId="4">
    <w:abstractNumId w:val="2"/>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8"/>
  </w:num>
  <w:num w:numId="10">
    <w:abstractNumId w:val="5"/>
  </w:num>
  <w:num w:numId="11">
    <w:abstractNumId w:val="15"/>
  </w:num>
  <w:num w:numId="12">
    <w:abstractNumId w:val="9"/>
  </w:num>
  <w:num w:numId="13">
    <w:abstractNumId w:val="3"/>
  </w:num>
  <w:num w:numId="14">
    <w:abstractNumId w:val="18"/>
  </w:num>
  <w:num w:numId="15">
    <w:abstractNumId w:val="1"/>
  </w:num>
  <w:num w:numId="16">
    <w:abstractNumId w:val="12"/>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27"/>
    <w:rsid w:val="00012484"/>
    <w:rsid w:val="00017F7C"/>
    <w:rsid w:val="0002063B"/>
    <w:rsid w:val="00026A4F"/>
    <w:rsid w:val="0003669E"/>
    <w:rsid w:val="00042085"/>
    <w:rsid w:val="000629A1"/>
    <w:rsid w:val="00062A74"/>
    <w:rsid w:val="000673D1"/>
    <w:rsid w:val="000701D8"/>
    <w:rsid w:val="000733C6"/>
    <w:rsid w:val="00074416"/>
    <w:rsid w:val="00090F47"/>
    <w:rsid w:val="00093E77"/>
    <w:rsid w:val="000A00AE"/>
    <w:rsid w:val="000A1C98"/>
    <w:rsid w:val="000A343C"/>
    <w:rsid w:val="000A3628"/>
    <w:rsid w:val="000A4297"/>
    <w:rsid w:val="000A55C6"/>
    <w:rsid w:val="000A6D5C"/>
    <w:rsid w:val="000C763F"/>
    <w:rsid w:val="000D0D57"/>
    <w:rsid w:val="000F32F2"/>
    <w:rsid w:val="000F4D08"/>
    <w:rsid w:val="000F67C5"/>
    <w:rsid w:val="00100BCC"/>
    <w:rsid w:val="00103982"/>
    <w:rsid w:val="001129E5"/>
    <w:rsid w:val="00116539"/>
    <w:rsid w:val="0011656C"/>
    <w:rsid w:val="001173B4"/>
    <w:rsid w:val="00117946"/>
    <w:rsid w:val="00121ED8"/>
    <w:rsid w:val="00122ADF"/>
    <w:rsid w:val="0012397E"/>
    <w:rsid w:val="001250CC"/>
    <w:rsid w:val="00125FC3"/>
    <w:rsid w:val="00134757"/>
    <w:rsid w:val="0014091D"/>
    <w:rsid w:val="00145066"/>
    <w:rsid w:val="001616B6"/>
    <w:rsid w:val="00162BBD"/>
    <w:rsid w:val="00176BCF"/>
    <w:rsid w:val="0018031E"/>
    <w:rsid w:val="00197714"/>
    <w:rsid w:val="001B0682"/>
    <w:rsid w:val="001B0D8B"/>
    <w:rsid w:val="001B308B"/>
    <w:rsid w:val="001B3532"/>
    <w:rsid w:val="001C31B4"/>
    <w:rsid w:val="001C6E28"/>
    <w:rsid w:val="001C79A6"/>
    <w:rsid w:val="001D5EDA"/>
    <w:rsid w:val="001D601E"/>
    <w:rsid w:val="001D7BA6"/>
    <w:rsid w:val="001E0F1D"/>
    <w:rsid w:val="001E5679"/>
    <w:rsid w:val="001E62C5"/>
    <w:rsid w:val="001F13DB"/>
    <w:rsid w:val="001F1E2F"/>
    <w:rsid w:val="001F3F12"/>
    <w:rsid w:val="00203467"/>
    <w:rsid w:val="00213F8A"/>
    <w:rsid w:val="0022150D"/>
    <w:rsid w:val="0022234B"/>
    <w:rsid w:val="00224A8C"/>
    <w:rsid w:val="00227783"/>
    <w:rsid w:val="0023353F"/>
    <w:rsid w:val="00234FD4"/>
    <w:rsid w:val="00235BEF"/>
    <w:rsid w:val="0024484F"/>
    <w:rsid w:val="00250139"/>
    <w:rsid w:val="00250E65"/>
    <w:rsid w:val="002562CA"/>
    <w:rsid w:val="0027228A"/>
    <w:rsid w:val="0028005D"/>
    <w:rsid w:val="00285952"/>
    <w:rsid w:val="00290CDA"/>
    <w:rsid w:val="00294639"/>
    <w:rsid w:val="00297411"/>
    <w:rsid w:val="002A2131"/>
    <w:rsid w:val="002B1835"/>
    <w:rsid w:val="002B4F52"/>
    <w:rsid w:val="002C59EB"/>
    <w:rsid w:val="002C5DEF"/>
    <w:rsid w:val="002D0444"/>
    <w:rsid w:val="002D13FC"/>
    <w:rsid w:val="002D16B4"/>
    <w:rsid w:val="002D6CC9"/>
    <w:rsid w:val="002E7F23"/>
    <w:rsid w:val="002F0B2C"/>
    <w:rsid w:val="00304563"/>
    <w:rsid w:val="00307D69"/>
    <w:rsid w:val="003141FE"/>
    <w:rsid w:val="0032034C"/>
    <w:rsid w:val="003238E0"/>
    <w:rsid w:val="00331550"/>
    <w:rsid w:val="0033766D"/>
    <w:rsid w:val="00340E07"/>
    <w:rsid w:val="00341AC1"/>
    <w:rsid w:val="00346FEC"/>
    <w:rsid w:val="00354A78"/>
    <w:rsid w:val="00355091"/>
    <w:rsid w:val="00355238"/>
    <w:rsid w:val="00365064"/>
    <w:rsid w:val="00371B00"/>
    <w:rsid w:val="0037276C"/>
    <w:rsid w:val="00382C4C"/>
    <w:rsid w:val="00392389"/>
    <w:rsid w:val="00392A7B"/>
    <w:rsid w:val="00393441"/>
    <w:rsid w:val="003A18B0"/>
    <w:rsid w:val="003A4265"/>
    <w:rsid w:val="003A59EF"/>
    <w:rsid w:val="003B45AD"/>
    <w:rsid w:val="003C193E"/>
    <w:rsid w:val="003C3697"/>
    <w:rsid w:val="003D3A43"/>
    <w:rsid w:val="003D4441"/>
    <w:rsid w:val="003F3DCD"/>
    <w:rsid w:val="003F5FB0"/>
    <w:rsid w:val="00405B52"/>
    <w:rsid w:val="00414B1F"/>
    <w:rsid w:val="00415846"/>
    <w:rsid w:val="00417800"/>
    <w:rsid w:val="004254CB"/>
    <w:rsid w:val="00435D46"/>
    <w:rsid w:val="004405AA"/>
    <w:rsid w:val="004446FC"/>
    <w:rsid w:val="00446296"/>
    <w:rsid w:val="00451844"/>
    <w:rsid w:val="004652A4"/>
    <w:rsid w:val="004665F1"/>
    <w:rsid w:val="00475D17"/>
    <w:rsid w:val="00476173"/>
    <w:rsid w:val="004765BE"/>
    <w:rsid w:val="004878B5"/>
    <w:rsid w:val="00490F1A"/>
    <w:rsid w:val="00493F08"/>
    <w:rsid w:val="00495B51"/>
    <w:rsid w:val="004A22F7"/>
    <w:rsid w:val="004A262E"/>
    <w:rsid w:val="004A2BBF"/>
    <w:rsid w:val="004A6042"/>
    <w:rsid w:val="004A6373"/>
    <w:rsid w:val="004B67E3"/>
    <w:rsid w:val="004C18E4"/>
    <w:rsid w:val="004D0A05"/>
    <w:rsid w:val="004E14FC"/>
    <w:rsid w:val="004E5C3A"/>
    <w:rsid w:val="004F7499"/>
    <w:rsid w:val="004F77D7"/>
    <w:rsid w:val="0050462C"/>
    <w:rsid w:val="00504E3D"/>
    <w:rsid w:val="00511ED8"/>
    <w:rsid w:val="0051672C"/>
    <w:rsid w:val="00521527"/>
    <w:rsid w:val="00521959"/>
    <w:rsid w:val="00550F50"/>
    <w:rsid w:val="00553603"/>
    <w:rsid w:val="00557C04"/>
    <w:rsid w:val="005614B1"/>
    <w:rsid w:val="005632E6"/>
    <w:rsid w:val="005909DA"/>
    <w:rsid w:val="005939DE"/>
    <w:rsid w:val="00597419"/>
    <w:rsid w:val="00597BA9"/>
    <w:rsid w:val="005A056F"/>
    <w:rsid w:val="005B6E88"/>
    <w:rsid w:val="005B71E4"/>
    <w:rsid w:val="005C0626"/>
    <w:rsid w:val="005C29C3"/>
    <w:rsid w:val="005C4495"/>
    <w:rsid w:val="005C7A2E"/>
    <w:rsid w:val="005E4630"/>
    <w:rsid w:val="005F27D5"/>
    <w:rsid w:val="005F5B58"/>
    <w:rsid w:val="005F6B32"/>
    <w:rsid w:val="00601A04"/>
    <w:rsid w:val="00613697"/>
    <w:rsid w:val="00614D71"/>
    <w:rsid w:val="00642BDC"/>
    <w:rsid w:val="00643120"/>
    <w:rsid w:val="00645820"/>
    <w:rsid w:val="00660E54"/>
    <w:rsid w:val="00665131"/>
    <w:rsid w:val="00667222"/>
    <w:rsid w:val="00670BED"/>
    <w:rsid w:val="006710BE"/>
    <w:rsid w:val="00675816"/>
    <w:rsid w:val="006866BA"/>
    <w:rsid w:val="006971A5"/>
    <w:rsid w:val="006A3B37"/>
    <w:rsid w:val="006B0A36"/>
    <w:rsid w:val="006B33B8"/>
    <w:rsid w:val="006B7A70"/>
    <w:rsid w:val="006C0B24"/>
    <w:rsid w:val="006C4992"/>
    <w:rsid w:val="006D0646"/>
    <w:rsid w:val="006D0B6E"/>
    <w:rsid w:val="006E3CF0"/>
    <w:rsid w:val="006E7CB8"/>
    <w:rsid w:val="006F0462"/>
    <w:rsid w:val="0070255C"/>
    <w:rsid w:val="0070491F"/>
    <w:rsid w:val="00710BE6"/>
    <w:rsid w:val="007139DB"/>
    <w:rsid w:val="007160AB"/>
    <w:rsid w:val="00716AB8"/>
    <w:rsid w:val="00725490"/>
    <w:rsid w:val="007312D5"/>
    <w:rsid w:val="00753135"/>
    <w:rsid w:val="00762281"/>
    <w:rsid w:val="0076487A"/>
    <w:rsid w:val="007651B4"/>
    <w:rsid w:val="00780F1F"/>
    <w:rsid w:val="007A2043"/>
    <w:rsid w:val="007A3DEC"/>
    <w:rsid w:val="007B115B"/>
    <w:rsid w:val="007B3163"/>
    <w:rsid w:val="007C4CC8"/>
    <w:rsid w:val="007D23F1"/>
    <w:rsid w:val="007D24AE"/>
    <w:rsid w:val="007E0799"/>
    <w:rsid w:val="007E0F69"/>
    <w:rsid w:val="007E4729"/>
    <w:rsid w:val="007E4F21"/>
    <w:rsid w:val="007F18F2"/>
    <w:rsid w:val="00805D8A"/>
    <w:rsid w:val="00806FF6"/>
    <w:rsid w:val="00810964"/>
    <w:rsid w:val="00813E96"/>
    <w:rsid w:val="00825BA1"/>
    <w:rsid w:val="0083294C"/>
    <w:rsid w:val="00835450"/>
    <w:rsid w:val="00844C4C"/>
    <w:rsid w:val="00846A2B"/>
    <w:rsid w:val="0085787B"/>
    <w:rsid w:val="0086193E"/>
    <w:rsid w:val="00865C25"/>
    <w:rsid w:val="00882365"/>
    <w:rsid w:val="00882894"/>
    <w:rsid w:val="008A7175"/>
    <w:rsid w:val="008B54A1"/>
    <w:rsid w:val="008C478F"/>
    <w:rsid w:val="008D04E3"/>
    <w:rsid w:val="008D0EFB"/>
    <w:rsid w:val="008D3FD9"/>
    <w:rsid w:val="008D4C9A"/>
    <w:rsid w:val="008E3E21"/>
    <w:rsid w:val="008F3152"/>
    <w:rsid w:val="009029EA"/>
    <w:rsid w:val="00907131"/>
    <w:rsid w:val="0091316B"/>
    <w:rsid w:val="0091726E"/>
    <w:rsid w:val="00920ADB"/>
    <w:rsid w:val="00927A71"/>
    <w:rsid w:val="009441EF"/>
    <w:rsid w:val="00953A9D"/>
    <w:rsid w:val="00954A07"/>
    <w:rsid w:val="00956DC9"/>
    <w:rsid w:val="00960E6D"/>
    <w:rsid w:val="009654C8"/>
    <w:rsid w:val="00973BBF"/>
    <w:rsid w:val="00974700"/>
    <w:rsid w:val="00975396"/>
    <w:rsid w:val="009917BD"/>
    <w:rsid w:val="009C5A7E"/>
    <w:rsid w:val="009C5D26"/>
    <w:rsid w:val="009D492A"/>
    <w:rsid w:val="009F1D64"/>
    <w:rsid w:val="009F1DBD"/>
    <w:rsid w:val="009F556D"/>
    <w:rsid w:val="00A0060C"/>
    <w:rsid w:val="00A03EDC"/>
    <w:rsid w:val="00A07AE8"/>
    <w:rsid w:val="00A07F47"/>
    <w:rsid w:val="00A244A0"/>
    <w:rsid w:val="00A258FE"/>
    <w:rsid w:val="00A50813"/>
    <w:rsid w:val="00A51058"/>
    <w:rsid w:val="00A66F2E"/>
    <w:rsid w:val="00A73A1F"/>
    <w:rsid w:val="00A7783B"/>
    <w:rsid w:val="00A80290"/>
    <w:rsid w:val="00A81E0F"/>
    <w:rsid w:val="00A82A0E"/>
    <w:rsid w:val="00A92BC0"/>
    <w:rsid w:val="00A92CB3"/>
    <w:rsid w:val="00AA1963"/>
    <w:rsid w:val="00AB10B5"/>
    <w:rsid w:val="00AB11D6"/>
    <w:rsid w:val="00AC50E9"/>
    <w:rsid w:val="00AC6746"/>
    <w:rsid w:val="00AC7829"/>
    <w:rsid w:val="00AE1C23"/>
    <w:rsid w:val="00AF0003"/>
    <w:rsid w:val="00AF0114"/>
    <w:rsid w:val="00AF09F6"/>
    <w:rsid w:val="00B17C76"/>
    <w:rsid w:val="00B44D06"/>
    <w:rsid w:val="00B45A18"/>
    <w:rsid w:val="00B46011"/>
    <w:rsid w:val="00B644A6"/>
    <w:rsid w:val="00B64764"/>
    <w:rsid w:val="00B837FC"/>
    <w:rsid w:val="00B8479A"/>
    <w:rsid w:val="00B86563"/>
    <w:rsid w:val="00B938AC"/>
    <w:rsid w:val="00B94233"/>
    <w:rsid w:val="00B955EA"/>
    <w:rsid w:val="00BA5FE7"/>
    <w:rsid w:val="00BB2AC1"/>
    <w:rsid w:val="00BB6AE1"/>
    <w:rsid w:val="00BB7195"/>
    <w:rsid w:val="00BB7C3D"/>
    <w:rsid w:val="00BC119A"/>
    <w:rsid w:val="00BC1A1F"/>
    <w:rsid w:val="00BD33EE"/>
    <w:rsid w:val="00BE4561"/>
    <w:rsid w:val="00BE60C2"/>
    <w:rsid w:val="00BE6D1C"/>
    <w:rsid w:val="00C034B1"/>
    <w:rsid w:val="00C04076"/>
    <w:rsid w:val="00C054CB"/>
    <w:rsid w:val="00C22F34"/>
    <w:rsid w:val="00C249B5"/>
    <w:rsid w:val="00C26510"/>
    <w:rsid w:val="00C35387"/>
    <w:rsid w:val="00C4050F"/>
    <w:rsid w:val="00C42D20"/>
    <w:rsid w:val="00C4710F"/>
    <w:rsid w:val="00C57A53"/>
    <w:rsid w:val="00C57E90"/>
    <w:rsid w:val="00C718DD"/>
    <w:rsid w:val="00C841E5"/>
    <w:rsid w:val="00C9060B"/>
    <w:rsid w:val="00C918FE"/>
    <w:rsid w:val="00C91A51"/>
    <w:rsid w:val="00C92DC5"/>
    <w:rsid w:val="00C95C0D"/>
    <w:rsid w:val="00CA33F0"/>
    <w:rsid w:val="00CB4127"/>
    <w:rsid w:val="00CB6B24"/>
    <w:rsid w:val="00CB73D4"/>
    <w:rsid w:val="00CC2964"/>
    <w:rsid w:val="00CE0BEA"/>
    <w:rsid w:val="00CE4D4C"/>
    <w:rsid w:val="00D00F79"/>
    <w:rsid w:val="00D02D3D"/>
    <w:rsid w:val="00D05C28"/>
    <w:rsid w:val="00D14C6C"/>
    <w:rsid w:val="00D2429D"/>
    <w:rsid w:val="00D279FA"/>
    <w:rsid w:val="00D35B20"/>
    <w:rsid w:val="00D421F9"/>
    <w:rsid w:val="00D469F4"/>
    <w:rsid w:val="00D51B39"/>
    <w:rsid w:val="00D57412"/>
    <w:rsid w:val="00D63D83"/>
    <w:rsid w:val="00D6746E"/>
    <w:rsid w:val="00D6751D"/>
    <w:rsid w:val="00D72753"/>
    <w:rsid w:val="00D802E5"/>
    <w:rsid w:val="00D80D9D"/>
    <w:rsid w:val="00D8410E"/>
    <w:rsid w:val="00D9188C"/>
    <w:rsid w:val="00D9753F"/>
    <w:rsid w:val="00DA1C9F"/>
    <w:rsid w:val="00DA3211"/>
    <w:rsid w:val="00DA7841"/>
    <w:rsid w:val="00DC2892"/>
    <w:rsid w:val="00DC405E"/>
    <w:rsid w:val="00DD1F80"/>
    <w:rsid w:val="00DD5345"/>
    <w:rsid w:val="00DE2F3F"/>
    <w:rsid w:val="00DE7E4E"/>
    <w:rsid w:val="00E01B38"/>
    <w:rsid w:val="00E0215F"/>
    <w:rsid w:val="00E05CF6"/>
    <w:rsid w:val="00E0614F"/>
    <w:rsid w:val="00E23935"/>
    <w:rsid w:val="00E26932"/>
    <w:rsid w:val="00E278C7"/>
    <w:rsid w:val="00E368CB"/>
    <w:rsid w:val="00E42974"/>
    <w:rsid w:val="00E4716A"/>
    <w:rsid w:val="00E56ADD"/>
    <w:rsid w:val="00E625FD"/>
    <w:rsid w:val="00E627F8"/>
    <w:rsid w:val="00E72F6C"/>
    <w:rsid w:val="00E803DF"/>
    <w:rsid w:val="00E81605"/>
    <w:rsid w:val="00EB46EE"/>
    <w:rsid w:val="00EC3178"/>
    <w:rsid w:val="00EC3B9C"/>
    <w:rsid w:val="00EC4457"/>
    <w:rsid w:val="00ED4E83"/>
    <w:rsid w:val="00ED5427"/>
    <w:rsid w:val="00EE0956"/>
    <w:rsid w:val="00EF237A"/>
    <w:rsid w:val="00EF3B6F"/>
    <w:rsid w:val="00EF5E2D"/>
    <w:rsid w:val="00F02933"/>
    <w:rsid w:val="00F02EA9"/>
    <w:rsid w:val="00F03050"/>
    <w:rsid w:val="00F0429D"/>
    <w:rsid w:val="00F05724"/>
    <w:rsid w:val="00F20612"/>
    <w:rsid w:val="00F274B6"/>
    <w:rsid w:val="00F37303"/>
    <w:rsid w:val="00F40632"/>
    <w:rsid w:val="00F41C90"/>
    <w:rsid w:val="00F43E3B"/>
    <w:rsid w:val="00F44BF8"/>
    <w:rsid w:val="00F45DDF"/>
    <w:rsid w:val="00F462DD"/>
    <w:rsid w:val="00F46BA4"/>
    <w:rsid w:val="00F4775F"/>
    <w:rsid w:val="00F5482B"/>
    <w:rsid w:val="00F5740B"/>
    <w:rsid w:val="00F57A4E"/>
    <w:rsid w:val="00F63667"/>
    <w:rsid w:val="00F65193"/>
    <w:rsid w:val="00F65373"/>
    <w:rsid w:val="00F7509D"/>
    <w:rsid w:val="00F8040E"/>
    <w:rsid w:val="00F83787"/>
    <w:rsid w:val="00F849A6"/>
    <w:rsid w:val="00F876AE"/>
    <w:rsid w:val="00FA28FF"/>
    <w:rsid w:val="00FA649C"/>
    <w:rsid w:val="00FB544C"/>
    <w:rsid w:val="00FD26E1"/>
    <w:rsid w:val="00FD2AB7"/>
    <w:rsid w:val="00FD2FD5"/>
    <w:rsid w:val="00FE4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ABCFC77-4584-46A7-A8F7-6FEC860C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cs="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cs="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cs="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s="Times New Roman"/>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cs="Times New Roman"/>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cs="Times New Roman"/>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s="Times New Roman"/>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cs="Times New Roman"/>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C35387"/>
    <w:rPr>
      <w:sz w:val="16"/>
      <w:szCs w:val="16"/>
    </w:rPr>
  </w:style>
  <w:style w:type="paragraph" w:styleId="CommentText">
    <w:name w:val="annotation text"/>
    <w:basedOn w:val="Normal"/>
    <w:link w:val="CommentTextChar"/>
    <w:uiPriority w:val="99"/>
    <w:semiHidden/>
    <w:unhideWhenUsed/>
    <w:rsid w:val="00C35387"/>
    <w:pPr>
      <w:spacing w:line="240" w:lineRule="auto"/>
    </w:pPr>
    <w:rPr>
      <w:sz w:val="20"/>
      <w:szCs w:val="20"/>
    </w:rPr>
  </w:style>
  <w:style w:type="character" w:customStyle="1" w:styleId="CommentTextChar">
    <w:name w:val="Comment Text Char"/>
    <w:basedOn w:val="DefaultParagraphFont"/>
    <w:link w:val="CommentText"/>
    <w:uiPriority w:val="99"/>
    <w:semiHidden/>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basedOn w:val="CommentText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cs="Times New Roman"/>
      <w:iCs/>
      <w:sz w:val="24"/>
      <w:szCs w:val="24"/>
      <w:lang w:val="x-none" w:eastAsia="x-none"/>
    </w:rPr>
  </w:style>
  <w:style w:type="character" w:customStyle="1" w:styleId="BodyTextChar">
    <w:name w:val="Body Text Char"/>
    <w:basedOn w:val="DefaultParagraphFont"/>
    <w:link w:val="BodyText"/>
    <w:rsid w:val="00D02D3D"/>
    <w:rPr>
      <w:rFonts w:ascii="Times New Roman" w:eastAsia="Times New Roman" w:hAnsi="Times New Roman" w:cs="Times New Roman"/>
      <w:iCs/>
      <w:sz w:val="24"/>
      <w:szCs w:val="24"/>
      <w:lang w:val="x-none" w:eastAsia="x-none"/>
    </w:rPr>
  </w:style>
  <w:style w:type="paragraph" w:customStyle="1" w:styleId="naiskr">
    <w:name w:val="naiskr"/>
    <w:basedOn w:val="Normal"/>
    <w:rsid w:val="00495B51"/>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eastAsia="Calibri" w:hAnsi="Times New Roman" w:cs="Consolas"/>
      <w:color w:val="1F497D"/>
      <w:szCs w:val="21"/>
    </w:rPr>
  </w:style>
  <w:style w:type="character" w:customStyle="1" w:styleId="PlainTextChar">
    <w:name w:val="Plain Text Char"/>
    <w:basedOn w:val="DefaultParagraphFont"/>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26932"/>
    <w:rPr>
      <w:rFonts w:cstheme="minorBidi"/>
      <w:color w:val="auto"/>
    </w:rPr>
  </w:style>
  <w:style w:type="paragraph" w:customStyle="1" w:styleId="CM3">
    <w:name w:val="CM3"/>
    <w:basedOn w:val="Default"/>
    <w:next w:val="Default"/>
    <w:uiPriority w:val="99"/>
    <w:rsid w:val="00E26932"/>
    <w:rPr>
      <w:rFonts w:cstheme="minorBidi"/>
      <w:color w:val="auto"/>
    </w:rPr>
  </w:style>
  <w:style w:type="paragraph" w:customStyle="1" w:styleId="CM4">
    <w:name w:val="CM4"/>
    <w:basedOn w:val="Default"/>
    <w:next w:val="Default"/>
    <w:uiPriority w:val="99"/>
    <w:rsid w:val="00E26932"/>
    <w:rPr>
      <w:rFonts w:cstheme="minorBidi"/>
      <w:color w:val="auto"/>
    </w:rPr>
  </w:style>
  <w:style w:type="character" w:styleId="Hyperlink">
    <w:name w:val="Hyperlink"/>
    <w:basedOn w:val="DefaultParagraphFont"/>
    <w:uiPriority w:val="99"/>
    <w:unhideWhenUsed/>
    <w:rsid w:val="00CB4127"/>
    <w:rPr>
      <w:color w:val="0000FF"/>
      <w:u w:val="single"/>
    </w:rPr>
  </w:style>
  <w:style w:type="paragraph" w:styleId="ListParagraph">
    <w:name w:val="List Paragraph"/>
    <w:basedOn w:val="Normal"/>
    <w:uiPriority w:val="34"/>
    <w:qFormat/>
    <w:rsid w:val="006C0B24"/>
    <w:pPr>
      <w:ind w:left="720"/>
      <w:contextualSpacing/>
    </w:p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basedOn w:val="Normal"/>
    <w:link w:val="FootnoteTextChar"/>
    <w:semiHidden/>
    <w:unhideWhenUsed/>
    <w:rsid w:val="004A262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A262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A262E"/>
    <w:rPr>
      <w:vertAlign w:val="superscript"/>
    </w:rPr>
  </w:style>
  <w:style w:type="paragraph" w:styleId="Revision">
    <w:name w:val="Revision"/>
    <w:hidden/>
    <w:uiPriority w:val="99"/>
    <w:semiHidden/>
    <w:rsid w:val="00490F1A"/>
    <w:pPr>
      <w:spacing w:after="0" w:line="240" w:lineRule="auto"/>
    </w:pPr>
  </w:style>
  <w:style w:type="character" w:customStyle="1" w:styleId="Heading2Char">
    <w:name w:val="Heading 2 Char"/>
    <w:basedOn w:val="DefaultParagraphFont"/>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1F1E2F"/>
    <w:rPr>
      <w:rFonts w:ascii="Times New Roman" w:eastAsia="SimSun" w:hAnsi="Times New Roman" w:cs="Times New Roman"/>
      <w:b/>
      <w:bCs/>
      <w:color w:val="000000"/>
      <w:sz w:val="24"/>
      <w:szCs w:val="20"/>
      <w:lang w:val="x-none" w:eastAsia="ja-JP"/>
    </w:rPr>
  </w:style>
  <w:style w:type="character" w:customStyle="1" w:styleId="Heading4Char">
    <w:name w:val="Heading 4 Char"/>
    <w:basedOn w:val="DefaultParagraphFont"/>
    <w:link w:val="Heading4"/>
    <w:uiPriority w:val="9"/>
    <w:rsid w:val="001F1E2F"/>
    <w:rPr>
      <w:rFonts w:ascii="Times New Roman" w:eastAsia="SimSun" w:hAnsi="Times New Roman" w:cs="Times New Roman"/>
      <w:b/>
      <w:bCs/>
      <w:iCs/>
      <w:color w:val="000000"/>
      <w:sz w:val="24"/>
      <w:szCs w:val="20"/>
      <w:lang w:val="x-none" w:eastAsia="ja-JP"/>
    </w:rPr>
  </w:style>
  <w:style w:type="character" w:customStyle="1" w:styleId="Heading5Char">
    <w:name w:val="Heading 5 Char"/>
    <w:basedOn w:val="DefaultParagraphFont"/>
    <w:link w:val="Heading5"/>
    <w:uiPriority w:val="9"/>
    <w:rsid w:val="001F1E2F"/>
    <w:rPr>
      <w:rFonts w:ascii="Calibri Light" w:eastAsia="SimSun" w:hAnsi="Calibri Light" w:cs="Times New Roman"/>
      <w:color w:val="252525"/>
      <w:sz w:val="20"/>
      <w:szCs w:val="20"/>
      <w:lang w:val="x-none" w:eastAsia="ja-JP"/>
    </w:rPr>
  </w:style>
  <w:style w:type="character" w:customStyle="1" w:styleId="Heading6Char">
    <w:name w:val="Heading 6 Char"/>
    <w:basedOn w:val="DefaultParagraphFont"/>
    <w:link w:val="Heading6"/>
    <w:uiPriority w:val="9"/>
    <w:rsid w:val="001F1E2F"/>
    <w:rPr>
      <w:rFonts w:ascii="Calibri Light" w:eastAsia="SimSun" w:hAnsi="Calibri Light" w:cs="Times New Roman"/>
      <w:i/>
      <w:iCs/>
      <w:color w:val="252525"/>
      <w:sz w:val="20"/>
      <w:szCs w:val="20"/>
      <w:lang w:val="x-none" w:eastAsia="ja-JP"/>
    </w:rPr>
  </w:style>
  <w:style w:type="character" w:customStyle="1" w:styleId="Heading7Char">
    <w:name w:val="Heading 7 Char"/>
    <w:basedOn w:val="DefaultParagraphFont"/>
    <w:link w:val="Heading7"/>
    <w:uiPriority w:val="9"/>
    <w:rsid w:val="001F1E2F"/>
    <w:rPr>
      <w:rFonts w:ascii="Calibri Light" w:eastAsia="SimSun" w:hAnsi="Calibri Light" w:cs="Times New Roman"/>
      <w:i/>
      <w:iCs/>
      <w:color w:val="404040"/>
      <w:sz w:val="20"/>
      <w:szCs w:val="20"/>
      <w:lang w:val="x-none" w:eastAsia="ja-JP"/>
    </w:rPr>
  </w:style>
  <w:style w:type="character" w:customStyle="1" w:styleId="Heading8Char">
    <w:name w:val="Heading 8 Char"/>
    <w:basedOn w:val="DefaultParagraphFont"/>
    <w:link w:val="Heading8"/>
    <w:uiPriority w:val="9"/>
    <w:rsid w:val="001F1E2F"/>
    <w:rPr>
      <w:rFonts w:ascii="Calibri Light" w:eastAsia="SimSun" w:hAnsi="Calibri Light" w:cs="Times New Roman"/>
      <w:color w:val="404040"/>
      <w:sz w:val="20"/>
      <w:szCs w:val="20"/>
      <w:lang w:val="x-none" w:eastAsia="ja-JP"/>
    </w:rPr>
  </w:style>
  <w:style w:type="character" w:customStyle="1" w:styleId="Heading9Char">
    <w:name w:val="Heading 9 Char"/>
    <w:basedOn w:val="DefaultParagraphFont"/>
    <w:link w:val="Heading9"/>
    <w:uiPriority w:val="9"/>
    <w:rsid w:val="001F1E2F"/>
    <w:rPr>
      <w:rFonts w:ascii="Calibri Light" w:eastAsia="SimSun" w:hAnsi="Calibri Light" w:cs="Times New Roman"/>
      <w:i/>
      <w:iCs/>
      <w:color w:val="404040"/>
      <w:sz w:val="20"/>
      <w:szCs w:val="20"/>
      <w:lang w:val="x-none"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B44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sChild>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689375303">
                              <w:marLeft w:val="0"/>
                              <w:marRight w:val="0"/>
                              <w:marTop w:val="480"/>
                              <w:marBottom w:val="240"/>
                              <w:divBdr>
                                <w:top w:val="none" w:sz="0" w:space="0" w:color="auto"/>
                                <w:left w:val="none" w:sz="0" w:space="0" w:color="auto"/>
                                <w:bottom w:val="none" w:sz="0" w:space="0" w:color="auto"/>
                                <w:right w:val="none" w:sz="0" w:space="0" w:color="auto"/>
                              </w:divBdr>
                            </w:div>
                            <w:div w:id="3689899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501308803">
          <w:marLeft w:val="547"/>
          <w:marRight w:val="0"/>
          <w:marTop w:val="86"/>
          <w:marBottom w:val="0"/>
          <w:divBdr>
            <w:top w:val="none" w:sz="0" w:space="0" w:color="auto"/>
            <w:left w:val="none" w:sz="0" w:space="0" w:color="auto"/>
            <w:bottom w:val="none" w:sz="0" w:space="0" w:color="auto"/>
            <w:right w:val="none" w:sz="0" w:space="0" w:color="auto"/>
          </w:divBdr>
        </w:div>
        <w:div w:id="1025446746">
          <w:marLeft w:val="547"/>
          <w:marRight w:val="0"/>
          <w:marTop w:val="360"/>
          <w:marBottom w:val="0"/>
          <w:divBdr>
            <w:top w:val="none" w:sz="0" w:space="0" w:color="auto"/>
            <w:left w:val="none" w:sz="0" w:space="0" w:color="auto"/>
            <w:bottom w:val="none" w:sz="0" w:space="0" w:color="auto"/>
            <w:right w:val="none" w:sz="0" w:space="0" w:color="auto"/>
          </w:divBdr>
        </w:div>
      </w:divsChild>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3784-84E1-46AB-8A5A-FCB6A69A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F8016E-2927-44F8-96F7-9F4352AF8589}">
  <ds:schemaRefs>
    <ds:schemaRef ds:uri="http://schemas.microsoft.com/sharepoint/v3/contenttype/forms"/>
  </ds:schemaRefs>
</ds:datastoreItem>
</file>

<file path=customXml/itemProps3.xml><?xml version="1.0" encoding="utf-8"?>
<ds:datastoreItem xmlns:ds="http://schemas.openxmlformats.org/officeDocument/2006/customXml" ds:itemID="{7D28EDF8-C1E2-4AF8-B1CB-D32DB7BE666B}">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2e5bb04e-596e-45bd-9003-43ca78b1ba16"/>
    <ds:schemaRef ds:uri="http://www.w3.org/XML/1998/namespace"/>
    <ds:schemaRef ds:uri="http://purl.org/dc/terms/"/>
  </ds:schemaRefs>
</ds:datastoreItem>
</file>

<file path=customXml/itemProps4.xml><?xml version="1.0" encoding="utf-8"?>
<ds:datastoreItem xmlns:ds="http://schemas.openxmlformats.org/officeDocument/2006/customXml" ds:itemID="{3A36BA11-A1F6-4426-8FAD-81F23209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11328</Words>
  <Characters>6458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projekta„Par darbības programmas ,,Izaugsme un nodarbinātība” projektu 2014.-2020.gada plānošanas periodam“ sākotnējās ietekmes novērtējuma ziņojums (anotācija)</vt:lpstr>
    </vt:vector>
  </TitlesOfParts>
  <Company>Valsts kase</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darbības programmas ,,Izaugsme un nodarbinātība” projektu 2014.-2020.gada plānošanas periodam“ sākotnējās ietekmes novērtējuma ziņojums (anotācija)</dc:title>
  <dc:creator>I.Kudrjašova</dc:creator>
  <dc:description>I.Kudrjašova
Finanšu ministrijas Eiropas Savienības fondu 
stratēģijas departamenta
Cilvēkresursu un publisko investīciju 
plānošanas nodaļas referente
tālr.: 67083879
e-pasts: Ineta.Kudrjasova@fm.gov.lv</dc:description>
  <cp:lastModifiedBy>Jana Radvila</cp:lastModifiedBy>
  <cp:revision>31</cp:revision>
  <cp:lastPrinted>2014-08-28T16:21:00Z</cp:lastPrinted>
  <dcterms:created xsi:type="dcterms:W3CDTF">2014-08-21T12:41:00Z</dcterms:created>
  <dcterms:modified xsi:type="dcterms:W3CDTF">2014-08-28T16:33:00Z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