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4A" w:rsidRPr="00D6075C" w:rsidRDefault="00D87FCE" w:rsidP="00D87FCE">
      <w:pPr>
        <w:pStyle w:val="BodyText"/>
        <w:tabs>
          <w:tab w:val="left" w:pos="1741"/>
          <w:tab w:val="center" w:pos="4323"/>
        </w:tabs>
        <w:jc w:val="left"/>
      </w:pPr>
      <w:bookmarkStart w:id="0" w:name="OLE_LINK1"/>
      <w:bookmarkStart w:id="1" w:name="OLE_LINK2"/>
      <w:r>
        <w:tab/>
      </w:r>
      <w:r>
        <w:tab/>
      </w:r>
      <w:r w:rsidR="00AC5C4A" w:rsidRPr="00D6075C">
        <w:t xml:space="preserve">Ministru kabineta rīkojuma projekts </w:t>
      </w:r>
    </w:p>
    <w:p w:rsidR="00306AB4" w:rsidRPr="00306AB4" w:rsidRDefault="00306AB4" w:rsidP="00306AB4">
      <w:pPr>
        <w:pStyle w:val="BodyText"/>
      </w:pPr>
      <w:bookmarkStart w:id="2" w:name="OLE_LINK3"/>
      <w:bookmarkStart w:id="3" w:name="OLE_LINK4"/>
      <w:r>
        <w:t>„</w:t>
      </w:r>
      <w:r w:rsidRPr="00306AB4">
        <w:t>Grozījumi Ministru kabineta 2011.gada 8.jūlija rīkojumā Nr.307</w:t>
      </w:r>
    </w:p>
    <w:bookmarkEnd w:id="2"/>
    <w:bookmarkEnd w:id="3"/>
    <w:p w:rsidR="00E562F1" w:rsidRPr="00306AB4" w:rsidRDefault="00306AB4" w:rsidP="00306AB4">
      <w:pPr>
        <w:pStyle w:val="BodyText"/>
      </w:pPr>
      <w:r w:rsidRPr="00306AB4">
        <w:t>„Par finansējuma piešķiršanu Padomju okupācijas upuru piemiņas memoriāla kompleksa Latviešu strēlnieku laukumā, Rīgā, izveides izdevumu segšanai”</w:t>
      </w:r>
      <w:r>
        <w:t>”</w:t>
      </w:r>
      <w:r w:rsidR="00AC5C4A" w:rsidRPr="00306AB4">
        <w:t xml:space="preserve"> sākotnējās ietekmes novērtējuma </w:t>
      </w:r>
      <w:smartTag w:uri="schemas-tilde-lv/tildestengine" w:element="veidnes">
        <w:smartTagPr>
          <w:attr w:name="text" w:val="ziņojums"/>
          <w:attr w:name="baseform" w:val="ziņojums"/>
          <w:attr w:name="id" w:val="-1"/>
        </w:smartTagPr>
        <w:r w:rsidR="00AC5C4A" w:rsidRPr="00306AB4">
          <w:t>ziņojums</w:t>
        </w:r>
      </w:smartTag>
      <w:r w:rsidR="00AC5C4A" w:rsidRPr="00306AB4">
        <w:t xml:space="preserve"> (anotācija)</w:t>
      </w:r>
    </w:p>
    <w:tbl>
      <w:tblPr>
        <w:tblpPr w:leftFromText="180" w:rightFromText="180" w:vertAnchor="text" w:horzAnchor="margin" w:tblpXSpec="center" w:tblpY="149"/>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1597"/>
        <w:gridCol w:w="7504"/>
      </w:tblGrid>
      <w:tr w:rsidR="00920EB8" w:rsidRPr="00317B9D" w:rsidTr="005A24DB">
        <w:trPr>
          <w:trHeight w:val="281"/>
        </w:trPr>
        <w:tc>
          <w:tcPr>
            <w:tcW w:w="5000" w:type="pct"/>
            <w:gridSpan w:val="3"/>
            <w:vAlign w:val="center"/>
          </w:tcPr>
          <w:p w:rsidR="00920EB8" w:rsidRPr="00317B9D" w:rsidRDefault="00920EB8" w:rsidP="00920EB8">
            <w:pPr>
              <w:pStyle w:val="naisnod"/>
              <w:spacing w:before="120" w:beforeAutospacing="0" w:after="120" w:afterAutospacing="0"/>
              <w:jc w:val="center"/>
              <w:rPr>
                <w:b/>
              </w:rPr>
            </w:pPr>
            <w:r w:rsidRPr="00317B9D">
              <w:rPr>
                <w:b/>
              </w:rPr>
              <w:t>I. Tiesību akta projekta izstrādes nepieciešamība</w:t>
            </w:r>
          </w:p>
        </w:tc>
      </w:tr>
      <w:tr w:rsidR="00920EB8" w:rsidRPr="005A24DB" w:rsidTr="005A24DB">
        <w:trPr>
          <w:trHeight w:val="630"/>
        </w:trPr>
        <w:tc>
          <w:tcPr>
            <w:tcW w:w="212" w:type="pct"/>
          </w:tcPr>
          <w:p w:rsidR="00920EB8" w:rsidRPr="005A24DB" w:rsidRDefault="00920EB8" w:rsidP="00920EB8">
            <w:pPr>
              <w:pStyle w:val="naiskr"/>
              <w:spacing w:before="0" w:after="0"/>
            </w:pPr>
            <w:r w:rsidRPr="005A24DB">
              <w:t>1.</w:t>
            </w:r>
          </w:p>
        </w:tc>
        <w:tc>
          <w:tcPr>
            <w:tcW w:w="840" w:type="pct"/>
          </w:tcPr>
          <w:p w:rsidR="00920EB8" w:rsidRPr="005A24DB" w:rsidRDefault="00920EB8" w:rsidP="00920EB8">
            <w:pPr>
              <w:pStyle w:val="naiskr"/>
              <w:spacing w:before="0" w:after="0"/>
              <w:ind w:left="135" w:hanging="10"/>
            </w:pPr>
            <w:r w:rsidRPr="005A24DB">
              <w:t>Pamatojums</w:t>
            </w:r>
          </w:p>
        </w:tc>
        <w:tc>
          <w:tcPr>
            <w:tcW w:w="3948" w:type="pct"/>
            <w:tcBorders>
              <w:bottom w:val="single" w:sz="4" w:space="0" w:color="auto"/>
            </w:tcBorders>
          </w:tcPr>
          <w:p w:rsidR="00920EB8" w:rsidRPr="005A24DB" w:rsidRDefault="00920EB8" w:rsidP="000C4FF6">
            <w:pPr>
              <w:pStyle w:val="NormalWeb"/>
              <w:tabs>
                <w:tab w:val="left" w:pos="557"/>
              </w:tabs>
              <w:spacing w:before="120" w:after="0"/>
              <w:ind w:left="132" w:right="141"/>
              <w:jc w:val="both"/>
              <w:rPr>
                <w:rFonts w:eastAsiaTheme="minorEastAsia" w:cstheme="minorBidi"/>
              </w:rPr>
            </w:pPr>
            <w:r w:rsidRPr="005A24DB">
              <w:rPr>
                <w:rFonts w:eastAsiaTheme="minorEastAsia" w:cstheme="minorBidi"/>
              </w:rPr>
              <w:t>Ministru kabineta rīkojuma projekts</w:t>
            </w:r>
            <w:r w:rsidR="00306AB4" w:rsidRPr="005A24DB">
              <w:rPr>
                <w:rFonts w:eastAsiaTheme="minorEastAsia" w:cstheme="minorBidi"/>
              </w:rPr>
              <w:t xml:space="preserve"> </w:t>
            </w:r>
            <w:r w:rsidRPr="005A24DB">
              <w:rPr>
                <w:rFonts w:eastAsiaTheme="minorEastAsia" w:cstheme="minorBidi"/>
              </w:rPr>
              <w:t>„</w:t>
            </w:r>
            <w:r w:rsidR="00306AB4" w:rsidRPr="005A24DB">
              <w:rPr>
                <w:rFonts w:eastAsiaTheme="minorEastAsia" w:cstheme="minorBidi"/>
              </w:rPr>
              <w:t>Grozījumi Ministru kabineta 2011.gada 8.jūlija rīkojumā Nr.307 „Par finansējuma piešķiršanu Padomju okupācijas upuru piemiņas memoriāla kompleksa Latviešu strēlnieku laukumā, Rīgā, izveides izdevumu segšanai”</w:t>
            </w:r>
            <w:r w:rsidRPr="005A24DB">
              <w:rPr>
                <w:rFonts w:eastAsiaTheme="minorEastAsia" w:cstheme="minorBidi"/>
              </w:rPr>
              <w:t xml:space="preserve">” (turpmāk – </w:t>
            </w:r>
            <w:r w:rsidR="00A3369F" w:rsidRPr="005A24DB">
              <w:rPr>
                <w:rFonts w:eastAsiaTheme="minorEastAsia" w:cstheme="minorBidi"/>
              </w:rPr>
              <w:t>MK</w:t>
            </w:r>
            <w:r w:rsidRPr="005A24DB">
              <w:rPr>
                <w:rFonts w:eastAsiaTheme="minorEastAsia" w:cstheme="minorBidi"/>
              </w:rPr>
              <w:t xml:space="preserve"> rīkojuma projekts) sagatavots, </w:t>
            </w:r>
            <w:r w:rsidR="00004BB1" w:rsidRPr="005A24DB">
              <w:rPr>
                <w:rFonts w:eastAsiaTheme="minorEastAsia" w:cstheme="minorBidi"/>
              </w:rPr>
              <w:t xml:space="preserve">pamatojoties uz </w:t>
            </w:r>
            <w:r w:rsidR="00306AB4" w:rsidRPr="005A24DB">
              <w:rPr>
                <w:rFonts w:eastAsiaTheme="minorEastAsia" w:cstheme="minorBidi"/>
              </w:rPr>
              <w:t>Ministru kabineta 2011.gada 8.jūlija rīkojumā Nr.307 „Par finansējuma piešķiršanu Padomju okupācijas upuru piemiņas memoriāla kompleksa Latviešu strēlnieku laukumā, Rīgā, izveides izdevumu segšanai”</w:t>
            </w:r>
            <w:r w:rsidRPr="005A24DB">
              <w:rPr>
                <w:rFonts w:eastAsiaTheme="minorEastAsia" w:cstheme="minorBidi"/>
              </w:rPr>
              <w:t xml:space="preserve"> </w:t>
            </w:r>
            <w:r w:rsidR="00377BC2" w:rsidRPr="005A24DB">
              <w:rPr>
                <w:rFonts w:eastAsiaTheme="minorEastAsia" w:cstheme="minorBidi"/>
              </w:rPr>
              <w:t xml:space="preserve">(turpmāk – </w:t>
            </w:r>
            <w:r w:rsidR="00A3369F" w:rsidRPr="005A24DB">
              <w:rPr>
                <w:rFonts w:eastAsiaTheme="minorEastAsia" w:cstheme="minorBidi"/>
              </w:rPr>
              <w:t>MK</w:t>
            </w:r>
            <w:r w:rsidR="00377BC2" w:rsidRPr="005A24DB">
              <w:rPr>
                <w:rFonts w:eastAsiaTheme="minorEastAsia" w:cstheme="minorBidi"/>
              </w:rPr>
              <w:t xml:space="preserve"> rīkojums Nr.</w:t>
            </w:r>
            <w:r w:rsidR="00306AB4" w:rsidRPr="005A24DB">
              <w:rPr>
                <w:rFonts w:eastAsiaTheme="minorEastAsia" w:cstheme="minorBidi"/>
              </w:rPr>
              <w:t>307</w:t>
            </w:r>
            <w:r w:rsidR="00377BC2" w:rsidRPr="005A24DB">
              <w:rPr>
                <w:rFonts w:eastAsiaTheme="minorEastAsia" w:cstheme="minorBidi"/>
              </w:rPr>
              <w:t xml:space="preserve">) </w:t>
            </w:r>
            <w:r w:rsidR="00004BB1" w:rsidRPr="005A24DB">
              <w:rPr>
                <w:rFonts w:eastAsiaTheme="minorEastAsia" w:cstheme="minorBidi"/>
              </w:rPr>
              <w:t xml:space="preserve">3.2.1.apakšpunktā </w:t>
            </w:r>
            <w:r w:rsidRPr="005A24DB">
              <w:rPr>
                <w:rFonts w:eastAsiaTheme="minorEastAsia" w:cstheme="minorBidi"/>
              </w:rPr>
              <w:t>dot</w:t>
            </w:r>
            <w:r w:rsidR="00004BB1" w:rsidRPr="005A24DB">
              <w:rPr>
                <w:rFonts w:eastAsiaTheme="minorEastAsia" w:cstheme="minorBidi"/>
              </w:rPr>
              <w:t>o</w:t>
            </w:r>
            <w:r w:rsidRPr="005A24DB">
              <w:rPr>
                <w:rFonts w:eastAsiaTheme="minorEastAsia" w:cstheme="minorBidi"/>
              </w:rPr>
              <w:t xml:space="preserve"> uzdevumu.</w:t>
            </w:r>
          </w:p>
          <w:p w:rsidR="003B1B6E" w:rsidRPr="005A24DB" w:rsidRDefault="002C457C" w:rsidP="002C457C">
            <w:pPr>
              <w:pStyle w:val="NormalWeb"/>
              <w:tabs>
                <w:tab w:val="left" w:pos="557"/>
              </w:tabs>
              <w:spacing w:before="120" w:after="0"/>
              <w:ind w:left="132" w:right="141"/>
              <w:jc w:val="both"/>
              <w:rPr>
                <w:rFonts w:eastAsiaTheme="minorEastAsia" w:cstheme="minorBidi"/>
              </w:rPr>
            </w:pPr>
            <w:r w:rsidRPr="005A24DB">
              <w:t xml:space="preserve">Izskatot Ministru kabinetā 2014.gada 29.jūlijā sēdē informatīvo ziņojumu „Par robežšķērsošanas vietas „Vientuļi” modernizācijas projekta izpildes gaitu un papildu nepieciešamo finansējumu modernizācijas būvniecības darbu pabeigšanai un aprīkojuma iegādes, uzturēšanas, darbinieku atlīdzības un nomas maksas izdevumu segšanai” ar Ministru kabineta sēdes protokollēmumu Nr.41 uzdots </w:t>
            </w:r>
            <w:r w:rsidR="003B1B6E" w:rsidRPr="005A24DB">
              <w:rPr>
                <w:rFonts w:eastAsiaTheme="minorEastAsia" w:cstheme="minorBidi"/>
              </w:rPr>
              <w:t xml:space="preserve">Finanšu ministrijai </w:t>
            </w:r>
            <w:r w:rsidR="00FC3140" w:rsidRPr="005A24DB">
              <w:rPr>
                <w:rFonts w:eastAsiaTheme="minorEastAsia" w:cstheme="minorBidi"/>
              </w:rPr>
              <w:t xml:space="preserve">(turpmāk – FM) </w:t>
            </w:r>
            <w:r w:rsidR="003B1B6E" w:rsidRPr="005A24DB">
              <w:rPr>
                <w:rFonts w:eastAsiaTheme="minorEastAsia" w:cstheme="minorBidi"/>
              </w:rPr>
              <w:t>(valsts akciju sabiedrībai „Valsts nekustamie īpašumi”</w:t>
            </w:r>
            <w:r w:rsidR="00FC3140" w:rsidRPr="005A24DB">
              <w:t xml:space="preserve"> (turpmāk – VNĪ)</w:t>
            </w:r>
            <w:r w:rsidR="003B1B6E" w:rsidRPr="005A24DB">
              <w:rPr>
                <w:rFonts w:eastAsiaTheme="minorEastAsia" w:cstheme="minorBidi"/>
              </w:rPr>
              <w:t xml:space="preserve">) sadarbībā ar Kultūras ministriju </w:t>
            </w:r>
            <w:r w:rsidR="00FC3140" w:rsidRPr="005A24DB">
              <w:rPr>
                <w:rFonts w:eastAsiaTheme="minorEastAsia" w:cstheme="minorBidi"/>
              </w:rPr>
              <w:t xml:space="preserve">(turpmāk – KM) </w:t>
            </w:r>
            <w:r w:rsidR="003B1B6E" w:rsidRPr="005A24DB">
              <w:rPr>
                <w:rFonts w:eastAsiaTheme="minorEastAsia" w:cstheme="minorBidi"/>
              </w:rPr>
              <w:t>normatīvajos aktos noteiktā kārtībā sagatavot un triju mēnešu laikā iesniegt Ministru kabinetā tiesību aktu projektu par grozījumiem MK rīkojumā Nr.307 par plānotā finansējuma precizēšanu ilgtermiņa saistību pasākumam.</w:t>
            </w:r>
          </w:p>
        </w:tc>
      </w:tr>
      <w:tr w:rsidR="00920EB8" w:rsidRPr="005A24DB" w:rsidTr="005A24DB">
        <w:trPr>
          <w:trHeight w:val="472"/>
        </w:trPr>
        <w:tc>
          <w:tcPr>
            <w:tcW w:w="212" w:type="pct"/>
          </w:tcPr>
          <w:p w:rsidR="00920EB8" w:rsidRPr="005A24DB" w:rsidRDefault="00920EB8" w:rsidP="00920EB8">
            <w:pPr>
              <w:pStyle w:val="naiskr"/>
              <w:spacing w:before="0" w:after="0"/>
            </w:pPr>
            <w:r w:rsidRPr="005A24DB">
              <w:t>2.</w:t>
            </w:r>
          </w:p>
        </w:tc>
        <w:tc>
          <w:tcPr>
            <w:tcW w:w="840" w:type="pct"/>
          </w:tcPr>
          <w:p w:rsidR="00920EB8" w:rsidRPr="005A24DB" w:rsidRDefault="00920EB8" w:rsidP="00920EB8">
            <w:pPr>
              <w:pStyle w:val="naiskr"/>
              <w:tabs>
                <w:tab w:val="left" w:pos="170"/>
              </w:tabs>
              <w:spacing w:before="0" w:after="0"/>
              <w:ind w:left="135"/>
            </w:pPr>
            <w:r w:rsidRPr="005A24DB">
              <w:t>Pašreizējā situācija un problēmas, kuru risināšanai tiesību akta projekts izstrādāts, tiesiskā regulējuma mērķis un būtība</w:t>
            </w:r>
          </w:p>
        </w:tc>
        <w:tc>
          <w:tcPr>
            <w:tcW w:w="3948" w:type="pct"/>
            <w:shd w:val="clear" w:color="auto" w:fill="auto"/>
          </w:tcPr>
          <w:p w:rsidR="00920EB8" w:rsidRPr="005A24DB" w:rsidRDefault="00920EB8" w:rsidP="000C4FF6">
            <w:pPr>
              <w:pStyle w:val="NormalWeb"/>
              <w:tabs>
                <w:tab w:val="left" w:pos="557"/>
              </w:tabs>
              <w:spacing w:before="120" w:after="0"/>
              <w:ind w:left="132" w:right="141"/>
              <w:jc w:val="both"/>
              <w:rPr>
                <w:rFonts w:eastAsiaTheme="minorEastAsia" w:cstheme="minorBidi"/>
              </w:rPr>
            </w:pPr>
            <w:r w:rsidRPr="005A24DB">
              <w:rPr>
                <w:rFonts w:eastAsiaTheme="minorEastAsia" w:cstheme="minorBidi"/>
              </w:rPr>
              <w:t xml:space="preserve">Pamatojoties uz </w:t>
            </w:r>
            <w:r w:rsidR="00A3369F" w:rsidRPr="005A24DB">
              <w:rPr>
                <w:rFonts w:eastAsiaTheme="minorEastAsia" w:cstheme="minorBidi"/>
              </w:rPr>
              <w:t>MK</w:t>
            </w:r>
            <w:r w:rsidRPr="005A24DB">
              <w:rPr>
                <w:rFonts w:eastAsiaTheme="minorEastAsia" w:cstheme="minorBidi"/>
              </w:rPr>
              <w:t xml:space="preserve"> rīkojuma Nr.</w:t>
            </w:r>
            <w:r w:rsidR="00306AB4" w:rsidRPr="005A24DB">
              <w:rPr>
                <w:rFonts w:eastAsiaTheme="minorEastAsia" w:cstheme="minorBidi"/>
              </w:rPr>
              <w:t>307</w:t>
            </w:r>
            <w:r w:rsidRPr="005A24DB">
              <w:rPr>
                <w:rFonts w:eastAsiaTheme="minorEastAsia" w:cstheme="minorBidi"/>
              </w:rPr>
              <w:t>:</w:t>
            </w:r>
          </w:p>
          <w:p w:rsidR="00A3369F" w:rsidRPr="005A24DB" w:rsidRDefault="000C4FF6" w:rsidP="000C4FF6">
            <w:pPr>
              <w:pStyle w:val="NormalWeb"/>
              <w:tabs>
                <w:tab w:val="left" w:pos="557"/>
              </w:tabs>
              <w:spacing w:before="120" w:after="0"/>
              <w:ind w:left="132" w:right="141"/>
              <w:jc w:val="both"/>
              <w:rPr>
                <w:rFonts w:eastAsiaTheme="minorEastAsia" w:cstheme="minorBidi"/>
              </w:rPr>
            </w:pPr>
            <w:r w:rsidRPr="005A24DB">
              <w:rPr>
                <w:rFonts w:eastAsiaTheme="minorEastAsia" w:cstheme="minorBidi"/>
              </w:rPr>
              <w:t xml:space="preserve">- </w:t>
            </w:r>
            <w:r w:rsidR="00061467" w:rsidRPr="005A24DB">
              <w:rPr>
                <w:rFonts w:eastAsiaTheme="minorEastAsia" w:cstheme="minorBidi"/>
              </w:rPr>
              <w:t xml:space="preserve">1.punktu, </w:t>
            </w:r>
            <w:r w:rsidR="00306AB4" w:rsidRPr="005A24DB">
              <w:rPr>
                <w:rFonts w:eastAsiaTheme="minorEastAsia" w:cstheme="minorBidi"/>
              </w:rPr>
              <w:t>likumā  „Par valsts budžetu 2014.gadam” un likumā „Par vidēja termiņa budžeta ietvaru 2014., 2015. un 2016.gadam”</w:t>
            </w:r>
            <w:r w:rsidR="00A3369F" w:rsidRPr="005A24DB">
              <w:rPr>
                <w:rFonts w:eastAsiaTheme="minorEastAsia" w:cstheme="minorBidi"/>
              </w:rPr>
              <w:t xml:space="preserve"> paredzētas ilgtermiņa saistības:</w:t>
            </w:r>
          </w:p>
          <w:p w:rsidR="00306AB4" w:rsidRPr="005A24DB" w:rsidRDefault="00A3369F" w:rsidP="00A3369F">
            <w:pPr>
              <w:pStyle w:val="NormalWeb"/>
              <w:tabs>
                <w:tab w:val="left" w:pos="557"/>
              </w:tabs>
              <w:spacing w:before="120" w:after="0"/>
              <w:ind w:left="132" w:right="141"/>
              <w:jc w:val="both"/>
            </w:pPr>
            <w:r w:rsidRPr="005A24DB">
              <w:rPr>
                <w:rFonts w:eastAsiaTheme="minorEastAsia" w:cstheme="minorBidi"/>
              </w:rPr>
              <w:t>-</w:t>
            </w:r>
            <w:r w:rsidR="00306AB4" w:rsidRPr="005A24DB">
              <w:rPr>
                <w:rFonts w:eastAsiaTheme="minorEastAsia" w:cstheme="minorBidi"/>
              </w:rPr>
              <w:t xml:space="preserve"> KM </w:t>
            </w:r>
            <w:r w:rsidR="00306AB4" w:rsidRPr="005A24DB">
              <w:t>ēkas Latviešu strēlnieku laukumā 1, Rīgā, uzturēšanas izdevumu segšanai</w:t>
            </w:r>
            <w:r w:rsidR="00061467" w:rsidRPr="005A24DB">
              <w:t xml:space="preserve"> </w:t>
            </w:r>
            <w:r w:rsidR="00163DBE" w:rsidRPr="005A24DB">
              <w:t>VNĪ</w:t>
            </w:r>
            <w:r w:rsidRPr="005A24DB">
              <w:t xml:space="preserve"> </w:t>
            </w:r>
            <w:r w:rsidR="00306AB4" w:rsidRPr="005A24DB">
              <w:t xml:space="preserve">2015.gadā </w:t>
            </w:r>
            <w:r w:rsidR="00312C2F" w:rsidRPr="005A24DB">
              <w:t>75 177</w:t>
            </w:r>
            <w:r w:rsidR="00061467" w:rsidRPr="005A24DB">
              <w:rPr>
                <w:i/>
              </w:rPr>
              <w:t>euro</w:t>
            </w:r>
            <w:r w:rsidR="00061467" w:rsidRPr="005A24DB">
              <w:t xml:space="preserve"> un </w:t>
            </w:r>
            <w:r w:rsidR="00312C2F" w:rsidRPr="005A24DB">
              <w:t>2016.gadā 75</w:t>
            </w:r>
            <w:r w:rsidR="00575E3C" w:rsidRPr="005A24DB">
              <w:t> </w:t>
            </w:r>
            <w:r w:rsidR="00312C2F" w:rsidRPr="005A24DB">
              <w:t>177</w:t>
            </w:r>
            <w:r w:rsidR="00575E3C" w:rsidRPr="005A24DB">
              <w:t xml:space="preserve"> </w:t>
            </w:r>
            <w:r w:rsidR="00312C2F" w:rsidRPr="005A24DB">
              <w:rPr>
                <w:i/>
              </w:rPr>
              <w:t>euro</w:t>
            </w:r>
            <w:r w:rsidR="00332653" w:rsidRPr="005A24DB">
              <w:t>,</w:t>
            </w:r>
            <w:r w:rsidR="00312C2F" w:rsidRPr="005A24DB">
              <w:t xml:space="preserve"> </w:t>
            </w:r>
            <w:r w:rsidR="00332653" w:rsidRPr="005A24DB">
              <w:t xml:space="preserve">turpmākajiem gadiem </w:t>
            </w:r>
            <w:r w:rsidR="00312C2F" w:rsidRPr="005A24DB">
              <w:t xml:space="preserve">1 353 186 </w:t>
            </w:r>
            <w:r w:rsidR="00061467" w:rsidRPr="005A24DB">
              <w:rPr>
                <w:i/>
              </w:rPr>
              <w:t>euro</w:t>
            </w:r>
            <w:r w:rsidR="00061467" w:rsidRPr="005A24DB">
              <w:t xml:space="preserve"> </w:t>
            </w:r>
            <w:r w:rsidR="00306AB4" w:rsidRPr="005A24DB">
              <w:t>(līdz 2034.gadam ieskaitot)</w:t>
            </w:r>
            <w:r w:rsidR="00061467" w:rsidRPr="005A24DB">
              <w:t>;</w:t>
            </w:r>
          </w:p>
          <w:p w:rsidR="00A3369F" w:rsidRPr="005A24DB" w:rsidRDefault="00A3369F" w:rsidP="00A3369F">
            <w:pPr>
              <w:pStyle w:val="naiskr"/>
              <w:numPr>
                <w:ilvl w:val="0"/>
                <w:numId w:val="13"/>
              </w:numPr>
              <w:tabs>
                <w:tab w:val="left" w:pos="386"/>
              </w:tabs>
              <w:spacing w:before="0" w:after="60"/>
              <w:ind w:left="132" w:right="123" w:firstLine="0"/>
              <w:jc w:val="both"/>
              <w:rPr>
                <w:rFonts w:eastAsiaTheme="minorEastAsia" w:cstheme="minorBidi"/>
              </w:rPr>
            </w:pPr>
            <w:r w:rsidRPr="005A24DB">
              <w:rPr>
                <w:rFonts w:eastAsiaTheme="minorEastAsia" w:cstheme="minorBidi"/>
              </w:rPr>
              <w:t>FM</w:t>
            </w:r>
            <w:r w:rsidR="00FC3140" w:rsidRPr="005A24DB">
              <w:rPr>
                <w:rFonts w:eastAsiaTheme="minorEastAsia" w:cstheme="minorBidi"/>
              </w:rPr>
              <w:t xml:space="preserve"> </w:t>
            </w:r>
            <w:r w:rsidR="0017338A" w:rsidRPr="005A24DB">
              <w:rPr>
                <w:rFonts w:eastAsia="Times New Roman"/>
              </w:rPr>
              <w:t xml:space="preserve">ar ēkas Latviešu strēlnieku laukumā 1, Rīgā (nekustamā īpašuma kadastra Nr. 0100 001 0095), un Padomju okupācijas upuru piemiņas memoriāla Latviešu strēlnieku laukumā, Rīgā (turpmāk – </w:t>
            </w:r>
            <w:r w:rsidR="0017338A" w:rsidRPr="005A24DB">
              <w:t>būvniecības</w:t>
            </w:r>
            <w:r w:rsidR="0017338A" w:rsidRPr="005A24DB">
              <w:rPr>
                <w:rFonts w:eastAsia="Times New Roman"/>
              </w:rPr>
              <w:t xml:space="preserve"> II kārta), būvniecību saistīto kapitālieguldījumu izdevumu segšanai VNĪ</w:t>
            </w:r>
            <w:r w:rsidR="0017338A" w:rsidRPr="005A24DB">
              <w:rPr>
                <w:rFonts w:eastAsiaTheme="minorEastAsia" w:cstheme="minorBidi"/>
              </w:rPr>
              <w:t xml:space="preserve"> – </w:t>
            </w:r>
            <w:r w:rsidRPr="005A24DB">
              <w:rPr>
                <w:rFonts w:eastAsiaTheme="minorEastAsia" w:cstheme="minorBidi"/>
              </w:rPr>
              <w:t xml:space="preserve">2015.gadā </w:t>
            </w:r>
            <w:r w:rsidR="0017338A" w:rsidRPr="005A24DB">
              <w:rPr>
                <w:rFonts w:eastAsiaTheme="minorEastAsia" w:cstheme="minorBidi"/>
              </w:rPr>
              <w:t>2 354 995</w:t>
            </w:r>
            <w:r w:rsidRPr="005A24DB">
              <w:rPr>
                <w:rFonts w:eastAsiaTheme="minorEastAsia" w:cstheme="minorBidi"/>
              </w:rPr>
              <w:t xml:space="preserve"> </w:t>
            </w:r>
            <w:r w:rsidRPr="005A24DB">
              <w:rPr>
                <w:rFonts w:eastAsiaTheme="minorEastAsia" w:cstheme="minorBidi"/>
                <w:i/>
              </w:rPr>
              <w:t xml:space="preserve">euro, </w:t>
            </w:r>
            <w:r w:rsidRPr="005A24DB">
              <w:rPr>
                <w:rFonts w:eastAsiaTheme="minorEastAsia" w:cstheme="minorBidi"/>
              </w:rPr>
              <w:t xml:space="preserve">2016.gadā </w:t>
            </w:r>
            <w:r w:rsidR="0017338A" w:rsidRPr="005A24DB">
              <w:rPr>
                <w:rFonts w:eastAsiaTheme="minorEastAsia" w:cstheme="minorBidi"/>
              </w:rPr>
              <w:t xml:space="preserve">2 354 997 </w:t>
            </w:r>
            <w:r w:rsidRPr="005A24DB">
              <w:rPr>
                <w:rFonts w:eastAsiaTheme="minorEastAsia" w:cstheme="minorBidi"/>
                <w:i/>
              </w:rPr>
              <w:t>euro</w:t>
            </w:r>
            <w:r w:rsidRPr="005A24DB">
              <w:rPr>
                <w:rFonts w:eastAsiaTheme="minorEastAsia" w:cstheme="minorBidi"/>
              </w:rPr>
              <w:t xml:space="preserve"> un 2017.gadā </w:t>
            </w:r>
            <w:r w:rsidR="0017338A" w:rsidRPr="005A24DB">
              <w:rPr>
                <w:rFonts w:eastAsiaTheme="minorEastAsia" w:cstheme="minorBidi"/>
              </w:rPr>
              <w:t xml:space="preserve">2 354 997 </w:t>
            </w:r>
            <w:r w:rsidRPr="005A24DB">
              <w:rPr>
                <w:rFonts w:eastAsiaTheme="minorEastAsia" w:cstheme="minorBidi"/>
                <w:i/>
              </w:rPr>
              <w:t>euro</w:t>
            </w:r>
            <w:r w:rsidRPr="005A24DB">
              <w:rPr>
                <w:rFonts w:eastAsiaTheme="minorEastAsia" w:cstheme="minorBidi"/>
              </w:rPr>
              <w:t>, (</w:t>
            </w:r>
            <w:r w:rsidR="0017338A" w:rsidRPr="005A24DB">
              <w:rPr>
                <w:rFonts w:eastAsiaTheme="minorEastAsia" w:cstheme="minorBidi"/>
              </w:rPr>
              <w:t xml:space="preserve">kopā minēto </w:t>
            </w:r>
            <w:r w:rsidRPr="005A24DB">
              <w:rPr>
                <w:rFonts w:eastAsiaTheme="minorEastAsia" w:cstheme="minorBidi"/>
              </w:rPr>
              <w:t xml:space="preserve">izdevumu segšanai 2015.–2017.gadā paredzēts finansējums </w:t>
            </w:r>
            <w:r w:rsidR="0017338A" w:rsidRPr="005A24DB">
              <w:rPr>
                <w:rFonts w:eastAsiaTheme="minorEastAsia" w:cstheme="minorBidi"/>
              </w:rPr>
              <w:t>7 064 989</w:t>
            </w:r>
            <w:r w:rsidRPr="005A24DB">
              <w:rPr>
                <w:rFonts w:eastAsiaTheme="minorEastAsia" w:cstheme="minorBidi"/>
              </w:rPr>
              <w:t xml:space="preserve"> </w:t>
            </w:r>
            <w:r w:rsidRPr="005A24DB">
              <w:rPr>
                <w:rFonts w:eastAsiaTheme="minorEastAsia" w:cstheme="minorBidi"/>
                <w:i/>
              </w:rPr>
              <w:t>euro</w:t>
            </w:r>
            <w:r w:rsidRPr="005A24DB">
              <w:rPr>
                <w:rFonts w:eastAsiaTheme="minorEastAsia" w:cstheme="minorBidi"/>
              </w:rPr>
              <w:t>);</w:t>
            </w:r>
          </w:p>
          <w:p w:rsidR="0017338A" w:rsidRPr="005A24DB" w:rsidRDefault="00163DBE" w:rsidP="006A39D7">
            <w:pPr>
              <w:pStyle w:val="naiskr"/>
              <w:numPr>
                <w:ilvl w:val="0"/>
                <w:numId w:val="13"/>
              </w:numPr>
              <w:tabs>
                <w:tab w:val="left" w:pos="386"/>
              </w:tabs>
              <w:spacing w:before="0" w:after="60"/>
              <w:ind w:left="132" w:right="123" w:firstLine="0"/>
              <w:jc w:val="both"/>
              <w:rPr>
                <w:rFonts w:eastAsiaTheme="minorEastAsia" w:cstheme="minorBidi"/>
              </w:rPr>
            </w:pPr>
            <w:r w:rsidRPr="005A24DB">
              <w:t>3.1.</w:t>
            </w:r>
            <w:r w:rsidR="00920EB8" w:rsidRPr="005A24DB">
              <w:t>apakšpunktu, </w:t>
            </w:r>
            <w:r w:rsidR="00925014" w:rsidRPr="005A24DB">
              <w:t>FM</w:t>
            </w:r>
            <w:r w:rsidR="00920EB8" w:rsidRPr="005A24DB">
              <w:t xml:space="preserve"> (VNĪ) dots uzdevums </w:t>
            </w:r>
            <w:r w:rsidR="0017338A" w:rsidRPr="005A24DB">
              <w:rPr>
                <w:rFonts w:cstheme="minorBidi"/>
              </w:rPr>
              <w:t>būvniecības I kārtas ietvaros nodrošināt ēkas Latviešu strēlnieku laukumā 1, Rīgā (nekustamā īpašuma kadastra</w:t>
            </w:r>
            <w:r w:rsidR="0017338A" w:rsidRPr="005A24DB">
              <w:t xml:space="preserve"> </w:t>
            </w:r>
            <w:r w:rsidR="0017338A" w:rsidRPr="005A24DB">
              <w:rPr>
                <w:rFonts w:cstheme="minorBidi"/>
              </w:rPr>
              <w:t xml:space="preserve">Nr. 0100 001 0095), rekonstrukcijas un piebūves (Nākotnes nama) būvniecības darbu </w:t>
            </w:r>
            <w:r w:rsidR="00A420A2" w:rsidRPr="005A24DB">
              <w:rPr>
                <w:rFonts w:eastAsiaTheme="minorEastAsia"/>
              </w:rPr>
              <w:t xml:space="preserve">(turpmāk – </w:t>
            </w:r>
            <w:r w:rsidR="00A420A2" w:rsidRPr="005A24DB">
              <w:t xml:space="preserve">būvniecības </w:t>
            </w:r>
            <w:r w:rsidR="00A420A2" w:rsidRPr="005A24DB">
              <w:rPr>
                <w:rFonts w:eastAsiaTheme="minorEastAsia"/>
              </w:rPr>
              <w:t xml:space="preserve">I kārta) </w:t>
            </w:r>
            <w:r w:rsidR="0017338A" w:rsidRPr="005A24DB">
              <w:rPr>
                <w:rFonts w:cstheme="minorBidi"/>
              </w:rPr>
              <w:t>pabeigšanu līdz 2015.gada</w:t>
            </w:r>
            <w:r w:rsidR="0017338A" w:rsidRPr="005A24DB">
              <w:t xml:space="preserve"> </w:t>
            </w:r>
            <w:r w:rsidR="0017338A" w:rsidRPr="005A24DB">
              <w:rPr>
                <w:rFonts w:cstheme="minorBidi"/>
              </w:rPr>
              <w:t>1.aprīlim</w:t>
            </w:r>
            <w:r w:rsidR="0017338A" w:rsidRPr="005A24DB">
              <w:t>;</w:t>
            </w:r>
          </w:p>
          <w:p w:rsidR="00575E3C" w:rsidRPr="005A24DB" w:rsidRDefault="0017338A" w:rsidP="00902536">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- 3.2.</w:t>
            </w:r>
            <w:r w:rsidR="00575E3C" w:rsidRPr="005A24DB">
              <w:rPr>
                <w:rFonts w:ascii="Times New Roman" w:hAnsi="Times New Roman"/>
                <w:sz w:val="24"/>
                <w:szCs w:val="24"/>
              </w:rPr>
              <w:t>1.</w:t>
            </w:r>
            <w:r w:rsidRPr="005A24DB">
              <w:rPr>
                <w:rFonts w:ascii="Times New Roman" w:hAnsi="Times New Roman"/>
                <w:sz w:val="24"/>
                <w:szCs w:val="24"/>
              </w:rPr>
              <w:t xml:space="preserve">apakšpunktu, FM (VNĪ) dots uzdevums būvniecības II kārtas ietvaros </w:t>
            </w:r>
            <w:r w:rsidR="00575E3C" w:rsidRPr="005A24DB">
              <w:rPr>
                <w:rFonts w:ascii="Times New Roman" w:hAnsi="Times New Roman"/>
                <w:sz w:val="24"/>
                <w:szCs w:val="24"/>
              </w:rPr>
              <w:t xml:space="preserve">līdz 2014.gada 1.augustam iesniegt Ministru kabinetā informatīvo ziņojumu par būvniecības I kārtas darbu izpildes gaitu un priekšlikumus </w:t>
            </w:r>
            <w:r w:rsidR="00575E3C" w:rsidRPr="005A24DB">
              <w:rPr>
                <w:rFonts w:ascii="Times New Roman" w:hAnsi="Times New Roman"/>
                <w:sz w:val="24"/>
                <w:szCs w:val="24"/>
              </w:rPr>
              <w:lastRenderedPageBreak/>
              <w:t xml:space="preserve">par turpmāko </w:t>
            </w:r>
            <w:r w:rsidR="00796C95" w:rsidRPr="005A24DB">
              <w:rPr>
                <w:rFonts w:ascii="Times New Roman" w:hAnsi="Times New Roman"/>
                <w:sz w:val="24"/>
                <w:szCs w:val="24"/>
              </w:rPr>
              <w:t xml:space="preserve"> būvniecības II kārtas </w:t>
            </w:r>
            <w:r w:rsidR="00575E3C" w:rsidRPr="005A24DB">
              <w:rPr>
                <w:rFonts w:ascii="Times New Roman" w:hAnsi="Times New Roman"/>
                <w:sz w:val="24"/>
                <w:szCs w:val="24"/>
              </w:rPr>
              <w:t xml:space="preserve">īstenošanu. Ja priekšlikumi būvniecības </w:t>
            </w:r>
            <w:r w:rsidR="00902536" w:rsidRPr="005A24DB">
              <w:rPr>
                <w:rFonts w:ascii="Times New Roman" w:hAnsi="Times New Roman"/>
                <w:sz w:val="24"/>
                <w:szCs w:val="24"/>
              </w:rPr>
              <w:t xml:space="preserve">II </w:t>
            </w:r>
            <w:r w:rsidR="00AA2099" w:rsidRPr="005A24DB">
              <w:rPr>
                <w:rFonts w:ascii="Times New Roman" w:hAnsi="Times New Roman"/>
                <w:sz w:val="24"/>
                <w:szCs w:val="24"/>
              </w:rPr>
              <w:t xml:space="preserve">kārtas </w:t>
            </w:r>
            <w:r w:rsidR="00575E3C" w:rsidRPr="005A24DB">
              <w:rPr>
                <w:rFonts w:ascii="Times New Roman" w:hAnsi="Times New Roman"/>
                <w:sz w:val="24"/>
                <w:szCs w:val="24"/>
              </w:rPr>
              <w:t>īstenošanai paredz papildu</w:t>
            </w:r>
            <w:r w:rsidR="00902536" w:rsidRPr="005A24DB">
              <w:rPr>
                <w:rFonts w:ascii="Times New Roman" w:hAnsi="Times New Roman"/>
                <w:sz w:val="24"/>
                <w:szCs w:val="24"/>
              </w:rPr>
              <w:t xml:space="preserve"> </w:t>
            </w:r>
            <w:r w:rsidR="00575E3C" w:rsidRPr="005A24DB">
              <w:rPr>
                <w:rFonts w:ascii="Times New Roman" w:hAnsi="Times New Roman"/>
                <w:sz w:val="24"/>
                <w:szCs w:val="24"/>
              </w:rPr>
              <w:t>finansējumu, jautājumu par papildu finansējuma piešķiršanu izskatīt Ministru kabinetā, sagatavojot likumprojektu par</w:t>
            </w:r>
            <w:r w:rsidR="00902536" w:rsidRPr="005A24DB">
              <w:rPr>
                <w:rFonts w:ascii="Times New Roman" w:hAnsi="Times New Roman"/>
                <w:sz w:val="24"/>
                <w:szCs w:val="24"/>
              </w:rPr>
              <w:t xml:space="preserve"> </w:t>
            </w:r>
            <w:r w:rsidR="00575E3C" w:rsidRPr="005A24DB">
              <w:rPr>
                <w:rFonts w:ascii="Times New Roman" w:hAnsi="Times New Roman"/>
                <w:sz w:val="24"/>
                <w:szCs w:val="24"/>
              </w:rPr>
              <w:t>vidēja termiņa budžeta ietvaru un likumprojektu par valsts budžetu kārtējam gadam, kopā ar visu ministriju un citu</w:t>
            </w:r>
            <w:r w:rsidR="00902536" w:rsidRPr="005A24DB">
              <w:rPr>
                <w:rFonts w:ascii="Times New Roman" w:hAnsi="Times New Roman"/>
                <w:sz w:val="24"/>
                <w:szCs w:val="24"/>
              </w:rPr>
              <w:t xml:space="preserve"> </w:t>
            </w:r>
            <w:r w:rsidR="00575E3C" w:rsidRPr="005A24DB">
              <w:rPr>
                <w:rFonts w:ascii="Times New Roman" w:hAnsi="Times New Roman"/>
                <w:sz w:val="24"/>
                <w:szCs w:val="24"/>
              </w:rPr>
              <w:t>centrālo valsts iestāžu jauno politikas iniciatīvu pieprasījumiem;</w:t>
            </w:r>
          </w:p>
          <w:p w:rsidR="0017338A" w:rsidRPr="005A24DB" w:rsidRDefault="00902536" w:rsidP="00902536">
            <w:pPr>
              <w:autoSpaceDE w:val="0"/>
              <w:autoSpaceDN w:val="0"/>
              <w:adjustRightInd w:val="0"/>
              <w:spacing w:after="0" w:line="240" w:lineRule="auto"/>
              <w:ind w:left="132" w:right="141"/>
              <w:jc w:val="both"/>
              <w:rPr>
                <w:rFonts w:ascii="Times New Roman" w:hAnsi="Times New Roman"/>
                <w:sz w:val="24"/>
                <w:szCs w:val="24"/>
              </w:rPr>
            </w:pPr>
            <w:r w:rsidRPr="005A24DB">
              <w:rPr>
                <w:rFonts w:ascii="Times New Roman" w:hAnsi="Times New Roman"/>
                <w:sz w:val="24"/>
                <w:szCs w:val="24"/>
              </w:rPr>
              <w:t xml:space="preserve">- </w:t>
            </w:r>
            <w:r w:rsidR="00575E3C" w:rsidRPr="005A24DB">
              <w:rPr>
                <w:rFonts w:ascii="Times New Roman" w:hAnsi="Times New Roman"/>
                <w:sz w:val="24"/>
                <w:szCs w:val="24"/>
              </w:rPr>
              <w:t>3.2.2.</w:t>
            </w:r>
            <w:r w:rsidRPr="005A24DB">
              <w:rPr>
                <w:rFonts w:ascii="Times New Roman" w:hAnsi="Times New Roman"/>
                <w:sz w:val="24"/>
                <w:szCs w:val="24"/>
              </w:rPr>
              <w:t xml:space="preserve">apakšpunktu, FM (VNĪ) dots uzdevums </w:t>
            </w:r>
            <w:r w:rsidR="00575E3C" w:rsidRPr="005A24DB">
              <w:rPr>
                <w:rFonts w:ascii="Times New Roman" w:hAnsi="Times New Roman"/>
                <w:sz w:val="24"/>
                <w:szCs w:val="24"/>
              </w:rPr>
              <w:t xml:space="preserve">pēc šā rīkojuma 3.1. un 3.2.1.apakšpunktā minētā uzdevuma izpildes nodrošināt </w:t>
            </w:r>
            <w:r w:rsidR="00796C95" w:rsidRPr="005A24DB">
              <w:rPr>
                <w:rFonts w:ascii="Times New Roman" w:hAnsi="Times New Roman"/>
                <w:sz w:val="24"/>
                <w:szCs w:val="24"/>
              </w:rPr>
              <w:t xml:space="preserve"> būvniecības II kārta</w:t>
            </w:r>
            <w:r w:rsidR="00575E3C" w:rsidRPr="005A24DB">
              <w:rPr>
                <w:rFonts w:ascii="Times New Roman" w:hAnsi="Times New Roman"/>
                <w:sz w:val="24"/>
                <w:szCs w:val="24"/>
              </w:rPr>
              <w:t>s</w:t>
            </w:r>
            <w:r w:rsidR="00796C95" w:rsidRPr="005A24DB">
              <w:rPr>
                <w:rFonts w:ascii="Times New Roman" w:hAnsi="Times New Roman"/>
                <w:sz w:val="24"/>
                <w:szCs w:val="24"/>
              </w:rPr>
              <w:t xml:space="preserve"> </w:t>
            </w:r>
            <w:r w:rsidR="00575E3C" w:rsidRPr="005A24DB">
              <w:rPr>
                <w:rFonts w:ascii="Times New Roman" w:hAnsi="Times New Roman"/>
                <w:sz w:val="24"/>
                <w:szCs w:val="24"/>
              </w:rPr>
              <w:t xml:space="preserve">tehniskā projekta </w:t>
            </w:r>
            <w:r w:rsidR="00796C95" w:rsidRPr="005A24DB">
              <w:rPr>
                <w:rFonts w:ascii="Times New Roman" w:hAnsi="Times New Roman"/>
                <w:sz w:val="24"/>
                <w:szCs w:val="24"/>
              </w:rPr>
              <w:t xml:space="preserve">(turpmāk – TP) </w:t>
            </w:r>
            <w:r w:rsidR="00575E3C" w:rsidRPr="005A24DB">
              <w:rPr>
                <w:rFonts w:ascii="Times New Roman" w:hAnsi="Times New Roman"/>
                <w:sz w:val="24"/>
                <w:szCs w:val="24"/>
              </w:rPr>
              <w:t xml:space="preserve">dokumentācijas izstrādi (dokumentācija saskaņojama ar </w:t>
            </w:r>
            <w:r w:rsidR="00796C95" w:rsidRPr="005A24DB">
              <w:rPr>
                <w:rFonts w:ascii="Times New Roman" w:hAnsi="Times New Roman"/>
                <w:sz w:val="24"/>
                <w:szCs w:val="24"/>
              </w:rPr>
              <w:t>KM</w:t>
            </w:r>
            <w:r w:rsidR="00575E3C" w:rsidRPr="005A24DB">
              <w:rPr>
                <w:rFonts w:ascii="Times New Roman" w:hAnsi="Times New Roman"/>
                <w:sz w:val="24"/>
                <w:szCs w:val="24"/>
              </w:rPr>
              <w:t>) un būvniecības darbu pabeigšanu līdz 2017.gada 1.jūlijam</w:t>
            </w:r>
            <w:r w:rsidRPr="005A24DB">
              <w:rPr>
                <w:rFonts w:ascii="Times New Roman" w:hAnsi="Times New Roman"/>
                <w:sz w:val="24"/>
                <w:szCs w:val="24"/>
              </w:rPr>
              <w:t>;</w:t>
            </w:r>
          </w:p>
          <w:p w:rsidR="00902536" w:rsidRPr="005A24DB" w:rsidRDefault="00902536" w:rsidP="00931B1C">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xml:space="preserve">- 4.1.apakšpunktu, FM (VNĪ) dots uzdevums iesniegt Ministru kabinetā rīkojuma projektu par šā rīkojuma 2.punktā minēto ilgtermiņa saistību precizēšanu atbilstoši VNĪ precizētajām būvniecības izmaksām, ja šā rīkojuma 3.punktā minētā Padomju okupācijas upuru piemiņas memoriāla kompleksa būvniecības procesa laikā – pēc </w:t>
            </w:r>
            <w:r w:rsidR="00796C95" w:rsidRPr="005A24DB">
              <w:rPr>
                <w:rFonts w:ascii="Times New Roman" w:hAnsi="Times New Roman"/>
                <w:sz w:val="24"/>
                <w:szCs w:val="24"/>
              </w:rPr>
              <w:t xml:space="preserve">TP </w:t>
            </w:r>
            <w:r w:rsidRPr="005A24DB">
              <w:rPr>
                <w:rFonts w:ascii="Times New Roman" w:hAnsi="Times New Roman"/>
                <w:sz w:val="24"/>
                <w:szCs w:val="24"/>
              </w:rPr>
              <w:t>izstrādes, pēc būvniecības līgumu noslēgšanas vai būvniecības darbu laikā – būvniecības izmaksu apmērs mainās;</w:t>
            </w:r>
          </w:p>
          <w:p w:rsidR="00902536" w:rsidRPr="005A24DB" w:rsidRDefault="00902536" w:rsidP="00931B1C">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- 4.2.apakšpunktu, FM (VNĪ) dots uzdevums</w:t>
            </w:r>
            <w:r w:rsidR="00931B1C" w:rsidRPr="005A24DB">
              <w:rPr>
                <w:rFonts w:ascii="Times New Roman" w:hAnsi="Times New Roman"/>
                <w:sz w:val="24"/>
                <w:szCs w:val="24"/>
              </w:rPr>
              <w:t xml:space="preserve"> </w:t>
            </w:r>
            <w:r w:rsidRPr="005A24DB">
              <w:rPr>
                <w:rFonts w:ascii="Times New Roman" w:hAnsi="Times New Roman"/>
                <w:sz w:val="24"/>
                <w:szCs w:val="24"/>
              </w:rPr>
              <w:t xml:space="preserve">triju mēnešu laikā pēc šā rīkojuma 3.1.apakšpunktā minētā uzdevuma izpildes iesniegt </w:t>
            </w:r>
            <w:r w:rsidR="00931B1C" w:rsidRPr="005A24DB">
              <w:rPr>
                <w:rFonts w:ascii="Times New Roman" w:hAnsi="Times New Roman"/>
                <w:sz w:val="24"/>
                <w:szCs w:val="24"/>
              </w:rPr>
              <w:t xml:space="preserve">KM </w:t>
            </w:r>
            <w:r w:rsidRPr="005A24DB">
              <w:rPr>
                <w:rFonts w:ascii="Times New Roman" w:hAnsi="Times New Roman"/>
                <w:sz w:val="24"/>
                <w:szCs w:val="24"/>
              </w:rPr>
              <w:t>precizētu informāciju par ēkas un tās piebūves Latviešu strēlnieku laukumā 1, Rīgā, uzturēšanas izmaksu apmēru atbilstoši faktiskajām būves apsaimniekošanas un uzturēšanas izmaksām</w:t>
            </w:r>
            <w:r w:rsidR="00931B1C" w:rsidRPr="005A24DB">
              <w:rPr>
                <w:rFonts w:ascii="Times New Roman" w:hAnsi="Times New Roman"/>
                <w:sz w:val="24"/>
                <w:szCs w:val="24"/>
              </w:rPr>
              <w:t>;</w:t>
            </w:r>
          </w:p>
          <w:p w:rsidR="00902536" w:rsidRPr="005A24DB" w:rsidRDefault="00931B1C" w:rsidP="00931B1C">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xml:space="preserve">- 5.punktu, KM dots uzdevums triju mēnešu laikā pēc šā rīkojuma 4.2.apakšpunktā minētā uzdevuma izpildes iesniegt </w:t>
            </w:r>
            <w:r w:rsidR="00902536" w:rsidRPr="005A24DB">
              <w:rPr>
                <w:rFonts w:ascii="Times New Roman" w:hAnsi="Times New Roman"/>
                <w:sz w:val="24"/>
                <w:szCs w:val="24"/>
              </w:rPr>
              <w:t>Ministru</w:t>
            </w:r>
            <w:r w:rsidRPr="005A24DB">
              <w:rPr>
                <w:rFonts w:ascii="Times New Roman" w:hAnsi="Times New Roman"/>
                <w:sz w:val="24"/>
                <w:szCs w:val="24"/>
              </w:rPr>
              <w:t xml:space="preserve"> </w:t>
            </w:r>
            <w:r w:rsidR="00902536" w:rsidRPr="005A24DB">
              <w:rPr>
                <w:rFonts w:ascii="Times New Roman" w:hAnsi="Times New Roman"/>
                <w:sz w:val="24"/>
                <w:szCs w:val="24"/>
              </w:rPr>
              <w:t>kabinetā rīkojuma projektu par šā rīkojuma 1.punktā minēto ilgtermiņa saistību precizēšanu.</w:t>
            </w:r>
          </w:p>
          <w:p w:rsidR="00902536" w:rsidRPr="005A24DB" w:rsidRDefault="00931B1C" w:rsidP="00931B1C">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xml:space="preserve">- 6.punktu, KM dots uzdevums </w:t>
            </w:r>
            <w:r w:rsidR="00902536" w:rsidRPr="005A24DB">
              <w:rPr>
                <w:rFonts w:ascii="Times New Roman" w:hAnsi="Times New Roman"/>
                <w:sz w:val="24"/>
                <w:szCs w:val="24"/>
              </w:rPr>
              <w:t>līdz 2011.gada 30.septembrim saskaņā ar Līguma par Eiropas Savienības darbību 108.panta</w:t>
            </w:r>
            <w:r w:rsidRPr="005A24DB">
              <w:rPr>
                <w:rFonts w:ascii="Times New Roman" w:hAnsi="Times New Roman"/>
                <w:sz w:val="24"/>
                <w:szCs w:val="24"/>
              </w:rPr>
              <w:t xml:space="preserve"> </w:t>
            </w:r>
            <w:r w:rsidR="00902536" w:rsidRPr="005A24DB">
              <w:rPr>
                <w:rFonts w:ascii="Times New Roman" w:hAnsi="Times New Roman"/>
                <w:sz w:val="24"/>
                <w:szCs w:val="24"/>
              </w:rPr>
              <w:t>3.punktu iesniegt Eiropas Komisijā vienotu valsts atbalsta paziņojumu par valsts atbalsta sniegšanu kultūras</w:t>
            </w:r>
            <w:r w:rsidRPr="005A24DB">
              <w:rPr>
                <w:rFonts w:ascii="Times New Roman" w:hAnsi="Times New Roman"/>
                <w:sz w:val="24"/>
                <w:szCs w:val="24"/>
              </w:rPr>
              <w:t xml:space="preserve"> </w:t>
            </w:r>
            <w:r w:rsidR="00902536" w:rsidRPr="005A24DB">
              <w:rPr>
                <w:rFonts w:ascii="Times New Roman" w:hAnsi="Times New Roman"/>
                <w:sz w:val="24"/>
                <w:szCs w:val="24"/>
              </w:rPr>
              <w:t>infrastruktūras objektiem (piemēram, investīcijas, uzturēšana), tai skaitā muzejiem, teātriem, kultūras centriem un</w:t>
            </w:r>
            <w:r w:rsidRPr="005A24DB">
              <w:rPr>
                <w:rFonts w:ascii="Times New Roman" w:hAnsi="Times New Roman"/>
                <w:sz w:val="24"/>
                <w:szCs w:val="24"/>
              </w:rPr>
              <w:t xml:space="preserve"> </w:t>
            </w:r>
            <w:r w:rsidR="00902536" w:rsidRPr="005A24DB">
              <w:rPr>
                <w:rFonts w:ascii="Times New Roman" w:hAnsi="Times New Roman"/>
                <w:sz w:val="24"/>
                <w:szCs w:val="24"/>
              </w:rPr>
              <w:t>bibliotēkām (neatkarīgi no to īpašuma formas) atbilstoši Eiropas Komisijas valsts atbalsta lēmumu praksei</w:t>
            </w:r>
            <w:r w:rsidRPr="005A24DB">
              <w:rPr>
                <w:rFonts w:ascii="Times New Roman" w:hAnsi="Times New Roman"/>
                <w:sz w:val="24"/>
                <w:szCs w:val="24"/>
              </w:rPr>
              <w:t>.</w:t>
            </w:r>
          </w:p>
          <w:p w:rsidR="00004BB1" w:rsidRPr="005A24DB" w:rsidRDefault="00004BB1" w:rsidP="002A66EE">
            <w:pPr>
              <w:spacing w:after="120" w:line="240" w:lineRule="auto"/>
              <w:ind w:left="142" w:right="159" w:firstLine="11"/>
              <w:jc w:val="both"/>
              <w:rPr>
                <w:rFonts w:ascii="Times New Roman" w:hAnsi="Times New Roman"/>
                <w:iCs/>
                <w:sz w:val="24"/>
                <w:szCs w:val="24"/>
                <w:u w:val="single"/>
              </w:rPr>
            </w:pPr>
            <w:r w:rsidRPr="005A24DB">
              <w:rPr>
                <w:rFonts w:ascii="Times New Roman" w:hAnsi="Times New Roman"/>
                <w:iCs/>
                <w:sz w:val="24"/>
                <w:szCs w:val="24"/>
                <w:u w:val="single"/>
              </w:rPr>
              <w:t>Būvniecības I un II kārtas</w:t>
            </w:r>
            <w:r w:rsidR="00866EFA" w:rsidRPr="005A24DB">
              <w:rPr>
                <w:rFonts w:ascii="Times New Roman" w:hAnsi="Times New Roman"/>
                <w:iCs/>
                <w:sz w:val="24"/>
                <w:szCs w:val="24"/>
                <w:u w:val="single"/>
              </w:rPr>
              <w:t xml:space="preserve"> īstenošanas gaita:</w:t>
            </w:r>
            <w:r w:rsidRPr="005A24DB">
              <w:rPr>
                <w:rFonts w:ascii="Times New Roman" w:hAnsi="Times New Roman"/>
                <w:iCs/>
                <w:sz w:val="24"/>
                <w:szCs w:val="24"/>
                <w:u w:val="single"/>
              </w:rPr>
              <w:t xml:space="preserve"> </w:t>
            </w:r>
          </w:p>
          <w:p w:rsidR="00292080" w:rsidRPr="005A24DB" w:rsidRDefault="00004BB1" w:rsidP="00920EB8">
            <w:pPr>
              <w:spacing w:after="120" w:line="240" w:lineRule="auto"/>
              <w:ind w:left="142" w:right="159" w:firstLine="11"/>
              <w:jc w:val="both"/>
              <w:rPr>
                <w:rFonts w:ascii="Times New Roman" w:hAnsi="Times New Roman"/>
                <w:iCs/>
                <w:sz w:val="24"/>
                <w:szCs w:val="24"/>
              </w:rPr>
            </w:pPr>
            <w:r w:rsidRPr="005A24DB">
              <w:rPr>
                <w:rFonts w:ascii="Times New Roman" w:hAnsi="Times New Roman"/>
                <w:iCs/>
                <w:sz w:val="24"/>
                <w:szCs w:val="24"/>
              </w:rPr>
              <w:t xml:space="preserve">Saskaņā ar </w:t>
            </w:r>
            <w:r w:rsidR="00EF359A" w:rsidRPr="005A24DB">
              <w:rPr>
                <w:rFonts w:ascii="Times New Roman" w:hAnsi="Times New Roman"/>
                <w:iCs/>
                <w:sz w:val="24"/>
                <w:szCs w:val="24"/>
              </w:rPr>
              <w:t>MK</w:t>
            </w:r>
            <w:r w:rsidR="00920EB8" w:rsidRPr="005A24DB">
              <w:rPr>
                <w:rFonts w:ascii="Times New Roman" w:hAnsi="Times New Roman"/>
                <w:iCs/>
                <w:sz w:val="24"/>
                <w:szCs w:val="24"/>
              </w:rPr>
              <w:t xml:space="preserve"> rīkojumā Nr.</w:t>
            </w:r>
            <w:r w:rsidR="0017338A" w:rsidRPr="005A24DB">
              <w:rPr>
                <w:rFonts w:ascii="Times New Roman" w:hAnsi="Times New Roman"/>
                <w:iCs/>
                <w:sz w:val="24"/>
                <w:szCs w:val="24"/>
              </w:rPr>
              <w:t>307</w:t>
            </w:r>
            <w:r w:rsidR="00920EB8" w:rsidRPr="005A24DB">
              <w:rPr>
                <w:rFonts w:ascii="Times New Roman" w:hAnsi="Times New Roman"/>
                <w:iCs/>
                <w:sz w:val="24"/>
                <w:szCs w:val="24"/>
              </w:rPr>
              <w:t xml:space="preserve"> dot</w:t>
            </w:r>
            <w:r w:rsidRPr="005A24DB">
              <w:rPr>
                <w:rFonts w:ascii="Times New Roman" w:hAnsi="Times New Roman"/>
                <w:iCs/>
                <w:sz w:val="24"/>
                <w:szCs w:val="24"/>
              </w:rPr>
              <w:t>ajiem</w:t>
            </w:r>
            <w:r w:rsidR="00920EB8" w:rsidRPr="005A24DB">
              <w:rPr>
                <w:rFonts w:ascii="Times New Roman" w:hAnsi="Times New Roman"/>
                <w:iCs/>
                <w:sz w:val="24"/>
                <w:szCs w:val="24"/>
              </w:rPr>
              <w:t xml:space="preserve"> uzdevum</w:t>
            </w:r>
            <w:r w:rsidRPr="005A24DB">
              <w:rPr>
                <w:rFonts w:ascii="Times New Roman" w:hAnsi="Times New Roman"/>
                <w:iCs/>
                <w:sz w:val="24"/>
                <w:szCs w:val="24"/>
              </w:rPr>
              <w:t>iem tiek</w:t>
            </w:r>
            <w:r w:rsidR="00920EB8" w:rsidRPr="005A24DB">
              <w:rPr>
                <w:rFonts w:ascii="Times New Roman" w:hAnsi="Times New Roman"/>
                <w:iCs/>
                <w:sz w:val="24"/>
                <w:szCs w:val="24"/>
              </w:rPr>
              <w:t xml:space="preserve"> nodrošināta </w:t>
            </w:r>
            <w:r w:rsidR="006A39D7" w:rsidRPr="005A24DB">
              <w:rPr>
                <w:rFonts w:ascii="Times New Roman" w:hAnsi="Times New Roman"/>
                <w:iCs/>
                <w:sz w:val="24"/>
                <w:szCs w:val="24"/>
              </w:rPr>
              <w:t xml:space="preserve">būvniecības I un II kārtas </w:t>
            </w:r>
            <w:r w:rsidR="00920EB8" w:rsidRPr="005A24DB">
              <w:rPr>
                <w:rFonts w:ascii="Times New Roman" w:hAnsi="Times New Roman"/>
                <w:iCs/>
                <w:sz w:val="24"/>
                <w:szCs w:val="24"/>
              </w:rPr>
              <w:t>darbu veikšana.</w:t>
            </w:r>
            <w:r w:rsidR="002A66EE" w:rsidRPr="005A24DB">
              <w:rPr>
                <w:rFonts w:ascii="Times New Roman" w:hAnsi="Times New Roman"/>
                <w:iCs/>
                <w:sz w:val="24"/>
                <w:szCs w:val="24"/>
              </w:rPr>
              <w:t xml:space="preserve"> </w:t>
            </w:r>
          </w:p>
          <w:p w:rsidR="00413792" w:rsidRPr="005A24DB" w:rsidRDefault="00413792" w:rsidP="00AA1C5A">
            <w:pPr>
              <w:spacing w:after="0" w:line="240" w:lineRule="auto"/>
              <w:ind w:left="142" w:right="159" w:firstLine="11"/>
              <w:jc w:val="both"/>
              <w:rPr>
                <w:rFonts w:ascii="Times New Roman" w:hAnsi="Times New Roman"/>
                <w:iCs/>
                <w:sz w:val="24"/>
                <w:szCs w:val="24"/>
              </w:rPr>
            </w:pPr>
            <w:r w:rsidRPr="005A24DB">
              <w:rPr>
                <w:rFonts w:ascii="Times New Roman" w:hAnsi="Times New Roman"/>
                <w:iCs/>
                <w:sz w:val="24"/>
                <w:szCs w:val="24"/>
                <w:u w:val="single"/>
              </w:rPr>
              <w:t>Būvniecības I kārta</w:t>
            </w:r>
            <w:r w:rsidR="007E2479" w:rsidRPr="005A24DB">
              <w:rPr>
                <w:rFonts w:ascii="Times New Roman" w:hAnsi="Times New Roman"/>
                <w:iCs/>
                <w:sz w:val="24"/>
                <w:szCs w:val="24"/>
                <w:u w:val="single"/>
              </w:rPr>
              <w:t>s īstenošana</w:t>
            </w:r>
            <w:r w:rsidRPr="005A24DB">
              <w:rPr>
                <w:rFonts w:ascii="Times New Roman" w:hAnsi="Times New Roman"/>
                <w:iCs/>
                <w:sz w:val="24"/>
                <w:szCs w:val="24"/>
                <w:u w:val="single"/>
              </w:rPr>
              <w:t>:</w:t>
            </w:r>
          </w:p>
          <w:p w:rsidR="00AD3E3D" w:rsidRPr="005A24DB" w:rsidRDefault="00AD3E3D" w:rsidP="00AD3E3D">
            <w:pPr>
              <w:spacing w:after="120" w:line="240" w:lineRule="auto"/>
              <w:ind w:left="142" w:right="159" w:firstLine="11"/>
              <w:jc w:val="both"/>
              <w:rPr>
                <w:rFonts w:ascii="Times New Roman" w:hAnsi="Times New Roman"/>
                <w:iCs/>
                <w:sz w:val="24"/>
                <w:szCs w:val="24"/>
              </w:rPr>
            </w:pPr>
            <w:r w:rsidRPr="005A24DB">
              <w:rPr>
                <w:rFonts w:ascii="Times New Roman" w:hAnsi="Times New Roman"/>
                <w:iCs/>
                <w:sz w:val="24"/>
                <w:szCs w:val="24"/>
              </w:rPr>
              <w:t xml:space="preserve">Starp VNĪ un SIA „Būvprojektu Vadība” 2013.gada 1.martā tika noslēgts Līgums Nr.21-13-10/402 par projektēšanas un autoruzraudzības veikšanu (objekts: Latvijas Okupācijas muzeja ēka Latviešu strēlnieku laukumā 1, Rīgā), kura ietvaros SIA „Būvprojektu Vadība” apņēmās </w:t>
            </w:r>
            <w:r w:rsidR="00A6559E" w:rsidRPr="005A24DB">
              <w:rPr>
                <w:rFonts w:ascii="Times New Roman" w:hAnsi="Times New Roman"/>
                <w:iCs/>
                <w:sz w:val="24"/>
                <w:szCs w:val="24"/>
              </w:rPr>
              <w:t xml:space="preserve"> izstrādāt </w:t>
            </w:r>
            <w:r w:rsidRPr="005A24DB">
              <w:rPr>
                <w:rFonts w:ascii="Times New Roman" w:hAnsi="Times New Roman"/>
                <w:iCs/>
                <w:sz w:val="24"/>
                <w:szCs w:val="24"/>
              </w:rPr>
              <w:t xml:space="preserve">Latvijas Okupācijas muzeja ēkas rekonstrukcijas TP un </w:t>
            </w:r>
            <w:r w:rsidR="00413792" w:rsidRPr="005A24DB">
              <w:rPr>
                <w:rFonts w:ascii="Times New Roman" w:hAnsi="Times New Roman"/>
                <w:iCs/>
                <w:sz w:val="24"/>
                <w:szCs w:val="24"/>
              </w:rPr>
              <w:t xml:space="preserve">iesniegt </w:t>
            </w:r>
            <w:r w:rsidRPr="005A24DB">
              <w:rPr>
                <w:rFonts w:ascii="Times New Roman" w:hAnsi="Times New Roman"/>
                <w:iCs/>
                <w:sz w:val="24"/>
                <w:szCs w:val="24"/>
              </w:rPr>
              <w:t>VNĪ. Ņemot vērā to, ka SIA „Būvprojektu Vadība” nepildīja līguma nosacījumus,</w:t>
            </w:r>
            <w:r w:rsidR="00A6559E" w:rsidRPr="005A24DB">
              <w:rPr>
                <w:rFonts w:ascii="Times New Roman" w:hAnsi="Times New Roman"/>
                <w:iCs/>
                <w:sz w:val="24"/>
                <w:szCs w:val="24"/>
              </w:rPr>
              <w:t xml:space="preserve"> </w:t>
            </w:r>
            <w:r w:rsidR="00A837A0" w:rsidRPr="005A24DB">
              <w:rPr>
                <w:rFonts w:ascii="Times New Roman" w:hAnsi="Times New Roman"/>
                <w:iCs/>
                <w:sz w:val="24"/>
                <w:szCs w:val="24"/>
              </w:rPr>
              <w:t>VNĪ vienpusēji ir atkāpusies no Līguma</w:t>
            </w:r>
            <w:r w:rsidRPr="005A24DB">
              <w:rPr>
                <w:rFonts w:ascii="Times New Roman" w:hAnsi="Times New Roman"/>
                <w:iCs/>
                <w:sz w:val="24"/>
                <w:szCs w:val="24"/>
              </w:rPr>
              <w:t>.</w:t>
            </w:r>
          </w:p>
          <w:p w:rsidR="00A837A0" w:rsidRPr="005A24DB" w:rsidRDefault="00A837A0" w:rsidP="008A4837">
            <w:pPr>
              <w:spacing w:after="120" w:line="240" w:lineRule="auto"/>
              <w:ind w:left="142" w:right="159" w:firstLine="11"/>
              <w:jc w:val="both"/>
              <w:rPr>
                <w:rFonts w:ascii="Times New Roman" w:hAnsi="Times New Roman"/>
                <w:iCs/>
                <w:sz w:val="24"/>
                <w:szCs w:val="24"/>
              </w:rPr>
            </w:pPr>
            <w:r w:rsidRPr="005A24DB">
              <w:rPr>
                <w:rFonts w:ascii="Times New Roman" w:hAnsi="Times New Roman"/>
                <w:iCs/>
                <w:sz w:val="24"/>
                <w:szCs w:val="24"/>
              </w:rPr>
              <w:t xml:space="preserve">2014.gada </w:t>
            </w:r>
            <w:r w:rsidR="008A4837" w:rsidRPr="005A24DB">
              <w:rPr>
                <w:rFonts w:ascii="Times New Roman" w:hAnsi="Times New Roman"/>
                <w:iCs/>
                <w:sz w:val="24"/>
                <w:szCs w:val="24"/>
              </w:rPr>
              <w:t>18</w:t>
            </w:r>
            <w:r w:rsidRPr="005A24DB">
              <w:rPr>
                <w:rFonts w:ascii="Times New Roman" w:hAnsi="Times New Roman"/>
                <w:iCs/>
                <w:sz w:val="24"/>
                <w:szCs w:val="24"/>
              </w:rPr>
              <w:t xml:space="preserve">.jūlijā ir noslēgts </w:t>
            </w:r>
            <w:r w:rsidR="008A4837" w:rsidRPr="005A24DB">
              <w:rPr>
                <w:rFonts w:ascii="Times New Roman" w:hAnsi="Times New Roman"/>
                <w:iCs/>
                <w:sz w:val="24"/>
                <w:szCs w:val="24"/>
              </w:rPr>
              <w:t xml:space="preserve">Līgums Nr.4-2-14-10/1719 </w:t>
            </w:r>
            <w:r w:rsidRPr="005A24DB">
              <w:rPr>
                <w:rFonts w:ascii="Times New Roman" w:hAnsi="Times New Roman"/>
                <w:iCs/>
                <w:sz w:val="24"/>
                <w:szCs w:val="24"/>
              </w:rPr>
              <w:t>ar SIA „5.</w:t>
            </w:r>
            <w:r w:rsidR="008A4837" w:rsidRPr="005A24DB">
              <w:rPr>
                <w:rFonts w:ascii="Times New Roman" w:hAnsi="Times New Roman"/>
                <w:iCs/>
                <w:sz w:val="24"/>
                <w:szCs w:val="24"/>
              </w:rPr>
              <w:t>IELA</w:t>
            </w:r>
            <w:r w:rsidRPr="005A24DB">
              <w:rPr>
                <w:rFonts w:ascii="Times New Roman" w:hAnsi="Times New Roman"/>
                <w:iCs/>
                <w:sz w:val="24"/>
                <w:szCs w:val="24"/>
              </w:rPr>
              <w:t xml:space="preserve">” </w:t>
            </w:r>
            <w:r w:rsidR="008A4837" w:rsidRPr="005A24DB">
              <w:rPr>
                <w:rFonts w:ascii="Times New Roman" w:hAnsi="Times New Roman"/>
                <w:iCs/>
                <w:sz w:val="24"/>
                <w:szCs w:val="24"/>
              </w:rPr>
              <w:t xml:space="preserve">(SIA „Būvprojektu vadība” apakšuzņēmējs) </w:t>
            </w:r>
            <w:r w:rsidRPr="005A24DB">
              <w:rPr>
                <w:rFonts w:ascii="Times New Roman" w:hAnsi="Times New Roman"/>
                <w:iCs/>
                <w:sz w:val="24"/>
                <w:szCs w:val="24"/>
              </w:rPr>
              <w:t>par TP izstrād</w:t>
            </w:r>
            <w:r w:rsidR="00607BC3" w:rsidRPr="005A24DB">
              <w:rPr>
                <w:rFonts w:ascii="Times New Roman" w:hAnsi="Times New Roman"/>
                <w:iCs/>
                <w:sz w:val="24"/>
                <w:szCs w:val="24"/>
              </w:rPr>
              <w:t xml:space="preserve">i un autoruzraudzības veikšanu (līguma summa 129 000 </w:t>
            </w:r>
            <w:r w:rsidR="00607BC3" w:rsidRPr="005A24DB">
              <w:rPr>
                <w:rFonts w:ascii="Times New Roman" w:hAnsi="Times New Roman"/>
                <w:i/>
                <w:iCs/>
                <w:sz w:val="24"/>
                <w:szCs w:val="24"/>
              </w:rPr>
              <w:t>euro</w:t>
            </w:r>
            <w:r w:rsidR="00607BC3" w:rsidRPr="005A24DB">
              <w:rPr>
                <w:rFonts w:ascii="Times New Roman" w:hAnsi="Times New Roman"/>
                <w:iCs/>
                <w:sz w:val="24"/>
                <w:szCs w:val="24"/>
              </w:rPr>
              <w:t xml:space="preserve"> (bez PVN)</w:t>
            </w:r>
            <w:r w:rsidR="008E6E67" w:rsidRPr="005A24DB">
              <w:rPr>
                <w:rFonts w:ascii="Times New Roman" w:hAnsi="Times New Roman"/>
                <w:iCs/>
                <w:sz w:val="24"/>
                <w:szCs w:val="24"/>
              </w:rPr>
              <w:t xml:space="preserve">, </w:t>
            </w:r>
            <w:r w:rsidR="00160AB5" w:rsidRPr="005A24DB">
              <w:rPr>
                <w:rFonts w:ascii="Times New Roman" w:hAnsi="Times New Roman"/>
                <w:iCs/>
                <w:sz w:val="24"/>
                <w:szCs w:val="24"/>
              </w:rPr>
              <w:t xml:space="preserve">tai </w:t>
            </w:r>
            <w:r w:rsidR="00160AB5" w:rsidRPr="005A24DB">
              <w:rPr>
                <w:rFonts w:ascii="Times New Roman" w:hAnsi="Times New Roman"/>
                <w:iCs/>
                <w:sz w:val="24"/>
                <w:szCs w:val="24"/>
              </w:rPr>
              <w:lastRenderedPageBreak/>
              <w:t xml:space="preserve">skaitā </w:t>
            </w:r>
            <w:r w:rsidR="008E6E67" w:rsidRPr="005A24DB">
              <w:rPr>
                <w:rFonts w:ascii="Times New Roman" w:hAnsi="Times New Roman"/>
                <w:iCs/>
                <w:sz w:val="24"/>
                <w:szCs w:val="24"/>
              </w:rPr>
              <w:t xml:space="preserve">TP izstrāde 126 000 </w:t>
            </w:r>
            <w:r w:rsidR="008E6E67" w:rsidRPr="005A24DB">
              <w:rPr>
                <w:rFonts w:ascii="Times New Roman" w:hAnsi="Times New Roman"/>
                <w:i/>
                <w:iCs/>
                <w:sz w:val="24"/>
                <w:szCs w:val="24"/>
              </w:rPr>
              <w:t>euro</w:t>
            </w:r>
            <w:r w:rsidR="00607BC3" w:rsidRPr="005A24DB">
              <w:rPr>
                <w:rFonts w:ascii="Times New Roman" w:hAnsi="Times New Roman"/>
                <w:iCs/>
                <w:sz w:val="24"/>
                <w:szCs w:val="24"/>
              </w:rPr>
              <w:t>)</w:t>
            </w:r>
            <w:r w:rsidRPr="005A24DB">
              <w:rPr>
                <w:rFonts w:ascii="Times New Roman" w:hAnsi="Times New Roman"/>
                <w:iCs/>
                <w:sz w:val="24"/>
                <w:szCs w:val="24"/>
              </w:rPr>
              <w:t>.</w:t>
            </w:r>
          </w:p>
          <w:p w:rsidR="00B65715" w:rsidRPr="005A24DB" w:rsidRDefault="00E36A02" w:rsidP="00920EB8">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TP</w:t>
            </w:r>
            <w:r w:rsidR="00920EB8" w:rsidRPr="005A24DB">
              <w:rPr>
                <w:rFonts w:ascii="Times New Roman" w:hAnsi="Times New Roman"/>
                <w:sz w:val="24"/>
                <w:szCs w:val="24"/>
              </w:rPr>
              <w:t xml:space="preserve"> </w:t>
            </w:r>
            <w:r w:rsidR="002A66EE" w:rsidRPr="005A24DB">
              <w:rPr>
                <w:rFonts w:ascii="Times New Roman" w:hAnsi="Times New Roman"/>
                <w:sz w:val="24"/>
                <w:szCs w:val="24"/>
              </w:rPr>
              <w:t xml:space="preserve">izstrāde </w:t>
            </w:r>
            <w:r w:rsidR="00332653" w:rsidRPr="005A24DB">
              <w:rPr>
                <w:rFonts w:ascii="Times New Roman" w:hAnsi="Times New Roman"/>
                <w:sz w:val="24"/>
                <w:szCs w:val="24"/>
              </w:rPr>
              <w:t xml:space="preserve">un ekspertīze </w:t>
            </w:r>
            <w:r w:rsidR="002A66EE" w:rsidRPr="005A24DB">
              <w:rPr>
                <w:rFonts w:ascii="Times New Roman" w:hAnsi="Times New Roman"/>
                <w:sz w:val="24"/>
                <w:szCs w:val="24"/>
              </w:rPr>
              <w:t>tiek plānot</w:t>
            </w:r>
            <w:r w:rsidR="00332653" w:rsidRPr="005A24DB">
              <w:rPr>
                <w:rFonts w:ascii="Times New Roman" w:hAnsi="Times New Roman"/>
                <w:sz w:val="24"/>
                <w:szCs w:val="24"/>
              </w:rPr>
              <w:t>a</w:t>
            </w:r>
            <w:r w:rsidR="002A66EE" w:rsidRPr="005A24DB">
              <w:rPr>
                <w:rFonts w:ascii="Times New Roman" w:hAnsi="Times New Roman"/>
                <w:sz w:val="24"/>
                <w:szCs w:val="24"/>
              </w:rPr>
              <w:t xml:space="preserve"> līdz 201</w:t>
            </w:r>
            <w:r w:rsidR="00AB0E64" w:rsidRPr="005A24DB">
              <w:rPr>
                <w:rFonts w:ascii="Times New Roman" w:hAnsi="Times New Roman"/>
                <w:sz w:val="24"/>
                <w:szCs w:val="24"/>
              </w:rPr>
              <w:t>4</w:t>
            </w:r>
            <w:r w:rsidR="002A66EE" w:rsidRPr="005A24DB">
              <w:rPr>
                <w:rFonts w:ascii="Times New Roman" w:hAnsi="Times New Roman"/>
                <w:sz w:val="24"/>
                <w:szCs w:val="24"/>
              </w:rPr>
              <w:t xml:space="preserve">.gada </w:t>
            </w:r>
            <w:r w:rsidR="00AB0E64" w:rsidRPr="005A24DB">
              <w:rPr>
                <w:rFonts w:ascii="Times New Roman" w:hAnsi="Times New Roman"/>
                <w:sz w:val="24"/>
                <w:szCs w:val="24"/>
              </w:rPr>
              <w:t>31.oktobrim</w:t>
            </w:r>
            <w:r w:rsidR="002A66EE" w:rsidRPr="005A24DB">
              <w:rPr>
                <w:rFonts w:ascii="Times New Roman" w:hAnsi="Times New Roman"/>
                <w:sz w:val="24"/>
                <w:szCs w:val="24"/>
              </w:rPr>
              <w:t xml:space="preserve"> un pēc </w:t>
            </w:r>
            <w:r w:rsidR="00920EB8" w:rsidRPr="005A24DB">
              <w:rPr>
                <w:rFonts w:ascii="Times New Roman" w:hAnsi="Times New Roman"/>
                <w:sz w:val="24"/>
                <w:szCs w:val="24"/>
              </w:rPr>
              <w:t xml:space="preserve">dokumentācijas </w:t>
            </w:r>
            <w:r w:rsidR="001E09B6" w:rsidRPr="005A24DB">
              <w:rPr>
                <w:rFonts w:ascii="Times New Roman" w:hAnsi="Times New Roman"/>
                <w:sz w:val="24"/>
                <w:szCs w:val="24"/>
              </w:rPr>
              <w:t>akceptēšanas</w:t>
            </w:r>
            <w:r w:rsidR="00920EB8" w:rsidRPr="005A24DB">
              <w:rPr>
                <w:rFonts w:ascii="Times New Roman" w:hAnsi="Times New Roman"/>
                <w:sz w:val="24"/>
                <w:szCs w:val="24"/>
              </w:rPr>
              <w:t xml:space="preserve"> tiks uzsākts darbs pie iepirkuma procedūras būvniecības darbiem</w:t>
            </w:r>
            <w:r w:rsidR="004B4F67" w:rsidRPr="005A24DB">
              <w:rPr>
                <w:rFonts w:ascii="Times New Roman" w:hAnsi="Times New Roman"/>
                <w:sz w:val="24"/>
                <w:szCs w:val="24"/>
              </w:rPr>
              <w:t xml:space="preserve">. Iepirkumu procedūru </w:t>
            </w:r>
            <w:r w:rsidR="002A66EE" w:rsidRPr="005A24DB">
              <w:rPr>
                <w:rFonts w:ascii="Times New Roman" w:hAnsi="Times New Roman"/>
                <w:sz w:val="24"/>
                <w:szCs w:val="24"/>
              </w:rPr>
              <w:t xml:space="preserve">būvniecības darbiem šobrīd  tiek </w:t>
            </w:r>
            <w:r w:rsidR="00920EB8" w:rsidRPr="005A24DB">
              <w:rPr>
                <w:rFonts w:ascii="Times New Roman" w:hAnsi="Times New Roman"/>
                <w:sz w:val="24"/>
                <w:szCs w:val="24"/>
              </w:rPr>
              <w:t>plānots pabeigt līdz 201</w:t>
            </w:r>
            <w:r w:rsidR="002A66EE" w:rsidRPr="005A24DB">
              <w:rPr>
                <w:rFonts w:ascii="Times New Roman" w:hAnsi="Times New Roman"/>
                <w:sz w:val="24"/>
                <w:szCs w:val="24"/>
              </w:rPr>
              <w:t>5</w:t>
            </w:r>
            <w:r w:rsidR="00920EB8" w:rsidRPr="005A24DB">
              <w:rPr>
                <w:rFonts w:ascii="Times New Roman" w:hAnsi="Times New Roman"/>
                <w:sz w:val="24"/>
                <w:szCs w:val="24"/>
              </w:rPr>
              <w:t xml:space="preserve">.gada </w:t>
            </w:r>
            <w:r w:rsidR="00B65715" w:rsidRPr="005A24DB">
              <w:rPr>
                <w:rFonts w:ascii="Times New Roman" w:hAnsi="Times New Roman"/>
                <w:sz w:val="24"/>
                <w:szCs w:val="24"/>
              </w:rPr>
              <w:t>oktobrim</w:t>
            </w:r>
            <w:r w:rsidR="00920EB8" w:rsidRPr="005A24DB">
              <w:rPr>
                <w:rFonts w:ascii="Times New Roman" w:hAnsi="Times New Roman"/>
                <w:sz w:val="24"/>
                <w:szCs w:val="24"/>
              </w:rPr>
              <w:t>. Savukārt būvniecības darbus plānots pabeigt līdz 201</w:t>
            </w:r>
            <w:r w:rsidR="00833ABA" w:rsidRPr="005A24DB">
              <w:rPr>
                <w:rFonts w:ascii="Times New Roman" w:hAnsi="Times New Roman"/>
                <w:sz w:val="24"/>
                <w:szCs w:val="24"/>
              </w:rPr>
              <w:t>6</w:t>
            </w:r>
            <w:r w:rsidR="00920EB8" w:rsidRPr="005A24DB">
              <w:rPr>
                <w:rFonts w:ascii="Times New Roman" w:hAnsi="Times New Roman"/>
                <w:sz w:val="24"/>
                <w:szCs w:val="24"/>
              </w:rPr>
              <w:t xml:space="preserve">.gada </w:t>
            </w:r>
            <w:r w:rsidR="00B65715" w:rsidRPr="005A24DB">
              <w:rPr>
                <w:rFonts w:ascii="Times New Roman" w:hAnsi="Times New Roman"/>
                <w:sz w:val="24"/>
                <w:szCs w:val="24"/>
              </w:rPr>
              <w:t>1.oktobrim.</w:t>
            </w:r>
          </w:p>
          <w:p w:rsidR="00920EB8" w:rsidRPr="005A24DB" w:rsidRDefault="00332653" w:rsidP="00920EB8">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B</w:t>
            </w:r>
            <w:r w:rsidR="00B65715" w:rsidRPr="005A24DB">
              <w:rPr>
                <w:rFonts w:ascii="Times New Roman" w:hAnsi="Times New Roman"/>
                <w:sz w:val="24"/>
                <w:szCs w:val="24"/>
              </w:rPr>
              <w:t xml:space="preserve">ūvniecības </w:t>
            </w:r>
            <w:r w:rsidR="00953931" w:rsidRPr="005A24DB">
              <w:rPr>
                <w:rFonts w:ascii="Times New Roman" w:hAnsi="Times New Roman"/>
                <w:sz w:val="24"/>
                <w:szCs w:val="24"/>
              </w:rPr>
              <w:t xml:space="preserve">I kārtas </w:t>
            </w:r>
            <w:r w:rsidR="003A1F15" w:rsidRPr="005A24DB">
              <w:rPr>
                <w:rFonts w:ascii="Times New Roman" w:hAnsi="Times New Roman"/>
                <w:sz w:val="24"/>
                <w:szCs w:val="24"/>
              </w:rPr>
              <w:t xml:space="preserve">provizoriskais </w:t>
            </w:r>
            <w:r w:rsidR="00953931" w:rsidRPr="005A24DB">
              <w:rPr>
                <w:rFonts w:ascii="Times New Roman" w:hAnsi="Times New Roman"/>
                <w:sz w:val="24"/>
                <w:szCs w:val="24"/>
              </w:rPr>
              <w:t>darbu izpildes laika grafiks</w:t>
            </w:r>
            <w:r w:rsidR="00B65715" w:rsidRPr="005A24DB">
              <w:rPr>
                <w:rFonts w:ascii="Times New Roman" w:hAnsi="Times New Roman"/>
                <w:sz w:val="24"/>
                <w:szCs w:val="24"/>
              </w:rPr>
              <w:t>:</w:t>
            </w:r>
            <w:r w:rsidR="00920EB8" w:rsidRPr="005A24DB">
              <w:rPr>
                <w:rFonts w:ascii="Times New Roman" w:hAnsi="Times New Roman"/>
                <w:sz w:val="24"/>
                <w:szCs w:val="24"/>
              </w:rPr>
              <w:t xml:space="preserve"> </w:t>
            </w:r>
          </w:p>
          <w:tbl>
            <w:tblPr>
              <w:tblW w:w="63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
              <w:gridCol w:w="1815"/>
              <w:gridCol w:w="1208"/>
              <w:gridCol w:w="1309"/>
              <w:gridCol w:w="1569"/>
            </w:tblGrid>
            <w:tr w:rsidR="00D73C9B" w:rsidRPr="005A24DB" w:rsidTr="00D73C9B">
              <w:trPr>
                <w:trHeight w:val="331"/>
                <w:jc w:val="center"/>
              </w:trPr>
              <w:tc>
                <w:tcPr>
                  <w:tcW w:w="474" w:type="dxa"/>
                  <w:shd w:val="clear" w:color="000000" w:fill="F2F2F2"/>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Nr.</w:t>
                  </w:r>
                  <w:r w:rsidRPr="005A24DB">
                    <w:rPr>
                      <w:rFonts w:ascii="Times New Roman" w:eastAsia="Times New Roman" w:hAnsi="Times New Roman" w:cs="Times New Roman"/>
                      <w:bCs/>
                      <w:sz w:val="16"/>
                      <w:szCs w:val="16"/>
                    </w:rPr>
                    <w:br/>
                    <w:t>p.k.</w:t>
                  </w:r>
                </w:p>
              </w:tc>
              <w:tc>
                <w:tcPr>
                  <w:tcW w:w="1815" w:type="dxa"/>
                  <w:shd w:val="clear" w:color="000000" w:fill="F2F2F2"/>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Darbība</w:t>
                  </w:r>
                </w:p>
              </w:tc>
              <w:tc>
                <w:tcPr>
                  <w:tcW w:w="1208" w:type="dxa"/>
                  <w:shd w:val="clear" w:color="000000" w:fill="F2F2F2"/>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Uzsākts (gggg.mm.dd.)</w:t>
                  </w:r>
                </w:p>
              </w:tc>
              <w:tc>
                <w:tcPr>
                  <w:tcW w:w="1309" w:type="dxa"/>
                  <w:shd w:val="clear" w:color="000000" w:fill="F2F2F2"/>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Pabeigts</w:t>
                  </w:r>
                  <w:r w:rsidRPr="005A24DB">
                    <w:rPr>
                      <w:rFonts w:ascii="Times New Roman" w:eastAsia="Times New Roman" w:hAnsi="Times New Roman" w:cs="Times New Roman"/>
                      <w:bCs/>
                      <w:sz w:val="16"/>
                      <w:szCs w:val="16"/>
                    </w:rPr>
                    <w:br/>
                    <w:t>(gggg.mm.dd.)</w:t>
                  </w:r>
                </w:p>
              </w:tc>
              <w:tc>
                <w:tcPr>
                  <w:tcW w:w="1569" w:type="dxa"/>
                  <w:shd w:val="clear" w:color="000000" w:fill="F2F2F2"/>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Vidējais mēnešu skaits</w:t>
                  </w:r>
                </w:p>
              </w:tc>
            </w:tr>
            <w:tr w:rsidR="00D73C9B" w:rsidRPr="005A24DB" w:rsidTr="00A837A0">
              <w:trPr>
                <w:trHeight w:val="345"/>
                <w:jc w:val="center"/>
              </w:trPr>
              <w:tc>
                <w:tcPr>
                  <w:tcW w:w="474"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1</w:t>
                  </w:r>
                </w:p>
              </w:tc>
              <w:tc>
                <w:tcPr>
                  <w:tcW w:w="1815" w:type="dxa"/>
                  <w:shd w:val="clear" w:color="auto" w:fill="auto"/>
                  <w:vAlign w:val="center"/>
                  <w:hideMark/>
                </w:tcPr>
                <w:p w:rsidR="00D73C9B" w:rsidRPr="005A24DB" w:rsidRDefault="00D73C9B"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Tehniskā projekta izstrāde un ekspertīze</w:t>
                  </w:r>
                </w:p>
              </w:tc>
              <w:tc>
                <w:tcPr>
                  <w:tcW w:w="1208"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2014.08.01</w:t>
                  </w:r>
                </w:p>
              </w:tc>
              <w:tc>
                <w:tcPr>
                  <w:tcW w:w="1309"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w:t>
                  </w:r>
                  <w:r w:rsidR="00AB0E64" w:rsidRPr="005A24DB">
                    <w:rPr>
                      <w:rFonts w:ascii="Times New Roman" w:eastAsia="Times New Roman" w:hAnsi="Times New Roman" w:cs="Times New Roman"/>
                      <w:sz w:val="16"/>
                      <w:szCs w:val="16"/>
                    </w:rPr>
                    <w:t>4</w:t>
                  </w:r>
                  <w:r w:rsidRPr="005A24DB">
                    <w:rPr>
                      <w:rFonts w:ascii="Times New Roman" w:eastAsia="Times New Roman" w:hAnsi="Times New Roman" w:cs="Times New Roman"/>
                      <w:sz w:val="16"/>
                      <w:szCs w:val="16"/>
                    </w:rPr>
                    <w:t>.</w:t>
                  </w:r>
                  <w:r w:rsidR="00AB0E64" w:rsidRPr="005A24DB">
                    <w:rPr>
                      <w:rFonts w:ascii="Times New Roman" w:eastAsia="Times New Roman" w:hAnsi="Times New Roman" w:cs="Times New Roman"/>
                      <w:sz w:val="16"/>
                      <w:szCs w:val="16"/>
                    </w:rPr>
                    <w:t>10</w:t>
                  </w:r>
                  <w:r w:rsidRPr="005A24DB">
                    <w:rPr>
                      <w:rFonts w:ascii="Times New Roman" w:eastAsia="Times New Roman" w:hAnsi="Times New Roman" w:cs="Times New Roman"/>
                      <w:sz w:val="16"/>
                      <w:szCs w:val="16"/>
                    </w:rPr>
                    <w:t>.</w:t>
                  </w:r>
                  <w:r w:rsidR="00AB0E64" w:rsidRPr="005A24DB">
                    <w:rPr>
                      <w:rFonts w:ascii="Times New Roman" w:eastAsia="Times New Roman" w:hAnsi="Times New Roman" w:cs="Times New Roman"/>
                      <w:sz w:val="16"/>
                      <w:szCs w:val="16"/>
                    </w:rPr>
                    <w:t>31</w:t>
                  </w:r>
                </w:p>
              </w:tc>
              <w:tc>
                <w:tcPr>
                  <w:tcW w:w="1569" w:type="dxa"/>
                  <w:shd w:val="clear" w:color="auto" w:fill="auto"/>
                  <w:vAlign w:val="center"/>
                  <w:hideMark/>
                </w:tcPr>
                <w:p w:rsidR="00D73C9B" w:rsidRPr="005A24DB" w:rsidRDefault="00757849"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3</w:t>
                  </w:r>
                </w:p>
              </w:tc>
            </w:tr>
            <w:tr w:rsidR="00D73C9B" w:rsidRPr="005A24DB" w:rsidTr="00D73C9B">
              <w:trPr>
                <w:trHeight w:val="344"/>
                <w:jc w:val="center"/>
              </w:trPr>
              <w:tc>
                <w:tcPr>
                  <w:tcW w:w="474"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w:t>
                  </w:r>
                </w:p>
              </w:tc>
              <w:tc>
                <w:tcPr>
                  <w:tcW w:w="1815" w:type="dxa"/>
                  <w:shd w:val="clear" w:color="auto" w:fill="auto"/>
                  <w:vAlign w:val="center"/>
                  <w:hideMark/>
                </w:tcPr>
                <w:p w:rsidR="00D73C9B" w:rsidRPr="005A24DB" w:rsidRDefault="00D73C9B"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Iepirkuma procedūra būvniecības darbiem</w:t>
                  </w:r>
                </w:p>
              </w:tc>
              <w:tc>
                <w:tcPr>
                  <w:tcW w:w="1208"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2015.03.01</w:t>
                  </w:r>
                </w:p>
              </w:tc>
              <w:tc>
                <w:tcPr>
                  <w:tcW w:w="1309"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2015.09.30</w:t>
                  </w:r>
                </w:p>
              </w:tc>
              <w:tc>
                <w:tcPr>
                  <w:tcW w:w="1569"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7</w:t>
                  </w:r>
                </w:p>
              </w:tc>
            </w:tr>
            <w:tr w:rsidR="00D73C9B" w:rsidRPr="005A24DB" w:rsidTr="00D73C9B">
              <w:trPr>
                <w:trHeight w:val="255"/>
                <w:jc w:val="center"/>
              </w:trPr>
              <w:tc>
                <w:tcPr>
                  <w:tcW w:w="474"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3</w:t>
                  </w:r>
                </w:p>
              </w:tc>
              <w:tc>
                <w:tcPr>
                  <w:tcW w:w="1815" w:type="dxa"/>
                  <w:shd w:val="clear" w:color="auto" w:fill="auto"/>
                  <w:vAlign w:val="center"/>
                  <w:hideMark/>
                </w:tcPr>
                <w:p w:rsidR="00D73C9B" w:rsidRPr="005A24DB" w:rsidRDefault="00D73C9B"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Būvniecības darbi</w:t>
                  </w:r>
                </w:p>
              </w:tc>
              <w:tc>
                <w:tcPr>
                  <w:tcW w:w="1208"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2015.10.01</w:t>
                  </w:r>
                </w:p>
              </w:tc>
              <w:tc>
                <w:tcPr>
                  <w:tcW w:w="1309"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2016.10.01</w:t>
                  </w:r>
                </w:p>
              </w:tc>
              <w:tc>
                <w:tcPr>
                  <w:tcW w:w="1569" w:type="dxa"/>
                  <w:shd w:val="clear" w:color="auto" w:fill="auto"/>
                  <w:vAlign w:val="center"/>
                  <w:hideMark/>
                </w:tcPr>
                <w:p w:rsidR="00D73C9B" w:rsidRPr="005A24DB" w:rsidRDefault="00D73C9B"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12</w:t>
                  </w:r>
                </w:p>
              </w:tc>
            </w:tr>
          </w:tbl>
          <w:p w:rsidR="00A837A0" w:rsidRPr="005A24DB" w:rsidRDefault="00920EB8" w:rsidP="00920EB8">
            <w:pPr>
              <w:spacing w:after="120" w:line="240" w:lineRule="auto"/>
              <w:ind w:left="142" w:right="159" w:firstLine="11"/>
              <w:jc w:val="both"/>
              <w:rPr>
                <w:rFonts w:ascii="Times New Roman" w:hAnsi="Times New Roman"/>
                <w:color w:val="FF0000"/>
                <w:sz w:val="24"/>
                <w:szCs w:val="24"/>
              </w:rPr>
            </w:pPr>
            <w:r w:rsidRPr="005A24DB">
              <w:rPr>
                <w:rFonts w:ascii="Times New Roman" w:hAnsi="Times New Roman"/>
                <w:sz w:val="24"/>
                <w:szCs w:val="24"/>
              </w:rPr>
              <w:t>Līdz ar to atbilstoši precizētajam būvniecības darbu izpildes laika grafikam, nepieciešami grozījumi Ministru kabineta rīkojumā Nr.</w:t>
            </w:r>
            <w:r w:rsidR="00931B1C" w:rsidRPr="005A24DB">
              <w:rPr>
                <w:rFonts w:ascii="Times New Roman" w:hAnsi="Times New Roman"/>
                <w:sz w:val="24"/>
                <w:szCs w:val="24"/>
              </w:rPr>
              <w:t>307</w:t>
            </w:r>
            <w:r w:rsidRPr="005A24DB">
              <w:rPr>
                <w:rFonts w:ascii="Times New Roman" w:hAnsi="Times New Roman"/>
                <w:sz w:val="24"/>
                <w:szCs w:val="24"/>
              </w:rPr>
              <w:t xml:space="preserve">, lai pagarinātu (aktualizētu) </w:t>
            </w:r>
            <w:r w:rsidR="00931B1C" w:rsidRPr="005A24DB">
              <w:rPr>
                <w:rFonts w:ascii="Times New Roman" w:hAnsi="Times New Roman"/>
                <w:sz w:val="24"/>
                <w:szCs w:val="24"/>
              </w:rPr>
              <w:t xml:space="preserve">būvniecības I kārtas </w:t>
            </w:r>
            <w:r w:rsidRPr="005A24DB">
              <w:rPr>
                <w:rFonts w:ascii="Times New Roman" w:hAnsi="Times New Roman"/>
                <w:sz w:val="24"/>
                <w:szCs w:val="24"/>
              </w:rPr>
              <w:t xml:space="preserve">darbu pabeigšanas termiņu no </w:t>
            </w:r>
            <w:r w:rsidR="00F93A0C" w:rsidRPr="005A24DB">
              <w:rPr>
                <w:rFonts w:ascii="Times New Roman" w:hAnsi="Times New Roman"/>
                <w:sz w:val="24"/>
                <w:szCs w:val="24"/>
              </w:rPr>
              <w:t xml:space="preserve">provizoriski </w:t>
            </w:r>
            <w:r w:rsidRPr="005A24DB">
              <w:rPr>
                <w:rFonts w:ascii="Times New Roman" w:hAnsi="Times New Roman"/>
                <w:sz w:val="24"/>
                <w:szCs w:val="24"/>
              </w:rPr>
              <w:t xml:space="preserve">plānotā 2015.gada </w:t>
            </w:r>
            <w:r w:rsidR="00931B1C" w:rsidRPr="005A24DB">
              <w:rPr>
                <w:rFonts w:ascii="Times New Roman" w:hAnsi="Times New Roman"/>
                <w:sz w:val="24"/>
                <w:szCs w:val="24"/>
              </w:rPr>
              <w:t>1.aprīļa</w:t>
            </w:r>
            <w:r w:rsidR="00F93A0C" w:rsidRPr="005A24DB">
              <w:rPr>
                <w:rFonts w:ascii="Times New Roman" w:hAnsi="Times New Roman"/>
                <w:sz w:val="24"/>
                <w:szCs w:val="24"/>
              </w:rPr>
              <w:t xml:space="preserve"> līdz </w:t>
            </w:r>
            <w:r w:rsidR="00AA2099" w:rsidRPr="005A24DB">
              <w:rPr>
                <w:rFonts w:ascii="Times New Roman" w:hAnsi="Times New Roman"/>
                <w:sz w:val="24"/>
                <w:szCs w:val="24"/>
              </w:rPr>
              <w:t xml:space="preserve">2016.gada 1.oktobrim </w:t>
            </w:r>
            <w:r w:rsidR="00C74067" w:rsidRPr="005A24DB">
              <w:rPr>
                <w:rFonts w:ascii="Times New Roman" w:hAnsi="Times New Roman"/>
                <w:sz w:val="24"/>
                <w:szCs w:val="24"/>
              </w:rPr>
              <w:t xml:space="preserve">un </w:t>
            </w:r>
            <w:r w:rsidRPr="005A24DB">
              <w:rPr>
                <w:rFonts w:ascii="Times New Roman" w:hAnsi="Times New Roman"/>
                <w:sz w:val="24"/>
                <w:szCs w:val="24"/>
              </w:rPr>
              <w:t xml:space="preserve">precizētu </w:t>
            </w:r>
            <w:r w:rsidR="00AA2099" w:rsidRPr="005A24DB">
              <w:rPr>
                <w:rFonts w:ascii="Times New Roman" w:hAnsi="Times New Roman"/>
                <w:sz w:val="24"/>
                <w:szCs w:val="24"/>
              </w:rPr>
              <w:t>FM budžetā paredzēto finansējuma sadalījumu pa gadiem ilgtermiņa saistības ar būvniecību saistīto kapitālieguldījumu izdevumu segšanai VNĪ</w:t>
            </w:r>
            <w:r w:rsidR="00B65715" w:rsidRPr="005A24DB">
              <w:rPr>
                <w:rFonts w:ascii="Times New Roman" w:hAnsi="Times New Roman"/>
                <w:sz w:val="24"/>
                <w:szCs w:val="24"/>
              </w:rPr>
              <w:t xml:space="preserve"> (</w:t>
            </w:r>
            <w:r w:rsidR="00953931" w:rsidRPr="005A24DB">
              <w:rPr>
                <w:rFonts w:ascii="Times New Roman" w:hAnsi="Times New Roman"/>
                <w:sz w:val="24"/>
                <w:szCs w:val="24"/>
              </w:rPr>
              <w:t xml:space="preserve">precizējot </w:t>
            </w:r>
            <w:r w:rsidR="00B65715" w:rsidRPr="005A24DB">
              <w:rPr>
                <w:rFonts w:ascii="Times New Roman" w:hAnsi="Times New Roman"/>
                <w:sz w:val="24"/>
                <w:szCs w:val="24"/>
              </w:rPr>
              <w:t>tā kopējo apmēru)</w:t>
            </w:r>
            <w:r w:rsidR="00AE2D3F" w:rsidRPr="005A24DB">
              <w:rPr>
                <w:rFonts w:ascii="Times New Roman" w:hAnsi="Times New Roman"/>
                <w:sz w:val="24"/>
                <w:szCs w:val="24"/>
              </w:rPr>
              <w:t xml:space="preserve"> (detalizēts izdevumu aprēķins anotācijas pielikumā). </w:t>
            </w:r>
          </w:p>
          <w:p w:rsidR="00413792" w:rsidRPr="005A24DB" w:rsidRDefault="00A837A0" w:rsidP="00AA1C5A">
            <w:pPr>
              <w:spacing w:after="0" w:line="240" w:lineRule="auto"/>
              <w:ind w:left="142" w:right="159" w:firstLine="11"/>
              <w:jc w:val="both"/>
              <w:rPr>
                <w:rFonts w:ascii="Times New Roman" w:hAnsi="Times New Roman"/>
                <w:iCs/>
                <w:sz w:val="24"/>
                <w:szCs w:val="24"/>
              </w:rPr>
            </w:pPr>
            <w:r w:rsidRPr="005A24DB">
              <w:rPr>
                <w:rFonts w:ascii="Times New Roman" w:hAnsi="Times New Roman"/>
                <w:iCs/>
                <w:sz w:val="24"/>
                <w:szCs w:val="24"/>
                <w:u w:val="single"/>
              </w:rPr>
              <w:t xml:space="preserve">Būvniecības II kārtas īstenošana </w:t>
            </w:r>
            <w:r w:rsidR="00413792" w:rsidRPr="005A24DB">
              <w:rPr>
                <w:rFonts w:ascii="Times New Roman" w:hAnsi="Times New Roman"/>
                <w:iCs/>
                <w:sz w:val="24"/>
                <w:szCs w:val="24"/>
                <w:u w:val="single"/>
              </w:rPr>
              <w:t>:</w:t>
            </w:r>
          </w:p>
          <w:p w:rsidR="00160AB5" w:rsidRPr="005A24DB" w:rsidRDefault="00413792" w:rsidP="00413792">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xml:space="preserve">Šobrīd izstrādātajam un Rīgas pilsētas būvvaldē 2009.gada 7.aprīlī  saskaņotajam </w:t>
            </w:r>
            <w:r w:rsidR="00A84506" w:rsidRPr="005A24DB">
              <w:rPr>
                <w:rFonts w:ascii="Times New Roman" w:hAnsi="Times New Roman"/>
                <w:sz w:val="24"/>
                <w:szCs w:val="24"/>
              </w:rPr>
              <w:t>būvniecības II kārtas</w:t>
            </w:r>
            <w:r w:rsidRPr="005A24DB">
              <w:rPr>
                <w:rFonts w:ascii="Times New Roman" w:hAnsi="Times New Roman"/>
                <w:sz w:val="24"/>
                <w:szCs w:val="24"/>
              </w:rPr>
              <w:t xml:space="preserve"> skiču projektam ir beidzies derīguma termiņš. Līdz ar to, lai turpinātu darbu</w:t>
            </w:r>
            <w:r w:rsidR="00332653" w:rsidRPr="005A24DB">
              <w:rPr>
                <w:rFonts w:ascii="Times New Roman" w:hAnsi="Times New Roman"/>
                <w:sz w:val="24"/>
                <w:szCs w:val="24"/>
              </w:rPr>
              <w:t>s</w:t>
            </w:r>
            <w:r w:rsidRPr="005A24DB">
              <w:rPr>
                <w:rFonts w:ascii="Times New Roman" w:hAnsi="Times New Roman"/>
                <w:sz w:val="24"/>
                <w:szCs w:val="24"/>
              </w:rPr>
              <w:t xml:space="preserve"> būvniecības II kārtas ietvaros, nepieciešams veikt </w:t>
            </w:r>
            <w:r w:rsidR="00160AB5" w:rsidRPr="005A24DB">
              <w:rPr>
                <w:rFonts w:ascii="Times New Roman" w:hAnsi="Times New Roman"/>
                <w:sz w:val="24"/>
                <w:szCs w:val="24"/>
              </w:rPr>
              <w:t xml:space="preserve">atkārtotu </w:t>
            </w:r>
            <w:r w:rsidRPr="005A24DB">
              <w:rPr>
                <w:rFonts w:ascii="Times New Roman" w:hAnsi="Times New Roman"/>
                <w:sz w:val="24"/>
                <w:szCs w:val="24"/>
              </w:rPr>
              <w:t xml:space="preserve">skiču projekta </w:t>
            </w:r>
            <w:r w:rsidR="00332653" w:rsidRPr="005A24DB">
              <w:rPr>
                <w:rFonts w:ascii="Times New Roman" w:hAnsi="Times New Roman"/>
                <w:sz w:val="24"/>
                <w:szCs w:val="24"/>
              </w:rPr>
              <w:t xml:space="preserve">saskaņošanu </w:t>
            </w:r>
            <w:r w:rsidRPr="005A24DB">
              <w:rPr>
                <w:rFonts w:ascii="Times New Roman" w:hAnsi="Times New Roman"/>
                <w:sz w:val="24"/>
                <w:szCs w:val="24"/>
              </w:rPr>
              <w:t>Rīgas pilsētas būvvaldē</w:t>
            </w:r>
            <w:r w:rsidR="00160AB5" w:rsidRPr="005A24DB">
              <w:rPr>
                <w:rFonts w:ascii="Times New Roman" w:hAnsi="Times New Roman"/>
                <w:sz w:val="24"/>
                <w:szCs w:val="24"/>
              </w:rPr>
              <w:t xml:space="preserve"> un citās institūcijās.</w:t>
            </w:r>
            <w:r w:rsidRPr="005A24DB">
              <w:rPr>
                <w:rFonts w:ascii="Times New Roman" w:hAnsi="Times New Roman"/>
                <w:sz w:val="24"/>
                <w:szCs w:val="24"/>
              </w:rPr>
              <w:t xml:space="preserve"> </w:t>
            </w:r>
          </w:p>
          <w:p w:rsidR="00A6559E" w:rsidRPr="005A24DB" w:rsidRDefault="00A6559E" w:rsidP="00A6559E">
            <w:pPr>
              <w:spacing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t xml:space="preserve">Lai atjaunotu  darbu pie  Padomju okupācijas upuru piemiņas Memoriāla būvprojekta izstrādes, veicamas nepieciešamās darbības līguma noslēgšanai ar skiču projekta izstrādātāju SIA „Taktila”, vienojoties par projekta izstrādes līgumcenu un projekta izstrādes termiņu. </w:t>
            </w:r>
          </w:p>
          <w:p w:rsidR="00A84506" w:rsidRPr="005A24DB" w:rsidRDefault="00A84506" w:rsidP="00AA1C5A">
            <w:pPr>
              <w:spacing w:after="0" w:line="240" w:lineRule="auto"/>
              <w:ind w:left="142" w:right="159" w:firstLine="11"/>
              <w:jc w:val="both"/>
              <w:rPr>
                <w:rFonts w:ascii="Times New Roman" w:hAnsi="Times New Roman"/>
                <w:sz w:val="24"/>
                <w:szCs w:val="24"/>
              </w:rPr>
            </w:pPr>
            <w:r w:rsidRPr="005A24DB">
              <w:rPr>
                <w:rFonts w:ascii="Times New Roman" w:hAnsi="Times New Roman"/>
                <w:sz w:val="24"/>
                <w:szCs w:val="24"/>
              </w:rPr>
              <w:t>Pieņemot, ka skiču projekta aktualizācija varētu tikt pabeigta 2014.gada septembra beigās, TP izstrādi</w:t>
            </w:r>
            <w:r w:rsidR="00A6559E" w:rsidRPr="005A24DB">
              <w:rPr>
                <w:rFonts w:ascii="Times New Roman" w:hAnsi="Times New Roman"/>
                <w:sz w:val="24"/>
                <w:szCs w:val="24"/>
              </w:rPr>
              <w:t>, ekspertīzi</w:t>
            </w:r>
            <w:r w:rsidRPr="005A24DB">
              <w:rPr>
                <w:rFonts w:ascii="Times New Roman" w:hAnsi="Times New Roman"/>
                <w:sz w:val="24"/>
                <w:szCs w:val="24"/>
              </w:rPr>
              <w:t xml:space="preserve"> un tā akceptēšanu Rīgas pilsētas būvvaldē </w:t>
            </w:r>
            <w:r w:rsidR="00CC6B4A" w:rsidRPr="005A24DB">
              <w:rPr>
                <w:rFonts w:ascii="Times New Roman" w:hAnsi="Times New Roman"/>
                <w:sz w:val="24"/>
                <w:szCs w:val="24"/>
              </w:rPr>
              <w:t xml:space="preserve">varētu plānot </w:t>
            </w:r>
            <w:r w:rsidRPr="005A24DB">
              <w:rPr>
                <w:rFonts w:ascii="Times New Roman" w:hAnsi="Times New Roman"/>
                <w:sz w:val="24"/>
                <w:szCs w:val="24"/>
              </w:rPr>
              <w:t xml:space="preserve">līdz 2015.gada maijam. </w:t>
            </w:r>
            <w:r w:rsidR="00AA2099" w:rsidRPr="005A24DB">
              <w:rPr>
                <w:rFonts w:ascii="Times New Roman" w:hAnsi="Times New Roman"/>
                <w:sz w:val="24"/>
                <w:szCs w:val="24"/>
              </w:rPr>
              <w:t xml:space="preserve">Pirms tam nepieciešams pabeigt </w:t>
            </w:r>
            <w:r w:rsidR="00A6559E" w:rsidRPr="005A24DB">
              <w:rPr>
                <w:rFonts w:ascii="Times New Roman" w:hAnsi="Times New Roman"/>
                <w:sz w:val="24"/>
                <w:szCs w:val="24"/>
              </w:rPr>
              <w:t>iepirkuma</w:t>
            </w:r>
            <w:r w:rsidR="00AA2099" w:rsidRPr="005A24DB">
              <w:rPr>
                <w:rFonts w:ascii="Times New Roman" w:hAnsi="Times New Roman"/>
                <w:sz w:val="24"/>
                <w:szCs w:val="24"/>
              </w:rPr>
              <w:t xml:space="preserve"> procedūru par TP izstrādi. </w:t>
            </w:r>
            <w:r w:rsidR="00CC6B4A" w:rsidRPr="005A24DB">
              <w:rPr>
                <w:rFonts w:ascii="Times New Roman" w:hAnsi="Times New Roman"/>
                <w:sz w:val="24"/>
                <w:szCs w:val="24"/>
              </w:rPr>
              <w:t>Līdz ar to, ja būvniecības I</w:t>
            </w:r>
            <w:r w:rsidR="00160AB5" w:rsidRPr="005A24DB">
              <w:rPr>
                <w:rFonts w:ascii="Times New Roman" w:hAnsi="Times New Roman"/>
                <w:sz w:val="24"/>
                <w:szCs w:val="24"/>
              </w:rPr>
              <w:t>I</w:t>
            </w:r>
            <w:r w:rsidR="00CC6B4A" w:rsidRPr="005A24DB">
              <w:rPr>
                <w:rFonts w:ascii="Times New Roman" w:hAnsi="Times New Roman"/>
                <w:sz w:val="24"/>
                <w:szCs w:val="24"/>
              </w:rPr>
              <w:t xml:space="preserve"> kārtas būvdarbus varētu uzsākt 2016.gada janvārī, </w:t>
            </w:r>
            <w:r w:rsidR="00CC6B4A" w:rsidRPr="005A24DB">
              <w:rPr>
                <w:rFonts w:ascii="Times New Roman" w:hAnsi="Times New Roman"/>
                <w:iCs/>
                <w:sz w:val="24"/>
                <w:szCs w:val="24"/>
              </w:rPr>
              <w:t>MK rīkojum</w:t>
            </w:r>
            <w:r w:rsidR="00160AB5" w:rsidRPr="005A24DB">
              <w:rPr>
                <w:rFonts w:ascii="Times New Roman" w:hAnsi="Times New Roman"/>
                <w:iCs/>
                <w:sz w:val="24"/>
                <w:szCs w:val="24"/>
              </w:rPr>
              <w:t>ā</w:t>
            </w:r>
            <w:r w:rsidR="00CC6B4A" w:rsidRPr="005A24DB">
              <w:rPr>
                <w:rFonts w:ascii="Times New Roman" w:hAnsi="Times New Roman"/>
                <w:iCs/>
                <w:sz w:val="24"/>
                <w:szCs w:val="24"/>
              </w:rPr>
              <w:t xml:space="preserve"> Nr.307 norādītais būvniecības II kārtas darbu pabeigšanas termiņš līdz 2017.gada </w:t>
            </w:r>
            <w:r w:rsidR="00CC6B4A" w:rsidRPr="005A24DB">
              <w:rPr>
                <w:rFonts w:ascii="Times New Roman" w:hAnsi="Times New Roman"/>
                <w:sz w:val="24"/>
                <w:szCs w:val="24"/>
              </w:rPr>
              <w:t xml:space="preserve">1.jūlijam, </w:t>
            </w:r>
            <w:r w:rsidR="00953931" w:rsidRPr="005A24DB">
              <w:rPr>
                <w:rFonts w:ascii="Times New Roman" w:hAnsi="Times New Roman"/>
                <w:sz w:val="24"/>
                <w:szCs w:val="24"/>
              </w:rPr>
              <w:t>tiks</w:t>
            </w:r>
            <w:r w:rsidR="00CC6B4A" w:rsidRPr="005A24DB">
              <w:rPr>
                <w:rFonts w:ascii="Times New Roman" w:hAnsi="Times New Roman"/>
                <w:sz w:val="24"/>
                <w:szCs w:val="24"/>
              </w:rPr>
              <w:t xml:space="preserve"> </w:t>
            </w:r>
            <w:r w:rsidR="00AA2099" w:rsidRPr="005A24DB">
              <w:rPr>
                <w:rFonts w:ascii="Times New Roman" w:hAnsi="Times New Roman"/>
                <w:sz w:val="24"/>
                <w:szCs w:val="24"/>
              </w:rPr>
              <w:t>ievērots</w:t>
            </w:r>
            <w:r w:rsidR="00CC6B4A" w:rsidRPr="005A24DB">
              <w:rPr>
                <w:rFonts w:ascii="Times New Roman" w:hAnsi="Times New Roman"/>
                <w:sz w:val="24"/>
                <w:szCs w:val="24"/>
              </w:rPr>
              <w:t>.</w:t>
            </w:r>
            <w:r w:rsidR="00A6559E" w:rsidRPr="005A24DB">
              <w:rPr>
                <w:rFonts w:ascii="Times New Roman" w:hAnsi="Times New Roman"/>
                <w:sz w:val="24"/>
                <w:szCs w:val="24"/>
              </w:rPr>
              <w:t xml:space="preserve"> Jāvērš uzmanība, ka būvniecības darbu laika grafika izstrādē ievērots arī nosacījums, ka nebūtu vēlams uzsākt būvdarbus pirms Valsts prezidenta darba telpas tiek pārvietotas no Melngalvja nama uz Rīgas pils telpām</w:t>
            </w:r>
            <w:r w:rsidR="001E133F" w:rsidRPr="005A24DB">
              <w:rPr>
                <w:rFonts w:ascii="Times New Roman" w:hAnsi="Times New Roman"/>
                <w:sz w:val="24"/>
                <w:szCs w:val="24"/>
              </w:rPr>
              <w:t>.</w:t>
            </w:r>
          </w:p>
          <w:p w:rsidR="00953931" w:rsidRPr="005A24DB" w:rsidRDefault="00332653" w:rsidP="00AA1C5A">
            <w:pPr>
              <w:spacing w:after="0" w:line="240" w:lineRule="auto"/>
              <w:ind w:left="142" w:right="159" w:firstLine="11"/>
              <w:jc w:val="both"/>
              <w:rPr>
                <w:rFonts w:ascii="Times New Roman" w:hAnsi="Times New Roman"/>
                <w:sz w:val="24"/>
                <w:szCs w:val="24"/>
              </w:rPr>
            </w:pPr>
            <w:r w:rsidRPr="005A24DB">
              <w:rPr>
                <w:rFonts w:ascii="Times New Roman" w:hAnsi="Times New Roman"/>
                <w:sz w:val="24"/>
                <w:szCs w:val="24"/>
              </w:rPr>
              <w:t>B</w:t>
            </w:r>
            <w:r w:rsidR="00953931" w:rsidRPr="005A24DB">
              <w:rPr>
                <w:rFonts w:ascii="Times New Roman" w:hAnsi="Times New Roman"/>
                <w:sz w:val="24"/>
                <w:szCs w:val="24"/>
              </w:rPr>
              <w:t xml:space="preserve">ūvniecības II kārtas </w:t>
            </w:r>
            <w:r w:rsidR="003A1F15" w:rsidRPr="005A24DB">
              <w:rPr>
                <w:rFonts w:ascii="Times New Roman" w:hAnsi="Times New Roman"/>
                <w:sz w:val="24"/>
                <w:szCs w:val="24"/>
              </w:rPr>
              <w:t xml:space="preserve"> provizoriskais </w:t>
            </w:r>
            <w:r w:rsidR="00953931" w:rsidRPr="005A24DB">
              <w:rPr>
                <w:rFonts w:ascii="Times New Roman" w:hAnsi="Times New Roman"/>
                <w:sz w:val="24"/>
                <w:szCs w:val="24"/>
              </w:rPr>
              <w:t xml:space="preserve">darbu izpildes laika grafiks: </w:t>
            </w:r>
          </w:p>
          <w:tbl>
            <w:tblPr>
              <w:tblW w:w="6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
              <w:gridCol w:w="1911"/>
              <w:gridCol w:w="1329"/>
              <w:gridCol w:w="1313"/>
              <w:gridCol w:w="1289"/>
            </w:tblGrid>
            <w:tr w:rsidR="00B65715" w:rsidRPr="005A24DB" w:rsidTr="00953931">
              <w:trPr>
                <w:trHeight w:val="419"/>
                <w:jc w:val="center"/>
              </w:trPr>
              <w:tc>
                <w:tcPr>
                  <w:tcW w:w="509" w:type="dxa"/>
                  <w:shd w:val="clear" w:color="000000" w:fill="F2F2F2"/>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Nr.</w:t>
                  </w:r>
                  <w:r w:rsidRPr="005A24DB">
                    <w:rPr>
                      <w:rFonts w:ascii="Times New Roman" w:eastAsia="Times New Roman" w:hAnsi="Times New Roman" w:cs="Times New Roman"/>
                      <w:bCs/>
                      <w:sz w:val="16"/>
                      <w:szCs w:val="16"/>
                    </w:rPr>
                    <w:br/>
                    <w:t>p.k.</w:t>
                  </w:r>
                </w:p>
              </w:tc>
              <w:tc>
                <w:tcPr>
                  <w:tcW w:w="1911" w:type="dxa"/>
                  <w:shd w:val="clear" w:color="000000" w:fill="F2F2F2"/>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Darbība</w:t>
                  </w:r>
                </w:p>
              </w:tc>
              <w:tc>
                <w:tcPr>
                  <w:tcW w:w="1329" w:type="dxa"/>
                  <w:shd w:val="clear" w:color="000000" w:fill="F2F2F2"/>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Uzsākts (gggg.mm.dd.)</w:t>
                  </w:r>
                </w:p>
              </w:tc>
              <w:tc>
                <w:tcPr>
                  <w:tcW w:w="1313" w:type="dxa"/>
                  <w:shd w:val="clear" w:color="000000" w:fill="F2F2F2"/>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Pabeigts</w:t>
                  </w:r>
                  <w:r w:rsidRPr="005A24DB">
                    <w:rPr>
                      <w:rFonts w:ascii="Times New Roman" w:eastAsia="Times New Roman" w:hAnsi="Times New Roman" w:cs="Times New Roman"/>
                      <w:bCs/>
                      <w:sz w:val="16"/>
                      <w:szCs w:val="16"/>
                    </w:rPr>
                    <w:br/>
                    <w:t>(gggg.mm.dd.)</w:t>
                  </w:r>
                </w:p>
              </w:tc>
              <w:tc>
                <w:tcPr>
                  <w:tcW w:w="1289" w:type="dxa"/>
                  <w:shd w:val="clear" w:color="000000" w:fill="F2F2F2"/>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bCs/>
                      <w:sz w:val="16"/>
                      <w:szCs w:val="16"/>
                    </w:rPr>
                  </w:pPr>
                  <w:r w:rsidRPr="005A24DB">
                    <w:rPr>
                      <w:rFonts w:ascii="Times New Roman" w:eastAsia="Times New Roman" w:hAnsi="Times New Roman" w:cs="Times New Roman"/>
                      <w:bCs/>
                      <w:sz w:val="16"/>
                      <w:szCs w:val="16"/>
                    </w:rPr>
                    <w:t>Vidējais mēnešu skaits</w:t>
                  </w:r>
                </w:p>
              </w:tc>
            </w:tr>
            <w:tr w:rsidR="00B65715" w:rsidRPr="005A24DB" w:rsidTr="00953931">
              <w:trPr>
                <w:trHeight w:val="343"/>
                <w:jc w:val="center"/>
              </w:trPr>
              <w:tc>
                <w:tcPr>
                  <w:tcW w:w="50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1</w:t>
                  </w:r>
                </w:p>
              </w:tc>
              <w:tc>
                <w:tcPr>
                  <w:tcW w:w="1911" w:type="dxa"/>
                  <w:shd w:val="clear" w:color="auto" w:fill="auto"/>
                  <w:vAlign w:val="center"/>
                  <w:hideMark/>
                </w:tcPr>
                <w:p w:rsidR="00B65715" w:rsidRPr="005A24DB" w:rsidRDefault="00A6559E"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Iepirkuma</w:t>
                  </w:r>
                  <w:r w:rsidR="00B65715" w:rsidRPr="005A24DB">
                    <w:rPr>
                      <w:rFonts w:ascii="Times New Roman" w:eastAsia="Times New Roman" w:hAnsi="Times New Roman" w:cs="Times New Roman"/>
                      <w:sz w:val="16"/>
                      <w:szCs w:val="16"/>
                    </w:rPr>
                    <w:t xml:space="preserve"> procedūra tehniskā projekta izstrādei</w:t>
                  </w:r>
                </w:p>
              </w:tc>
              <w:tc>
                <w:tcPr>
                  <w:tcW w:w="132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2014.08.01</w:t>
                  </w:r>
                </w:p>
              </w:tc>
              <w:tc>
                <w:tcPr>
                  <w:tcW w:w="1313"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2014.09.30</w:t>
                  </w:r>
                </w:p>
              </w:tc>
              <w:tc>
                <w:tcPr>
                  <w:tcW w:w="128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w:t>
                  </w:r>
                </w:p>
              </w:tc>
            </w:tr>
            <w:tr w:rsidR="00B65715" w:rsidRPr="005A24DB" w:rsidTr="00953931">
              <w:trPr>
                <w:trHeight w:val="250"/>
                <w:jc w:val="center"/>
              </w:trPr>
              <w:tc>
                <w:tcPr>
                  <w:tcW w:w="50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w:t>
                  </w:r>
                </w:p>
              </w:tc>
              <w:tc>
                <w:tcPr>
                  <w:tcW w:w="1911" w:type="dxa"/>
                  <w:shd w:val="clear" w:color="auto" w:fill="auto"/>
                  <w:vAlign w:val="center"/>
                  <w:hideMark/>
                </w:tcPr>
                <w:p w:rsidR="00B65715" w:rsidRPr="005A24DB" w:rsidRDefault="00B65715"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Tehniskā projekta izstrāde un ekspertīze</w:t>
                  </w:r>
                </w:p>
              </w:tc>
              <w:tc>
                <w:tcPr>
                  <w:tcW w:w="132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2014.10.01</w:t>
                  </w:r>
                </w:p>
              </w:tc>
              <w:tc>
                <w:tcPr>
                  <w:tcW w:w="1313"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2015.04.30</w:t>
                  </w:r>
                </w:p>
              </w:tc>
              <w:tc>
                <w:tcPr>
                  <w:tcW w:w="128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7</w:t>
                  </w:r>
                </w:p>
              </w:tc>
            </w:tr>
            <w:tr w:rsidR="00B65715" w:rsidRPr="005A24DB" w:rsidTr="00953931">
              <w:trPr>
                <w:trHeight w:val="365"/>
                <w:jc w:val="center"/>
              </w:trPr>
              <w:tc>
                <w:tcPr>
                  <w:tcW w:w="50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3</w:t>
                  </w:r>
                </w:p>
              </w:tc>
              <w:tc>
                <w:tcPr>
                  <w:tcW w:w="1911" w:type="dxa"/>
                  <w:shd w:val="clear" w:color="auto" w:fill="auto"/>
                  <w:vAlign w:val="center"/>
                  <w:hideMark/>
                </w:tcPr>
                <w:p w:rsidR="00B65715" w:rsidRPr="005A24DB" w:rsidRDefault="00B65715"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Iepirkuma procedūra būvniecības darbiem</w:t>
                  </w:r>
                </w:p>
              </w:tc>
              <w:tc>
                <w:tcPr>
                  <w:tcW w:w="132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2015.05.01</w:t>
                  </w:r>
                </w:p>
              </w:tc>
              <w:tc>
                <w:tcPr>
                  <w:tcW w:w="1313"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2015.12.31</w:t>
                  </w:r>
                </w:p>
              </w:tc>
              <w:tc>
                <w:tcPr>
                  <w:tcW w:w="128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8</w:t>
                  </w:r>
                </w:p>
              </w:tc>
            </w:tr>
            <w:tr w:rsidR="00B65715" w:rsidRPr="005A24DB" w:rsidTr="00953931">
              <w:trPr>
                <w:trHeight w:val="255"/>
                <w:jc w:val="center"/>
              </w:trPr>
              <w:tc>
                <w:tcPr>
                  <w:tcW w:w="50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4</w:t>
                  </w:r>
                </w:p>
              </w:tc>
              <w:tc>
                <w:tcPr>
                  <w:tcW w:w="1911" w:type="dxa"/>
                  <w:shd w:val="clear" w:color="auto" w:fill="auto"/>
                  <w:vAlign w:val="center"/>
                  <w:hideMark/>
                </w:tcPr>
                <w:p w:rsidR="00B65715" w:rsidRPr="005A24DB" w:rsidRDefault="00B65715" w:rsidP="002C4F7E">
                  <w:pPr>
                    <w:framePr w:hSpace="180" w:wrap="around" w:vAnchor="text" w:hAnchor="margin" w:xAlign="center" w:y="149"/>
                    <w:spacing w:after="0" w:line="240" w:lineRule="auto"/>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Būvniecības darbi</w:t>
                  </w:r>
                </w:p>
              </w:tc>
              <w:tc>
                <w:tcPr>
                  <w:tcW w:w="132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2016.01.01</w:t>
                  </w:r>
                </w:p>
              </w:tc>
              <w:tc>
                <w:tcPr>
                  <w:tcW w:w="1313"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2017.07.01</w:t>
                  </w:r>
                </w:p>
              </w:tc>
              <w:tc>
                <w:tcPr>
                  <w:tcW w:w="1289" w:type="dxa"/>
                  <w:shd w:val="clear" w:color="auto" w:fill="auto"/>
                  <w:vAlign w:val="center"/>
                  <w:hideMark/>
                </w:tcPr>
                <w:p w:rsidR="00B65715" w:rsidRPr="005A24DB" w:rsidRDefault="00B65715" w:rsidP="002C4F7E">
                  <w:pPr>
                    <w:framePr w:hSpace="180" w:wrap="around" w:vAnchor="text" w:hAnchor="margin" w:xAlign="center" w:y="149"/>
                    <w:spacing w:after="0" w:line="240" w:lineRule="auto"/>
                    <w:jc w:val="center"/>
                    <w:rPr>
                      <w:rFonts w:ascii="Times New Roman" w:eastAsia="Times New Roman" w:hAnsi="Times New Roman" w:cs="Times New Roman"/>
                      <w:sz w:val="16"/>
                      <w:szCs w:val="16"/>
                    </w:rPr>
                  </w:pPr>
                  <w:r w:rsidRPr="005A24DB">
                    <w:rPr>
                      <w:rFonts w:ascii="Times New Roman" w:eastAsia="Times New Roman" w:hAnsi="Times New Roman" w:cs="Times New Roman"/>
                      <w:sz w:val="16"/>
                      <w:szCs w:val="16"/>
                    </w:rPr>
                    <w:t>18</w:t>
                  </w:r>
                </w:p>
              </w:tc>
            </w:tr>
          </w:tbl>
          <w:p w:rsidR="00476E9D" w:rsidRPr="005A24DB" w:rsidRDefault="009A4344" w:rsidP="009A4344">
            <w:pPr>
              <w:spacing w:before="120" w:after="120" w:line="240" w:lineRule="auto"/>
              <w:ind w:left="142" w:right="159" w:firstLine="11"/>
              <w:jc w:val="both"/>
              <w:rPr>
                <w:rFonts w:ascii="Times New Roman" w:hAnsi="Times New Roman"/>
                <w:sz w:val="24"/>
                <w:szCs w:val="24"/>
              </w:rPr>
            </w:pPr>
            <w:r w:rsidRPr="005A24DB">
              <w:rPr>
                <w:rFonts w:ascii="Times New Roman" w:hAnsi="Times New Roman"/>
                <w:sz w:val="24"/>
                <w:szCs w:val="24"/>
              </w:rPr>
              <w:lastRenderedPageBreak/>
              <w:t>Kopējās b</w:t>
            </w:r>
            <w:r w:rsidR="00476E9D" w:rsidRPr="005A24DB">
              <w:rPr>
                <w:rFonts w:ascii="Times New Roman" w:hAnsi="Times New Roman"/>
                <w:sz w:val="24"/>
                <w:szCs w:val="24"/>
              </w:rPr>
              <w:t xml:space="preserve">ūvniecības </w:t>
            </w:r>
            <w:r w:rsidR="00AE2D3F" w:rsidRPr="005A24DB">
              <w:rPr>
                <w:rFonts w:ascii="Times New Roman" w:hAnsi="Times New Roman"/>
                <w:sz w:val="24"/>
                <w:szCs w:val="24"/>
              </w:rPr>
              <w:t xml:space="preserve">izmaksas </w:t>
            </w:r>
            <w:r w:rsidR="00476E9D" w:rsidRPr="005A24DB">
              <w:rPr>
                <w:rFonts w:ascii="Times New Roman" w:hAnsi="Times New Roman"/>
                <w:sz w:val="24"/>
                <w:szCs w:val="24"/>
              </w:rPr>
              <w:t xml:space="preserve">ir </w:t>
            </w:r>
            <w:r w:rsidR="00B34B3A" w:rsidRPr="005A24DB">
              <w:rPr>
                <w:rFonts w:ascii="Times New Roman" w:hAnsi="Times New Roman"/>
                <w:sz w:val="24"/>
                <w:szCs w:val="24"/>
              </w:rPr>
              <w:t xml:space="preserve">precizētas un </w:t>
            </w:r>
            <w:r w:rsidRPr="005A24DB">
              <w:rPr>
                <w:rFonts w:ascii="Times New Roman" w:hAnsi="Times New Roman"/>
                <w:sz w:val="24"/>
                <w:szCs w:val="24"/>
              </w:rPr>
              <w:t xml:space="preserve">šobrīd </w:t>
            </w:r>
            <w:r w:rsidR="00B34B3A" w:rsidRPr="005A24DB">
              <w:rPr>
                <w:rFonts w:ascii="Times New Roman" w:hAnsi="Times New Roman"/>
                <w:sz w:val="24"/>
                <w:szCs w:val="24"/>
              </w:rPr>
              <w:t xml:space="preserve">provizoriski noteiktas </w:t>
            </w:r>
            <w:r w:rsidRPr="005A24DB">
              <w:rPr>
                <w:rFonts w:ascii="Times New Roman" w:hAnsi="Times New Roman"/>
                <w:sz w:val="24"/>
                <w:szCs w:val="24"/>
              </w:rPr>
              <w:t xml:space="preserve">par </w:t>
            </w:r>
            <w:r w:rsidR="00476E9D" w:rsidRPr="005A24DB">
              <w:rPr>
                <w:rFonts w:ascii="Times New Roman" w:hAnsi="Times New Roman"/>
                <w:sz w:val="24"/>
                <w:szCs w:val="24"/>
              </w:rPr>
              <w:t>1,5 miljoni</w:t>
            </w:r>
            <w:r w:rsidR="00FA195D" w:rsidRPr="005A24DB">
              <w:rPr>
                <w:rFonts w:ascii="Times New Roman" w:hAnsi="Times New Roman"/>
                <w:sz w:val="24"/>
                <w:szCs w:val="24"/>
              </w:rPr>
              <w:t>em</w:t>
            </w:r>
            <w:r w:rsidR="00476E9D" w:rsidRPr="005A24DB">
              <w:rPr>
                <w:rFonts w:ascii="Times New Roman" w:hAnsi="Times New Roman"/>
                <w:sz w:val="24"/>
                <w:szCs w:val="24"/>
              </w:rPr>
              <w:t xml:space="preserve"> </w:t>
            </w:r>
            <w:r w:rsidR="00476E9D" w:rsidRPr="005A24DB">
              <w:rPr>
                <w:rFonts w:ascii="Times New Roman" w:hAnsi="Times New Roman"/>
                <w:i/>
                <w:sz w:val="24"/>
                <w:szCs w:val="24"/>
              </w:rPr>
              <w:t>euro</w:t>
            </w:r>
            <w:r w:rsidR="00476E9D" w:rsidRPr="005A24DB">
              <w:rPr>
                <w:rFonts w:ascii="Times New Roman" w:hAnsi="Times New Roman"/>
                <w:sz w:val="24"/>
                <w:szCs w:val="24"/>
              </w:rPr>
              <w:t xml:space="preserve"> lielākas nekā </w:t>
            </w:r>
            <w:r w:rsidRPr="005A24DB">
              <w:rPr>
                <w:rFonts w:ascii="Times New Roman" w:hAnsi="Times New Roman"/>
                <w:sz w:val="24"/>
                <w:szCs w:val="24"/>
              </w:rPr>
              <w:t xml:space="preserve">tika norādītas </w:t>
            </w:r>
            <w:r w:rsidR="00476E9D" w:rsidRPr="005A24DB">
              <w:rPr>
                <w:rFonts w:ascii="Times New Roman" w:hAnsi="Times New Roman"/>
                <w:sz w:val="24"/>
                <w:szCs w:val="24"/>
              </w:rPr>
              <w:t>MK rīkojuma Nr.307 anotācijas pielikum</w:t>
            </w:r>
            <w:r w:rsidRPr="005A24DB">
              <w:rPr>
                <w:rFonts w:ascii="Times New Roman" w:hAnsi="Times New Roman"/>
                <w:sz w:val="24"/>
                <w:szCs w:val="24"/>
              </w:rPr>
              <w:t>ā</w:t>
            </w:r>
            <w:r w:rsidR="00B34B3A" w:rsidRPr="005A24DB">
              <w:rPr>
                <w:rFonts w:ascii="Times New Roman" w:hAnsi="Times New Roman"/>
                <w:sz w:val="24"/>
                <w:szCs w:val="24"/>
              </w:rPr>
              <w:t>. Tomēr ņemot vērā to, ka par 8</w:t>
            </w:r>
            <w:r w:rsidR="00D01EEF" w:rsidRPr="005A24DB">
              <w:rPr>
                <w:rFonts w:ascii="Times New Roman" w:hAnsi="Times New Roman"/>
                <w:sz w:val="24"/>
                <w:szCs w:val="24"/>
              </w:rPr>
              <w:t>5</w:t>
            </w:r>
            <w:r w:rsidR="00B34B3A" w:rsidRPr="005A24DB">
              <w:rPr>
                <w:rFonts w:ascii="Times New Roman" w:hAnsi="Times New Roman"/>
                <w:sz w:val="24"/>
                <w:szCs w:val="24"/>
              </w:rPr>
              <w:t xml:space="preserve"> tūkst. </w:t>
            </w:r>
            <w:r w:rsidR="00B34B3A" w:rsidRPr="005A24DB">
              <w:rPr>
                <w:rFonts w:ascii="Times New Roman" w:hAnsi="Times New Roman"/>
                <w:i/>
                <w:sz w:val="24"/>
                <w:szCs w:val="24"/>
              </w:rPr>
              <w:t>euro</w:t>
            </w:r>
            <w:r w:rsidR="00B34B3A" w:rsidRPr="005A24DB">
              <w:rPr>
                <w:rFonts w:ascii="Times New Roman" w:hAnsi="Times New Roman"/>
                <w:sz w:val="24"/>
                <w:szCs w:val="24"/>
              </w:rPr>
              <w:t xml:space="preserve"> tiek samazināt</w:t>
            </w:r>
            <w:r w:rsidR="00A36BA3" w:rsidRPr="005A24DB">
              <w:rPr>
                <w:rFonts w:ascii="Times New Roman" w:hAnsi="Times New Roman"/>
                <w:sz w:val="24"/>
                <w:szCs w:val="24"/>
              </w:rPr>
              <w:t>a</w:t>
            </w:r>
            <w:r w:rsidR="00B34B3A" w:rsidRPr="005A24DB">
              <w:rPr>
                <w:rFonts w:ascii="Times New Roman" w:hAnsi="Times New Roman"/>
                <w:sz w:val="24"/>
                <w:szCs w:val="24"/>
              </w:rPr>
              <w:t>s plānot</w:t>
            </w:r>
            <w:r w:rsidR="00A36BA3" w:rsidRPr="005A24DB">
              <w:rPr>
                <w:rFonts w:ascii="Times New Roman" w:hAnsi="Times New Roman"/>
                <w:sz w:val="24"/>
                <w:szCs w:val="24"/>
              </w:rPr>
              <w:t>ās</w:t>
            </w:r>
            <w:r w:rsidR="00B34B3A" w:rsidRPr="005A24DB">
              <w:rPr>
                <w:rFonts w:ascii="Times New Roman" w:hAnsi="Times New Roman"/>
                <w:sz w:val="24"/>
                <w:szCs w:val="24"/>
              </w:rPr>
              <w:t xml:space="preserve"> būvniecības laikā tieši iesaistītā personāla izmaks</w:t>
            </w:r>
            <w:r w:rsidR="00A36BA3" w:rsidRPr="005A24DB">
              <w:rPr>
                <w:rFonts w:ascii="Times New Roman" w:hAnsi="Times New Roman"/>
                <w:sz w:val="24"/>
                <w:szCs w:val="24"/>
              </w:rPr>
              <w:t>as</w:t>
            </w:r>
            <w:r w:rsidRPr="005A24DB">
              <w:rPr>
                <w:rFonts w:ascii="Times New Roman" w:hAnsi="Times New Roman"/>
                <w:sz w:val="24"/>
                <w:szCs w:val="24"/>
              </w:rPr>
              <w:t xml:space="preserve">, </w:t>
            </w:r>
            <w:r w:rsidR="00B34B3A" w:rsidRPr="005A24DB">
              <w:rPr>
                <w:rFonts w:ascii="Times New Roman" w:hAnsi="Times New Roman"/>
                <w:sz w:val="24"/>
                <w:szCs w:val="24"/>
              </w:rPr>
              <w:t>(izmaksas projekta vadītāja atlīdzībai)</w:t>
            </w:r>
            <w:r w:rsidRPr="005A24DB">
              <w:rPr>
                <w:rFonts w:ascii="Times New Roman" w:hAnsi="Times New Roman"/>
                <w:sz w:val="24"/>
                <w:szCs w:val="24"/>
              </w:rPr>
              <w:t xml:space="preserve">, par gandrīz 800 tūkst. </w:t>
            </w:r>
            <w:r w:rsidRPr="005A24DB">
              <w:rPr>
                <w:rFonts w:ascii="Times New Roman" w:hAnsi="Times New Roman"/>
                <w:i/>
                <w:sz w:val="24"/>
                <w:szCs w:val="24"/>
              </w:rPr>
              <w:t>euro</w:t>
            </w:r>
            <w:r w:rsidRPr="005A24DB">
              <w:rPr>
                <w:rFonts w:ascii="Times New Roman" w:hAnsi="Times New Roman"/>
                <w:sz w:val="24"/>
                <w:szCs w:val="24"/>
              </w:rPr>
              <w:t xml:space="preserve"> </w:t>
            </w:r>
            <w:r w:rsidR="00354070" w:rsidRPr="005A24DB">
              <w:rPr>
                <w:rFonts w:ascii="Times New Roman" w:hAnsi="Times New Roman"/>
                <w:sz w:val="24"/>
                <w:szCs w:val="24"/>
              </w:rPr>
              <w:t>ir samazinājušās</w:t>
            </w:r>
            <w:r w:rsidRPr="005A24DB">
              <w:rPr>
                <w:rFonts w:ascii="Times New Roman" w:hAnsi="Times New Roman"/>
                <w:sz w:val="24"/>
                <w:szCs w:val="24"/>
              </w:rPr>
              <w:t xml:space="preserve"> piesaistītā kapitāla izmaksas (jeb resursu cena)</w:t>
            </w:r>
            <w:r w:rsidR="00354070" w:rsidRPr="005A24DB">
              <w:rPr>
                <w:rFonts w:ascii="Times New Roman" w:hAnsi="Times New Roman"/>
                <w:sz w:val="24"/>
                <w:szCs w:val="24"/>
              </w:rPr>
              <w:t xml:space="preserve">, </w:t>
            </w:r>
            <w:r w:rsidRPr="005A24DB">
              <w:rPr>
                <w:rFonts w:ascii="Times New Roman" w:hAnsi="Times New Roman"/>
                <w:sz w:val="24"/>
                <w:szCs w:val="24"/>
              </w:rPr>
              <w:t>tiek precizētas un vienlaikus samazinātas arī citas ar būvniecību saistītās izmaksas</w:t>
            </w:r>
            <w:r w:rsidR="00354070" w:rsidRPr="005A24DB">
              <w:rPr>
                <w:rFonts w:ascii="Times New Roman" w:hAnsi="Times New Roman"/>
                <w:sz w:val="24"/>
                <w:szCs w:val="24"/>
              </w:rPr>
              <w:t xml:space="preserve">. Līdz ar to </w:t>
            </w:r>
            <w:r w:rsidRPr="005A24DB">
              <w:rPr>
                <w:rFonts w:ascii="Times New Roman" w:hAnsi="Times New Roman"/>
                <w:sz w:val="24"/>
                <w:szCs w:val="24"/>
              </w:rPr>
              <w:t xml:space="preserve">kopējais nepieciešamais finansējuma apmērs  kapitālieguldījumiem, salīdzinot ar Ministru kabineta rīkojumā Nr.307 apstiprinātajiem, ir </w:t>
            </w:r>
            <w:r w:rsidR="00354070" w:rsidRPr="005A24DB">
              <w:rPr>
                <w:rFonts w:ascii="Times New Roman" w:hAnsi="Times New Roman"/>
                <w:sz w:val="24"/>
                <w:szCs w:val="24"/>
              </w:rPr>
              <w:t xml:space="preserve">tikai </w:t>
            </w:r>
            <w:r w:rsidRPr="005A24DB">
              <w:rPr>
                <w:rFonts w:ascii="Times New Roman" w:hAnsi="Times New Roman"/>
                <w:sz w:val="24"/>
                <w:szCs w:val="24"/>
              </w:rPr>
              <w:t xml:space="preserve">par 327 754 </w:t>
            </w:r>
            <w:r w:rsidRPr="005A24DB">
              <w:rPr>
                <w:rFonts w:ascii="Times New Roman" w:hAnsi="Times New Roman"/>
                <w:i/>
                <w:sz w:val="24"/>
                <w:szCs w:val="24"/>
              </w:rPr>
              <w:t>euro</w:t>
            </w:r>
            <w:r w:rsidRPr="005A24DB">
              <w:rPr>
                <w:rFonts w:ascii="Times New Roman" w:hAnsi="Times New Roman"/>
                <w:sz w:val="24"/>
                <w:szCs w:val="24"/>
              </w:rPr>
              <w:t xml:space="preserve"> lielāks (detalizēts izdevumu aprēķins anotācijas pielikumā).</w:t>
            </w:r>
          </w:p>
          <w:p w:rsidR="00A6559E" w:rsidRPr="005A24DB" w:rsidRDefault="00A6559E" w:rsidP="00A6559E">
            <w:pPr>
              <w:spacing w:before="120" w:after="120" w:line="240" w:lineRule="auto"/>
              <w:ind w:left="142" w:right="159" w:firstLine="11"/>
              <w:jc w:val="both"/>
              <w:rPr>
                <w:rFonts w:ascii="Calibri" w:hAnsi="Calibri"/>
              </w:rPr>
            </w:pPr>
            <w:r w:rsidRPr="005A24DB">
              <w:rPr>
                <w:rFonts w:ascii="Times New Roman" w:hAnsi="Times New Roman"/>
                <w:sz w:val="24"/>
                <w:szCs w:val="24"/>
              </w:rPr>
              <w:t xml:space="preserve">Saskaņojot Okupācijas muzeja ēkas rekonstrukcijas un piebūves skiču projektu un Padomju okupācijas upuru piemiņas memoriāla skiču projektu Rīgas dome </w:t>
            </w:r>
            <w:r w:rsidRPr="005A24DB">
              <w:rPr>
                <w:rFonts w:ascii="Times New Roman" w:hAnsi="Times New Roman" w:cs="Times New Roman"/>
                <w:sz w:val="24"/>
                <w:szCs w:val="24"/>
              </w:rPr>
              <w:t>(Rīgas pašvaldības kapitālsabiedrība SIA „Rīgas ūdens”)</w:t>
            </w:r>
            <w:r w:rsidRPr="005A24DB">
              <w:rPr>
                <w:rFonts w:ascii="Times New Roman" w:hAnsi="Times New Roman"/>
                <w:sz w:val="24"/>
                <w:szCs w:val="24"/>
              </w:rPr>
              <w:t xml:space="preserve"> ir norādījusi uz problēmām, kas saistītas ar lietus ūdens novadīšanu no objektiem.  SIA „Rīgas ūdens” savos tehniskajos noteikumos Nr. T 1-7.9/853, kuri 19.09.2012. izsniegti objektu projektēšanai ir norādījusi, ka lietus ūdens novadīšana pilsētas sadzīves kanalizācijas tīklā ir kategoriski aizliegta. Ņemot vērā, ka Vecrīgā, attiecīgajā rajonā pilsētas lietus ūdens kanalizācijas kolektors ir pārslogots, tad pastāv nepieciešamība meklēt risinājumu lietus ūdens un drenāžas ūdeņu novadīšanai. Tā varētu būt autonoma lietus ūdens novadīšanas kolektora izbūve, novadot lietus ūdeņus uz Daugavu, vai esošās sistēmas rekonstrukcija. Autonomā sistēma lietus ūdens novadīšanas sistēma izbūvējama Rīgas pilsētas pašvaldībai piederošā nekustamā īpašumā Latviešu Strēlnieku laukumā un 11. Novembra krastmalā. Būvniecības I un II kārtas skiču projektos SIA „</w:t>
            </w:r>
            <w:r w:rsidRPr="005A24DB">
              <w:rPr>
                <w:sz w:val="24"/>
                <w:szCs w:val="24"/>
              </w:rPr>
              <w:t>Rīgas ūdens</w:t>
            </w:r>
            <w:r w:rsidRPr="005A24DB">
              <w:rPr>
                <w:rFonts w:ascii="Times New Roman" w:hAnsi="Times New Roman"/>
                <w:sz w:val="24"/>
                <w:szCs w:val="24"/>
              </w:rPr>
              <w:t>” saskaņojis lietus ūdens novadīšanas sistēmu, paredzot tās pieslēgumu pilsētas kanalizācijas sistēmai, kā pagaidu variantu, atzīmējot, ka nākotnē nepieciešams risināt jautājumu par lietus ūdens novadīšanas sistēmas izbūvi, tos novadot Daugavā. Jāatzīmē, ka ar Rīgas domes 2010.gada 13.aprīļa lēmumu Nr.1246 ir apstiprināts Latviešu strēlnieku laukuma teritorijas detālplānojums, pamatojoties uz kuru Rīgas dome ir paredzējusi veikt tās īpašumā esošās teritorijas Latviešu Strēlnieku laukumā attīstību - teritorijas labiekārtojumu, pazemes autostāvvietas ierīkošanu, kā arī visu teritorijā esošo komunikāciju tīklu sakārtošanu, tajā skaitā risinās jautājumu par lietus ūdens novadīšanas sistēmas izveidi no Rīgas pilsētas pašvaldībai piederošā īpašuma. Kad un kādā apjomā attīstības projekts tiks īstenots, šobrīd nav zināms. Ņemot vērā minēto, pastāv risks, ka Rīgas pilsētas pašvaldība līdz Okupācijas muzeja ēkas rekonstrukcijas un piebūves (Nākotnes nama)  un Padomju okupācijas upuru piemiņas memoriāla būvniecības pabeigšanai nebūs realizējusi lietus ūdens un drenāžas ūdeņu novadīšanas autonomās sistēmas ar ūdeņu izplūdi Daugavā izbūvi, līdz ar to tehnisko projektu saskaņošanas laikā vai pie objektu nodošanas ekspluatācijā var rasties nepieciešamība papildus risināt lietus ūdens novadīšanas jautājumu.</w:t>
            </w:r>
          </w:p>
          <w:p w:rsidR="008E6E67" w:rsidRPr="005A24DB" w:rsidRDefault="008E6E67" w:rsidP="00330B3E">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 xml:space="preserve">Saskaņā ar KM un VNĪ 2008.gada 11.jūnija līgumu Nr.2.1.-15-280 „Par piešķirtā finansējuma izlietošanu” KM piešķīra VNĪ finansējumu 112 673 </w:t>
            </w:r>
            <w:r w:rsidRPr="005A24DB">
              <w:rPr>
                <w:rFonts w:ascii="Times New Roman" w:hAnsi="Times New Roman"/>
                <w:i/>
                <w:sz w:val="24"/>
                <w:szCs w:val="24"/>
              </w:rPr>
              <w:t>euro</w:t>
            </w:r>
            <w:r w:rsidRPr="005A24DB">
              <w:rPr>
                <w:rFonts w:ascii="Times New Roman" w:hAnsi="Times New Roman"/>
                <w:sz w:val="24"/>
                <w:szCs w:val="24"/>
              </w:rPr>
              <w:t xml:space="preserve"> Padomju okupācijas upuru piemiņas memoriāla sagatavošanas darbiem, skiču un TP izstrādei un ar to saistītiem sabiedrisko attiecību pasākumiem. Savukārt saskaņā ar KM un VNĪ 2009.gada </w:t>
            </w:r>
            <w:r w:rsidR="00446DF3">
              <w:rPr>
                <w:rFonts w:ascii="Times New Roman" w:hAnsi="Times New Roman"/>
                <w:sz w:val="24"/>
                <w:szCs w:val="24"/>
              </w:rPr>
              <w:t>5.oktobra</w:t>
            </w:r>
            <w:r w:rsidRPr="005A24DB">
              <w:rPr>
                <w:rFonts w:ascii="Times New Roman" w:hAnsi="Times New Roman"/>
                <w:sz w:val="24"/>
                <w:szCs w:val="24"/>
              </w:rPr>
              <w:t xml:space="preserve"> </w:t>
            </w:r>
            <w:r w:rsidRPr="005A24DB">
              <w:rPr>
                <w:rFonts w:ascii="Times New Roman" w:hAnsi="Times New Roman"/>
                <w:sz w:val="24"/>
                <w:szCs w:val="24"/>
              </w:rPr>
              <w:lastRenderedPageBreak/>
              <w:t>vieno</w:t>
            </w:r>
            <w:r w:rsidR="00BA675F" w:rsidRPr="005A24DB">
              <w:rPr>
                <w:rFonts w:ascii="Times New Roman" w:hAnsi="Times New Roman"/>
                <w:sz w:val="24"/>
                <w:szCs w:val="24"/>
              </w:rPr>
              <w:t>šan</w:t>
            </w:r>
            <w:r w:rsidRPr="005A24DB">
              <w:rPr>
                <w:rFonts w:ascii="Times New Roman" w:hAnsi="Times New Roman"/>
                <w:sz w:val="24"/>
                <w:szCs w:val="24"/>
              </w:rPr>
              <w:t xml:space="preserve">os Nr.09-09/59 „Par piešķirtā finansējuma izlietošanu Padomju okupācijas upuru piemiņas memoriāla kompleksam Rīgā, Latviešu strēlnieku laukumā” (vienošanās noslēgta pamatojoties uz Ministru kabineta 2009.gada 30.jūnija rīkojumu Nr.435 „Par finanšu līdzekļu piešķiršanu Padomju okupācijas upuru piemiņas memoriāla kompleksam Rīgā, Latviešu Strēlnieku laukumā”) KM piešķīra VNĪ finansējumu 208 979 </w:t>
            </w:r>
            <w:r w:rsidRPr="005A24DB">
              <w:rPr>
                <w:rFonts w:ascii="Times New Roman" w:hAnsi="Times New Roman"/>
                <w:i/>
                <w:sz w:val="24"/>
                <w:szCs w:val="24"/>
              </w:rPr>
              <w:t>euro</w:t>
            </w:r>
            <w:r w:rsidRPr="005A24DB">
              <w:rPr>
                <w:rFonts w:ascii="Times New Roman" w:hAnsi="Times New Roman"/>
                <w:sz w:val="24"/>
                <w:szCs w:val="24"/>
              </w:rPr>
              <w:t>, lai</w:t>
            </w:r>
            <w:r w:rsidRPr="005A24DB">
              <w:rPr>
                <w:rFonts w:ascii="Times New Roman" w:hAnsi="Times New Roman"/>
                <w:i/>
                <w:sz w:val="24"/>
                <w:szCs w:val="24"/>
              </w:rPr>
              <w:t xml:space="preserve"> </w:t>
            </w:r>
            <w:r w:rsidRPr="005A24DB">
              <w:rPr>
                <w:rFonts w:ascii="Times New Roman" w:hAnsi="Times New Roman"/>
                <w:sz w:val="24"/>
                <w:szCs w:val="24"/>
              </w:rPr>
              <w:t>VNĪ nodrošinātu Padomju okupācijas upuru piemiņas memoriāla kompleksa skiču un TP izstrādi.</w:t>
            </w:r>
            <w:r w:rsidR="00BA675F" w:rsidRPr="005A24DB">
              <w:rPr>
                <w:rFonts w:ascii="Times New Roman" w:hAnsi="Times New Roman"/>
                <w:sz w:val="24"/>
                <w:szCs w:val="24"/>
              </w:rPr>
              <w:t xml:space="preserve"> </w:t>
            </w:r>
            <w:r w:rsidRPr="005A24DB">
              <w:rPr>
                <w:rFonts w:ascii="Times New Roman" w:hAnsi="Times New Roman"/>
                <w:sz w:val="24"/>
                <w:szCs w:val="24"/>
              </w:rPr>
              <w:t xml:space="preserve">Kopā </w:t>
            </w:r>
            <w:r w:rsidR="00BA675F" w:rsidRPr="005A24DB">
              <w:rPr>
                <w:rFonts w:ascii="Times New Roman" w:hAnsi="Times New Roman"/>
                <w:sz w:val="24"/>
                <w:szCs w:val="24"/>
              </w:rPr>
              <w:t xml:space="preserve">minētajiem mērķiem tika piešķirts </w:t>
            </w:r>
            <w:r w:rsidRPr="005A24DB">
              <w:rPr>
                <w:rFonts w:ascii="Times New Roman" w:hAnsi="Times New Roman"/>
                <w:sz w:val="24"/>
                <w:szCs w:val="24"/>
              </w:rPr>
              <w:t xml:space="preserve">finansējums 321 652 </w:t>
            </w:r>
            <w:r w:rsidRPr="005A24DB">
              <w:rPr>
                <w:rFonts w:ascii="Times New Roman" w:hAnsi="Times New Roman"/>
                <w:i/>
                <w:sz w:val="24"/>
                <w:szCs w:val="24"/>
              </w:rPr>
              <w:t>euro</w:t>
            </w:r>
            <w:r w:rsidRPr="005A24DB">
              <w:rPr>
                <w:rFonts w:ascii="Times New Roman" w:hAnsi="Times New Roman"/>
                <w:sz w:val="24"/>
                <w:szCs w:val="24"/>
              </w:rPr>
              <w:t>, no tā izlietots finansējums 197 189</w:t>
            </w:r>
            <w:r w:rsidRPr="005A24DB">
              <w:rPr>
                <w:rFonts w:ascii="Times New Roman" w:hAnsi="Times New Roman"/>
                <w:i/>
                <w:sz w:val="24"/>
                <w:szCs w:val="24"/>
              </w:rPr>
              <w:t xml:space="preserve"> euro</w:t>
            </w:r>
            <w:r w:rsidRPr="005A24DB">
              <w:rPr>
                <w:rFonts w:ascii="Times New Roman" w:hAnsi="Times New Roman"/>
                <w:sz w:val="24"/>
                <w:szCs w:val="24"/>
              </w:rPr>
              <w:t xml:space="preserve"> (tai skaitā 153 354 </w:t>
            </w:r>
            <w:r w:rsidRPr="005A24DB">
              <w:rPr>
                <w:rFonts w:ascii="Times New Roman" w:hAnsi="Times New Roman"/>
                <w:i/>
                <w:sz w:val="24"/>
                <w:szCs w:val="24"/>
              </w:rPr>
              <w:t>euro</w:t>
            </w:r>
            <w:r w:rsidRPr="005A24DB">
              <w:rPr>
                <w:rFonts w:ascii="Times New Roman" w:hAnsi="Times New Roman"/>
                <w:sz w:val="24"/>
                <w:szCs w:val="24"/>
              </w:rPr>
              <w:t xml:space="preserve"> par skiču projekta izstrādi SIA „Taktila”). Neizlietot</w:t>
            </w:r>
            <w:r w:rsidR="00BA675F" w:rsidRPr="005A24DB">
              <w:rPr>
                <w:rFonts w:ascii="Times New Roman" w:hAnsi="Times New Roman"/>
                <w:sz w:val="24"/>
                <w:szCs w:val="24"/>
              </w:rPr>
              <w:t>o</w:t>
            </w:r>
            <w:r w:rsidRPr="005A24DB">
              <w:rPr>
                <w:rFonts w:ascii="Times New Roman" w:hAnsi="Times New Roman"/>
                <w:sz w:val="24"/>
                <w:szCs w:val="24"/>
              </w:rPr>
              <w:t xml:space="preserve"> finansējum</w:t>
            </w:r>
            <w:r w:rsidR="00BA675F" w:rsidRPr="005A24DB">
              <w:rPr>
                <w:rFonts w:ascii="Times New Roman" w:hAnsi="Times New Roman"/>
                <w:sz w:val="24"/>
                <w:szCs w:val="24"/>
              </w:rPr>
              <w:t>u</w:t>
            </w:r>
            <w:r w:rsidRPr="005A24DB">
              <w:rPr>
                <w:rFonts w:ascii="Times New Roman" w:hAnsi="Times New Roman"/>
                <w:sz w:val="24"/>
                <w:szCs w:val="24"/>
              </w:rPr>
              <w:t xml:space="preserve"> 124 463 </w:t>
            </w:r>
            <w:r w:rsidRPr="005A24DB">
              <w:rPr>
                <w:rFonts w:ascii="Times New Roman" w:hAnsi="Times New Roman"/>
                <w:i/>
                <w:sz w:val="24"/>
                <w:szCs w:val="24"/>
              </w:rPr>
              <w:t>euro</w:t>
            </w:r>
            <w:r w:rsidRPr="005A24DB">
              <w:rPr>
                <w:rFonts w:ascii="Times New Roman" w:hAnsi="Times New Roman"/>
                <w:sz w:val="24"/>
                <w:szCs w:val="24"/>
              </w:rPr>
              <w:t xml:space="preserve"> </w:t>
            </w:r>
            <w:r w:rsidR="00BA675F" w:rsidRPr="005A24DB">
              <w:rPr>
                <w:rFonts w:ascii="Times New Roman" w:hAnsi="Times New Roman"/>
                <w:sz w:val="24"/>
                <w:szCs w:val="24"/>
              </w:rPr>
              <w:t xml:space="preserve">VNĪ </w:t>
            </w:r>
            <w:r w:rsidRPr="005A24DB">
              <w:rPr>
                <w:rFonts w:ascii="Times New Roman" w:hAnsi="Times New Roman"/>
                <w:sz w:val="24"/>
                <w:szCs w:val="24"/>
              </w:rPr>
              <w:t xml:space="preserve">plāno </w:t>
            </w:r>
            <w:r w:rsidR="00BA675F" w:rsidRPr="005A24DB">
              <w:rPr>
                <w:rFonts w:ascii="Times New Roman" w:hAnsi="Times New Roman"/>
                <w:sz w:val="24"/>
                <w:szCs w:val="24"/>
              </w:rPr>
              <w:t xml:space="preserve">apgūt </w:t>
            </w:r>
            <w:r w:rsidRPr="005A24DB">
              <w:rPr>
                <w:rFonts w:ascii="Times New Roman" w:hAnsi="Times New Roman"/>
                <w:sz w:val="24"/>
                <w:szCs w:val="24"/>
              </w:rPr>
              <w:t>2014.gadā</w:t>
            </w:r>
            <w:r w:rsidR="00BA675F" w:rsidRPr="005A24DB">
              <w:rPr>
                <w:rFonts w:ascii="Times New Roman" w:hAnsi="Times New Roman"/>
                <w:sz w:val="24"/>
                <w:szCs w:val="24"/>
              </w:rPr>
              <w:t>, prak</w:t>
            </w:r>
            <w:r w:rsidR="00160AB5" w:rsidRPr="005A24DB">
              <w:rPr>
                <w:rFonts w:ascii="Times New Roman" w:hAnsi="Times New Roman"/>
                <w:sz w:val="24"/>
                <w:szCs w:val="24"/>
              </w:rPr>
              <w:t>tiski</w:t>
            </w:r>
            <w:r w:rsidR="00BA675F" w:rsidRPr="005A24DB">
              <w:rPr>
                <w:rFonts w:ascii="Times New Roman" w:hAnsi="Times New Roman"/>
                <w:sz w:val="24"/>
                <w:szCs w:val="24"/>
              </w:rPr>
              <w:t xml:space="preserve"> sedzot būvniecības </w:t>
            </w:r>
            <w:r w:rsidRPr="005A24DB">
              <w:rPr>
                <w:rFonts w:ascii="Times New Roman" w:hAnsi="Times New Roman"/>
                <w:sz w:val="24"/>
                <w:szCs w:val="24"/>
              </w:rPr>
              <w:t>I kārtas ietvaros TP izstrādes darbu</w:t>
            </w:r>
            <w:r w:rsidR="00BA675F" w:rsidRPr="005A24DB">
              <w:rPr>
                <w:rFonts w:ascii="Times New Roman" w:hAnsi="Times New Roman"/>
                <w:sz w:val="24"/>
                <w:szCs w:val="24"/>
              </w:rPr>
              <w:t xml:space="preserve"> izmaksas</w:t>
            </w:r>
            <w:r w:rsidRPr="005A24DB">
              <w:rPr>
                <w:rFonts w:ascii="Times New Roman" w:hAnsi="Times New Roman"/>
                <w:sz w:val="24"/>
                <w:szCs w:val="24"/>
              </w:rPr>
              <w:t xml:space="preserve"> (</w:t>
            </w:r>
            <w:r w:rsidR="00BA675F" w:rsidRPr="005A24DB">
              <w:rPr>
                <w:rFonts w:ascii="Times New Roman" w:hAnsi="Times New Roman"/>
                <w:sz w:val="24"/>
                <w:szCs w:val="24"/>
              </w:rPr>
              <w:t xml:space="preserve">saskaņā ar </w:t>
            </w:r>
            <w:r w:rsidRPr="005A24DB">
              <w:rPr>
                <w:rFonts w:ascii="Times New Roman" w:hAnsi="Times New Roman"/>
                <w:iCs/>
                <w:sz w:val="24"/>
                <w:szCs w:val="24"/>
              </w:rPr>
              <w:t>līgum</w:t>
            </w:r>
            <w:r w:rsidR="00BA675F" w:rsidRPr="005A24DB">
              <w:rPr>
                <w:rFonts w:ascii="Times New Roman" w:hAnsi="Times New Roman"/>
                <w:iCs/>
                <w:sz w:val="24"/>
                <w:szCs w:val="24"/>
              </w:rPr>
              <w:t>a</w:t>
            </w:r>
            <w:r w:rsidRPr="005A24DB">
              <w:rPr>
                <w:rFonts w:ascii="Times New Roman" w:hAnsi="Times New Roman"/>
                <w:iCs/>
                <w:sz w:val="24"/>
                <w:szCs w:val="24"/>
              </w:rPr>
              <w:t xml:space="preserve"> Nr.4-2-14-10/1719 ar SIA „5.IELA”</w:t>
            </w:r>
            <w:r w:rsidR="00BA675F" w:rsidRPr="005A24DB">
              <w:rPr>
                <w:rFonts w:ascii="Times New Roman" w:hAnsi="Times New Roman"/>
                <w:iCs/>
                <w:sz w:val="24"/>
                <w:szCs w:val="24"/>
              </w:rPr>
              <w:t xml:space="preserve"> nosacījumiem TP izstrādes darbu līguma summa 126 000 </w:t>
            </w:r>
            <w:r w:rsidR="00BA675F" w:rsidRPr="005A24DB">
              <w:rPr>
                <w:rFonts w:ascii="Times New Roman" w:hAnsi="Times New Roman"/>
                <w:i/>
                <w:iCs/>
                <w:sz w:val="24"/>
                <w:szCs w:val="24"/>
              </w:rPr>
              <w:t>euro</w:t>
            </w:r>
            <w:r w:rsidRPr="005A24DB">
              <w:rPr>
                <w:rFonts w:ascii="Times New Roman" w:hAnsi="Times New Roman"/>
                <w:iCs/>
                <w:sz w:val="24"/>
                <w:szCs w:val="24"/>
              </w:rPr>
              <w:t xml:space="preserve">). </w:t>
            </w:r>
          </w:p>
          <w:p w:rsidR="00EF02E5" w:rsidRPr="005A24DB" w:rsidRDefault="00160AB5" w:rsidP="00416F88">
            <w:pPr>
              <w:spacing w:after="120" w:line="240" w:lineRule="auto"/>
              <w:ind w:left="142" w:right="159" w:firstLine="11"/>
              <w:jc w:val="both"/>
              <w:rPr>
                <w:rFonts w:ascii="Times New Roman" w:hAnsi="Times New Roman"/>
                <w:iCs/>
                <w:sz w:val="24"/>
                <w:szCs w:val="24"/>
                <w:u w:val="single"/>
              </w:rPr>
            </w:pPr>
            <w:r w:rsidRPr="005A24DB">
              <w:rPr>
                <w:rFonts w:ascii="Times New Roman" w:hAnsi="Times New Roman"/>
                <w:iCs/>
                <w:sz w:val="24"/>
                <w:szCs w:val="24"/>
                <w:u w:val="single"/>
              </w:rPr>
              <w:t>U</w:t>
            </w:r>
            <w:r w:rsidR="00EF02E5" w:rsidRPr="005A24DB">
              <w:rPr>
                <w:rFonts w:ascii="Times New Roman" w:hAnsi="Times New Roman"/>
                <w:iCs/>
                <w:sz w:val="24"/>
                <w:szCs w:val="24"/>
                <w:u w:val="single"/>
              </w:rPr>
              <w:t xml:space="preserve">zturēšanas izdevumu segšanai </w:t>
            </w:r>
            <w:r w:rsidR="00416F88" w:rsidRPr="005A24DB">
              <w:rPr>
                <w:rFonts w:ascii="Times New Roman" w:hAnsi="Times New Roman"/>
                <w:iCs/>
                <w:sz w:val="24"/>
                <w:szCs w:val="24"/>
                <w:u w:val="single"/>
              </w:rPr>
              <w:t>VNĪ apmēra precizēšana:</w:t>
            </w:r>
          </w:p>
          <w:p w:rsidR="00AE2D3F" w:rsidRPr="005A24DB" w:rsidRDefault="00BA675F" w:rsidP="00AE2D3F">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Vienlaikus tiek precizēts (</w:t>
            </w:r>
            <w:r w:rsidR="00160AB5" w:rsidRPr="005A24DB">
              <w:rPr>
                <w:rFonts w:ascii="Times New Roman" w:hAnsi="Times New Roman"/>
                <w:sz w:val="24"/>
                <w:szCs w:val="24"/>
              </w:rPr>
              <w:t>aktualizēts</w:t>
            </w:r>
            <w:r w:rsidRPr="005A24DB">
              <w:rPr>
                <w:rFonts w:ascii="Times New Roman" w:hAnsi="Times New Roman"/>
                <w:sz w:val="24"/>
                <w:szCs w:val="24"/>
              </w:rPr>
              <w:t>)</w:t>
            </w:r>
            <w:r w:rsidR="00AE2D3F" w:rsidRPr="005A24DB">
              <w:rPr>
                <w:rFonts w:ascii="Times New Roman" w:hAnsi="Times New Roman"/>
                <w:sz w:val="24"/>
                <w:szCs w:val="24"/>
              </w:rPr>
              <w:t xml:space="preserve"> </w:t>
            </w:r>
            <w:r w:rsidR="00FA4BDA" w:rsidRPr="005A24DB">
              <w:rPr>
                <w:rFonts w:ascii="Times New Roman" w:hAnsi="Times New Roman"/>
                <w:sz w:val="24"/>
                <w:szCs w:val="24"/>
              </w:rPr>
              <w:t xml:space="preserve">nekustamā īpašuma (nekustamā īpašuma kadastra Nr.0100 001 0095) Latviešu strēlnieku laukumā 1, Rīgā, </w:t>
            </w:r>
            <w:r w:rsidR="00AE2D3F" w:rsidRPr="005A24DB">
              <w:rPr>
                <w:rFonts w:ascii="Times New Roman" w:hAnsi="Times New Roman"/>
                <w:sz w:val="24"/>
                <w:szCs w:val="24"/>
              </w:rPr>
              <w:t>uzturēšanas izdevumu apmērs (nomas maksas apmērs), kas tiek aprēķināts saskaņā ar Ministru kabineta 2010.gada 8.jūnija noteikumiem Nr.515 „Noteikumi par valsts un pašvaldību mantas iznomāšanas kārtību, nomas maksas noteikšanas metodiku un nomas līguma tipveida nosacījumiem”. Galvenokārt izmainās (palielinās) izdevumi plānotajiem kārtējiem vai kapitālajiem remontiem (nepieciešamie izdevumi nekustamā īpašuma uzturēšanai, kuri netiek iekļauti apsaimniekošanas izdevumos un tie nedrīkst pārsniegt 2,5 % no attiecīgā nekustamā īpašuma ēkas bilances vērtības gadā); kā arī nomas maksas apmēra palielināšanos ietekmē netiešo izmaksu (izmaksas, kas ir daļa no iznomātāja kopējiem administrācijas izdevumiem – nekustamā īpašuma pārvaldīšanas izmaksām), uzturēšanas izmaksu (apsaimniekošanas izmaksas) palielināšanās.</w:t>
            </w:r>
            <w:r w:rsidR="00607BC3" w:rsidRPr="005A24DB">
              <w:rPr>
                <w:rFonts w:ascii="Times New Roman" w:hAnsi="Times New Roman"/>
                <w:sz w:val="24"/>
                <w:szCs w:val="24"/>
              </w:rPr>
              <w:t xml:space="preserve"> </w:t>
            </w:r>
          </w:p>
          <w:p w:rsidR="00FA4BDA" w:rsidRPr="005A24DB" w:rsidRDefault="00FA4BDA" w:rsidP="00FA4BDA">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 xml:space="preserve">Padomju okupācijas upuru piemiņas memoriālu plānots būvēt uz Rīgas pilsētas pašvaldībai piederošās zemes vienības (nekustamā īpašuma kadastra Nr.0100 001 0108) daļas (zemes vienības daļas kadastra apzīmējums 0100 001 0108 8004) (daļēji atradīsies arī uz valstij </w:t>
            </w:r>
            <w:r w:rsidR="00FC3140" w:rsidRPr="005A24DB">
              <w:rPr>
                <w:rFonts w:ascii="Times New Roman" w:hAnsi="Times New Roman"/>
                <w:sz w:val="24"/>
                <w:szCs w:val="24"/>
              </w:rPr>
              <w:t xml:space="preserve">FM </w:t>
            </w:r>
            <w:r w:rsidRPr="005A24DB">
              <w:rPr>
                <w:rFonts w:ascii="Times New Roman" w:hAnsi="Times New Roman"/>
                <w:sz w:val="24"/>
                <w:szCs w:val="24"/>
              </w:rPr>
              <w:t xml:space="preserve">personā piederošās zemes vienības (nekustamā īpašuma kadastra numurs 0100 001 0095)). Saskaņā ar Būvniecības likuma 3.panta pirmo daļu zemes vienības drīkst apbūvēt, ja, noslēdzot līgumu, apbūve ir saskaņota ar zemes vienības īpašnieku (ja apbūvi neveic zemes gabala īpašnieks). Tā kā Rīgas dome 2009.gada 12.maijā pieņēma lēmumu Nr.5127 (prot.Nr.126, 49.§) „Par Rīgas pilsētas pašvaldībai piederoša zemesgabala Rīgā, Grēcinieku ielā, 11.novembra krastmalā, Kaļķu ielā, daļas (kadastra apzīmējums 0100 001 0108 8004) nodošanu patapinājumā”, ar ko nolemts nodot patapinājumā valstij </w:t>
            </w:r>
            <w:r w:rsidR="00FC3140" w:rsidRPr="005A24DB">
              <w:rPr>
                <w:rFonts w:ascii="Times New Roman" w:hAnsi="Times New Roman"/>
                <w:sz w:val="24"/>
                <w:szCs w:val="24"/>
              </w:rPr>
              <w:t>FM</w:t>
            </w:r>
            <w:r w:rsidRPr="005A24DB">
              <w:rPr>
                <w:rFonts w:ascii="Times New Roman" w:hAnsi="Times New Roman"/>
                <w:sz w:val="24"/>
                <w:szCs w:val="24"/>
              </w:rPr>
              <w:t xml:space="preserve"> personā Padomju okupācijas upuru piemiņas memoriāla būvniecības procesa realizācijai līdz memoriāla nodošanai ekspluatācijā Rīgas pilsētas pašvaldībai piederošās zemes vienības (kadastra Nr.0100 001 0108) daļu ar plānoto platību 690 m², atsākot būvprojekta izstrādi nepieciešams turpināt sarunas ar Rīgas domi par patapinājuma līguma nosacījumiem. </w:t>
            </w:r>
          </w:p>
          <w:p w:rsidR="00FA4BDA" w:rsidRPr="005A24DB" w:rsidRDefault="00FA4BDA" w:rsidP="00FA4BDA">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 xml:space="preserve">Tāpat jau būvniecības darbu izpildes laikā nepieciešams uzsākt sarunas </w:t>
            </w:r>
            <w:r w:rsidRPr="005A24DB">
              <w:rPr>
                <w:rFonts w:ascii="Times New Roman" w:hAnsi="Times New Roman"/>
                <w:sz w:val="24"/>
                <w:szCs w:val="24"/>
              </w:rPr>
              <w:lastRenderedPageBreak/>
              <w:t xml:space="preserve">par vienošanās noslēgšanu ar Rīgas domi par Padomju okupācijas upuru piemiņas memoriāla apsaimniekošanu pēc tā nodošanas ekspluatācijā, ņemot vērā, ka saskaņā ar starp Aizsardzības ministriju, Kultūras ministriju, VNĪ un Rīgas pilsētas pašvaldību 2008.gada 20.jūnijā noslēgtā Līguma par Padomju okupācijas upuru piemiņas memoriāla Rīgā, Latviešu strēlnieku laukumā 1, projektēšanas un būvniecības darbiem nosacījumiem Rīgas dome cita starpā ir apņēmusies pēc memoriāla nodošanas ekspluatācijā pieņemt to Rīgas domes apsaimniekošanā, sastādot atsevišķu vienošanos starp Rīgas domi un VNĪ. </w:t>
            </w:r>
          </w:p>
          <w:p w:rsidR="00FA4BDA" w:rsidRPr="005A24DB" w:rsidRDefault="00FA4BDA" w:rsidP="00FA4BDA">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Šobrīd nav iespējams prognozēt vienošanās nosacījumus ar Rīgas domi par zemes vienības patapinājumu, kā arī Padomju okupācijas upuru piemiņas memoriāla apsaimniekošanu, līdz ar to nav zināms, vai un kādā apmērā būs nepieciešams papildu finansējums līgumsaistību izpildei, līdz ar to iespējams būs nepieciešams risināt jautājumu par papildu finansējuma piešķiršanu.</w:t>
            </w:r>
          </w:p>
          <w:p w:rsidR="00416F88" w:rsidRPr="005A24DB" w:rsidRDefault="00416F88" w:rsidP="00416F88">
            <w:pPr>
              <w:spacing w:after="120" w:line="240" w:lineRule="auto"/>
              <w:ind w:left="142" w:right="159" w:firstLine="11"/>
              <w:jc w:val="both"/>
              <w:rPr>
                <w:rFonts w:ascii="Times New Roman" w:hAnsi="Times New Roman"/>
                <w:iCs/>
                <w:sz w:val="24"/>
                <w:szCs w:val="24"/>
                <w:u w:val="single"/>
              </w:rPr>
            </w:pPr>
            <w:r w:rsidRPr="005A24DB">
              <w:rPr>
                <w:rFonts w:ascii="Times New Roman" w:hAnsi="Times New Roman"/>
                <w:iCs/>
                <w:sz w:val="24"/>
                <w:szCs w:val="24"/>
                <w:u w:val="single"/>
              </w:rPr>
              <w:t>Par papildus nepieciešamā finansējuma paredzēšanu 201</w:t>
            </w:r>
            <w:r w:rsidR="00A336AB" w:rsidRPr="005A24DB">
              <w:rPr>
                <w:rFonts w:ascii="Times New Roman" w:hAnsi="Times New Roman"/>
                <w:iCs/>
                <w:sz w:val="24"/>
                <w:szCs w:val="24"/>
                <w:u w:val="single"/>
              </w:rPr>
              <w:t>9</w:t>
            </w:r>
            <w:r w:rsidRPr="005A24DB">
              <w:rPr>
                <w:rFonts w:ascii="Times New Roman" w:hAnsi="Times New Roman"/>
                <w:iCs/>
                <w:sz w:val="24"/>
                <w:szCs w:val="24"/>
                <w:u w:val="single"/>
              </w:rPr>
              <w:t>.gadā:</w:t>
            </w:r>
          </w:p>
          <w:p w:rsidR="00416F88" w:rsidRPr="005A24DB" w:rsidRDefault="00416F88" w:rsidP="00F93A0C">
            <w:pPr>
              <w:spacing w:after="120" w:line="240" w:lineRule="auto"/>
              <w:ind w:left="132" w:right="159" w:firstLine="11"/>
              <w:jc w:val="both"/>
              <w:rPr>
                <w:rFonts w:ascii="Times New Roman" w:hAnsi="Times New Roman"/>
                <w:sz w:val="24"/>
                <w:szCs w:val="24"/>
              </w:rPr>
            </w:pPr>
            <w:r w:rsidRPr="005A24DB">
              <w:rPr>
                <w:rFonts w:ascii="Times New Roman" w:hAnsi="Times New Roman"/>
                <w:sz w:val="24"/>
                <w:szCs w:val="24"/>
              </w:rPr>
              <w:t xml:space="preserve">Lai nodrošinātu Padomju okupācijas upuru piemiņas memoriāla kompleksa Latviešu strēlnieku laukumā 1, Rīgā izveidošanu ir nepieciešams Ministru kabineta lēmums par papildus nepieciešamā finansējuma paredzēšanu </w:t>
            </w:r>
            <w:r w:rsidR="00FC3140" w:rsidRPr="005A24DB">
              <w:rPr>
                <w:rFonts w:ascii="Times New Roman" w:hAnsi="Times New Roman"/>
                <w:sz w:val="24"/>
                <w:szCs w:val="24"/>
              </w:rPr>
              <w:t xml:space="preserve">FM </w:t>
            </w:r>
            <w:r w:rsidRPr="005A24DB">
              <w:rPr>
                <w:rFonts w:ascii="Times New Roman" w:hAnsi="Times New Roman"/>
                <w:sz w:val="24"/>
                <w:szCs w:val="24"/>
              </w:rPr>
              <w:t>budžet</w:t>
            </w:r>
            <w:r w:rsidR="004525A3" w:rsidRPr="005A24DB">
              <w:rPr>
                <w:rFonts w:ascii="Times New Roman" w:hAnsi="Times New Roman"/>
                <w:sz w:val="24"/>
                <w:szCs w:val="24"/>
              </w:rPr>
              <w:t>a ilgtermiņa saistībās</w:t>
            </w:r>
            <w:r w:rsidRPr="005A24DB">
              <w:rPr>
                <w:rFonts w:ascii="Times New Roman" w:hAnsi="Times New Roman"/>
                <w:sz w:val="24"/>
                <w:szCs w:val="24"/>
              </w:rPr>
              <w:t xml:space="preserve"> 201</w:t>
            </w:r>
            <w:r w:rsidR="00A336AB" w:rsidRPr="005A24DB">
              <w:rPr>
                <w:rFonts w:ascii="Times New Roman" w:hAnsi="Times New Roman"/>
                <w:sz w:val="24"/>
                <w:szCs w:val="24"/>
              </w:rPr>
              <w:t>9</w:t>
            </w:r>
            <w:r w:rsidRPr="005A24DB">
              <w:rPr>
                <w:rFonts w:ascii="Times New Roman" w:hAnsi="Times New Roman"/>
                <w:sz w:val="24"/>
                <w:szCs w:val="24"/>
              </w:rPr>
              <w:t>.gadā ar būvniecību saistīto kapitālieguldījumu izdevumu segšanai VNĪ.</w:t>
            </w:r>
          </w:p>
          <w:p w:rsidR="00D80C78" w:rsidRPr="005A24DB" w:rsidRDefault="00D80C78" w:rsidP="0012048D">
            <w:pPr>
              <w:pStyle w:val="naiskr"/>
              <w:tabs>
                <w:tab w:val="left" w:pos="366"/>
              </w:tabs>
              <w:spacing w:before="0" w:after="60"/>
              <w:ind w:left="132" w:right="158"/>
              <w:jc w:val="both"/>
              <w:rPr>
                <w:bCs/>
              </w:rPr>
            </w:pPr>
            <w:r w:rsidRPr="005A24DB">
              <w:rPr>
                <w:bCs/>
              </w:rPr>
              <w:t>Ministru kabineta rīkojuma projekta tiesiskā regulējuma mērķis ir Ministru kabineta rīkojuma Nr.</w:t>
            </w:r>
            <w:r w:rsidR="002A66EE" w:rsidRPr="005A24DB">
              <w:rPr>
                <w:bCs/>
              </w:rPr>
              <w:t>307</w:t>
            </w:r>
            <w:r w:rsidRPr="005A24DB">
              <w:rPr>
                <w:bCs/>
              </w:rPr>
              <w:t xml:space="preserve"> 1.</w:t>
            </w:r>
            <w:r w:rsidR="002A66EE" w:rsidRPr="005A24DB">
              <w:rPr>
                <w:bCs/>
              </w:rPr>
              <w:t xml:space="preserve"> un 2.</w:t>
            </w:r>
            <w:r w:rsidRPr="005A24DB">
              <w:rPr>
                <w:bCs/>
              </w:rPr>
              <w:t>punktā minēto ilgtermiņ</w:t>
            </w:r>
            <w:r w:rsidR="00BF2F28" w:rsidRPr="005A24DB">
              <w:rPr>
                <w:bCs/>
              </w:rPr>
              <w:t>a</w:t>
            </w:r>
            <w:r w:rsidRPr="005A24DB">
              <w:rPr>
                <w:bCs/>
              </w:rPr>
              <w:t xml:space="preserve"> saistību precizēšana pa gadiem</w:t>
            </w:r>
            <w:r w:rsidR="002C6108" w:rsidRPr="005A24DB">
              <w:rPr>
                <w:bCs/>
              </w:rPr>
              <w:t>,</w:t>
            </w:r>
            <w:r w:rsidRPr="005A24DB">
              <w:rPr>
                <w:bCs/>
              </w:rPr>
              <w:t xml:space="preserve"> atbilstoši precizētajam būvniecības darbu izpildes laika grafikam</w:t>
            </w:r>
            <w:r w:rsidR="002C6108" w:rsidRPr="005A24DB">
              <w:rPr>
                <w:bCs/>
              </w:rPr>
              <w:t xml:space="preserve"> </w:t>
            </w:r>
            <w:r w:rsidRPr="005A24DB">
              <w:rPr>
                <w:bCs/>
              </w:rPr>
              <w:t>un naudas plūsmai (</w:t>
            </w:r>
            <w:r w:rsidR="002C6108" w:rsidRPr="005A24DB">
              <w:rPr>
                <w:bCs/>
              </w:rPr>
              <w:t xml:space="preserve">vienlaikus paredzot papildus nepieciešamo </w:t>
            </w:r>
            <w:r w:rsidRPr="005A24DB">
              <w:rPr>
                <w:bCs/>
              </w:rPr>
              <w:t>finansējum</w:t>
            </w:r>
            <w:r w:rsidR="002C6108" w:rsidRPr="005A24DB">
              <w:rPr>
                <w:bCs/>
              </w:rPr>
              <w:t>u</w:t>
            </w:r>
            <w:r w:rsidR="00715DE4" w:rsidRPr="005A24DB">
              <w:rPr>
                <w:bCs/>
              </w:rPr>
              <w:t xml:space="preserve"> 2019.gadā</w:t>
            </w:r>
            <w:r w:rsidRPr="005A24DB">
              <w:rPr>
                <w:bCs/>
              </w:rPr>
              <w:t>)</w:t>
            </w:r>
            <w:r w:rsidR="004525A3" w:rsidRPr="005A24DB">
              <w:rPr>
                <w:bCs/>
              </w:rPr>
              <w:t xml:space="preserve">, </w:t>
            </w:r>
            <w:r w:rsidR="002A66EE" w:rsidRPr="005A24DB">
              <w:rPr>
                <w:bCs/>
              </w:rPr>
              <w:t>3.</w:t>
            </w:r>
            <w:r w:rsidRPr="005A24DB">
              <w:rPr>
                <w:bCs/>
              </w:rPr>
              <w:t xml:space="preserve">1.apakšpunktā noteiktā </w:t>
            </w:r>
            <w:r w:rsidR="002A66EE" w:rsidRPr="005A24DB">
              <w:rPr>
                <w:bCs/>
              </w:rPr>
              <w:t xml:space="preserve">būvniecības </w:t>
            </w:r>
            <w:r w:rsidRPr="005A24DB">
              <w:rPr>
                <w:bCs/>
              </w:rPr>
              <w:t>darbu pabeigšanas termiņa precizēšana</w:t>
            </w:r>
            <w:r w:rsidRPr="005A24DB">
              <w:t>.</w:t>
            </w:r>
          </w:p>
          <w:p w:rsidR="00D80C78" w:rsidRPr="005A24DB" w:rsidRDefault="00D80C78" w:rsidP="0012048D">
            <w:pPr>
              <w:pStyle w:val="naiskr"/>
              <w:tabs>
                <w:tab w:val="left" w:pos="366"/>
              </w:tabs>
              <w:spacing w:before="0" w:after="60"/>
              <w:ind w:left="132" w:right="158"/>
              <w:jc w:val="both"/>
              <w:rPr>
                <w:bCs/>
              </w:rPr>
            </w:pPr>
            <w:r w:rsidRPr="005A24DB">
              <w:rPr>
                <w:bCs/>
              </w:rPr>
              <w:t>Tā ietvaros:</w:t>
            </w:r>
          </w:p>
          <w:p w:rsidR="009A4344" w:rsidRPr="005A24DB" w:rsidRDefault="00CB394C" w:rsidP="009A4344">
            <w:pPr>
              <w:pStyle w:val="naiskr"/>
              <w:numPr>
                <w:ilvl w:val="0"/>
                <w:numId w:val="1"/>
              </w:numPr>
              <w:tabs>
                <w:tab w:val="left" w:pos="142"/>
                <w:tab w:val="left" w:pos="425"/>
              </w:tabs>
              <w:spacing w:before="0" w:after="120"/>
              <w:ind w:left="142" w:right="159" w:firstLine="0"/>
              <w:jc w:val="both"/>
              <w:rPr>
                <w:bCs/>
              </w:rPr>
            </w:pPr>
            <w:r w:rsidRPr="005A24DB">
              <w:rPr>
                <w:bCs/>
              </w:rPr>
              <w:t>tiek svītrots 1. punkts un papildināts ar 1.</w:t>
            </w:r>
            <w:r w:rsidRPr="005A24DB">
              <w:rPr>
                <w:bCs/>
                <w:vertAlign w:val="superscript"/>
              </w:rPr>
              <w:t>1</w:t>
            </w:r>
            <w:r w:rsidRPr="005A24DB">
              <w:rPr>
                <w:bCs/>
              </w:rPr>
              <w:t xml:space="preserve"> punktu, precizējot KM budžeta ilgtermiņa saistībās paredzētā finansējuma apmēru pa gadiem, paredzot uzturēšanas izdevumu segšanai VNĪ </w:t>
            </w:r>
            <w:r w:rsidR="009A4344" w:rsidRPr="005A24DB">
              <w:rPr>
                <w:bCs/>
              </w:rPr>
              <w:t xml:space="preserve">2016.gadā 21 423 </w:t>
            </w:r>
            <w:r w:rsidR="009A4344" w:rsidRPr="005A24DB">
              <w:rPr>
                <w:bCs/>
                <w:i/>
              </w:rPr>
              <w:t>euro</w:t>
            </w:r>
            <w:r w:rsidR="009A4344" w:rsidRPr="005A24DB">
              <w:rPr>
                <w:bCs/>
              </w:rPr>
              <w:t xml:space="preserve"> un turpmākajā laikposmā </w:t>
            </w:r>
            <w:r w:rsidR="002C457C" w:rsidRPr="005A24DB">
              <w:rPr>
                <w:bCs/>
              </w:rPr>
              <w:t>1 692 377</w:t>
            </w:r>
            <w:r w:rsidR="009A4344" w:rsidRPr="005A24DB">
              <w:rPr>
                <w:bCs/>
              </w:rPr>
              <w:t xml:space="preserve"> </w:t>
            </w:r>
            <w:r w:rsidR="009A4344" w:rsidRPr="005A24DB">
              <w:rPr>
                <w:bCs/>
                <w:i/>
              </w:rPr>
              <w:t>euro</w:t>
            </w:r>
            <w:r w:rsidR="009A4344" w:rsidRPr="005A24DB">
              <w:rPr>
                <w:bCs/>
              </w:rPr>
              <w:t xml:space="preserve"> (no 201</w:t>
            </w:r>
            <w:r w:rsidR="009E7E9E">
              <w:rPr>
                <w:bCs/>
              </w:rPr>
              <w:t>7</w:t>
            </w:r>
            <w:r w:rsidR="009A4344" w:rsidRPr="005A24DB">
              <w:rPr>
                <w:bCs/>
              </w:rPr>
              <w:t xml:space="preserve">.gada līdz 2035.gadam (ieskaitot) </w:t>
            </w:r>
            <w:r w:rsidR="002C457C" w:rsidRPr="005A24DB">
              <w:rPr>
                <w:bCs/>
              </w:rPr>
              <w:t>85 690</w:t>
            </w:r>
            <w:r w:rsidR="009A4344" w:rsidRPr="005A24DB">
              <w:rPr>
                <w:bCs/>
              </w:rPr>
              <w:t xml:space="preserve"> </w:t>
            </w:r>
            <w:r w:rsidR="009A4344" w:rsidRPr="005A24DB">
              <w:rPr>
                <w:bCs/>
                <w:i/>
              </w:rPr>
              <w:t>euro</w:t>
            </w:r>
            <w:r w:rsidR="009A4344" w:rsidRPr="005A24DB">
              <w:rPr>
                <w:bCs/>
              </w:rPr>
              <w:t xml:space="preserve"> katru gadu, 2036.gadā </w:t>
            </w:r>
            <w:r w:rsidR="002C457C" w:rsidRPr="005A24DB">
              <w:rPr>
                <w:bCs/>
              </w:rPr>
              <w:t>64 267</w:t>
            </w:r>
            <w:r w:rsidR="009A4344" w:rsidRPr="005A24DB">
              <w:rPr>
                <w:bCs/>
                <w:i/>
              </w:rPr>
              <w:t xml:space="preserve"> euro</w:t>
            </w:r>
            <w:r w:rsidR="009A4344" w:rsidRPr="005A24DB">
              <w:rPr>
                <w:bCs/>
              </w:rPr>
              <w:t>);</w:t>
            </w:r>
          </w:p>
          <w:p w:rsidR="00CB394C" w:rsidRPr="005A24DB" w:rsidRDefault="00CB394C" w:rsidP="009A4344">
            <w:pPr>
              <w:pStyle w:val="naiskr"/>
              <w:numPr>
                <w:ilvl w:val="0"/>
                <w:numId w:val="1"/>
              </w:numPr>
              <w:tabs>
                <w:tab w:val="left" w:pos="142"/>
                <w:tab w:val="left" w:pos="425"/>
              </w:tabs>
              <w:spacing w:before="0" w:after="120"/>
              <w:ind w:left="142" w:right="159" w:firstLine="0"/>
              <w:jc w:val="both"/>
              <w:rPr>
                <w:bCs/>
              </w:rPr>
            </w:pPr>
            <w:r w:rsidRPr="005A24DB">
              <w:rPr>
                <w:bCs/>
              </w:rPr>
              <w:t>tiek svītrots 2. punkts un papildināts ar 2.</w:t>
            </w:r>
            <w:r w:rsidRPr="005A24DB">
              <w:rPr>
                <w:bCs/>
                <w:vertAlign w:val="superscript"/>
              </w:rPr>
              <w:t>1</w:t>
            </w:r>
            <w:r w:rsidRPr="005A24DB">
              <w:rPr>
                <w:bCs/>
              </w:rPr>
              <w:t> punktu, precizējot FM budžeta ilgtermiņa saistībās paredzētā finansējuma apmēru pa gadiem, paredzot 201</w:t>
            </w:r>
            <w:r w:rsidR="00A336AB" w:rsidRPr="005A24DB">
              <w:rPr>
                <w:bCs/>
              </w:rPr>
              <w:t>7</w:t>
            </w:r>
            <w:r w:rsidRPr="005A24DB">
              <w:rPr>
                <w:bCs/>
              </w:rPr>
              <w:t xml:space="preserve">.gadā </w:t>
            </w:r>
            <w:r w:rsidRPr="005A24DB">
              <w:rPr>
                <w:rFonts w:eastAsiaTheme="minorEastAsia" w:cstheme="minorBidi"/>
              </w:rPr>
              <w:t xml:space="preserve">2 354 997 </w:t>
            </w:r>
            <w:r w:rsidRPr="005A24DB">
              <w:rPr>
                <w:rFonts w:eastAsiaTheme="minorEastAsia" w:cstheme="minorBidi"/>
                <w:i/>
              </w:rPr>
              <w:t>euro,</w:t>
            </w:r>
            <w:r w:rsidRPr="005A24DB">
              <w:rPr>
                <w:bCs/>
                <w:i/>
              </w:rPr>
              <w:t xml:space="preserve"> </w:t>
            </w:r>
            <w:r w:rsidRPr="005A24DB">
              <w:rPr>
                <w:bCs/>
              </w:rPr>
              <w:t>201</w:t>
            </w:r>
            <w:r w:rsidR="00A336AB" w:rsidRPr="005A24DB">
              <w:rPr>
                <w:bCs/>
              </w:rPr>
              <w:t>8</w:t>
            </w:r>
            <w:r w:rsidRPr="005A24DB">
              <w:rPr>
                <w:bCs/>
              </w:rPr>
              <w:t xml:space="preserve">.gadā </w:t>
            </w:r>
            <w:r w:rsidRPr="005A24DB">
              <w:rPr>
                <w:rFonts w:eastAsiaTheme="minorEastAsia" w:cstheme="minorBidi"/>
              </w:rPr>
              <w:t xml:space="preserve">2 354 997 </w:t>
            </w:r>
            <w:r w:rsidRPr="005A24DB">
              <w:rPr>
                <w:rFonts w:eastAsiaTheme="minorEastAsia" w:cstheme="minorBidi"/>
                <w:i/>
              </w:rPr>
              <w:t>euro</w:t>
            </w:r>
            <w:r w:rsidRPr="005A24DB">
              <w:rPr>
                <w:rFonts w:eastAsiaTheme="minorEastAsia" w:cstheme="minorBidi"/>
              </w:rPr>
              <w:t xml:space="preserve"> un</w:t>
            </w:r>
            <w:r w:rsidRPr="005A24DB">
              <w:rPr>
                <w:rFonts w:eastAsiaTheme="minorEastAsia" w:cstheme="minorBidi"/>
                <w:i/>
              </w:rPr>
              <w:t xml:space="preserve"> </w:t>
            </w:r>
            <w:r w:rsidRPr="005A24DB">
              <w:rPr>
                <w:bCs/>
              </w:rPr>
              <w:t>201</w:t>
            </w:r>
            <w:r w:rsidR="001D137E" w:rsidRPr="005A24DB">
              <w:rPr>
                <w:bCs/>
              </w:rPr>
              <w:t>9</w:t>
            </w:r>
            <w:r w:rsidRPr="005A24DB">
              <w:rPr>
                <w:bCs/>
              </w:rPr>
              <w:t xml:space="preserve">.gadā </w:t>
            </w:r>
            <w:r w:rsidR="009A4344" w:rsidRPr="005A24DB">
              <w:rPr>
                <w:rFonts w:eastAsiaTheme="minorEastAsia" w:cstheme="minorBidi"/>
              </w:rPr>
              <w:t>2 682 749</w:t>
            </w:r>
            <w:r w:rsidRPr="005A24DB">
              <w:rPr>
                <w:rFonts w:eastAsiaTheme="minorEastAsia" w:cstheme="minorBidi"/>
              </w:rPr>
              <w:t xml:space="preserve"> </w:t>
            </w:r>
            <w:r w:rsidRPr="005A24DB">
              <w:rPr>
                <w:rFonts w:eastAsiaTheme="minorEastAsia" w:cstheme="minorBidi"/>
                <w:i/>
              </w:rPr>
              <w:t>euro</w:t>
            </w:r>
            <w:r w:rsidRPr="005A24DB">
              <w:rPr>
                <w:bCs/>
              </w:rPr>
              <w:t xml:space="preserve"> </w:t>
            </w:r>
            <w:r w:rsidRPr="005A24DB">
              <w:rPr>
                <w:rFonts w:eastAsiaTheme="minorEastAsia" w:cstheme="minorBidi"/>
              </w:rPr>
              <w:t>(kopā</w:t>
            </w:r>
            <w:r w:rsidRPr="005A24DB">
              <w:rPr>
                <w:bCs/>
              </w:rPr>
              <w:t xml:space="preserve"> </w:t>
            </w:r>
            <w:r w:rsidR="004525A3" w:rsidRPr="005A24DB">
              <w:rPr>
                <w:bCs/>
              </w:rPr>
              <w:t xml:space="preserve">ar būvniecību saistīto kapitālieguldījumu </w:t>
            </w:r>
            <w:r w:rsidRPr="005A24DB">
              <w:rPr>
                <w:bCs/>
              </w:rPr>
              <w:t xml:space="preserve">izdevumu segšanai </w:t>
            </w:r>
            <w:r w:rsidR="009A4344" w:rsidRPr="005A24DB">
              <w:rPr>
                <w:bCs/>
              </w:rPr>
              <w:t xml:space="preserve">VNĪ </w:t>
            </w:r>
            <w:r w:rsidRPr="005A24DB">
              <w:rPr>
                <w:bCs/>
              </w:rPr>
              <w:t xml:space="preserve">2017.-2019.gadā paredzētais finansējuma apmērs ir </w:t>
            </w:r>
            <w:r w:rsidR="009A4344" w:rsidRPr="005A24DB">
              <w:rPr>
                <w:rFonts w:eastAsiaTheme="minorEastAsia" w:cstheme="minorBidi"/>
              </w:rPr>
              <w:t>7 392 743</w:t>
            </w:r>
            <w:r w:rsidR="009A4344" w:rsidRPr="005A24DB">
              <w:rPr>
                <w:color w:val="FF0000"/>
                <w:sz w:val="28"/>
                <w:szCs w:val="28"/>
              </w:rPr>
              <w:t xml:space="preserve"> </w:t>
            </w:r>
            <w:r w:rsidRPr="005A24DB">
              <w:rPr>
                <w:bCs/>
                <w:i/>
              </w:rPr>
              <w:t>euro</w:t>
            </w:r>
            <w:r w:rsidRPr="005A24DB">
              <w:rPr>
                <w:bCs/>
              </w:rPr>
              <w:t>)</w:t>
            </w:r>
            <w:r w:rsidR="009A4344" w:rsidRPr="005A24DB">
              <w:rPr>
                <w:bCs/>
              </w:rPr>
              <w:t>;</w:t>
            </w:r>
          </w:p>
          <w:p w:rsidR="00D80C78" w:rsidRPr="005A24DB" w:rsidRDefault="004525A3" w:rsidP="00D80C78">
            <w:pPr>
              <w:pStyle w:val="naiskr"/>
              <w:numPr>
                <w:ilvl w:val="0"/>
                <w:numId w:val="1"/>
              </w:numPr>
              <w:tabs>
                <w:tab w:val="left" w:pos="142"/>
                <w:tab w:val="left" w:pos="425"/>
              </w:tabs>
              <w:spacing w:before="0" w:after="60"/>
              <w:ind w:left="142" w:right="158" w:firstLine="0"/>
              <w:jc w:val="both"/>
              <w:rPr>
                <w:bCs/>
              </w:rPr>
            </w:pPr>
            <w:r w:rsidRPr="005A24DB">
              <w:rPr>
                <w:bCs/>
              </w:rPr>
              <w:t>3.1.</w:t>
            </w:r>
            <w:r w:rsidR="00D80C78" w:rsidRPr="005A24DB">
              <w:rPr>
                <w:bCs/>
              </w:rPr>
              <w:t xml:space="preserve">apakšpunktā precizēts (aktualizēts) </w:t>
            </w:r>
            <w:r w:rsidR="00226809" w:rsidRPr="005A24DB">
              <w:rPr>
                <w:bCs/>
              </w:rPr>
              <w:t>FM</w:t>
            </w:r>
            <w:r w:rsidR="00D80C78" w:rsidRPr="005A24DB">
              <w:rPr>
                <w:bCs/>
              </w:rPr>
              <w:t xml:space="preserve"> (VNĪ) noteiktais </w:t>
            </w:r>
            <w:r w:rsidR="00D80C78" w:rsidRPr="005A24DB">
              <w:t xml:space="preserve"> </w:t>
            </w:r>
            <w:r w:rsidR="00CB394C" w:rsidRPr="005A24DB">
              <w:t xml:space="preserve">būvniecības I kārtas </w:t>
            </w:r>
            <w:r w:rsidR="00D80C78" w:rsidRPr="005A24DB">
              <w:rPr>
                <w:bCs/>
              </w:rPr>
              <w:t>darbu pabeigšanas termiņš</w:t>
            </w:r>
            <w:r w:rsidR="00D80C78" w:rsidRPr="005A24DB">
              <w:t xml:space="preserve"> līdz 201</w:t>
            </w:r>
            <w:r w:rsidR="00226809" w:rsidRPr="005A24DB">
              <w:t>6</w:t>
            </w:r>
            <w:r w:rsidR="00D80C78" w:rsidRPr="005A24DB">
              <w:t xml:space="preserve">.gada </w:t>
            </w:r>
            <w:r w:rsidR="00F74519" w:rsidRPr="005A24DB">
              <w:t>1.oktobrim</w:t>
            </w:r>
            <w:r w:rsidR="00D80C78" w:rsidRPr="005A24DB">
              <w:rPr>
                <w:bCs/>
              </w:rPr>
              <w:t>;</w:t>
            </w:r>
          </w:p>
          <w:p w:rsidR="004525A3" w:rsidRPr="005A24DB" w:rsidRDefault="004525A3" w:rsidP="00D80C78">
            <w:pPr>
              <w:pStyle w:val="naiskr"/>
              <w:numPr>
                <w:ilvl w:val="0"/>
                <w:numId w:val="1"/>
              </w:numPr>
              <w:tabs>
                <w:tab w:val="left" w:pos="142"/>
                <w:tab w:val="left" w:pos="425"/>
              </w:tabs>
              <w:spacing w:before="0" w:after="60"/>
              <w:ind w:left="142" w:right="158" w:firstLine="0"/>
              <w:jc w:val="both"/>
              <w:rPr>
                <w:bCs/>
              </w:rPr>
            </w:pPr>
            <w:r w:rsidRPr="005A24DB">
              <w:rPr>
                <w:bCs/>
              </w:rPr>
              <w:t>3.2.</w:t>
            </w:r>
            <w:r w:rsidR="00DA430B" w:rsidRPr="005A24DB">
              <w:rPr>
                <w:bCs/>
              </w:rPr>
              <w:t>2.</w:t>
            </w:r>
            <w:r w:rsidRPr="005A24DB">
              <w:rPr>
                <w:bCs/>
              </w:rPr>
              <w:t>apakšpunkts izteikts jaunā redakcijā, ņemot vērā nepieciešam</w:t>
            </w:r>
            <w:r w:rsidR="001E133F" w:rsidRPr="005A24DB">
              <w:rPr>
                <w:bCs/>
              </w:rPr>
              <w:t xml:space="preserve">ību risināt </w:t>
            </w:r>
            <w:r w:rsidR="00C0799C" w:rsidRPr="005A24DB">
              <w:rPr>
                <w:bCs/>
              </w:rPr>
              <w:t>jautājum</w:t>
            </w:r>
            <w:r w:rsidR="001E133F" w:rsidRPr="005A24DB">
              <w:rPr>
                <w:bCs/>
              </w:rPr>
              <w:t>u</w:t>
            </w:r>
            <w:r w:rsidRPr="005A24DB">
              <w:rPr>
                <w:bCs/>
              </w:rPr>
              <w:t xml:space="preserve"> ar Rīgas domi </w:t>
            </w:r>
            <w:r w:rsidR="00C0799C" w:rsidRPr="005A24DB">
              <w:rPr>
                <w:bCs/>
              </w:rPr>
              <w:t>par nepieciešamo līgumsaistību nodibināšanu</w:t>
            </w:r>
            <w:r w:rsidR="00600635" w:rsidRPr="005A24DB">
              <w:rPr>
                <w:bCs/>
              </w:rPr>
              <w:t xml:space="preserve"> </w:t>
            </w:r>
            <w:r w:rsidR="00C0799C" w:rsidRPr="005A24DB">
              <w:rPr>
                <w:bCs/>
              </w:rPr>
              <w:t>būvniecības II kārtas īstenošanai uz Rīgas domes zemes</w:t>
            </w:r>
            <w:r w:rsidR="00DA430B" w:rsidRPr="005A24DB">
              <w:rPr>
                <w:bCs/>
              </w:rPr>
              <w:t xml:space="preserve"> un par vienošanās noslēgšanu par Padomju okupācijas upuru piemiņas memoriāla apsaimniekošanu pēc tā nodošanas ekspluatācijā, nepieciešamības gadījumā iesnie</w:t>
            </w:r>
            <w:r w:rsidR="00246E8A" w:rsidRPr="005A24DB">
              <w:rPr>
                <w:bCs/>
              </w:rPr>
              <w:t>dzot</w:t>
            </w:r>
            <w:r w:rsidR="00DA430B" w:rsidRPr="005A24DB">
              <w:rPr>
                <w:bCs/>
              </w:rPr>
              <w:t xml:space="preserve"> izskatīšanai Ministru kabinetā tiesību akta projektu par papildus nepieciešamo finansējumu uzturēšanas </w:t>
            </w:r>
            <w:r w:rsidR="00DA430B" w:rsidRPr="005A24DB">
              <w:rPr>
                <w:bCs/>
              </w:rPr>
              <w:lastRenderedPageBreak/>
              <w:t>izdevumu segšanai</w:t>
            </w:r>
            <w:r w:rsidR="00C0799C" w:rsidRPr="005A24DB">
              <w:rPr>
                <w:bCs/>
              </w:rPr>
              <w:t>;</w:t>
            </w:r>
          </w:p>
          <w:p w:rsidR="00CB394C" w:rsidRPr="005A24DB" w:rsidRDefault="00C0799C" w:rsidP="00D80C78">
            <w:pPr>
              <w:pStyle w:val="naiskr"/>
              <w:numPr>
                <w:ilvl w:val="0"/>
                <w:numId w:val="1"/>
              </w:numPr>
              <w:tabs>
                <w:tab w:val="left" w:pos="142"/>
                <w:tab w:val="left" w:pos="425"/>
              </w:tabs>
              <w:spacing w:before="0" w:after="60"/>
              <w:ind w:left="142" w:right="158" w:firstLine="0"/>
              <w:jc w:val="both"/>
              <w:rPr>
                <w:bCs/>
              </w:rPr>
            </w:pPr>
            <w:r w:rsidRPr="005A24DB">
              <w:rPr>
                <w:bCs/>
              </w:rPr>
              <w:t>4.1</w:t>
            </w:r>
            <w:r w:rsidR="00446DF3">
              <w:rPr>
                <w:bCs/>
              </w:rPr>
              <w:t>.</w:t>
            </w:r>
            <w:r w:rsidRPr="005A24DB">
              <w:rPr>
                <w:bCs/>
              </w:rPr>
              <w:t>apakš</w:t>
            </w:r>
            <w:r w:rsidR="00D80C78" w:rsidRPr="005A24DB">
              <w:rPr>
                <w:bCs/>
              </w:rPr>
              <w:t xml:space="preserve">punktā precizēta atsauce uz </w:t>
            </w:r>
            <w:r w:rsidR="008E1D34" w:rsidRPr="005A24DB">
              <w:rPr>
                <w:bCs/>
              </w:rPr>
              <w:t>2.</w:t>
            </w:r>
            <w:r w:rsidR="008E1D34" w:rsidRPr="005A24DB">
              <w:rPr>
                <w:bCs/>
                <w:vertAlign w:val="superscript"/>
              </w:rPr>
              <w:t>1</w:t>
            </w:r>
            <w:r w:rsidR="008E1D34" w:rsidRPr="005A24DB">
              <w:rPr>
                <w:bCs/>
              </w:rPr>
              <w:t>punktu</w:t>
            </w:r>
            <w:r w:rsidRPr="005A24DB">
              <w:rPr>
                <w:bCs/>
              </w:rPr>
              <w:t>;</w:t>
            </w:r>
          </w:p>
          <w:p w:rsidR="00C0799C" w:rsidRPr="005A24DB" w:rsidRDefault="00C0799C" w:rsidP="00C0799C">
            <w:pPr>
              <w:pStyle w:val="naiskr"/>
              <w:numPr>
                <w:ilvl w:val="0"/>
                <w:numId w:val="1"/>
              </w:numPr>
              <w:tabs>
                <w:tab w:val="left" w:pos="142"/>
                <w:tab w:val="left" w:pos="425"/>
              </w:tabs>
              <w:spacing w:before="0" w:after="60"/>
              <w:ind w:left="142" w:right="158" w:firstLine="0"/>
              <w:jc w:val="both"/>
              <w:rPr>
                <w:bCs/>
              </w:rPr>
            </w:pPr>
            <w:r w:rsidRPr="005A24DB">
              <w:rPr>
                <w:bCs/>
              </w:rPr>
              <w:t>5.punktā precizēta atsauce uz 1.</w:t>
            </w:r>
            <w:r w:rsidRPr="005A24DB">
              <w:rPr>
                <w:bCs/>
                <w:vertAlign w:val="superscript"/>
              </w:rPr>
              <w:t>1</w:t>
            </w:r>
            <w:r w:rsidRPr="005A24DB">
              <w:rPr>
                <w:bCs/>
              </w:rPr>
              <w:t xml:space="preserve"> punktu.</w:t>
            </w:r>
          </w:p>
          <w:p w:rsidR="00920EB8" w:rsidRPr="005A24DB" w:rsidRDefault="00920EB8" w:rsidP="00920EB8">
            <w:pPr>
              <w:spacing w:after="120" w:line="240" w:lineRule="auto"/>
              <w:ind w:left="142" w:right="159"/>
              <w:jc w:val="both"/>
              <w:rPr>
                <w:rFonts w:ascii="Times New Roman" w:hAnsi="Times New Roman"/>
                <w:sz w:val="24"/>
                <w:szCs w:val="24"/>
              </w:rPr>
            </w:pPr>
            <w:r w:rsidRPr="005A24DB">
              <w:rPr>
                <w:rFonts w:ascii="Times New Roman" w:hAnsi="Times New Roman"/>
                <w:sz w:val="24"/>
                <w:szCs w:val="24"/>
              </w:rPr>
              <w:t>Ministru kabineta rīkojuma projekts pilnībā atrisina anotācijas I.sadaļas 2.punktā minētās problēmas.</w:t>
            </w:r>
          </w:p>
          <w:p w:rsidR="00920EB8" w:rsidRPr="005A24DB" w:rsidRDefault="009E1512" w:rsidP="009E1512">
            <w:pPr>
              <w:spacing w:after="120" w:line="240" w:lineRule="auto"/>
              <w:ind w:left="142" w:right="159"/>
              <w:jc w:val="both"/>
              <w:rPr>
                <w:rFonts w:ascii="Times New Roman" w:hAnsi="Times New Roman"/>
                <w:sz w:val="24"/>
                <w:szCs w:val="24"/>
              </w:rPr>
            </w:pPr>
            <w:r w:rsidRPr="005A24DB">
              <w:rPr>
                <w:rFonts w:ascii="Times New Roman" w:hAnsi="Times New Roman"/>
                <w:sz w:val="24"/>
                <w:szCs w:val="24"/>
              </w:rPr>
              <w:t>Atbilstoši Ministru kabineta 2009.gada 7.aprīļa noteikumu Nr.300 „Ministru kabineta kārtības rullis” 3.pielikumā ietvertajai politikas jomu klasifikācijai MK rīkojuma projekts atbilst publiskās pārvaldes politikas un budžeta un finanšu politikas jomai.</w:t>
            </w:r>
          </w:p>
        </w:tc>
      </w:tr>
      <w:tr w:rsidR="00920EB8" w:rsidRPr="005A24DB" w:rsidTr="005A24DB">
        <w:trPr>
          <w:trHeight w:val="1071"/>
        </w:trPr>
        <w:tc>
          <w:tcPr>
            <w:tcW w:w="212" w:type="pct"/>
          </w:tcPr>
          <w:p w:rsidR="00920EB8" w:rsidRPr="005A24DB" w:rsidRDefault="00920EB8" w:rsidP="00920EB8">
            <w:pPr>
              <w:pStyle w:val="naiskr"/>
              <w:spacing w:before="0" w:after="0"/>
            </w:pPr>
            <w:r w:rsidRPr="005A24DB">
              <w:lastRenderedPageBreak/>
              <w:t>3.</w:t>
            </w:r>
          </w:p>
        </w:tc>
        <w:tc>
          <w:tcPr>
            <w:tcW w:w="840" w:type="pct"/>
          </w:tcPr>
          <w:p w:rsidR="00920EB8" w:rsidRPr="005A24DB" w:rsidRDefault="00920EB8" w:rsidP="00920EB8">
            <w:pPr>
              <w:pStyle w:val="naiskr"/>
              <w:spacing w:before="0" w:after="0"/>
              <w:ind w:left="135"/>
            </w:pPr>
            <w:r w:rsidRPr="005A24DB">
              <w:t>Projekta izstrādē iesaistītās institūcijas</w:t>
            </w:r>
          </w:p>
        </w:tc>
        <w:tc>
          <w:tcPr>
            <w:tcW w:w="3948" w:type="pct"/>
          </w:tcPr>
          <w:p w:rsidR="00920EB8" w:rsidRPr="005A24DB" w:rsidRDefault="00920EB8" w:rsidP="00920EB8">
            <w:pPr>
              <w:pStyle w:val="naiskr"/>
              <w:spacing w:before="0" w:after="0"/>
              <w:ind w:left="101"/>
            </w:pPr>
            <w:r w:rsidRPr="005A24DB">
              <w:rPr>
                <w:bCs/>
              </w:rPr>
              <w:t>FM (VNĪ).</w:t>
            </w:r>
          </w:p>
        </w:tc>
      </w:tr>
      <w:tr w:rsidR="00920EB8" w:rsidRPr="005A24DB" w:rsidTr="005A24DB">
        <w:trPr>
          <w:trHeight w:val="132"/>
        </w:trPr>
        <w:tc>
          <w:tcPr>
            <w:tcW w:w="212" w:type="pct"/>
          </w:tcPr>
          <w:p w:rsidR="00920EB8" w:rsidRPr="005A24DB" w:rsidRDefault="00920EB8" w:rsidP="00920EB8">
            <w:pPr>
              <w:pStyle w:val="naiskr"/>
              <w:spacing w:before="0" w:after="0"/>
            </w:pPr>
            <w:r w:rsidRPr="005A24DB">
              <w:t>4.</w:t>
            </w:r>
          </w:p>
        </w:tc>
        <w:tc>
          <w:tcPr>
            <w:tcW w:w="840" w:type="pct"/>
          </w:tcPr>
          <w:p w:rsidR="00920EB8" w:rsidRPr="005A24DB" w:rsidRDefault="00920EB8" w:rsidP="00920EB8">
            <w:pPr>
              <w:pStyle w:val="naiskr"/>
              <w:spacing w:before="0" w:after="0"/>
            </w:pPr>
            <w:r w:rsidRPr="005A24DB">
              <w:t>Cita informācija</w:t>
            </w:r>
          </w:p>
        </w:tc>
        <w:tc>
          <w:tcPr>
            <w:tcW w:w="3948" w:type="pct"/>
          </w:tcPr>
          <w:p w:rsidR="006D0494" w:rsidRPr="005A24DB" w:rsidRDefault="00850715" w:rsidP="00592FC5">
            <w:pPr>
              <w:spacing w:after="120" w:line="240" w:lineRule="auto"/>
              <w:ind w:left="142" w:right="159"/>
              <w:jc w:val="both"/>
              <w:rPr>
                <w:rFonts w:ascii="Times New Roman" w:hAnsi="Times New Roman"/>
                <w:sz w:val="24"/>
                <w:szCs w:val="24"/>
              </w:rPr>
            </w:pPr>
            <w:r w:rsidRPr="005A24DB">
              <w:rPr>
                <w:rFonts w:ascii="Times New Roman" w:hAnsi="Times New Roman"/>
                <w:sz w:val="24"/>
                <w:szCs w:val="24"/>
              </w:rPr>
              <w:t xml:space="preserve">Vienlaikus ar  MK rīkojuma projektu ir sagatavots </w:t>
            </w:r>
            <w:r w:rsidR="00893C60" w:rsidRPr="005A24DB">
              <w:rPr>
                <w:rFonts w:ascii="Times New Roman" w:hAnsi="Times New Roman"/>
                <w:sz w:val="24"/>
                <w:szCs w:val="24"/>
              </w:rPr>
              <w:t>i</w:t>
            </w:r>
            <w:r w:rsidRPr="005A24DB">
              <w:rPr>
                <w:rFonts w:ascii="Times New Roman" w:hAnsi="Times New Roman"/>
                <w:sz w:val="24"/>
                <w:szCs w:val="24"/>
              </w:rPr>
              <w:t>nformatīvais ziņojums „Par ēkas Latviešu strēlnieku laukumā 1, Rīgā, rekonstrukcijas un piebūves (Nākotnes nama) būvniecības darbu izpildes gaitu un priekšlikumi par turpmāko Padomju okupācijas upuru piemiņas memoriāla būvniecības īstenošanu”.</w:t>
            </w:r>
          </w:p>
        </w:tc>
      </w:tr>
    </w:tbl>
    <w:p w:rsidR="00920EB8" w:rsidRDefault="00920EB8" w:rsidP="00AC5C4A">
      <w:pPr>
        <w:pStyle w:val="BodyText"/>
        <w:rPr>
          <w:bCs w:val="0"/>
        </w:rPr>
      </w:pPr>
    </w:p>
    <w:p w:rsidR="005A24DB" w:rsidRPr="005A24DB" w:rsidRDefault="005A24DB" w:rsidP="00AC5C4A">
      <w:pPr>
        <w:pStyle w:val="BodyText"/>
        <w:rPr>
          <w:bCs w:val="0"/>
        </w:rPr>
      </w:pPr>
    </w:p>
    <w:bookmarkEnd w:id="0"/>
    <w:bookmarkEnd w:id="1"/>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146"/>
        <w:gridCol w:w="1274"/>
        <w:gridCol w:w="1274"/>
        <w:gridCol w:w="1274"/>
        <w:gridCol w:w="1996"/>
      </w:tblGrid>
      <w:tr w:rsidR="00D80C78" w:rsidRPr="005A24DB" w:rsidTr="00AA1C5A">
        <w:trPr>
          <w:trHeight w:val="290"/>
          <w:jc w:val="center"/>
        </w:trPr>
        <w:tc>
          <w:tcPr>
            <w:tcW w:w="5000" w:type="pct"/>
            <w:gridSpan w:val="6"/>
          </w:tcPr>
          <w:p w:rsidR="00D80C78" w:rsidRPr="005A24DB" w:rsidRDefault="00D80C78" w:rsidP="00597A53">
            <w:pPr>
              <w:pStyle w:val="naisnod"/>
              <w:spacing w:before="120" w:beforeAutospacing="0" w:after="120" w:afterAutospacing="0"/>
              <w:jc w:val="center"/>
              <w:rPr>
                <w:b/>
              </w:rPr>
            </w:pPr>
            <w:r w:rsidRPr="005A24DB">
              <w:rPr>
                <w:b/>
              </w:rPr>
              <w:br w:type="page"/>
              <w:t>III. Tiesību akta projekta ietekme uz valsts budžetu un pašvaldību budžetiem</w:t>
            </w:r>
          </w:p>
        </w:tc>
      </w:tr>
      <w:tr w:rsidR="00D80C78" w:rsidRPr="005A24DB" w:rsidTr="00AA1C5A">
        <w:trPr>
          <w:jc w:val="center"/>
        </w:trPr>
        <w:tc>
          <w:tcPr>
            <w:tcW w:w="1414" w:type="pct"/>
            <w:vMerge w:val="restart"/>
            <w:vAlign w:val="center"/>
          </w:tcPr>
          <w:p w:rsidR="00D80C78" w:rsidRPr="005A24DB" w:rsidRDefault="00D80C78" w:rsidP="00D80C78">
            <w:pPr>
              <w:pStyle w:val="naisf"/>
              <w:tabs>
                <w:tab w:val="left" w:pos="7993"/>
              </w:tabs>
              <w:spacing w:before="0" w:after="0"/>
              <w:ind w:left="270" w:right="-1" w:firstLine="0"/>
              <w:jc w:val="center"/>
            </w:pPr>
            <w:r w:rsidRPr="005A24DB">
              <w:t>Rādītāji</w:t>
            </w:r>
          </w:p>
        </w:tc>
        <w:tc>
          <w:tcPr>
            <w:tcW w:w="1246" w:type="pct"/>
            <w:gridSpan w:val="2"/>
            <w:vMerge w:val="restart"/>
            <w:vAlign w:val="center"/>
          </w:tcPr>
          <w:p w:rsidR="00D80C78" w:rsidRPr="005A24DB" w:rsidRDefault="00D80C78" w:rsidP="00D80C78">
            <w:pPr>
              <w:pStyle w:val="naisf"/>
              <w:tabs>
                <w:tab w:val="left" w:pos="7993"/>
              </w:tabs>
              <w:spacing w:before="0" w:after="0"/>
              <w:ind w:right="-1" w:firstLine="0"/>
              <w:jc w:val="center"/>
            </w:pPr>
            <w:r w:rsidRPr="005A24DB">
              <w:t>2014.gads</w:t>
            </w:r>
          </w:p>
        </w:tc>
        <w:tc>
          <w:tcPr>
            <w:tcW w:w="2340" w:type="pct"/>
            <w:gridSpan w:val="3"/>
            <w:vAlign w:val="center"/>
          </w:tcPr>
          <w:p w:rsidR="00D80C78" w:rsidRPr="005A24DB" w:rsidRDefault="00D80C78" w:rsidP="00D80C78">
            <w:pPr>
              <w:pStyle w:val="naisf"/>
              <w:tabs>
                <w:tab w:val="left" w:pos="7993"/>
              </w:tabs>
              <w:spacing w:before="0" w:after="0"/>
              <w:ind w:right="-1" w:firstLine="0"/>
              <w:jc w:val="center"/>
              <w:rPr>
                <w:i/>
              </w:rPr>
            </w:pPr>
            <w:r w:rsidRPr="005A24DB">
              <w:t>Turpmākie trīs gadi (</w:t>
            </w:r>
            <w:r w:rsidRPr="005A24DB">
              <w:rPr>
                <w:i/>
              </w:rPr>
              <w:t>euro</w:t>
            </w:r>
            <w:r w:rsidRPr="005A24DB">
              <w:t>)</w:t>
            </w:r>
          </w:p>
        </w:tc>
      </w:tr>
      <w:tr w:rsidR="00D80C78" w:rsidRPr="005A24DB" w:rsidTr="00AA1C5A">
        <w:trPr>
          <w:jc w:val="center"/>
        </w:trPr>
        <w:tc>
          <w:tcPr>
            <w:tcW w:w="1414" w:type="pct"/>
            <w:vMerge/>
            <w:vAlign w:val="center"/>
          </w:tcPr>
          <w:p w:rsidR="00D80C78" w:rsidRPr="005A24DB" w:rsidRDefault="00D80C78" w:rsidP="00D80C78">
            <w:pPr>
              <w:pStyle w:val="naisf"/>
              <w:tabs>
                <w:tab w:val="left" w:pos="7993"/>
              </w:tabs>
              <w:spacing w:before="0" w:after="0"/>
              <w:ind w:right="-1" w:firstLine="0"/>
              <w:jc w:val="left"/>
              <w:rPr>
                <w:i/>
              </w:rPr>
            </w:pPr>
          </w:p>
        </w:tc>
        <w:tc>
          <w:tcPr>
            <w:tcW w:w="1246" w:type="pct"/>
            <w:gridSpan w:val="2"/>
            <w:vMerge/>
            <w:vAlign w:val="center"/>
          </w:tcPr>
          <w:p w:rsidR="00D80C78" w:rsidRPr="005A24DB" w:rsidRDefault="00D80C78" w:rsidP="00D80C78">
            <w:pPr>
              <w:pStyle w:val="naisf"/>
              <w:tabs>
                <w:tab w:val="left" w:pos="7993"/>
              </w:tabs>
              <w:spacing w:before="0" w:after="0"/>
              <w:ind w:right="-1" w:firstLine="0"/>
              <w:jc w:val="center"/>
              <w:rPr>
                <w:i/>
              </w:rPr>
            </w:pP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rPr>
                <w:bCs/>
              </w:rPr>
              <w:t>2015.g.</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rPr>
                <w:bCs/>
              </w:rPr>
              <w:t>2016.g.</w:t>
            </w:r>
          </w:p>
        </w:tc>
        <w:tc>
          <w:tcPr>
            <w:tcW w:w="1028" w:type="pct"/>
            <w:vAlign w:val="center"/>
          </w:tcPr>
          <w:p w:rsidR="00D80C78" w:rsidRPr="005A24DB" w:rsidRDefault="00D80C78" w:rsidP="00D80C78">
            <w:pPr>
              <w:pStyle w:val="naisf"/>
              <w:tabs>
                <w:tab w:val="left" w:pos="7993"/>
              </w:tabs>
              <w:spacing w:before="0" w:after="0"/>
              <w:ind w:right="-1" w:firstLine="0"/>
              <w:jc w:val="center"/>
              <w:rPr>
                <w:i/>
              </w:rPr>
            </w:pPr>
            <w:r w:rsidRPr="005A24DB">
              <w:rPr>
                <w:bCs/>
              </w:rPr>
              <w:t>2017.g.</w:t>
            </w:r>
          </w:p>
        </w:tc>
      </w:tr>
      <w:tr w:rsidR="00D80C78" w:rsidRPr="005A24DB" w:rsidTr="00AA1C5A">
        <w:trPr>
          <w:jc w:val="center"/>
        </w:trPr>
        <w:tc>
          <w:tcPr>
            <w:tcW w:w="1414" w:type="pct"/>
            <w:vMerge/>
            <w:vAlign w:val="center"/>
          </w:tcPr>
          <w:p w:rsidR="00D80C78" w:rsidRPr="005A24DB" w:rsidRDefault="00D80C78" w:rsidP="00D80C78">
            <w:pPr>
              <w:pStyle w:val="naisf"/>
              <w:tabs>
                <w:tab w:val="left" w:pos="7993"/>
              </w:tabs>
              <w:spacing w:before="0" w:after="0"/>
              <w:ind w:right="-1" w:firstLine="0"/>
              <w:jc w:val="left"/>
              <w:rPr>
                <w:i/>
              </w:rPr>
            </w:pPr>
          </w:p>
        </w:tc>
        <w:tc>
          <w:tcPr>
            <w:tcW w:w="590" w:type="pct"/>
            <w:vAlign w:val="center"/>
          </w:tcPr>
          <w:p w:rsidR="00D80C78" w:rsidRPr="005A24DB" w:rsidRDefault="00D80C78" w:rsidP="00D80C78">
            <w:pPr>
              <w:pStyle w:val="naisf"/>
              <w:tabs>
                <w:tab w:val="left" w:pos="7993"/>
              </w:tabs>
              <w:spacing w:before="0" w:after="0"/>
              <w:ind w:right="-1" w:firstLine="0"/>
              <w:jc w:val="center"/>
              <w:rPr>
                <w:i/>
              </w:rPr>
            </w:pPr>
            <w:r w:rsidRPr="005A24DB">
              <w:t>Saskaņā ar valsts budžetu kārtējam gadam</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kārtējā gadā, salīdzinot ar budžetu kārtējam gadam</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c>
          <w:tcPr>
            <w:tcW w:w="656"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c>
          <w:tcPr>
            <w:tcW w:w="1028" w:type="pct"/>
            <w:vAlign w:val="center"/>
          </w:tcPr>
          <w:p w:rsidR="00D80C78" w:rsidRPr="005A24DB" w:rsidRDefault="00D80C78" w:rsidP="00D80C78">
            <w:pPr>
              <w:pStyle w:val="naisf"/>
              <w:tabs>
                <w:tab w:val="left" w:pos="7993"/>
              </w:tabs>
              <w:spacing w:before="0" w:after="0"/>
              <w:ind w:right="-1" w:firstLine="0"/>
              <w:jc w:val="center"/>
              <w:rPr>
                <w:i/>
              </w:rPr>
            </w:pPr>
            <w:r w:rsidRPr="005A24DB">
              <w:t>Izmaiņas, salīdzinot ar kārtējo gadu</w:t>
            </w:r>
          </w:p>
        </w:tc>
      </w:tr>
      <w:tr w:rsidR="00D80C78" w:rsidRPr="005A24DB" w:rsidTr="00AA1C5A">
        <w:trPr>
          <w:jc w:val="center"/>
        </w:trPr>
        <w:tc>
          <w:tcPr>
            <w:tcW w:w="1414"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1</w:t>
            </w:r>
          </w:p>
        </w:tc>
        <w:tc>
          <w:tcPr>
            <w:tcW w:w="590"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2</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3</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4</w:t>
            </w:r>
          </w:p>
        </w:tc>
        <w:tc>
          <w:tcPr>
            <w:tcW w:w="656"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5</w:t>
            </w:r>
          </w:p>
        </w:tc>
        <w:tc>
          <w:tcPr>
            <w:tcW w:w="1028" w:type="pct"/>
            <w:vAlign w:val="center"/>
          </w:tcPr>
          <w:p w:rsidR="00D80C78" w:rsidRPr="005A24DB" w:rsidRDefault="00D80C78" w:rsidP="00D80C78">
            <w:pPr>
              <w:pStyle w:val="naisf"/>
              <w:tabs>
                <w:tab w:val="left" w:pos="7993"/>
              </w:tabs>
              <w:spacing w:before="0" w:after="0"/>
              <w:ind w:right="-1" w:firstLine="0"/>
              <w:jc w:val="center"/>
              <w:rPr>
                <w:bCs/>
              </w:rPr>
            </w:pPr>
            <w:r w:rsidRPr="005A24DB">
              <w:rPr>
                <w:bCs/>
              </w:rPr>
              <w:t>6</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right="-1"/>
            </w:pPr>
            <w:r w:rsidRPr="005A24DB">
              <w:t>1. Budžeta ieņēmumi:</w:t>
            </w:r>
          </w:p>
        </w:tc>
        <w:tc>
          <w:tcPr>
            <w:tcW w:w="590"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656" w:type="pct"/>
          </w:tcPr>
          <w:p w:rsidR="00D80C78" w:rsidRPr="005A24DB" w:rsidRDefault="00D80C78" w:rsidP="00D80C78">
            <w:pPr>
              <w:pStyle w:val="naisf"/>
              <w:tabs>
                <w:tab w:val="left" w:pos="7993"/>
              </w:tabs>
              <w:spacing w:before="0" w:after="0"/>
              <w:ind w:right="-1" w:firstLine="0"/>
              <w:jc w:val="center"/>
            </w:pPr>
            <w:r w:rsidRPr="005A24DB">
              <w:t>0</w:t>
            </w:r>
          </w:p>
        </w:tc>
        <w:tc>
          <w:tcPr>
            <w:tcW w:w="1028" w:type="pct"/>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left="-14" w:right="-1"/>
            </w:pPr>
            <w:r w:rsidRPr="005A24DB">
              <w:t>1.1. valsts pamatbudžets, tai skaitā ieņēmumi no maksas pakalpojumiem un citi pašu ieņēmumi</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trHeight w:val="445"/>
          <w:jc w:val="center"/>
        </w:trPr>
        <w:tc>
          <w:tcPr>
            <w:tcW w:w="1414" w:type="pct"/>
          </w:tcPr>
          <w:p w:rsidR="00D80C78" w:rsidRPr="005A24DB" w:rsidRDefault="00D80C78" w:rsidP="00D80C78">
            <w:pPr>
              <w:pStyle w:val="naiskr"/>
              <w:tabs>
                <w:tab w:val="left" w:pos="7993"/>
              </w:tabs>
              <w:spacing w:before="0" w:after="0"/>
              <w:ind w:right="-1"/>
            </w:pPr>
            <w:r w:rsidRPr="005A24DB">
              <w:t>1.2. valsts speciālais budžets</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D80C78" w:rsidRPr="005A24DB" w:rsidTr="00AA1C5A">
        <w:trPr>
          <w:jc w:val="center"/>
        </w:trPr>
        <w:tc>
          <w:tcPr>
            <w:tcW w:w="1414" w:type="pct"/>
          </w:tcPr>
          <w:p w:rsidR="00D80C78" w:rsidRPr="005A24DB" w:rsidRDefault="00D80C78" w:rsidP="00D80C78">
            <w:pPr>
              <w:pStyle w:val="naiskr"/>
              <w:tabs>
                <w:tab w:val="left" w:pos="7993"/>
              </w:tabs>
              <w:spacing w:before="0" w:after="0"/>
              <w:ind w:right="-1"/>
            </w:pPr>
            <w:r w:rsidRPr="005A24DB">
              <w:t>1.3. pašvaldību budžets</w:t>
            </w:r>
          </w:p>
        </w:tc>
        <w:tc>
          <w:tcPr>
            <w:tcW w:w="590"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656" w:type="pct"/>
            <w:vAlign w:val="center"/>
          </w:tcPr>
          <w:p w:rsidR="00D80C78" w:rsidRPr="005A24DB" w:rsidRDefault="00D80C78" w:rsidP="00D80C78">
            <w:pPr>
              <w:pStyle w:val="naisf"/>
              <w:tabs>
                <w:tab w:val="left" w:pos="7993"/>
              </w:tabs>
              <w:spacing w:before="0" w:after="0"/>
              <w:ind w:right="-1" w:firstLine="0"/>
              <w:jc w:val="center"/>
            </w:pPr>
            <w:r w:rsidRPr="005A24DB">
              <w:t>0</w:t>
            </w:r>
          </w:p>
        </w:tc>
        <w:tc>
          <w:tcPr>
            <w:tcW w:w="1028" w:type="pct"/>
            <w:vAlign w:val="center"/>
          </w:tcPr>
          <w:p w:rsidR="00D80C78" w:rsidRPr="005A24DB" w:rsidRDefault="00D80C78" w:rsidP="00D80C78">
            <w:pPr>
              <w:pStyle w:val="naisf"/>
              <w:tabs>
                <w:tab w:val="left" w:pos="7993"/>
              </w:tabs>
              <w:spacing w:before="0" w:after="0"/>
              <w:ind w:right="-1" w:firstLine="0"/>
              <w:jc w:val="center"/>
            </w:pPr>
            <w:r w:rsidRPr="005A24DB">
              <w:t>0</w:t>
            </w:r>
          </w:p>
        </w:tc>
      </w:tr>
      <w:tr w:rsidR="001D137E" w:rsidRPr="005A24DB" w:rsidTr="00AA1C5A">
        <w:trPr>
          <w:jc w:val="center"/>
        </w:trPr>
        <w:tc>
          <w:tcPr>
            <w:tcW w:w="1414" w:type="pct"/>
          </w:tcPr>
          <w:p w:rsidR="001D137E" w:rsidRPr="005A24DB" w:rsidRDefault="001D137E" w:rsidP="00D80C78">
            <w:pPr>
              <w:pStyle w:val="naiskr"/>
              <w:tabs>
                <w:tab w:val="left" w:pos="7993"/>
              </w:tabs>
              <w:spacing w:before="0" w:after="0"/>
              <w:ind w:right="-1"/>
            </w:pPr>
            <w:r w:rsidRPr="005A24DB">
              <w:t>2. Budžeta izdevumi:</w:t>
            </w:r>
          </w:p>
        </w:tc>
        <w:tc>
          <w:tcPr>
            <w:tcW w:w="590" w:type="pct"/>
          </w:tcPr>
          <w:p w:rsidR="001D137E" w:rsidRPr="005A24DB" w:rsidRDefault="001D137E" w:rsidP="00D80C78">
            <w:pPr>
              <w:pStyle w:val="naisf"/>
              <w:tabs>
                <w:tab w:val="left" w:pos="7993"/>
              </w:tabs>
              <w:spacing w:before="0" w:after="0"/>
              <w:ind w:right="-1" w:firstLine="0"/>
              <w:jc w:val="center"/>
            </w:pPr>
            <w:r w:rsidRPr="005A24DB">
              <w:t>0</w:t>
            </w:r>
          </w:p>
        </w:tc>
        <w:tc>
          <w:tcPr>
            <w:tcW w:w="656" w:type="pct"/>
          </w:tcPr>
          <w:p w:rsidR="001D137E" w:rsidRPr="005A24DB" w:rsidRDefault="001D137E" w:rsidP="00D80C78">
            <w:pPr>
              <w:pStyle w:val="naisf"/>
              <w:tabs>
                <w:tab w:val="left" w:pos="7993"/>
              </w:tabs>
              <w:spacing w:before="0" w:after="0"/>
              <w:ind w:right="-1" w:firstLine="0"/>
              <w:jc w:val="center"/>
            </w:pPr>
            <w:r w:rsidRPr="005A24DB">
              <w:t>0</w:t>
            </w:r>
          </w:p>
        </w:tc>
        <w:tc>
          <w:tcPr>
            <w:tcW w:w="656" w:type="pct"/>
          </w:tcPr>
          <w:p w:rsidR="001D137E" w:rsidRPr="005A24DB" w:rsidRDefault="001D137E" w:rsidP="00592FC5">
            <w:pPr>
              <w:pStyle w:val="naisf"/>
              <w:tabs>
                <w:tab w:val="left" w:pos="7993"/>
              </w:tabs>
              <w:spacing w:before="0" w:after="0"/>
              <w:ind w:right="-1" w:firstLine="0"/>
              <w:jc w:val="center"/>
              <w:rPr>
                <w:rFonts w:eastAsiaTheme="minorEastAsia" w:cstheme="minorBidi"/>
              </w:rPr>
            </w:pPr>
            <w:r w:rsidRPr="005A24DB">
              <w:t>-</w:t>
            </w:r>
            <w:r w:rsidR="00592FC5" w:rsidRPr="005A24DB">
              <w:rPr>
                <w:rFonts w:eastAsiaTheme="minorEastAsia" w:cstheme="minorBidi"/>
              </w:rPr>
              <w:t>2 430 172</w:t>
            </w:r>
          </w:p>
        </w:tc>
        <w:tc>
          <w:tcPr>
            <w:tcW w:w="656" w:type="pct"/>
          </w:tcPr>
          <w:p w:rsidR="001D137E" w:rsidRPr="005A24DB" w:rsidRDefault="001D137E" w:rsidP="009A4344">
            <w:pPr>
              <w:pStyle w:val="naisf"/>
              <w:tabs>
                <w:tab w:val="left" w:pos="7993"/>
              </w:tabs>
              <w:spacing w:before="0" w:after="0"/>
              <w:ind w:right="-1" w:firstLine="0"/>
              <w:jc w:val="center"/>
            </w:pPr>
            <w:r w:rsidRPr="005A24DB">
              <w:t>-</w:t>
            </w:r>
            <w:r w:rsidRPr="005A24DB">
              <w:rPr>
                <w:rFonts w:eastAsiaTheme="minorEastAsia" w:cstheme="minorBidi"/>
              </w:rPr>
              <w:t>2</w:t>
            </w:r>
            <w:r w:rsidR="009A4344" w:rsidRPr="005A24DB">
              <w:rPr>
                <w:rFonts w:eastAsiaTheme="minorEastAsia" w:cstheme="minorBidi"/>
              </w:rPr>
              <w:t> 408 751</w:t>
            </w:r>
          </w:p>
        </w:tc>
        <w:tc>
          <w:tcPr>
            <w:tcW w:w="1028" w:type="pct"/>
          </w:tcPr>
          <w:p w:rsidR="001D137E" w:rsidRPr="005A24DB" w:rsidRDefault="00516DBB" w:rsidP="001D137E">
            <w:pPr>
              <w:pStyle w:val="naisf"/>
              <w:tabs>
                <w:tab w:val="left" w:pos="7993"/>
              </w:tabs>
              <w:spacing w:before="0" w:after="0"/>
              <w:ind w:right="-1" w:firstLine="0"/>
              <w:jc w:val="center"/>
              <w:rPr>
                <w:rFonts w:eastAsiaTheme="minorEastAsia" w:cstheme="minorBidi"/>
              </w:rPr>
            </w:pPr>
            <w:r w:rsidRPr="005A24DB">
              <w:rPr>
                <w:rFonts w:eastAsiaTheme="minorEastAsia" w:cstheme="minorBidi"/>
              </w:rPr>
              <w:t>10 513</w:t>
            </w:r>
          </w:p>
        </w:tc>
      </w:tr>
      <w:tr w:rsidR="009A4344" w:rsidRPr="005A24DB" w:rsidTr="00AA1C5A">
        <w:trPr>
          <w:trHeight w:val="195"/>
          <w:jc w:val="center"/>
        </w:trPr>
        <w:tc>
          <w:tcPr>
            <w:tcW w:w="1414" w:type="pct"/>
          </w:tcPr>
          <w:p w:rsidR="009A4344" w:rsidRPr="005A24DB" w:rsidRDefault="009A4344" w:rsidP="00D80C78">
            <w:pPr>
              <w:pStyle w:val="naiskr"/>
              <w:tabs>
                <w:tab w:val="left" w:pos="7993"/>
              </w:tabs>
              <w:spacing w:before="0" w:after="0"/>
              <w:ind w:right="-1"/>
            </w:pPr>
            <w:r w:rsidRPr="005A24DB">
              <w:t>2.1. valsts pamatbudžets</w:t>
            </w:r>
          </w:p>
        </w:tc>
        <w:tc>
          <w:tcPr>
            <w:tcW w:w="590"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170EB9">
            <w:pPr>
              <w:pStyle w:val="naisf"/>
              <w:tabs>
                <w:tab w:val="left" w:pos="7993"/>
              </w:tabs>
              <w:spacing w:before="0" w:after="0"/>
              <w:ind w:right="-1" w:firstLine="0"/>
              <w:jc w:val="center"/>
            </w:pPr>
            <w:r w:rsidRPr="005A24DB">
              <w:t>-</w:t>
            </w:r>
            <w:r w:rsidR="00592FC5" w:rsidRPr="005A24DB">
              <w:rPr>
                <w:rFonts w:eastAsiaTheme="minorEastAsia" w:cstheme="minorBidi"/>
              </w:rPr>
              <w:t>2 430 172</w:t>
            </w:r>
          </w:p>
        </w:tc>
        <w:tc>
          <w:tcPr>
            <w:tcW w:w="656" w:type="pct"/>
          </w:tcPr>
          <w:p w:rsidR="009A4344" w:rsidRPr="005A24DB" w:rsidRDefault="009A4344" w:rsidP="009A4344">
            <w:pPr>
              <w:pStyle w:val="naisf"/>
              <w:tabs>
                <w:tab w:val="left" w:pos="7993"/>
              </w:tabs>
              <w:spacing w:before="0" w:after="0"/>
              <w:ind w:right="-1" w:firstLine="0"/>
              <w:jc w:val="center"/>
            </w:pPr>
            <w:r w:rsidRPr="005A24DB">
              <w:t>-</w:t>
            </w:r>
            <w:r w:rsidRPr="005A24DB">
              <w:rPr>
                <w:rFonts w:eastAsiaTheme="minorEastAsia" w:cstheme="minorBidi"/>
              </w:rPr>
              <w:t>2 408 751</w:t>
            </w:r>
          </w:p>
        </w:tc>
        <w:tc>
          <w:tcPr>
            <w:tcW w:w="1028" w:type="pct"/>
          </w:tcPr>
          <w:p w:rsidR="009A4344" w:rsidRPr="005A24DB" w:rsidRDefault="00516DBB" w:rsidP="001D137E">
            <w:pPr>
              <w:pStyle w:val="naisf"/>
              <w:tabs>
                <w:tab w:val="left" w:pos="7993"/>
              </w:tabs>
              <w:spacing w:before="0" w:after="0"/>
              <w:ind w:right="-1" w:firstLine="0"/>
              <w:jc w:val="center"/>
              <w:rPr>
                <w:rFonts w:eastAsiaTheme="minorEastAsia" w:cstheme="minorBidi"/>
              </w:rPr>
            </w:pPr>
            <w:r w:rsidRPr="005A24DB">
              <w:rPr>
                <w:rFonts w:eastAsiaTheme="minorEastAsia" w:cstheme="minorBidi"/>
              </w:rPr>
              <w:t>10 513</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2.2. valsts speciālais budžets</w:t>
            </w:r>
          </w:p>
        </w:tc>
        <w:tc>
          <w:tcPr>
            <w:tcW w:w="590"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 xml:space="preserve">2.3. pašvaldību budžets </w:t>
            </w:r>
          </w:p>
        </w:tc>
        <w:tc>
          <w:tcPr>
            <w:tcW w:w="590"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3. Finansiālā ietekme:</w:t>
            </w:r>
          </w:p>
        </w:tc>
        <w:tc>
          <w:tcPr>
            <w:tcW w:w="590" w:type="pct"/>
            <w:shd w:val="clear" w:color="auto" w:fill="auto"/>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592FC5" w:rsidP="00170EB9">
            <w:pPr>
              <w:pStyle w:val="naisf"/>
              <w:tabs>
                <w:tab w:val="left" w:pos="7993"/>
              </w:tabs>
              <w:spacing w:before="0" w:after="0"/>
              <w:ind w:right="-1" w:firstLine="0"/>
              <w:jc w:val="center"/>
            </w:pPr>
            <w:r w:rsidRPr="005A24DB">
              <w:t>2 430 172</w:t>
            </w:r>
          </w:p>
        </w:tc>
        <w:tc>
          <w:tcPr>
            <w:tcW w:w="656" w:type="pct"/>
          </w:tcPr>
          <w:p w:rsidR="009A4344" w:rsidRPr="005A24DB" w:rsidRDefault="009A4344" w:rsidP="001D137E">
            <w:pPr>
              <w:pStyle w:val="naisf"/>
              <w:tabs>
                <w:tab w:val="left" w:pos="7993"/>
              </w:tabs>
              <w:spacing w:before="0" w:after="0"/>
              <w:ind w:right="-1" w:firstLine="0"/>
              <w:jc w:val="center"/>
            </w:pPr>
            <w:r w:rsidRPr="005A24DB">
              <w:t>2 408 751</w:t>
            </w:r>
          </w:p>
        </w:tc>
        <w:tc>
          <w:tcPr>
            <w:tcW w:w="1028" w:type="pct"/>
          </w:tcPr>
          <w:p w:rsidR="009A4344" w:rsidRPr="005A24DB" w:rsidRDefault="00516DBB" w:rsidP="009A4344">
            <w:pPr>
              <w:pStyle w:val="naisf"/>
              <w:tabs>
                <w:tab w:val="left" w:pos="7993"/>
              </w:tabs>
              <w:spacing w:before="0" w:after="0"/>
              <w:ind w:right="-1" w:firstLine="0"/>
              <w:jc w:val="center"/>
            </w:pPr>
            <w:r w:rsidRPr="005A24DB">
              <w:t>10 513</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3.1. valsts pamatbudžets</w:t>
            </w:r>
          </w:p>
        </w:tc>
        <w:tc>
          <w:tcPr>
            <w:tcW w:w="590" w:type="pct"/>
            <w:shd w:val="clear" w:color="auto" w:fill="auto"/>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592FC5" w:rsidP="00170EB9">
            <w:pPr>
              <w:pStyle w:val="naisf"/>
              <w:tabs>
                <w:tab w:val="left" w:pos="7993"/>
              </w:tabs>
              <w:spacing w:before="0" w:after="0"/>
              <w:ind w:right="-1" w:firstLine="0"/>
              <w:jc w:val="center"/>
            </w:pPr>
            <w:r w:rsidRPr="005A24DB">
              <w:t>2 430 172</w:t>
            </w:r>
          </w:p>
        </w:tc>
        <w:tc>
          <w:tcPr>
            <w:tcW w:w="656" w:type="pct"/>
          </w:tcPr>
          <w:p w:rsidR="009A4344" w:rsidRPr="005A24DB" w:rsidRDefault="009A4344" w:rsidP="001D137E">
            <w:pPr>
              <w:pStyle w:val="naisf"/>
              <w:tabs>
                <w:tab w:val="left" w:pos="7993"/>
              </w:tabs>
              <w:spacing w:before="0" w:after="0"/>
              <w:ind w:right="-1" w:firstLine="0"/>
              <w:jc w:val="center"/>
            </w:pPr>
            <w:r w:rsidRPr="005A24DB">
              <w:t>2 408 751</w:t>
            </w:r>
          </w:p>
        </w:tc>
        <w:tc>
          <w:tcPr>
            <w:tcW w:w="1028" w:type="pct"/>
          </w:tcPr>
          <w:p w:rsidR="009A4344" w:rsidRPr="005A24DB" w:rsidRDefault="00516DBB" w:rsidP="009A4344">
            <w:pPr>
              <w:pStyle w:val="naisf"/>
              <w:tabs>
                <w:tab w:val="left" w:pos="7993"/>
              </w:tabs>
              <w:spacing w:before="0" w:after="0"/>
              <w:ind w:right="-1" w:firstLine="0"/>
              <w:jc w:val="center"/>
            </w:pPr>
            <w:r w:rsidRPr="005A24DB">
              <w:t>10 513</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3.2. speciālais budžets</w:t>
            </w:r>
          </w:p>
        </w:tc>
        <w:tc>
          <w:tcPr>
            <w:tcW w:w="590" w:type="pct"/>
            <w:shd w:val="clear" w:color="auto" w:fill="auto"/>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 xml:space="preserve">3.3. pašvaldību budžets </w:t>
            </w:r>
          </w:p>
        </w:tc>
        <w:tc>
          <w:tcPr>
            <w:tcW w:w="590" w:type="pct"/>
            <w:shd w:val="clear" w:color="auto" w:fill="auto"/>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vMerge w:val="restart"/>
          </w:tcPr>
          <w:p w:rsidR="009A4344" w:rsidRPr="005A24DB" w:rsidRDefault="009A4344" w:rsidP="00D80C78">
            <w:pPr>
              <w:pStyle w:val="naiskr"/>
              <w:tabs>
                <w:tab w:val="left" w:pos="7993"/>
              </w:tabs>
              <w:spacing w:before="0" w:after="0"/>
              <w:ind w:right="-1"/>
            </w:pPr>
            <w:r w:rsidRPr="005A24DB">
              <w:lastRenderedPageBreak/>
              <w:t>4. Finanšu līdzekļi papildu izde</w:t>
            </w:r>
            <w:r w:rsidRPr="005A24DB">
              <w:softHyphen/>
              <w:t>vumu finansēšanai (kompensējošu izdevumu samazinājumu norāda ar "+" zīmi)</w:t>
            </w:r>
          </w:p>
        </w:tc>
        <w:tc>
          <w:tcPr>
            <w:tcW w:w="590" w:type="pct"/>
            <w:vMerge w:val="restart"/>
            <w:vAlign w:val="center"/>
          </w:tcPr>
          <w:p w:rsidR="009A4344" w:rsidRPr="005A24DB" w:rsidRDefault="009A4344" w:rsidP="00D80C78">
            <w:pPr>
              <w:pStyle w:val="naisf"/>
              <w:tabs>
                <w:tab w:val="left" w:pos="7993"/>
              </w:tabs>
              <w:spacing w:before="0" w:after="0"/>
              <w:ind w:right="-1" w:firstLine="0"/>
              <w:jc w:val="center"/>
            </w:pPr>
            <w:r w:rsidRPr="005A24DB">
              <w:t>X</w:t>
            </w:r>
          </w:p>
        </w:tc>
        <w:tc>
          <w:tcPr>
            <w:tcW w:w="656" w:type="pct"/>
            <w:vMerge w:val="restart"/>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vMerge/>
          </w:tcPr>
          <w:p w:rsidR="009A4344" w:rsidRPr="005A24DB" w:rsidRDefault="009A4344" w:rsidP="00D80C78">
            <w:pPr>
              <w:tabs>
                <w:tab w:val="left" w:pos="7993"/>
              </w:tabs>
              <w:ind w:right="-1"/>
              <w:rPr>
                <w:rFonts w:ascii="Times New Roman" w:hAnsi="Times New Roman"/>
                <w:sz w:val="24"/>
                <w:szCs w:val="24"/>
              </w:rPr>
            </w:pPr>
          </w:p>
        </w:tc>
        <w:tc>
          <w:tcPr>
            <w:tcW w:w="590" w:type="pct"/>
            <w:vMerge/>
          </w:tcPr>
          <w:p w:rsidR="009A4344" w:rsidRPr="005A24DB" w:rsidRDefault="009A4344" w:rsidP="00D80C78">
            <w:pPr>
              <w:pStyle w:val="Header"/>
              <w:tabs>
                <w:tab w:val="left" w:pos="7993"/>
              </w:tabs>
              <w:ind w:right="-1"/>
              <w:jc w:val="center"/>
              <w:rPr>
                <w:rFonts w:ascii="Times New Roman" w:hAnsi="Times New Roman"/>
                <w:sz w:val="24"/>
                <w:szCs w:val="24"/>
              </w:rPr>
            </w:pPr>
          </w:p>
        </w:tc>
        <w:tc>
          <w:tcPr>
            <w:tcW w:w="656" w:type="pct"/>
            <w:vMerge/>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f"/>
              <w:tabs>
                <w:tab w:val="left" w:pos="7993"/>
              </w:tabs>
              <w:spacing w:before="0" w:after="0"/>
              <w:ind w:right="-1" w:firstLine="0"/>
              <w:jc w:val="center"/>
            </w:pPr>
            <w:r w:rsidRPr="005A24DB">
              <w:t>0</w:t>
            </w:r>
          </w:p>
        </w:tc>
        <w:tc>
          <w:tcPr>
            <w:tcW w:w="656" w:type="pct"/>
            <w:vAlign w:val="center"/>
          </w:tcPr>
          <w:p w:rsidR="009A4344" w:rsidRPr="005A24DB" w:rsidRDefault="009A4344" w:rsidP="001D137E">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1D137E">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vMerge/>
          </w:tcPr>
          <w:p w:rsidR="009A4344" w:rsidRPr="005A24DB" w:rsidRDefault="009A4344" w:rsidP="00D80C78">
            <w:pPr>
              <w:tabs>
                <w:tab w:val="left" w:pos="7993"/>
              </w:tabs>
              <w:ind w:right="-1"/>
              <w:rPr>
                <w:rFonts w:ascii="Times New Roman" w:hAnsi="Times New Roman"/>
                <w:sz w:val="24"/>
                <w:szCs w:val="24"/>
              </w:rPr>
            </w:pPr>
          </w:p>
        </w:tc>
        <w:tc>
          <w:tcPr>
            <w:tcW w:w="590" w:type="pct"/>
            <w:vMerge/>
          </w:tcPr>
          <w:p w:rsidR="009A4344" w:rsidRPr="005A24DB" w:rsidRDefault="009A4344" w:rsidP="00D80C78">
            <w:pPr>
              <w:pStyle w:val="Header"/>
              <w:tabs>
                <w:tab w:val="left" w:pos="7993"/>
              </w:tabs>
              <w:ind w:right="-1"/>
              <w:jc w:val="center"/>
              <w:rPr>
                <w:rFonts w:ascii="Times New Roman" w:hAnsi="Times New Roman"/>
                <w:sz w:val="24"/>
                <w:szCs w:val="24"/>
              </w:rPr>
            </w:pPr>
          </w:p>
        </w:tc>
        <w:tc>
          <w:tcPr>
            <w:tcW w:w="656" w:type="pct"/>
            <w:vMerge/>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lab"/>
              <w:tabs>
                <w:tab w:val="left" w:pos="7993"/>
              </w:tabs>
              <w:spacing w:before="0" w:after="0"/>
              <w:ind w:right="-1"/>
              <w:jc w:val="center"/>
            </w:pPr>
            <w:r w:rsidRPr="005A24DB">
              <w:t>0</w:t>
            </w:r>
          </w:p>
        </w:tc>
        <w:tc>
          <w:tcPr>
            <w:tcW w:w="656" w:type="pct"/>
            <w:vAlign w:val="center"/>
          </w:tcPr>
          <w:p w:rsidR="009A4344" w:rsidRPr="005A24DB" w:rsidRDefault="009A4344" w:rsidP="009A4344">
            <w:pPr>
              <w:pStyle w:val="naisf"/>
              <w:tabs>
                <w:tab w:val="left" w:pos="7993"/>
              </w:tabs>
              <w:spacing w:before="0" w:after="0"/>
              <w:ind w:right="-1" w:firstLine="0"/>
              <w:jc w:val="center"/>
            </w:pPr>
            <w:r w:rsidRPr="005A24DB">
              <w:t>0</w:t>
            </w:r>
          </w:p>
        </w:tc>
        <w:tc>
          <w:tcPr>
            <w:tcW w:w="1028" w:type="pct"/>
            <w:vAlign w:val="center"/>
          </w:tcPr>
          <w:p w:rsidR="009A4344" w:rsidRPr="005A24DB" w:rsidRDefault="009A4344" w:rsidP="009A4344">
            <w:pPr>
              <w:pStyle w:val="naisf"/>
              <w:tabs>
                <w:tab w:val="left" w:pos="7993"/>
              </w:tabs>
              <w:spacing w:before="0" w:after="0"/>
              <w:ind w:right="-1" w:firstLine="0"/>
              <w:jc w:val="cente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5. Precizēta finansiālā ietekme:</w:t>
            </w:r>
          </w:p>
        </w:tc>
        <w:tc>
          <w:tcPr>
            <w:tcW w:w="590" w:type="pct"/>
            <w:vMerge w:val="restart"/>
            <w:vAlign w:val="center"/>
          </w:tcPr>
          <w:p w:rsidR="009A4344" w:rsidRPr="005A24DB" w:rsidRDefault="009A4344" w:rsidP="00D80C78">
            <w:pPr>
              <w:pStyle w:val="Header"/>
              <w:tabs>
                <w:tab w:val="left" w:pos="7993"/>
              </w:tabs>
              <w:ind w:right="-1"/>
              <w:jc w:val="center"/>
              <w:rPr>
                <w:rFonts w:ascii="Times New Roman" w:hAnsi="Times New Roman"/>
                <w:sz w:val="24"/>
                <w:szCs w:val="24"/>
              </w:rPr>
            </w:pPr>
            <w:r w:rsidRPr="005A24DB">
              <w:rPr>
                <w:rFonts w:ascii="Times New Roman" w:hAnsi="Times New Roman"/>
                <w:sz w:val="24"/>
                <w:szCs w:val="24"/>
              </w:rPr>
              <w:t>X</w:t>
            </w: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592FC5" w:rsidP="00170EB9">
            <w:pPr>
              <w:pStyle w:val="naisf"/>
              <w:tabs>
                <w:tab w:val="left" w:pos="7993"/>
              </w:tabs>
              <w:spacing w:before="0" w:after="0"/>
              <w:ind w:right="-1" w:firstLine="0"/>
              <w:jc w:val="center"/>
            </w:pPr>
            <w:r w:rsidRPr="005A24DB">
              <w:rPr>
                <w:rFonts w:eastAsiaTheme="minorEastAsia" w:cstheme="minorBidi"/>
              </w:rPr>
              <w:t>2 430 172</w:t>
            </w:r>
          </w:p>
        </w:tc>
        <w:tc>
          <w:tcPr>
            <w:tcW w:w="656" w:type="pct"/>
          </w:tcPr>
          <w:p w:rsidR="009A4344" w:rsidRPr="005A24DB" w:rsidRDefault="009A4344" w:rsidP="009A4344">
            <w:pPr>
              <w:pStyle w:val="naisf"/>
              <w:tabs>
                <w:tab w:val="left" w:pos="7993"/>
              </w:tabs>
              <w:spacing w:before="0" w:after="0"/>
              <w:ind w:right="-1" w:firstLine="0"/>
              <w:jc w:val="center"/>
            </w:pPr>
            <w:r w:rsidRPr="005A24DB">
              <w:t>2 408 751</w:t>
            </w:r>
          </w:p>
        </w:tc>
        <w:tc>
          <w:tcPr>
            <w:tcW w:w="1028" w:type="pct"/>
          </w:tcPr>
          <w:p w:rsidR="009A4344" w:rsidRPr="005A24DB" w:rsidRDefault="004E0E61" w:rsidP="009A4344">
            <w:pPr>
              <w:pStyle w:val="naisf"/>
              <w:tabs>
                <w:tab w:val="left" w:pos="7993"/>
              </w:tabs>
              <w:spacing w:before="0" w:after="0"/>
              <w:ind w:right="-1" w:firstLine="0"/>
              <w:jc w:val="center"/>
              <w:rPr>
                <w:rFonts w:eastAsiaTheme="minorEastAsia" w:cstheme="minorBidi"/>
              </w:rPr>
            </w:pPr>
            <w:r w:rsidRPr="005A24DB">
              <w:rPr>
                <w:rFonts w:eastAsiaTheme="minorEastAsia" w:cstheme="minorBidi"/>
              </w:rPr>
              <w:t>-</w:t>
            </w:r>
            <w:r w:rsidR="00516DBB" w:rsidRPr="005A24DB">
              <w:rPr>
                <w:rFonts w:eastAsiaTheme="minorEastAsia" w:cstheme="minorBidi"/>
              </w:rPr>
              <w:t>10 513</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+5.1. valsts pamatbudžets</w:t>
            </w:r>
          </w:p>
        </w:tc>
        <w:tc>
          <w:tcPr>
            <w:tcW w:w="590" w:type="pct"/>
            <w:vMerge/>
            <w:vAlign w:val="center"/>
          </w:tcPr>
          <w:p w:rsidR="009A4344" w:rsidRPr="005A24DB" w:rsidRDefault="009A4344" w:rsidP="00D80C78">
            <w:pPr>
              <w:pStyle w:val="naisf"/>
              <w:tabs>
                <w:tab w:val="left" w:pos="7993"/>
              </w:tabs>
              <w:spacing w:before="0" w:after="0"/>
              <w:ind w:right="-1" w:firstLine="0"/>
              <w:jc w:val="center"/>
            </w:pPr>
          </w:p>
        </w:tc>
        <w:tc>
          <w:tcPr>
            <w:tcW w:w="656" w:type="pct"/>
          </w:tcPr>
          <w:p w:rsidR="009A4344" w:rsidRPr="005A24DB" w:rsidRDefault="009A4344" w:rsidP="00D80C78">
            <w:pPr>
              <w:pStyle w:val="naisf"/>
              <w:tabs>
                <w:tab w:val="left" w:pos="7993"/>
              </w:tabs>
              <w:spacing w:before="0" w:after="0"/>
              <w:ind w:right="-1" w:firstLine="0"/>
              <w:jc w:val="center"/>
            </w:pPr>
            <w:r w:rsidRPr="005A24DB">
              <w:t>0</w:t>
            </w:r>
          </w:p>
        </w:tc>
        <w:tc>
          <w:tcPr>
            <w:tcW w:w="656" w:type="pct"/>
          </w:tcPr>
          <w:p w:rsidR="009A4344" w:rsidRPr="005A24DB" w:rsidRDefault="00592FC5" w:rsidP="00170EB9">
            <w:pPr>
              <w:pStyle w:val="naisf"/>
              <w:tabs>
                <w:tab w:val="left" w:pos="7993"/>
              </w:tabs>
              <w:spacing w:before="0" w:after="0"/>
              <w:ind w:right="-1" w:firstLine="0"/>
              <w:jc w:val="center"/>
            </w:pPr>
            <w:r w:rsidRPr="005A24DB">
              <w:rPr>
                <w:rFonts w:eastAsiaTheme="minorEastAsia" w:cstheme="minorBidi"/>
              </w:rPr>
              <w:t>2 430 172</w:t>
            </w:r>
          </w:p>
        </w:tc>
        <w:tc>
          <w:tcPr>
            <w:tcW w:w="656" w:type="pct"/>
          </w:tcPr>
          <w:p w:rsidR="009A4344" w:rsidRPr="005A24DB" w:rsidRDefault="009A4344" w:rsidP="009A4344">
            <w:pPr>
              <w:pStyle w:val="naisf"/>
              <w:tabs>
                <w:tab w:val="left" w:pos="7993"/>
              </w:tabs>
              <w:spacing w:before="0" w:after="0"/>
              <w:ind w:right="-1" w:firstLine="0"/>
              <w:jc w:val="center"/>
            </w:pPr>
            <w:r w:rsidRPr="005A24DB">
              <w:t>2 408 751</w:t>
            </w:r>
          </w:p>
        </w:tc>
        <w:tc>
          <w:tcPr>
            <w:tcW w:w="1028" w:type="pct"/>
          </w:tcPr>
          <w:p w:rsidR="009A4344" w:rsidRPr="005A24DB" w:rsidRDefault="004E0E61" w:rsidP="009A4344">
            <w:pPr>
              <w:pStyle w:val="naisf"/>
              <w:tabs>
                <w:tab w:val="left" w:pos="7993"/>
              </w:tabs>
              <w:spacing w:before="0" w:after="0"/>
              <w:ind w:right="-1" w:firstLine="0"/>
              <w:jc w:val="center"/>
              <w:rPr>
                <w:rFonts w:eastAsiaTheme="minorEastAsia" w:cstheme="minorBidi"/>
              </w:rPr>
            </w:pPr>
            <w:r w:rsidRPr="005A24DB">
              <w:rPr>
                <w:rFonts w:eastAsiaTheme="minorEastAsia" w:cstheme="minorBidi"/>
              </w:rPr>
              <w:t>-</w:t>
            </w:r>
            <w:r w:rsidR="00516DBB" w:rsidRPr="005A24DB">
              <w:rPr>
                <w:rFonts w:eastAsiaTheme="minorEastAsia" w:cstheme="minorBidi"/>
              </w:rPr>
              <w:t>10 513</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5.2. speciālais budžets</w:t>
            </w:r>
          </w:p>
        </w:tc>
        <w:tc>
          <w:tcPr>
            <w:tcW w:w="590" w:type="pct"/>
            <w:vMerge/>
            <w:vAlign w:val="center"/>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417593">
            <w:pPr>
              <w:pStyle w:val="naisf"/>
              <w:tabs>
                <w:tab w:val="left" w:pos="7993"/>
              </w:tabs>
              <w:spacing w:before="0" w:after="0"/>
              <w:ind w:right="-1" w:firstLine="0"/>
              <w:jc w:val="center"/>
              <w:rPr>
                <w:b/>
              </w:rPr>
            </w:pPr>
            <w:r w:rsidRPr="005A24DB">
              <w:t>0</w:t>
            </w:r>
          </w:p>
        </w:tc>
        <w:tc>
          <w:tcPr>
            <w:tcW w:w="1028"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 xml:space="preserve">5.3. pašvaldību budžets </w:t>
            </w:r>
          </w:p>
        </w:tc>
        <w:tc>
          <w:tcPr>
            <w:tcW w:w="590" w:type="pct"/>
            <w:vMerge/>
            <w:vAlign w:val="center"/>
          </w:tcPr>
          <w:p w:rsidR="009A4344" w:rsidRPr="005A24DB" w:rsidRDefault="009A4344" w:rsidP="00D80C78">
            <w:pPr>
              <w:pStyle w:val="naisf"/>
              <w:tabs>
                <w:tab w:val="left" w:pos="7993"/>
              </w:tabs>
              <w:spacing w:before="0" w:after="0"/>
              <w:ind w:right="-1" w:firstLine="0"/>
              <w:jc w:val="center"/>
            </w:pP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656"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c>
          <w:tcPr>
            <w:tcW w:w="1028" w:type="pct"/>
            <w:vAlign w:val="center"/>
          </w:tcPr>
          <w:p w:rsidR="009A4344" w:rsidRPr="005A24DB" w:rsidRDefault="009A4344" w:rsidP="00D80C78">
            <w:pPr>
              <w:pStyle w:val="naisf"/>
              <w:tabs>
                <w:tab w:val="left" w:pos="7993"/>
              </w:tabs>
              <w:spacing w:before="0" w:after="0"/>
              <w:ind w:right="-1" w:firstLine="0"/>
              <w:jc w:val="center"/>
              <w:rPr>
                <w:b/>
              </w:rPr>
            </w:pPr>
            <w:r w:rsidRPr="005A24DB">
              <w:t>0</w:t>
            </w:r>
          </w:p>
        </w:tc>
      </w:tr>
      <w:tr w:rsidR="009A4344" w:rsidRPr="005A24DB" w:rsidTr="00AA1C5A">
        <w:trPr>
          <w:trHeight w:val="760"/>
          <w:jc w:val="center"/>
        </w:trPr>
        <w:tc>
          <w:tcPr>
            <w:tcW w:w="1414" w:type="pct"/>
          </w:tcPr>
          <w:p w:rsidR="009A4344" w:rsidRPr="005A24DB" w:rsidRDefault="009A4344" w:rsidP="00D80C78">
            <w:pPr>
              <w:pStyle w:val="naiskr"/>
              <w:tabs>
                <w:tab w:val="left" w:pos="7993"/>
              </w:tabs>
              <w:spacing w:before="0" w:after="0"/>
              <w:ind w:right="-1"/>
            </w:pPr>
            <w:r w:rsidRPr="005A24DB">
              <w:t>6. Detalizēts ieņēmumu un izdevu</w:t>
            </w:r>
            <w:r w:rsidRPr="005A24DB">
              <w:softHyphen/>
              <w:t>mu aprēķins (ja nepieciešams, detalizētu ieņēmumu un izdevumu aprēķinu var pievienot anotācijas pielikumā):</w:t>
            </w:r>
          </w:p>
        </w:tc>
        <w:tc>
          <w:tcPr>
            <w:tcW w:w="3586" w:type="pct"/>
            <w:gridSpan w:val="5"/>
            <w:vMerge w:val="restart"/>
          </w:tcPr>
          <w:p w:rsidR="009A4344" w:rsidRPr="005A24DB" w:rsidRDefault="009A4344" w:rsidP="00052D64">
            <w:pPr>
              <w:pStyle w:val="FootnoteText"/>
              <w:tabs>
                <w:tab w:val="left" w:pos="7993"/>
              </w:tabs>
              <w:ind w:right="-1"/>
              <w:jc w:val="both"/>
              <w:rPr>
                <w:rFonts w:eastAsia="Times New Roman"/>
                <w:sz w:val="24"/>
                <w:szCs w:val="24"/>
              </w:rPr>
            </w:pPr>
            <w:r w:rsidRPr="005A24DB">
              <w:rPr>
                <w:rFonts w:eastAsia="Times New Roman"/>
                <w:sz w:val="24"/>
                <w:szCs w:val="24"/>
              </w:rPr>
              <w:t>Detalizētu informāciju p</w:t>
            </w:r>
            <w:r w:rsidRPr="005A24DB">
              <w:rPr>
                <w:bCs/>
                <w:sz w:val="24"/>
                <w:szCs w:val="24"/>
              </w:rPr>
              <w:t>ar nepieciešamo finansējumu</w:t>
            </w:r>
            <w:r w:rsidRPr="005A24DB">
              <w:rPr>
                <w:sz w:val="24"/>
                <w:szCs w:val="24"/>
              </w:rPr>
              <w:t xml:space="preserve"> būvniecības  darbiem, uzturēšanas izdevumiem (nomas maksai) un ietekmi uz valsts budžetu</w:t>
            </w:r>
            <w:r w:rsidRPr="005A24DB">
              <w:rPr>
                <w:rFonts w:eastAsia="Times New Roman"/>
                <w:sz w:val="24"/>
                <w:szCs w:val="24"/>
              </w:rPr>
              <w:t xml:space="preserve"> skatīt anotācijas pielikumā.</w:t>
            </w:r>
          </w:p>
          <w:p w:rsidR="009A4344" w:rsidRPr="005A24DB" w:rsidRDefault="009A4344" w:rsidP="00A42E0B">
            <w:pPr>
              <w:spacing w:after="120" w:line="240" w:lineRule="auto"/>
              <w:ind w:right="102"/>
              <w:jc w:val="both"/>
              <w:rPr>
                <w:rFonts w:ascii="Times New Roman" w:hAnsi="Times New Roman"/>
                <w:sz w:val="24"/>
                <w:szCs w:val="24"/>
              </w:rPr>
            </w:pPr>
          </w:p>
        </w:tc>
      </w:tr>
      <w:tr w:rsidR="009A4344" w:rsidRPr="005A24DB" w:rsidTr="00AA1C5A">
        <w:trPr>
          <w:jc w:val="center"/>
        </w:trPr>
        <w:tc>
          <w:tcPr>
            <w:tcW w:w="1414" w:type="pct"/>
          </w:tcPr>
          <w:p w:rsidR="009A4344" w:rsidRPr="005A24DB" w:rsidRDefault="009A4344" w:rsidP="00D80C78">
            <w:pPr>
              <w:pStyle w:val="naiskr"/>
              <w:tabs>
                <w:tab w:val="left" w:pos="7993"/>
              </w:tabs>
              <w:spacing w:before="0" w:after="0"/>
              <w:ind w:right="-1"/>
            </w:pPr>
            <w:r w:rsidRPr="005A24DB">
              <w:t>6.1. detalizēts ieņēmumu aprēķins</w:t>
            </w:r>
          </w:p>
        </w:tc>
        <w:tc>
          <w:tcPr>
            <w:tcW w:w="3586" w:type="pct"/>
            <w:gridSpan w:val="5"/>
            <w:vMerge/>
          </w:tcPr>
          <w:p w:rsidR="009A4344" w:rsidRPr="005A24DB" w:rsidRDefault="009A4344" w:rsidP="00D80C78">
            <w:pPr>
              <w:pStyle w:val="naisf"/>
              <w:tabs>
                <w:tab w:val="left" w:pos="7993"/>
              </w:tabs>
              <w:spacing w:before="0" w:after="0"/>
              <w:ind w:right="-1" w:firstLine="0"/>
              <w:rPr>
                <w:b/>
                <w:i/>
              </w:rPr>
            </w:pPr>
          </w:p>
        </w:tc>
      </w:tr>
      <w:tr w:rsidR="009A4344" w:rsidRPr="005A24DB" w:rsidTr="00AA1C5A">
        <w:trPr>
          <w:trHeight w:val="373"/>
          <w:jc w:val="center"/>
        </w:trPr>
        <w:tc>
          <w:tcPr>
            <w:tcW w:w="1414" w:type="pct"/>
          </w:tcPr>
          <w:p w:rsidR="009A4344" w:rsidRPr="005A24DB" w:rsidRDefault="009A4344" w:rsidP="00D80C78">
            <w:pPr>
              <w:pStyle w:val="naiskr"/>
              <w:tabs>
                <w:tab w:val="left" w:pos="7993"/>
              </w:tabs>
              <w:spacing w:before="0" w:after="0"/>
              <w:ind w:right="-1"/>
            </w:pPr>
            <w:r w:rsidRPr="005A24DB">
              <w:t>6.2. detalizēts izdevumu aprēķins</w:t>
            </w:r>
          </w:p>
        </w:tc>
        <w:tc>
          <w:tcPr>
            <w:tcW w:w="3586" w:type="pct"/>
            <w:gridSpan w:val="5"/>
            <w:vMerge/>
          </w:tcPr>
          <w:p w:rsidR="009A4344" w:rsidRPr="005A24DB" w:rsidRDefault="009A4344" w:rsidP="00D80C78">
            <w:pPr>
              <w:pStyle w:val="naisf"/>
              <w:tabs>
                <w:tab w:val="left" w:pos="7993"/>
              </w:tabs>
              <w:spacing w:before="0" w:after="0"/>
              <w:ind w:right="-1" w:firstLine="0"/>
              <w:rPr>
                <w:b/>
                <w:i/>
              </w:rPr>
            </w:pPr>
          </w:p>
        </w:tc>
      </w:tr>
      <w:tr w:rsidR="009A4344" w:rsidRPr="005A24DB" w:rsidTr="00AA1C5A">
        <w:trPr>
          <w:jc w:val="center"/>
        </w:trPr>
        <w:tc>
          <w:tcPr>
            <w:tcW w:w="1414" w:type="pct"/>
            <w:tcBorders>
              <w:bottom w:val="single" w:sz="4" w:space="0" w:color="auto"/>
            </w:tcBorders>
          </w:tcPr>
          <w:p w:rsidR="009A4344" w:rsidRPr="005A24DB" w:rsidRDefault="009A4344" w:rsidP="00D80C78">
            <w:pPr>
              <w:pStyle w:val="naiskr"/>
              <w:tabs>
                <w:tab w:val="left" w:pos="7993"/>
              </w:tabs>
              <w:spacing w:before="0" w:after="0"/>
              <w:ind w:right="-1"/>
            </w:pPr>
            <w:r w:rsidRPr="005A24DB">
              <w:t>7. Cita informācija</w:t>
            </w:r>
          </w:p>
        </w:tc>
        <w:tc>
          <w:tcPr>
            <w:tcW w:w="3586" w:type="pct"/>
            <w:gridSpan w:val="5"/>
            <w:tcBorders>
              <w:bottom w:val="single" w:sz="4" w:space="0" w:color="auto"/>
            </w:tcBorders>
          </w:tcPr>
          <w:p w:rsidR="00592FC5" w:rsidRPr="005A24DB" w:rsidRDefault="009A4344" w:rsidP="00592FC5">
            <w:pPr>
              <w:pStyle w:val="NormalWeb"/>
              <w:tabs>
                <w:tab w:val="left" w:pos="7993"/>
              </w:tabs>
              <w:spacing w:before="0" w:after="0"/>
              <w:ind w:right="-1"/>
              <w:jc w:val="both"/>
            </w:pPr>
            <w:r w:rsidRPr="005A24DB">
              <w:rPr>
                <w:bCs/>
              </w:rPr>
              <w:t>Ministru kabineta r</w:t>
            </w:r>
            <w:r w:rsidRPr="005A24DB">
              <w:t>īkojuma projekta ietvaros norādītais provizoriski aprēķinātais kapitālieguldījumu apmērs var tikt precizēts pēc būvniecības TP izstrādes, pirms būvniecības līguma noslēgšanas, vai būvniecības darbu laikā, ja mainījies to apmērs.  Provizoriski aprēķinātais nomas maksas izdevumu apmērs atbilstoši faktiskajām nomas objekta pārvaldīšanas izmaksām precizējams pēc būvobjekta nodošanas ekspluatācijā.</w:t>
            </w:r>
          </w:p>
          <w:p w:rsidR="00592FC5" w:rsidRPr="005A24DB" w:rsidRDefault="001800E0" w:rsidP="002C457C">
            <w:pPr>
              <w:pStyle w:val="NormalWeb"/>
              <w:tabs>
                <w:tab w:val="left" w:pos="7993"/>
              </w:tabs>
              <w:spacing w:before="0" w:after="0"/>
              <w:ind w:right="-1"/>
              <w:jc w:val="both"/>
            </w:pPr>
            <w:r w:rsidRPr="005A24DB">
              <w:t xml:space="preserve">Izskatot </w:t>
            </w:r>
            <w:r w:rsidR="00592FC5" w:rsidRPr="005A24DB">
              <w:t xml:space="preserve">Ministru kabinetā 2014.gada 29.jūlijā </w:t>
            </w:r>
            <w:r w:rsidR="00516DBB" w:rsidRPr="005A24DB">
              <w:t xml:space="preserve">sēdē </w:t>
            </w:r>
            <w:r w:rsidR="00592FC5" w:rsidRPr="005A24DB">
              <w:t>informatīv</w:t>
            </w:r>
            <w:r w:rsidR="00516DBB" w:rsidRPr="005A24DB">
              <w:t>o</w:t>
            </w:r>
            <w:r w:rsidR="00592FC5" w:rsidRPr="005A24DB">
              <w:t xml:space="preserve"> ziņojum</w:t>
            </w:r>
            <w:r w:rsidR="00516DBB" w:rsidRPr="005A24DB">
              <w:t>u</w:t>
            </w:r>
            <w:r w:rsidR="00592FC5" w:rsidRPr="005A24DB">
              <w:t xml:space="preserve"> „Par robežšķērsošanas vietas „Vientuļi” modernizācijas projekta izpildes gaitu un papildu nepieciešamo finansējumu modernizācijas būvniecības darbu pabeigšanai un aprīkojuma iegādes, uzturēšanas, darbinieku atlīdzības un nomas maksas izdevumu segšanai” </w:t>
            </w:r>
            <w:r w:rsidRPr="005A24DB">
              <w:t xml:space="preserve">ar </w:t>
            </w:r>
            <w:r w:rsidR="00592FC5" w:rsidRPr="005A24DB">
              <w:t>Ministru kabineta sēdes protokollēmum</w:t>
            </w:r>
            <w:r w:rsidR="00CB5ADF" w:rsidRPr="005A24DB">
              <w:t>u</w:t>
            </w:r>
            <w:r w:rsidR="00592FC5" w:rsidRPr="005A24DB">
              <w:t xml:space="preserve"> </w:t>
            </w:r>
            <w:r w:rsidR="003B1B6E" w:rsidRPr="005A24DB">
              <w:t xml:space="preserve">Nr.41 </w:t>
            </w:r>
            <w:r w:rsidR="00516DBB" w:rsidRPr="005A24DB">
              <w:t xml:space="preserve">uzdots </w:t>
            </w:r>
            <w:r w:rsidR="00592FC5" w:rsidRPr="005A24DB">
              <w:t>samazināt FM bāzes izdevumus 2015.gadam</w:t>
            </w:r>
            <w:r w:rsidR="00C879CF" w:rsidRPr="005A24DB">
              <w:t xml:space="preserve"> </w:t>
            </w:r>
            <w:r w:rsidR="00592FC5" w:rsidRPr="005A24DB">
              <w:t xml:space="preserve">968 946 </w:t>
            </w:r>
            <w:r w:rsidR="00592FC5" w:rsidRPr="005A24DB">
              <w:rPr>
                <w:i/>
              </w:rPr>
              <w:t>euro</w:t>
            </w:r>
            <w:r w:rsidR="00592FC5" w:rsidRPr="005A24DB">
              <w:t xml:space="preserve"> apmērā budžeta apakšprogrammā 41.13.00 „Finansējums VAS „Valsts nekustamie īpašumi” īstenojamiem projektiem un pasākumiem” ilgtermiņa saistību pasākumam „Dotācija VAS „Valsts nekustamie īpašumi” par kapitālieguldījumiem Padomju okupācijas upuru piemiņas memoriāla kompleksa būvniecībā”, palielinot Iekšlietu ministrijas un Zemkopības ministrijas bāzes izdevumus 2015.gadam robežšķērsošanas vietas „Vientuļi” aprīkojuma iegādes, uzturēšanas un darbinieku atlīdzības izdevumu segšanai.</w:t>
            </w:r>
          </w:p>
        </w:tc>
      </w:tr>
    </w:tbl>
    <w:p w:rsidR="00D80C78" w:rsidRDefault="00D80C78" w:rsidP="00D80C78">
      <w:pPr>
        <w:pStyle w:val="naisf"/>
        <w:tabs>
          <w:tab w:val="left" w:pos="7993"/>
        </w:tabs>
        <w:spacing w:before="0" w:after="0"/>
        <w:ind w:right="-1" w:firstLine="0"/>
      </w:pPr>
    </w:p>
    <w:p w:rsidR="005A24DB" w:rsidRPr="005A24DB" w:rsidRDefault="005A24DB" w:rsidP="00D80C78">
      <w:pPr>
        <w:pStyle w:val="naisf"/>
        <w:tabs>
          <w:tab w:val="left" w:pos="7993"/>
        </w:tabs>
        <w:spacing w:before="0" w:after="0"/>
        <w:ind w:right="-1" w:firstLine="0"/>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64"/>
        <w:gridCol w:w="5526"/>
        <w:gridCol w:w="3503"/>
      </w:tblGrid>
      <w:tr w:rsidR="00D80C78" w:rsidRPr="005A24DB" w:rsidTr="00861823">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5A24DB" w:rsidRDefault="00D80C78" w:rsidP="00D80C78">
            <w:pPr>
              <w:pStyle w:val="naisnod"/>
              <w:tabs>
                <w:tab w:val="left" w:pos="7993"/>
              </w:tabs>
              <w:spacing w:before="0" w:after="60"/>
              <w:ind w:right="-1"/>
              <w:jc w:val="center"/>
              <w:rPr>
                <w:b/>
              </w:rPr>
            </w:pPr>
            <w:r w:rsidRPr="005A24DB">
              <w:rPr>
                <w:b/>
              </w:rPr>
              <w:t>VII. Tiesību akta projekta izpildes nodrošināšana un tās ietekme uz institūcijām</w:t>
            </w:r>
          </w:p>
        </w:tc>
      </w:tr>
      <w:tr w:rsidR="00D80C78" w:rsidRPr="005A24DB" w:rsidTr="008618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r w:rsidRPr="005A24DB">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pPr>
            <w:r w:rsidRPr="005A24DB">
              <w:t>Projekta izpildē iesaistītās institūcijas</w:t>
            </w:r>
          </w:p>
        </w:tc>
        <w:tc>
          <w:tcPr>
            <w:tcW w:w="3503" w:type="dxa"/>
            <w:tcBorders>
              <w:top w:val="outset" w:sz="6" w:space="0" w:color="000000"/>
              <w:left w:val="outset" w:sz="6" w:space="0" w:color="000000"/>
              <w:bottom w:val="outset" w:sz="6" w:space="0" w:color="000000"/>
              <w:right w:val="outset" w:sz="6" w:space="0" w:color="000000"/>
            </w:tcBorders>
          </w:tcPr>
          <w:p w:rsidR="00D80C78" w:rsidRPr="005A24DB" w:rsidRDefault="00184A2C" w:rsidP="006A39D7">
            <w:pPr>
              <w:pStyle w:val="NormalWeb"/>
              <w:tabs>
                <w:tab w:val="left" w:pos="7993"/>
              </w:tabs>
              <w:spacing w:before="0" w:after="0"/>
              <w:ind w:right="-1"/>
              <w:jc w:val="both"/>
            </w:pPr>
            <w:r w:rsidRPr="005A24DB">
              <w:rPr>
                <w:bCs/>
              </w:rPr>
              <w:t xml:space="preserve">FM </w:t>
            </w:r>
            <w:r w:rsidR="00595C58" w:rsidRPr="005A24DB">
              <w:rPr>
                <w:bCs/>
              </w:rPr>
              <w:t xml:space="preserve">(VNĪ), </w:t>
            </w:r>
            <w:r w:rsidR="006A39D7" w:rsidRPr="005A24DB">
              <w:rPr>
                <w:iCs/>
              </w:rPr>
              <w:t>KM</w:t>
            </w:r>
            <w:r w:rsidR="00D80C78" w:rsidRPr="005A24DB">
              <w:rPr>
                <w:iCs/>
              </w:rPr>
              <w:t>.</w:t>
            </w:r>
          </w:p>
        </w:tc>
      </w:tr>
      <w:tr w:rsidR="00D80C78" w:rsidRPr="005A24DB" w:rsidTr="0086182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r w:rsidRPr="005A24DB">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pPr>
            <w:r w:rsidRPr="005A24DB">
              <w:t>Projekta izpildes ietekme uz pārvaldes funkcijām un institucionālo struktūru.</w:t>
            </w:r>
          </w:p>
          <w:p w:rsidR="00D80C78" w:rsidRPr="005A24DB" w:rsidRDefault="00D80C78" w:rsidP="00D80C78">
            <w:pPr>
              <w:pStyle w:val="NormalWeb"/>
              <w:tabs>
                <w:tab w:val="left" w:pos="7993"/>
              </w:tabs>
              <w:spacing w:before="0" w:after="0"/>
              <w:ind w:right="-1"/>
            </w:pPr>
            <w:r w:rsidRPr="005A24DB">
              <w:t xml:space="preserve">Jaunu institūciju izveide, esošu institūciju likvidācija </w:t>
            </w:r>
            <w:r w:rsidRPr="005A24DB">
              <w:lastRenderedPageBreak/>
              <w:t>vai reorganizācija, to ietekme uz institūcijas cilvēkresursiem</w:t>
            </w:r>
          </w:p>
        </w:tc>
        <w:tc>
          <w:tcPr>
            <w:tcW w:w="3503" w:type="dxa"/>
            <w:tcBorders>
              <w:top w:val="outset" w:sz="6" w:space="0" w:color="000000"/>
              <w:left w:val="outset" w:sz="6" w:space="0" w:color="000000"/>
              <w:bottom w:val="outset" w:sz="6" w:space="0" w:color="000000"/>
              <w:right w:val="outset" w:sz="6" w:space="0" w:color="000000"/>
            </w:tcBorders>
          </w:tcPr>
          <w:p w:rsidR="00D80C78" w:rsidRPr="005A24DB" w:rsidRDefault="00D80C78" w:rsidP="00D80C78">
            <w:pPr>
              <w:pStyle w:val="naiskr"/>
              <w:tabs>
                <w:tab w:val="left" w:pos="7993"/>
              </w:tabs>
              <w:spacing w:before="0" w:after="0"/>
              <w:ind w:right="-1"/>
              <w:jc w:val="both"/>
              <w:rPr>
                <w:iCs/>
              </w:rPr>
            </w:pPr>
            <w:r w:rsidRPr="005A24DB">
              <w:lastRenderedPageBreak/>
              <w:t>Projekts šo jomu neskar.</w:t>
            </w:r>
          </w:p>
        </w:tc>
      </w:tr>
      <w:tr w:rsidR="00D80C78" w:rsidRPr="005A24DB" w:rsidTr="00AA1C5A">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564"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0"/>
              <w:ind w:right="-1"/>
              <w:jc w:val="center"/>
            </w:pPr>
            <w:bookmarkStart w:id="4" w:name="_GoBack"/>
            <w:r w:rsidRPr="005A24DB">
              <w:lastRenderedPageBreak/>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5A24DB" w:rsidRDefault="00D80C78" w:rsidP="00D80C78">
            <w:pPr>
              <w:pStyle w:val="NormalWeb"/>
              <w:tabs>
                <w:tab w:val="left" w:pos="7993"/>
              </w:tabs>
              <w:spacing w:before="0" w:after="60"/>
              <w:ind w:right="-1"/>
            </w:pPr>
            <w:r w:rsidRPr="005A24DB">
              <w:t>Cita informācija</w:t>
            </w:r>
          </w:p>
        </w:tc>
        <w:tc>
          <w:tcPr>
            <w:tcW w:w="3503" w:type="dxa"/>
            <w:tcBorders>
              <w:top w:val="outset" w:sz="6" w:space="0" w:color="000000"/>
              <w:left w:val="outset" w:sz="6" w:space="0" w:color="000000"/>
              <w:bottom w:val="outset" w:sz="6" w:space="0" w:color="000000"/>
              <w:right w:val="outset" w:sz="6" w:space="0" w:color="000000"/>
            </w:tcBorders>
          </w:tcPr>
          <w:p w:rsidR="00D80C78" w:rsidRPr="005A24DB" w:rsidRDefault="00D80C78" w:rsidP="00D80C78">
            <w:pPr>
              <w:pStyle w:val="naiskr"/>
              <w:tabs>
                <w:tab w:val="left" w:pos="7993"/>
              </w:tabs>
              <w:spacing w:before="0" w:after="0"/>
              <w:ind w:right="-1"/>
              <w:jc w:val="both"/>
              <w:rPr>
                <w:iCs/>
              </w:rPr>
            </w:pPr>
            <w:r w:rsidRPr="005A24DB">
              <w:rPr>
                <w:iCs/>
              </w:rPr>
              <w:t>Nav.</w:t>
            </w:r>
          </w:p>
        </w:tc>
      </w:tr>
    </w:tbl>
    <w:bookmarkEnd w:id="4"/>
    <w:p w:rsidR="00D80C78" w:rsidRPr="005A24DB" w:rsidRDefault="00D80C78" w:rsidP="00D80C78">
      <w:pPr>
        <w:tabs>
          <w:tab w:val="left" w:pos="7993"/>
        </w:tabs>
        <w:spacing w:before="75" w:after="75" w:line="240" w:lineRule="auto"/>
        <w:ind w:right="-1"/>
        <w:rPr>
          <w:rFonts w:ascii="Times New Roman" w:eastAsia="Times New Roman" w:hAnsi="Times New Roman"/>
          <w:iCs/>
          <w:sz w:val="24"/>
          <w:szCs w:val="24"/>
        </w:rPr>
      </w:pPr>
      <w:r w:rsidRPr="005A24DB">
        <w:rPr>
          <w:rFonts w:ascii="Times New Roman" w:eastAsia="Times New Roman" w:hAnsi="Times New Roman"/>
          <w:iCs/>
          <w:sz w:val="24"/>
          <w:szCs w:val="24"/>
        </w:rPr>
        <w:t xml:space="preserve">Anotācijas II, </w:t>
      </w:r>
      <w:r w:rsidR="006A39D7" w:rsidRPr="005A24DB">
        <w:rPr>
          <w:rFonts w:ascii="Times New Roman" w:eastAsia="Times New Roman" w:hAnsi="Times New Roman"/>
          <w:iCs/>
          <w:sz w:val="24"/>
          <w:szCs w:val="24"/>
        </w:rPr>
        <w:t xml:space="preserve">IV, </w:t>
      </w:r>
      <w:r w:rsidRPr="005A24DB">
        <w:rPr>
          <w:rFonts w:ascii="Times New Roman" w:eastAsia="Times New Roman" w:hAnsi="Times New Roman"/>
          <w:iCs/>
          <w:sz w:val="24"/>
          <w:szCs w:val="24"/>
        </w:rPr>
        <w:t xml:space="preserve">V un VI sadaļa – projekts šīs jomas neskar. </w:t>
      </w:r>
    </w:p>
    <w:p w:rsidR="00D80C78" w:rsidRPr="005A24DB" w:rsidRDefault="00D80C78" w:rsidP="00D80C78">
      <w:pPr>
        <w:pStyle w:val="naisf"/>
        <w:tabs>
          <w:tab w:val="left" w:pos="6804"/>
          <w:tab w:val="left" w:pos="7993"/>
        </w:tabs>
        <w:spacing w:before="0" w:after="0"/>
        <w:ind w:right="-1" w:firstLine="0"/>
      </w:pPr>
    </w:p>
    <w:p w:rsidR="00516DBB" w:rsidRPr="005A24DB" w:rsidRDefault="00516DBB" w:rsidP="00D80C78">
      <w:pPr>
        <w:pStyle w:val="PlainText"/>
        <w:tabs>
          <w:tab w:val="left" w:pos="7200"/>
          <w:tab w:val="right" w:pos="9072"/>
        </w:tabs>
        <w:jc w:val="both"/>
        <w:rPr>
          <w:rFonts w:ascii="Times New Roman" w:hAnsi="Times New Roman"/>
          <w:sz w:val="24"/>
          <w:szCs w:val="24"/>
          <w:lang w:eastAsia="en-US"/>
        </w:rPr>
      </w:pPr>
    </w:p>
    <w:p w:rsidR="00516DBB" w:rsidRPr="005A24DB" w:rsidRDefault="00516DBB" w:rsidP="00D80C78">
      <w:pPr>
        <w:pStyle w:val="PlainText"/>
        <w:tabs>
          <w:tab w:val="left" w:pos="7200"/>
          <w:tab w:val="right" w:pos="9072"/>
        </w:tabs>
        <w:jc w:val="both"/>
        <w:rPr>
          <w:rFonts w:ascii="Times New Roman" w:hAnsi="Times New Roman"/>
          <w:sz w:val="24"/>
          <w:szCs w:val="24"/>
          <w:lang w:eastAsia="en-US"/>
        </w:rPr>
      </w:pPr>
    </w:p>
    <w:p w:rsidR="002C457C" w:rsidRPr="005A24DB" w:rsidRDefault="002C457C" w:rsidP="002C457C">
      <w:pPr>
        <w:pStyle w:val="PlainText"/>
        <w:tabs>
          <w:tab w:val="left" w:pos="7200"/>
          <w:tab w:val="right" w:pos="9072"/>
        </w:tabs>
        <w:jc w:val="both"/>
        <w:rPr>
          <w:rFonts w:ascii="Times New Roman" w:hAnsi="Times New Roman"/>
          <w:sz w:val="24"/>
          <w:szCs w:val="24"/>
          <w:lang w:eastAsia="en-US"/>
        </w:rPr>
      </w:pPr>
      <w:r w:rsidRPr="005A24DB">
        <w:rPr>
          <w:rFonts w:ascii="Times New Roman" w:hAnsi="Times New Roman"/>
          <w:sz w:val="24"/>
          <w:szCs w:val="24"/>
          <w:lang w:eastAsia="en-US"/>
        </w:rPr>
        <w:t>Finanšu ministra vietā –</w:t>
      </w:r>
    </w:p>
    <w:p w:rsidR="002C457C" w:rsidRPr="005A24DB" w:rsidRDefault="002C457C" w:rsidP="002C457C">
      <w:pPr>
        <w:pStyle w:val="PlainText"/>
        <w:tabs>
          <w:tab w:val="left" w:pos="7200"/>
          <w:tab w:val="right" w:pos="9072"/>
        </w:tabs>
        <w:jc w:val="both"/>
        <w:rPr>
          <w:rFonts w:ascii="Times New Roman" w:hAnsi="Times New Roman"/>
          <w:sz w:val="24"/>
          <w:szCs w:val="24"/>
          <w:lang w:eastAsia="en-US"/>
        </w:rPr>
      </w:pPr>
      <w:r w:rsidRPr="005A24DB">
        <w:rPr>
          <w:rFonts w:ascii="Times New Roman" w:hAnsi="Times New Roman"/>
          <w:sz w:val="24"/>
          <w:szCs w:val="24"/>
          <w:lang w:eastAsia="en-US"/>
        </w:rPr>
        <w:t>iekšlietu ministrs                                                                                            R.Kozlovskis</w:t>
      </w:r>
    </w:p>
    <w:p w:rsidR="00D01EEF" w:rsidRPr="005A24DB" w:rsidRDefault="00D01EEF" w:rsidP="0008174A">
      <w:pPr>
        <w:pStyle w:val="PlainText"/>
        <w:tabs>
          <w:tab w:val="left" w:pos="7200"/>
          <w:tab w:val="right" w:pos="9072"/>
        </w:tabs>
        <w:jc w:val="both"/>
        <w:rPr>
          <w:rFonts w:ascii="Times New Roman" w:hAnsi="Times New Roman"/>
          <w:sz w:val="24"/>
          <w:szCs w:val="24"/>
          <w:lang w:eastAsia="en-US"/>
        </w:rPr>
      </w:pPr>
    </w:p>
    <w:p w:rsidR="00516DBB" w:rsidRPr="005A24DB" w:rsidRDefault="00516DBB" w:rsidP="0008174A">
      <w:pPr>
        <w:pStyle w:val="PlainText"/>
        <w:tabs>
          <w:tab w:val="left" w:pos="7200"/>
          <w:tab w:val="right" w:pos="9072"/>
        </w:tabs>
        <w:jc w:val="both"/>
        <w:rPr>
          <w:rFonts w:ascii="Times New Roman" w:hAnsi="Times New Roman"/>
          <w:sz w:val="24"/>
          <w:szCs w:val="24"/>
          <w:lang w:eastAsia="en-US"/>
        </w:rPr>
      </w:pPr>
    </w:p>
    <w:p w:rsidR="00516DBB" w:rsidRPr="005A24DB" w:rsidRDefault="00516DBB" w:rsidP="0008174A">
      <w:pPr>
        <w:pStyle w:val="PlainText"/>
        <w:tabs>
          <w:tab w:val="left" w:pos="7200"/>
          <w:tab w:val="right" w:pos="9072"/>
        </w:tabs>
        <w:jc w:val="both"/>
        <w:rPr>
          <w:rFonts w:ascii="Times New Roman" w:hAnsi="Times New Roman"/>
          <w:sz w:val="24"/>
          <w:szCs w:val="24"/>
          <w:lang w:eastAsia="en-US"/>
        </w:rPr>
      </w:pPr>
    </w:p>
    <w:p w:rsidR="00516DBB" w:rsidRPr="005A24DB" w:rsidRDefault="00516DBB" w:rsidP="0008174A">
      <w:pPr>
        <w:pStyle w:val="PlainText"/>
        <w:tabs>
          <w:tab w:val="left" w:pos="7200"/>
          <w:tab w:val="right" w:pos="9072"/>
        </w:tabs>
        <w:jc w:val="both"/>
        <w:rPr>
          <w:rFonts w:ascii="Times New Roman" w:hAnsi="Times New Roman"/>
          <w:sz w:val="24"/>
          <w:szCs w:val="24"/>
          <w:lang w:eastAsia="en-US"/>
        </w:rPr>
      </w:pPr>
    </w:p>
    <w:p w:rsidR="00D80C78" w:rsidRPr="005A24DB" w:rsidRDefault="00D80C78" w:rsidP="00D80C78">
      <w:pPr>
        <w:pStyle w:val="Header"/>
        <w:tabs>
          <w:tab w:val="clear" w:pos="4153"/>
          <w:tab w:val="clear" w:pos="8306"/>
          <w:tab w:val="left" w:pos="7993"/>
        </w:tabs>
        <w:ind w:right="-1"/>
        <w:rPr>
          <w:rFonts w:ascii="Times New Roman" w:hAnsi="Times New Roman"/>
          <w:sz w:val="16"/>
          <w:szCs w:val="16"/>
        </w:rPr>
      </w:pPr>
    </w:p>
    <w:p w:rsidR="00516DBB" w:rsidRPr="005A24DB" w:rsidRDefault="00516DBB" w:rsidP="00D80C78">
      <w:pPr>
        <w:pStyle w:val="Header"/>
        <w:tabs>
          <w:tab w:val="clear" w:pos="4153"/>
          <w:tab w:val="clear" w:pos="8306"/>
          <w:tab w:val="left" w:pos="7993"/>
        </w:tabs>
        <w:ind w:right="-1"/>
        <w:rPr>
          <w:rFonts w:ascii="Times New Roman" w:hAnsi="Times New Roman"/>
        </w:rPr>
      </w:pPr>
    </w:p>
    <w:p w:rsidR="00516DBB" w:rsidRPr="005A24DB" w:rsidRDefault="00516DBB" w:rsidP="00D80C78">
      <w:pPr>
        <w:pStyle w:val="Header"/>
        <w:tabs>
          <w:tab w:val="clear" w:pos="4153"/>
          <w:tab w:val="clear" w:pos="8306"/>
          <w:tab w:val="left" w:pos="7993"/>
        </w:tabs>
        <w:ind w:right="-1"/>
        <w:rPr>
          <w:rFonts w:ascii="Times New Roman" w:hAnsi="Times New Roman"/>
        </w:rPr>
      </w:pPr>
    </w:p>
    <w:p w:rsidR="00516DBB" w:rsidRPr="005A24DB" w:rsidRDefault="00516DBB" w:rsidP="00D80C78">
      <w:pPr>
        <w:pStyle w:val="Header"/>
        <w:tabs>
          <w:tab w:val="clear" w:pos="4153"/>
          <w:tab w:val="clear" w:pos="8306"/>
          <w:tab w:val="left" w:pos="7993"/>
        </w:tabs>
        <w:ind w:right="-1"/>
        <w:rPr>
          <w:rFonts w:ascii="Times New Roman" w:hAnsi="Times New Roman"/>
        </w:rPr>
      </w:pPr>
    </w:p>
    <w:p w:rsidR="00516DBB" w:rsidRPr="005A24DB" w:rsidRDefault="00516DBB" w:rsidP="002C457C">
      <w:pPr>
        <w:pStyle w:val="Header"/>
        <w:tabs>
          <w:tab w:val="clear" w:pos="4153"/>
          <w:tab w:val="clear" w:pos="8306"/>
          <w:tab w:val="left" w:pos="7230"/>
          <w:tab w:val="left" w:pos="7993"/>
        </w:tabs>
        <w:ind w:right="-1"/>
        <w:rPr>
          <w:rFonts w:ascii="Times New Roman" w:hAnsi="Times New Roman"/>
        </w:rPr>
      </w:pPr>
    </w:p>
    <w:p w:rsidR="00D80C78" w:rsidRPr="005A24DB" w:rsidRDefault="002C457C" w:rsidP="00D80C78">
      <w:pPr>
        <w:pStyle w:val="Header"/>
        <w:tabs>
          <w:tab w:val="clear" w:pos="4153"/>
          <w:tab w:val="clear" w:pos="8306"/>
          <w:tab w:val="left" w:pos="7993"/>
        </w:tabs>
        <w:ind w:right="-1"/>
        <w:rPr>
          <w:rFonts w:ascii="Times New Roman" w:hAnsi="Times New Roman"/>
        </w:rPr>
      </w:pPr>
      <w:r w:rsidRPr="005A24DB">
        <w:rPr>
          <w:rFonts w:ascii="Times New Roman" w:hAnsi="Times New Roman"/>
        </w:rPr>
        <w:t>3</w:t>
      </w:r>
      <w:r w:rsidR="005A4BE8" w:rsidRPr="005A24DB">
        <w:rPr>
          <w:rFonts w:ascii="Times New Roman" w:hAnsi="Times New Roman"/>
        </w:rPr>
        <w:t>1</w:t>
      </w:r>
      <w:r w:rsidR="00D80C78" w:rsidRPr="005A24DB">
        <w:rPr>
          <w:rFonts w:ascii="Times New Roman" w:hAnsi="Times New Roman"/>
        </w:rPr>
        <w:t>.0</w:t>
      </w:r>
      <w:r w:rsidR="006A39D7" w:rsidRPr="005A24DB">
        <w:rPr>
          <w:rFonts w:ascii="Times New Roman" w:hAnsi="Times New Roman"/>
        </w:rPr>
        <w:t>7</w:t>
      </w:r>
      <w:r w:rsidR="00D80C78" w:rsidRPr="005A24DB">
        <w:rPr>
          <w:rFonts w:ascii="Times New Roman" w:hAnsi="Times New Roman"/>
        </w:rPr>
        <w:t xml:space="preserve">.2014. </w:t>
      </w:r>
      <w:r w:rsidR="005A24DB">
        <w:rPr>
          <w:rFonts w:ascii="Times New Roman" w:hAnsi="Times New Roman"/>
        </w:rPr>
        <w:t>11:40</w:t>
      </w:r>
    </w:p>
    <w:bookmarkStart w:id="5" w:name="OLE_LINK5"/>
    <w:p w:rsidR="00D80C78" w:rsidRPr="005A24DB" w:rsidRDefault="00727270" w:rsidP="00D80C78">
      <w:pPr>
        <w:pStyle w:val="PlainText"/>
        <w:tabs>
          <w:tab w:val="left" w:pos="7200"/>
          <w:tab w:val="left" w:pos="7993"/>
          <w:tab w:val="right" w:pos="9072"/>
        </w:tabs>
        <w:ind w:right="-1"/>
        <w:jc w:val="both"/>
        <w:rPr>
          <w:rFonts w:ascii="Times New Roman" w:hAnsi="Times New Roman"/>
          <w:sz w:val="20"/>
        </w:rPr>
      </w:pPr>
      <w:r w:rsidRPr="005A24DB">
        <w:rPr>
          <w:sz w:val="20"/>
        </w:rPr>
        <w:fldChar w:fldCharType="begin"/>
      </w:r>
      <w:r w:rsidR="00D80C78" w:rsidRPr="005A24DB">
        <w:rPr>
          <w:sz w:val="20"/>
        </w:rPr>
        <w:instrText xml:space="preserve"> NUMWORDS   \* MERGEFORMAT </w:instrText>
      </w:r>
      <w:r w:rsidRPr="005A24DB">
        <w:rPr>
          <w:sz w:val="20"/>
        </w:rPr>
        <w:fldChar w:fldCharType="separate"/>
      </w:r>
      <w:r w:rsidR="00012465" w:rsidRPr="005A24DB">
        <w:rPr>
          <w:rFonts w:ascii="Times New Roman" w:hAnsi="Times New Roman"/>
          <w:noProof/>
          <w:sz w:val="20"/>
        </w:rPr>
        <w:t>297</w:t>
      </w:r>
      <w:r w:rsidR="005A4BE8" w:rsidRPr="005A24DB">
        <w:rPr>
          <w:rFonts w:ascii="Times New Roman" w:hAnsi="Times New Roman"/>
          <w:noProof/>
          <w:sz w:val="20"/>
        </w:rPr>
        <w:t>3</w:t>
      </w:r>
      <w:r w:rsidRPr="005A24DB">
        <w:rPr>
          <w:sz w:val="20"/>
        </w:rPr>
        <w:fldChar w:fldCharType="end"/>
      </w:r>
    </w:p>
    <w:p w:rsidR="00D80C78" w:rsidRPr="005A24DB" w:rsidRDefault="00D80C78" w:rsidP="00D80C78">
      <w:pPr>
        <w:pStyle w:val="Header"/>
        <w:tabs>
          <w:tab w:val="clear" w:pos="4153"/>
          <w:tab w:val="clear" w:pos="8306"/>
          <w:tab w:val="left" w:pos="7993"/>
        </w:tabs>
        <w:ind w:right="-1"/>
        <w:rPr>
          <w:rFonts w:ascii="Times New Roman" w:hAnsi="Times New Roman"/>
        </w:rPr>
      </w:pPr>
      <w:r w:rsidRPr="005A24DB">
        <w:rPr>
          <w:rFonts w:ascii="Times New Roman" w:hAnsi="Times New Roman"/>
        </w:rPr>
        <w:t>A.Gulbe</w:t>
      </w:r>
    </w:p>
    <w:p w:rsidR="00AC5C4A" w:rsidRPr="00D6075C" w:rsidRDefault="00D80C78" w:rsidP="0008174A">
      <w:pPr>
        <w:pStyle w:val="Header"/>
        <w:tabs>
          <w:tab w:val="clear" w:pos="4153"/>
          <w:tab w:val="clear" w:pos="8306"/>
          <w:tab w:val="left" w:pos="7993"/>
        </w:tabs>
        <w:ind w:right="-1"/>
        <w:rPr>
          <w:rFonts w:eastAsia="Times New Roman"/>
          <w:szCs w:val="24"/>
        </w:rPr>
      </w:pPr>
      <w:r w:rsidRPr="005A24DB">
        <w:rPr>
          <w:rFonts w:ascii="Times New Roman" w:hAnsi="Times New Roman"/>
        </w:rPr>
        <w:t>67024698, aiga.gulbe@vni.lv</w:t>
      </w:r>
      <w:bookmarkEnd w:id="5"/>
    </w:p>
    <w:sectPr w:rsidR="00AC5C4A" w:rsidRPr="00D6075C" w:rsidSect="00AA1C5A">
      <w:headerReference w:type="default" r:id="rId9"/>
      <w:footerReference w:type="default" r:id="rId10"/>
      <w:headerReference w:type="first" r:id="rId11"/>
      <w:footerReference w:type="first" r:id="rId12"/>
      <w:pgSz w:w="11906" w:h="16838" w:code="9"/>
      <w:pgMar w:top="993" w:right="1558" w:bottom="851" w:left="1701" w:header="720" w:footer="28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F2" w:rsidRDefault="00D006F2" w:rsidP="00AC5C4A">
      <w:pPr>
        <w:spacing w:after="0" w:line="240" w:lineRule="auto"/>
      </w:pPr>
      <w:r>
        <w:separator/>
      </w:r>
    </w:p>
  </w:endnote>
  <w:endnote w:type="continuationSeparator" w:id="0">
    <w:p w:rsidR="00D006F2" w:rsidRDefault="00D006F2"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DA" w:rsidRPr="00A3369F" w:rsidRDefault="00727270" w:rsidP="0076068D">
    <w:pPr>
      <w:pStyle w:val="BodyText"/>
      <w:ind w:left="-426" w:right="-425"/>
      <w:jc w:val="both"/>
      <w:rPr>
        <w:szCs w:val="16"/>
      </w:rPr>
    </w:pPr>
    <w:r w:rsidRPr="00A3369F">
      <w:rPr>
        <w:b w:val="0"/>
        <w:bCs w:val="0"/>
        <w:sz w:val="16"/>
        <w:szCs w:val="16"/>
      </w:rPr>
      <w:fldChar w:fldCharType="begin"/>
    </w:r>
    <w:r w:rsidR="00FA4BDA" w:rsidRPr="00A3369F">
      <w:rPr>
        <w:b w:val="0"/>
        <w:bCs w:val="0"/>
        <w:sz w:val="16"/>
        <w:szCs w:val="16"/>
      </w:rPr>
      <w:instrText xml:space="preserve"> FILENAME </w:instrText>
    </w:r>
    <w:r w:rsidRPr="00A3369F">
      <w:rPr>
        <w:b w:val="0"/>
        <w:bCs w:val="0"/>
        <w:sz w:val="16"/>
        <w:szCs w:val="16"/>
      </w:rPr>
      <w:fldChar w:fldCharType="separate"/>
    </w:r>
    <w:r w:rsidR="009E7E9E">
      <w:rPr>
        <w:b w:val="0"/>
        <w:bCs w:val="0"/>
        <w:noProof/>
        <w:sz w:val="16"/>
        <w:szCs w:val="16"/>
      </w:rPr>
      <w:t>FMAnot_300714_GrozMKrik307Okup</w:t>
    </w:r>
    <w:r w:rsidRPr="00A3369F">
      <w:rPr>
        <w:b w:val="0"/>
        <w:bCs w:val="0"/>
        <w:sz w:val="16"/>
        <w:szCs w:val="16"/>
      </w:rPr>
      <w:fldChar w:fldCharType="end"/>
    </w:r>
    <w:r w:rsidR="00FA4BDA" w:rsidRPr="00A3369F">
      <w:rPr>
        <w:b w:val="0"/>
        <w:bCs w:val="0"/>
        <w:sz w:val="16"/>
        <w:szCs w:val="16"/>
      </w:rPr>
      <w:t>; Ministru kabineta rīkojuma projekt</w:t>
    </w:r>
    <w:r w:rsidR="00FA4BDA">
      <w:rPr>
        <w:b w:val="0"/>
        <w:bCs w:val="0"/>
        <w:sz w:val="16"/>
        <w:szCs w:val="16"/>
      </w:rPr>
      <w:t>a</w:t>
    </w:r>
    <w:r w:rsidR="00FA4BDA" w:rsidRPr="00A3369F">
      <w:rPr>
        <w:b w:val="0"/>
        <w:bCs w:val="0"/>
        <w:sz w:val="16"/>
        <w:szCs w:val="16"/>
      </w:rPr>
      <w:t xml:space="preserve"> „Grozījumi Ministru kabineta 2011.gada 8.jūlija rīkojumā Nr.307 „Par finansējuma piešķiršanu Padomju okupācijas upuru piemiņas memoriāla kompleksa Latviešu strēlnieku laukumā, Rīgā, izveides izdevumu segšanai”” </w:t>
    </w:r>
    <w:r w:rsidR="00FA4BDA" w:rsidRPr="008B04A2">
      <w:rPr>
        <w:b w:val="0"/>
        <w:bCs w:val="0"/>
        <w:sz w:val="16"/>
        <w:szCs w:val="16"/>
      </w:rPr>
      <w:t xml:space="preserve">sākotnējās ietekmes novērtējuma </w:t>
    </w:r>
    <w:smartTag w:uri="schemas-tilde-lv/tildestengine" w:element="veidnes">
      <w:smartTagPr>
        <w:attr w:name="text" w:val="ziņojums"/>
        <w:attr w:name="baseform" w:val="ziņojums"/>
        <w:attr w:name="id" w:val="-1"/>
      </w:smartTagPr>
      <w:r w:rsidR="00FA4BDA" w:rsidRPr="008B04A2">
        <w:rPr>
          <w:b w:val="0"/>
          <w:bCs w:val="0"/>
          <w:sz w:val="16"/>
          <w:szCs w:val="16"/>
        </w:rPr>
        <w:t>ziņojums</w:t>
      </w:r>
    </w:smartTag>
    <w:r w:rsidR="00FA4BDA" w:rsidRPr="008B04A2">
      <w:rPr>
        <w:b w:val="0"/>
        <w:bCs w:val="0"/>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DA" w:rsidRDefault="00FA4BDA">
    <w:pPr>
      <w:pStyle w:val="Footer"/>
      <w:jc w:val="center"/>
    </w:pPr>
  </w:p>
  <w:p w:rsidR="00FA4BDA" w:rsidRPr="00A3369F" w:rsidRDefault="00727270" w:rsidP="0097491A">
    <w:pPr>
      <w:pStyle w:val="BodyText"/>
      <w:jc w:val="both"/>
      <w:rPr>
        <w:b w:val="0"/>
        <w:bCs w:val="0"/>
        <w:sz w:val="16"/>
        <w:szCs w:val="16"/>
      </w:rPr>
    </w:pPr>
    <w:r w:rsidRPr="00A3369F">
      <w:rPr>
        <w:b w:val="0"/>
        <w:bCs w:val="0"/>
        <w:sz w:val="16"/>
        <w:szCs w:val="16"/>
      </w:rPr>
      <w:fldChar w:fldCharType="begin"/>
    </w:r>
    <w:r w:rsidR="00FA4BDA" w:rsidRPr="00A3369F">
      <w:rPr>
        <w:b w:val="0"/>
        <w:bCs w:val="0"/>
        <w:sz w:val="16"/>
        <w:szCs w:val="16"/>
      </w:rPr>
      <w:instrText xml:space="preserve"> FILENAME </w:instrText>
    </w:r>
    <w:r w:rsidRPr="00A3369F">
      <w:rPr>
        <w:b w:val="0"/>
        <w:bCs w:val="0"/>
        <w:sz w:val="16"/>
        <w:szCs w:val="16"/>
      </w:rPr>
      <w:fldChar w:fldCharType="separate"/>
    </w:r>
    <w:r w:rsidR="009E7E9E">
      <w:rPr>
        <w:b w:val="0"/>
        <w:bCs w:val="0"/>
        <w:noProof/>
        <w:sz w:val="16"/>
        <w:szCs w:val="16"/>
      </w:rPr>
      <w:t>FMAnot_300714_GrozMKrik307Okup</w:t>
    </w:r>
    <w:r w:rsidRPr="00A3369F">
      <w:rPr>
        <w:b w:val="0"/>
        <w:bCs w:val="0"/>
        <w:sz w:val="16"/>
        <w:szCs w:val="16"/>
      </w:rPr>
      <w:fldChar w:fldCharType="end"/>
    </w:r>
    <w:r w:rsidR="00FA4BDA" w:rsidRPr="00A3369F">
      <w:rPr>
        <w:b w:val="0"/>
        <w:bCs w:val="0"/>
        <w:sz w:val="16"/>
        <w:szCs w:val="16"/>
      </w:rPr>
      <w:t>; Ministru kabineta rīkojuma projekt</w:t>
    </w:r>
    <w:r w:rsidR="00FA4BDA">
      <w:rPr>
        <w:b w:val="0"/>
        <w:bCs w:val="0"/>
        <w:sz w:val="16"/>
        <w:szCs w:val="16"/>
      </w:rPr>
      <w:t xml:space="preserve">a </w:t>
    </w:r>
    <w:r w:rsidR="00FA4BDA" w:rsidRPr="00A3369F">
      <w:rPr>
        <w:b w:val="0"/>
        <w:bCs w:val="0"/>
        <w:sz w:val="16"/>
        <w:szCs w:val="16"/>
      </w:rPr>
      <w:t xml:space="preserve">„Grozījumi Ministru kabineta 2011.gada 8.jūlija rīkojumā Nr.307 „Par finansējuma piešķiršanu Padomju okupācijas upuru piemiņas memoriāla kompleksa Latviešu strēlnieku laukumā, Rīgā, izveides izdevumu segšanai”” </w:t>
    </w:r>
    <w:r w:rsidR="00FA4BDA" w:rsidRPr="008B04A2">
      <w:rPr>
        <w:b w:val="0"/>
        <w:bCs w:val="0"/>
        <w:sz w:val="16"/>
        <w:szCs w:val="16"/>
      </w:rPr>
      <w:t xml:space="preserve">sākotnējās ietekmes novērtējuma </w:t>
    </w:r>
    <w:smartTag w:uri="schemas-tilde-lv/tildestengine" w:element="veidnes">
      <w:smartTagPr>
        <w:attr w:name="text" w:val="ziņojums"/>
        <w:attr w:name="baseform" w:val="ziņojums"/>
        <w:attr w:name="id" w:val="-1"/>
      </w:smartTagPr>
      <w:r w:rsidR="00FA4BDA" w:rsidRPr="008B04A2">
        <w:rPr>
          <w:b w:val="0"/>
          <w:bCs w:val="0"/>
          <w:sz w:val="16"/>
          <w:szCs w:val="16"/>
        </w:rPr>
        <w:t>ziņojums</w:t>
      </w:r>
    </w:smartTag>
    <w:r w:rsidR="00FA4BDA" w:rsidRPr="008B04A2">
      <w:rPr>
        <w:b w:val="0"/>
        <w:bCs w:val="0"/>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F2" w:rsidRDefault="00D006F2" w:rsidP="00AC5C4A">
      <w:pPr>
        <w:spacing w:after="0" w:line="240" w:lineRule="auto"/>
      </w:pPr>
      <w:r>
        <w:separator/>
      </w:r>
    </w:p>
  </w:footnote>
  <w:footnote w:type="continuationSeparator" w:id="0">
    <w:p w:rsidR="00D006F2" w:rsidRDefault="00D006F2"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FA4BDA" w:rsidRPr="0097491A" w:rsidRDefault="00727270">
            <w:pPr>
              <w:pStyle w:val="Header"/>
              <w:jc w:val="center"/>
              <w:rPr>
                <w:rFonts w:ascii="Times New Roman" w:hAnsi="Times New Roman"/>
              </w:rPr>
            </w:pPr>
            <w:r w:rsidRPr="0097491A">
              <w:rPr>
                <w:rFonts w:ascii="Times New Roman" w:hAnsi="Times New Roman"/>
              </w:rPr>
              <w:fldChar w:fldCharType="begin"/>
            </w:r>
            <w:r w:rsidR="00FA4BDA" w:rsidRPr="0097491A">
              <w:rPr>
                <w:rFonts w:ascii="Times New Roman" w:hAnsi="Times New Roman"/>
              </w:rPr>
              <w:instrText xml:space="preserve"> PAGE   \* MERGEFORMAT </w:instrText>
            </w:r>
            <w:r w:rsidRPr="0097491A">
              <w:rPr>
                <w:rFonts w:ascii="Times New Roman" w:hAnsi="Times New Roman"/>
              </w:rPr>
              <w:fldChar w:fldCharType="separate"/>
            </w:r>
            <w:r w:rsidR="002C4F7E">
              <w:rPr>
                <w:rFonts w:ascii="Times New Roman" w:hAnsi="Times New Roman"/>
                <w:noProof/>
              </w:rPr>
              <w:t>8</w:t>
            </w:r>
            <w:r w:rsidRPr="0097491A">
              <w:rPr>
                <w:rFonts w:ascii="Times New Roman" w:hAnsi="Times New Roman"/>
              </w:rPr>
              <w:fldChar w:fldCharType="end"/>
            </w:r>
          </w:p>
        </w:sdtContent>
      </w:sdt>
    </w:sdtContent>
  </w:sdt>
  <w:p w:rsidR="00FA4BDA" w:rsidRPr="0097491A" w:rsidRDefault="00FA4BDA" w:rsidP="0097491A">
    <w:pPr>
      <w:pStyle w:val="Header"/>
    </w:pPr>
  </w:p>
  <w:p w:rsidR="00FA4BDA" w:rsidRDefault="00FA4B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BDA" w:rsidRDefault="00FA4BDA">
    <w:pPr>
      <w:pStyle w:val="Header"/>
      <w:jc w:val="center"/>
    </w:pPr>
  </w:p>
  <w:p w:rsidR="00FA4BDA" w:rsidRDefault="00FA4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3">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4">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5">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6">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0">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4">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5">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16">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7">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4"/>
  </w:num>
  <w:num w:numId="5">
    <w:abstractNumId w:val="1"/>
  </w:num>
  <w:num w:numId="6">
    <w:abstractNumId w:val="16"/>
  </w:num>
  <w:num w:numId="7">
    <w:abstractNumId w:val="7"/>
  </w:num>
  <w:num w:numId="8">
    <w:abstractNumId w:val="4"/>
  </w:num>
  <w:num w:numId="9">
    <w:abstractNumId w:val="0"/>
  </w:num>
  <w:num w:numId="10">
    <w:abstractNumId w:val="2"/>
  </w:num>
  <w:num w:numId="11">
    <w:abstractNumId w:val="17"/>
  </w:num>
  <w:num w:numId="12">
    <w:abstractNumId w:val="11"/>
  </w:num>
  <w:num w:numId="13">
    <w:abstractNumId w:val="5"/>
  </w:num>
  <w:num w:numId="14">
    <w:abstractNumId w:val="15"/>
  </w:num>
  <w:num w:numId="15">
    <w:abstractNumId w:val="10"/>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5C4A"/>
    <w:rsid w:val="00001DF2"/>
    <w:rsid w:val="000043CC"/>
    <w:rsid w:val="00004BB1"/>
    <w:rsid w:val="00012465"/>
    <w:rsid w:val="000206FE"/>
    <w:rsid w:val="00036D16"/>
    <w:rsid w:val="00044A20"/>
    <w:rsid w:val="000477BC"/>
    <w:rsid w:val="00052D64"/>
    <w:rsid w:val="000565DE"/>
    <w:rsid w:val="00061467"/>
    <w:rsid w:val="00063D59"/>
    <w:rsid w:val="0008174A"/>
    <w:rsid w:val="00090DD1"/>
    <w:rsid w:val="00097B34"/>
    <w:rsid w:val="000A1036"/>
    <w:rsid w:val="000A7AFF"/>
    <w:rsid w:val="000B29EA"/>
    <w:rsid w:val="000C4FF6"/>
    <w:rsid w:val="000E07D2"/>
    <w:rsid w:val="000F4E1A"/>
    <w:rsid w:val="00115C4B"/>
    <w:rsid w:val="0012048D"/>
    <w:rsid w:val="00123817"/>
    <w:rsid w:val="00126EF6"/>
    <w:rsid w:val="00133F2F"/>
    <w:rsid w:val="00160AB5"/>
    <w:rsid w:val="00163DBE"/>
    <w:rsid w:val="00170EB9"/>
    <w:rsid w:val="0017338A"/>
    <w:rsid w:val="00177481"/>
    <w:rsid w:val="001800E0"/>
    <w:rsid w:val="00184A2C"/>
    <w:rsid w:val="00186128"/>
    <w:rsid w:val="00190C3C"/>
    <w:rsid w:val="001A16D1"/>
    <w:rsid w:val="001A3B43"/>
    <w:rsid w:val="001D137E"/>
    <w:rsid w:val="001D3ABA"/>
    <w:rsid w:val="001E09B6"/>
    <w:rsid w:val="001E133F"/>
    <w:rsid w:val="001F21D2"/>
    <w:rsid w:val="00220EDE"/>
    <w:rsid w:val="00224CB2"/>
    <w:rsid w:val="00226809"/>
    <w:rsid w:val="00234C8D"/>
    <w:rsid w:val="00237BD1"/>
    <w:rsid w:val="00245EE9"/>
    <w:rsid w:val="00246E8A"/>
    <w:rsid w:val="0024797E"/>
    <w:rsid w:val="002531B5"/>
    <w:rsid w:val="002600E0"/>
    <w:rsid w:val="00260EBF"/>
    <w:rsid w:val="0026528B"/>
    <w:rsid w:val="00265440"/>
    <w:rsid w:val="0027152E"/>
    <w:rsid w:val="00272C4A"/>
    <w:rsid w:val="00272E93"/>
    <w:rsid w:val="002745E6"/>
    <w:rsid w:val="002806E5"/>
    <w:rsid w:val="00282608"/>
    <w:rsid w:val="0028389B"/>
    <w:rsid w:val="00287AE4"/>
    <w:rsid w:val="00292080"/>
    <w:rsid w:val="002A66EE"/>
    <w:rsid w:val="002A7B0D"/>
    <w:rsid w:val="002B0F39"/>
    <w:rsid w:val="002C0BBA"/>
    <w:rsid w:val="002C457C"/>
    <w:rsid w:val="002C4F7E"/>
    <w:rsid w:val="002C6108"/>
    <w:rsid w:val="002F3029"/>
    <w:rsid w:val="002F4518"/>
    <w:rsid w:val="002F5B39"/>
    <w:rsid w:val="00303031"/>
    <w:rsid w:val="00303ECB"/>
    <w:rsid w:val="003062CF"/>
    <w:rsid w:val="00306AB4"/>
    <w:rsid w:val="00312C2F"/>
    <w:rsid w:val="00313CBA"/>
    <w:rsid w:val="003217B4"/>
    <w:rsid w:val="00322140"/>
    <w:rsid w:val="00330341"/>
    <w:rsid w:val="00330B3E"/>
    <w:rsid w:val="00332653"/>
    <w:rsid w:val="00351EEE"/>
    <w:rsid w:val="00354070"/>
    <w:rsid w:val="00355D4B"/>
    <w:rsid w:val="00377BC2"/>
    <w:rsid w:val="003819E2"/>
    <w:rsid w:val="0039060C"/>
    <w:rsid w:val="003A1F15"/>
    <w:rsid w:val="003A284A"/>
    <w:rsid w:val="003B1B6E"/>
    <w:rsid w:val="003B2514"/>
    <w:rsid w:val="003B71F3"/>
    <w:rsid w:val="003F6F40"/>
    <w:rsid w:val="00404607"/>
    <w:rsid w:val="00413792"/>
    <w:rsid w:val="00416F88"/>
    <w:rsid w:val="00417593"/>
    <w:rsid w:val="00417925"/>
    <w:rsid w:val="00422AE6"/>
    <w:rsid w:val="00422BFB"/>
    <w:rsid w:val="00422EF4"/>
    <w:rsid w:val="0042467F"/>
    <w:rsid w:val="00444B0B"/>
    <w:rsid w:val="00446DF3"/>
    <w:rsid w:val="004525A3"/>
    <w:rsid w:val="004635FC"/>
    <w:rsid w:val="00476E9D"/>
    <w:rsid w:val="00482D67"/>
    <w:rsid w:val="004917F9"/>
    <w:rsid w:val="00496E09"/>
    <w:rsid w:val="004B4F67"/>
    <w:rsid w:val="004C20EE"/>
    <w:rsid w:val="004C24CA"/>
    <w:rsid w:val="004C3822"/>
    <w:rsid w:val="004C473F"/>
    <w:rsid w:val="004E07B6"/>
    <w:rsid w:val="004E0E61"/>
    <w:rsid w:val="004E1C0C"/>
    <w:rsid w:val="004F1F17"/>
    <w:rsid w:val="00512D1C"/>
    <w:rsid w:val="00516791"/>
    <w:rsid w:val="005167EC"/>
    <w:rsid w:val="00516DBB"/>
    <w:rsid w:val="00541BB2"/>
    <w:rsid w:val="00550C38"/>
    <w:rsid w:val="005572DD"/>
    <w:rsid w:val="00557DA3"/>
    <w:rsid w:val="00560D8A"/>
    <w:rsid w:val="00572B5C"/>
    <w:rsid w:val="00575E3C"/>
    <w:rsid w:val="00580C21"/>
    <w:rsid w:val="00582538"/>
    <w:rsid w:val="00585A93"/>
    <w:rsid w:val="00592FC5"/>
    <w:rsid w:val="00593F8B"/>
    <w:rsid w:val="0059499E"/>
    <w:rsid w:val="00595C58"/>
    <w:rsid w:val="00597A53"/>
    <w:rsid w:val="005A24DB"/>
    <w:rsid w:val="005A4BE8"/>
    <w:rsid w:val="005D3A13"/>
    <w:rsid w:val="005E5070"/>
    <w:rsid w:val="005E5EE4"/>
    <w:rsid w:val="005F125B"/>
    <w:rsid w:val="005F1F59"/>
    <w:rsid w:val="00600635"/>
    <w:rsid w:val="00607BC3"/>
    <w:rsid w:val="006138C2"/>
    <w:rsid w:val="00637110"/>
    <w:rsid w:val="00654131"/>
    <w:rsid w:val="00682092"/>
    <w:rsid w:val="00683B69"/>
    <w:rsid w:val="006A39D7"/>
    <w:rsid w:val="006A4F76"/>
    <w:rsid w:val="006B4BD1"/>
    <w:rsid w:val="006C0411"/>
    <w:rsid w:val="006D0494"/>
    <w:rsid w:val="006E11E5"/>
    <w:rsid w:val="006E66A7"/>
    <w:rsid w:val="006F04B3"/>
    <w:rsid w:val="006F6C80"/>
    <w:rsid w:val="006F78DA"/>
    <w:rsid w:val="007072C9"/>
    <w:rsid w:val="00715DE4"/>
    <w:rsid w:val="00727270"/>
    <w:rsid w:val="0073224E"/>
    <w:rsid w:val="00757849"/>
    <w:rsid w:val="0076068D"/>
    <w:rsid w:val="00776D01"/>
    <w:rsid w:val="00781BB5"/>
    <w:rsid w:val="007955DF"/>
    <w:rsid w:val="00796C95"/>
    <w:rsid w:val="007C0142"/>
    <w:rsid w:val="007C084E"/>
    <w:rsid w:val="007C1D57"/>
    <w:rsid w:val="007C40B8"/>
    <w:rsid w:val="007C5DFE"/>
    <w:rsid w:val="007E20A4"/>
    <w:rsid w:val="007E2479"/>
    <w:rsid w:val="007E27E4"/>
    <w:rsid w:val="007E4920"/>
    <w:rsid w:val="007F5480"/>
    <w:rsid w:val="008045B9"/>
    <w:rsid w:val="00817B86"/>
    <w:rsid w:val="00820424"/>
    <w:rsid w:val="00833ABA"/>
    <w:rsid w:val="00842C93"/>
    <w:rsid w:val="00843C3E"/>
    <w:rsid w:val="00850715"/>
    <w:rsid w:val="00856C91"/>
    <w:rsid w:val="00861823"/>
    <w:rsid w:val="00861D6F"/>
    <w:rsid w:val="00862C37"/>
    <w:rsid w:val="00866B17"/>
    <w:rsid w:val="00866EFA"/>
    <w:rsid w:val="0087448A"/>
    <w:rsid w:val="00875DD5"/>
    <w:rsid w:val="008864F2"/>
    <w:rsid w:val="00893C60"/>
    <w:rsid w:val="008A4837"/>
    <w:rsid w:val="008B04A2"/>
    <w:rsid w:val="008E1D34"/>
    <w:rsid w:val="008E44B9"/>
    <w:rsid w:val="008E59AF"/>
    <w:rsid w:val="008E6E67"/>
    <w:rsid w:val="00902536"/>
    <w:rsid w:val="00906DA2"/>
    <w:rsid w:val="009148C7"/>
    <w:rsid w:val="00917486"/>
    <w:rsid w:val="00920EB8"/>
    <w:rsid w:val="00925014"/>
    <w:rsid w:val="00931B1C"/>
    <w:rsid w:val="00953931"/>
    <w:rsid w:val="00954FCF"/>
    <w:rsid w:val="009674AF"/>
    <w:rsid w:val="0097491A"/>
    <w:rsid w:val="00980779"/>
    <w:rsid w:val="00987E92"/>
    <w:rsid w:val="00990F90"/>
    <w:rsid w:val="00991AE1"/>
    <w:rsid w:val="00993517"/>
    <w:rsid w:val="00994535"/>
    <w:rsid w:val="00997340"/>
    <w:rsid w:val="009A4344"/>
    <w:rsid w:val="009B23FE"/>
    <w:rsid w:val="009B26BF"/>
    <w:rsid w:val="009C0F8C"/>
    <w:rsid w:val="009C35B2"/>
    <w:rsid w:val="009C743A"/>
    <w:rsid w:val="009E1512"/>
    <w:rsid w:val="009E7E9E"/>
    <w:rsid w:val="00A3369F"/>
    <w:rsid w:val="00A336AB"/>
    <w:rsid w:val="00A3628A"/>
    <w:rsid w:val="00A36BA3"/>
    <w:rsid w:val="00A420A2"/>
    <w:rsid w:val="00A42E0B"/>
    <w:rsid w:val="00A4482A"/>
    <w:rsid w:val="00A6559E"/>
    <w:rsid w:val="00A655FC"/>
    <w:rsid w:val="00A837A0"/>
    <w:rsid w:val="00A84506"/>
    <w:rsid w:val="00A9391E"/>
    <w:rsid w:val="00AA1C5A"/>
    <w:rsid w:val="00AA2099"/>
    <w:rsid w:val="00AA6B62"/>
    <w:rsid w:val="00AB0E64"/>
    <w:rsid w:val="00AB16AA"/>
    <w:rsid w:val="00AB4726"/>
    <w:rsid w:val="00AC5C4A"/>
    <w:rsid w:val="00AD3E3D"/>
    <w:rsid w:val="00AE173D"/>
    <w:rsid w:val="00AE2D3F"/>
    <w:rsid w:val="00AE4A03"/>
    <w:rsid w:val="00B112B1"/>
    <w:rsid w:val="00B2564E"/>
    <w:rsid w:val="00B26A25"/>
    <w:rsid w:val="00B34B3A"/>
    <w:rsid w:val="00B36792"/>
    <w:rsid w:val="00B402B3"/>
    <w:rsid w:val="00B45610"/>
    <w:rsid w:val="00B47D98"/>
    <w:rsid w:val="00B563D9"/>
    <w:rsid w:val="00B60429"/>
    <w:rsid w:val="00B6076C"/>
    <w:rsid w:val="00B65715"/>
    <w:rsid w:val="00B738A4"/>
    <w:rsid w:val="00B934E9"/>
    <w:rsid w:val="00BA0C59"/>
    <w:rsid w:val="00BA675F"/>
    <w:rsid w:val="00BA732D"/>
    <w:rsid w:val="00BB51DF"/>
    <w:rsid w:val="00BE0AC0"/>
    <w:rsid w:val="00BF2F28"/>
    <w:rsid w:val="00C0799C"/>
    <w:rsid w:val="00C10115"/>
    <w:rsid w:val="00C21CA6"/>
    <w:rsid w:val="00C24448"/>
    <w:rsid w:val="00C31FD7"/>
    <w:rsid w:val="00C4524D"/>
    <w:rsid w:val="00C56981"/>
    <w:rsid w:val="00C71AE1"/>
    <w:rsid w:val="00C74067"/>
    <w:rsid w:val="00C82A70"/>
    <w:rsid w:val="00C879CF"/>
    <w:rsid w:val="00C941B8"/>
    <w:rsid w:val="00CA1976"/>
    <w:rsid w:val="00CA51B7"/>
    <w:rsid w:val="00CB394C"/>
    <w:rsid w:val="00CB5ADF"/>
    <w:rsid w:val="00CC3CDF"/>
    <w:rsid w:val="00CC6B4A"/>
    <w:rsid w:val="00CD494E"/>
    <w:rsid w:val="00CD6D10"/>
    <w:rsid w:val="00CF462B"/>
    <w:rsid w:val="00D006F2"/>
    <w:rsid w:val="00D01EEF"/>
    <w:rsid w:val="00D143D7"/>
    <w:rsid w:val="00D2230E"/>
    <w:rsid w:val="00D2448C"/>
    <w:rsid w:val="00D33276"/>
    <w:rsid w:val="00D43527"/>
    <w:rsid w:val="00D6075C"/>
    <w:rsid w:val="00D73C9B"/>
    <w:rsid w:val="00D75B73"/>
    <w:rsid w:val="00D80C78"/>
    <w:rsid w:val="00D87FCE"/>
    <w:rsid w:val="00D91391"/>
    <w:rsid w:val="00D936F7"/>
    <w:rsid w:val="00D950A0"/>
    <w:rsid w:val="00DA430B"/>
    <w:rsid w:val="00DA5463"/>
    <w:rsid w:val="00DC7E63"/>
    <w:rsid w:val="00E14BD7"/>
    <w:rsid w:val="00E36A02"/>
    <w:rsid w:val="00E420FD"/>
    <w:rsid w:val="00E562F1"/>
    <w:rsid w:val="00E57BD2"/>
    <w:rsid w:val="00E73658"/>
    <w:rsid w:val="00E75798"/>
    <w:rsid w:val="00E8249E"/>
    <w:rsid w:val="00EB2B05"/>
    <w:rsid w:val="00EB3002"/>
    <w:rsid w:val="00EB4E86"/>
    <w:rsid w:val="00EC127B"/>
    <w:rsid w:val="00EC2C61"/>
    <w:rsid w:val="00EC464C"/>
    <w:rsid w:val="00ED1283"/>
    <w:rsid w:val="00ED2A9C"/>
    <w:rsid w:val="00ED4F8C"/>
    <w:rsid w:val="00EF02E5"/>
    <w:rsid w:val="00EF359A"/>
    <w:rsid w:val="00EF4F23"/>
    <w:rsid w:val="00F01747"/>
    <w:rsid w:val="00F054D7"/>
    <w:rsid w:val="00F123C8"/>
    <w:rsid w:val="00F17E09"/>
    <w:rsid w:val="00F208D2"/>
    <w:rsid w:val="00F21194"/>
    <w:rsid w:val="00F42C36"/>
    <w:rsid w:val="00F51A5F"/>
    <w:rsid w:val="00F5340F"/>
    <w:rsid w:val="00F74519"/>
    <w:rsid w:val="00F82279"/>
    <w:rsid w:val="00F85CE4"/>
    <w:rsid w:val="00F8781B"/>
    <w:rsid w:val="00F93A0C"/>
    <w:rsid w:val="00FA195D"/>
    <w:rsid w:val="00FA4BDA"/>
    <w:rsid w:val="00FA7655"/>
    <w:rsid w:val="00FB5EB0"/>
    <w:rsid w:val="00FB5F8B"/>
    <w:rsid w:val="00FC0EA9"/>
    <w:rsid w:val="00FC2012"/>
    <w:rsid w:val="00FC2A5B"/>
    <w:rsid w:val="00FC3140"/>
    <w:rsid w:val="00FD2518"/>
    <w:rsid w:val="00FD7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5E41F749-6318-4351-935D-FAF64105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BF"/>
  </w:style>
  <w:style w:type="paragraph" w:styleId="Heading1">
    <w:name w:val="heading 1"/>
    <w:basedOn w:val="Normal"/>
    <w:next w:val="Normal"/>
    <w:link w:val="Heading1Char"/>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5C4A"/>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5C4A"/>
    <w:rPr>
      <w:rFonts w:ascii="Times New Roman" w:eastAsia="Times New Roman" w:hAnsi="Times New Roman" w:cs="Times New Roman"/>
      <w:b/>
      <w:bCs/>
      <w:sz w:val="24"/>
      <w:szCs w:val="24"/>
    </w:rPr>
  </w:style>
  <w:style w:type="paragraph" w:styleId="Header">
    <w:name w:val="header"/>
    <w:aliases w:val="18pt Bold"/>
    <w:basedOn w:val="Normal"/>
    <w:link w:val="HeaderChar"/>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HeaderChar">
    <w:name w:val="Header Char"/>
    <w:aliases w:val="18pt Bold Char"/>
    <w:basedOn w:val="DefaultParagraphFont"/>
    <w:link w:val="Header"/>
    <w:uiPriority w:val="99"/>
    <w:rsid w:val="00AC5C4A"/>
    <w:rPr>
      <w:rFonts w:ascii="Arial" w:eastAsia="Calibri" w:hAnsi="Arial" w:cs="Times New Roman"/>
      <w:sz w:val="20"/>
      <w:szCs w:val="20"/>
    </w:rPr>
  </w:style>
  <w:style w:type="paragraph" w:customStyle="1" w:styleId="naisf">
    <w:name w:val="naisf"/>
    <w:basedOn w:val="Normal"/>
    <w:uiPriority w:val="99"/>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NormalWeb">
    <w:name w:val="Normal (Web)"/>
    <w:basedOn w:val="Normal"/>
    <w:uiPriority w:val="99"/>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Normal"/>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AC5C4A"/>
    <w:pPr>
      <w:spacing w:before="75" w:after="75"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AC5C4A"/>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AC5C4A"/>
    <w:rPr>
      <w:rFonts w:ascii="Times New Roman" w:eastAsia="Calibri" w:hAnsi="Times New Roman" w:cs="Times New Roman"/>
      <w:sz w:val="20"/>
      <w:szCs w:val="20"/>
    </w:rPr>
  </w:style>
  <w:style w:type="paragraph" w:customStyle="1" w:styleId="naislab">
    <w:name w:val="naislab"/>
    <w:basedOn w:val="Normal"/>
    <w:rsid w:val="00AC5C4A"/>
    <w:pPr>
      <w:spacing w:before="75" w:after="75" w:line="240" w:lineRule="auto"/>
      <w:jc w:val="right"/>
    </w:pPr>
    <w:rPr>
      <w:rFonts w:ascii="Times New Roman" w:eastAsia="Times New Roman" w:hAnsi="Times New Roman" w:cs="Times New Roman"/>
      <w:sz w:val="24"/>
      <w:szCs w:val="24"/>
    </w:rPr>
  </w:style>
  <w:style w:type="paragraph" w:styleId="PlainText">
    <w:name w:val="Plain Text"/>
    <w:basedOn w:val="Normal"/>
    <w:link w:val="PlainTextChar"/>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AC5C4A"/>
    <w:rPr>
      <w:rFonts w:ascii="Courier New" w:eastAsia="Times New Roman" w:hAnsi="Courier New" w:cs="Times New Roman"/>
      <w:sz w:val="28"/>
      <w:szCs w:val="20"/>
    </w:rPr>
  </w:style>
  <w:style w:type="paragraph" w:styleId="Footer">
    <w:name w:val="footer"/>
    <w:basedOn w:val="Normal"/>
    <w:link w:val="FooterChar"/>
    <w:uiPriority w:val="99"/>
    <w:unhideWhenUsed/>
    <w:rsid w:val="00AC5C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C4A"/>
  </w:style>
  <w:style w:type="paragraph" w:styleId="BalloonText">
    <w:name w:val="Balloon Text"/>
    <w:basedOn w:val="Normal"/>
    <w:link w:val="BalloonTextChar"/>
    <w:uiPriority w:val="99"/>
    <w:semiHidden/>
    <w:unhideWhenUsed/>
    <w:rsid w:val="00A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4A"/>
    <w:rPr>
      <w:rFonts w:ascii="Tahoma" w:hAnsi="Tahoma" w:cs="Tahoma"/>
      <w:sz w:val="16"/>
      <w:szCs w:val="16"/>
    </w:rPr>
  </w:style>
  <w:style w:type="paragraph" w:styleId="ListParagraph">
    <w:name w:val="List Paragraph"/>
    <w:basedOn w:val="Normal"/>
    <w:uiPriority w:val="99"/>
    <w:qFormat/>
    <w:rsid w:val="00CD6D10"/>
    <w:pPr>
      <w:spacing w:after="0" w:line="240" w:lineRule="auto"/>
      <w:ind w:left="720"/>
    </w:pPr>
    <w:rPr>
      <w:rFonts w:ascii="Calibri" w:eastAsiaTheme="minorHAnsi" w:hAnsi="Calibri" w:cs="Times New Roman"/>
      <w:lang w:eastAsia="en-US"/>
    </w:rPr>
  </w:style>
  <w:style w:type="character" w:customStyle="1" w:styleId="Heading3Char">
    <w:name w:val="Heading 3 Char"/>
    <w:basedOn w:val="DefaultParagraphFont"/>
    <w:link w:val="Heading3"/>
    <w:uiPriority w:val="99"/>
    <w:rsid w:val="00306AB4"/>
    <w:rPr>
      <w:rFonts w:ascii="Arial" w:eastAsia="Times New Roman" w:hAnsi="Arial" w:cs="Arial"/>
      <w:b/>
      <w:bCs/>
      <w:sz w:val="26"/>
      <w:szCs w:val="26"/>
      <w:lang w:val="en-US" w:eastAsia="en-US"/>
    </w:rPr>
  </w:style>
  <w:style w:type="character" w:customStyle="1" w:styleId="Heading1Char">
    <w:name w:val="Heading 1 Char"/>
    <w:basedOn w:val="DefaultParagraphFont"/>
    <w:link w:val="Heading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6D0494"/>
  </w:style>
  <w:style w:type="character" w:styleId="Emphasis">
    <w:name w:val="Emphasis"/>
    <w:basedOn w:val="DefaultParagraphFont"/>
    <w:uiPriority w:val="20"/>
    <w:qFormat/>
    <w:rsid w:val="00330B3E"/>
    <w:rPr>
      <w:b/>
      <w:bCs/>
      <w:i w:val="0"/>
      <w:iCs w:val="0"/>
    </w:rPr>
  </w:style>
  <w:style w:type="character" w:customStyle="1" w:styleId="st1">
    <w:name w:val="st1"/>
    <w:basedOn w:val="DefaultParagraphFont"/>
    <w:rsid w:val="00330B3E"/>
  </w:style>
  <w:style w:type="paragraph" w:styleId="Revision">
    <w:name w:val="Revision"/>
    <w:hidden/>
    <w:uiPriority w:val="99"/>
    <w:semiHidden/>
    <w:rsid w:val="002F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03FF0-1C71-4E9E-8D4D-7254BD0A2CDF}">
  <ds:schemaRefs>
    <ds:schemaRef ds:uri="http://schemas.openxmlformats.org/officeDocument/2006/bibliography"/>
  </ds:schemaRefs>
</ds:datastoreItem>
</file>

<file path=customXml/itemProps2.xml><?xml version="1.0" encoding="utf-8"?>
<ds:datastoreItem xmlns:ds="http://schemas.openxmlformats.org/officeDocument/2006/customXml" ds:itemID="{CA7DA9D5-16C3-4BED-8738-4FD1E57D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14864</Words>
  <Characters>8474</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S.Bajāre</Manager>
  <Company>Finanšu ministrija (VNĪ)</Company>
  <LinksUpToDate>false</LinksUpToDate>
  <CharactersWithSpaces>23292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sākotnējās ietekmes novērtējuma ziņojums (anotācija)</dc:title>
  <dc:subject>Anotācija</dc:subject>
  <dc:creator>A.Gulbe</dc:creator>
  <dc:description>A.Gulbe
67024698, aiga.gulbe@vni.lv</dc:description>
  <cp:lastModifiedBy>Liene Strēlniece</cp:lastModifiedBy>
  <cp:revision>12</cp:revision>
  <cp:lastPrinted>2014-07-30T13:32:00Z</cp:lastPrinted>
  <dcterms:created xsi:type="dcterms:W3CDTF">2014-07-30T14:04:00Z</dcterms:created>
  <dcterms:modified xsi:type="dcterms:W3CDTF">2014-08-01T10:49:00Z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