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FB" w:rsidRPr="00045B81" w:rsidRDefault="00F031FB" w:rsidP="00F031FB">
      <w:pPr>
        <w:jc w:val="center"/>
        <w:rPr>
          <w:bCs/>
          <w:sz w:val="26"/>
          <w:szCs w:val="26"/>
          <w14:shadow w14:blurRad="50800" w14:dist="38100" w14:dir="2700000" w14:sx="100000" w14:sy="100000" w14:kx="0" w14:ky="0" w14:algn="tl">
            <w14:srgbClr w14:val="000000">
              <w14:alpha w14:val="60000"/>
            </w14:srgbClr>
          </w14:shadow>
        </w:rPr>
      </w:pPr>
      <w:bookmarkStart w:id="0" w:name="_GoBack"/>
      <w:bookmarkEnd w:id="0"/>
      <w:r w:rsidRPr="00045B81">
        <w:rPr>
          <w:b/>
          <w:sz w:val="26"/>
          <w:szCs w:val="26"/>
        </w:rPr>
        <w:t xml:space="preserve">Likumprojekta </w:t>
      </w:r>
      <w:r w:rsidR="00D73EB0" w:rsidRPr="00045B81">
        <w:rPr>
          <w:b/>
          <w:sz w:val="26"/>
          <w:szCs w:val="26"/>
        </w:rPr>
        <w:t>"</w:t>
      </w:r>
      <w:r w:rsidR="00483F0D">
        <w:rPr>
          <w:b/>
          <w:sz w:val="26"/>
          <w:szCs w:val="26"/>
        </w:rPr>
        <w:t>Attīstības finanšu institūcijas likums</w:t>
      </w:r>
      <w:r w:rsidR="009B42E5" w:rsidRPr="00045B81">
        <w:rPr>
          <w:b/>
          <w:sz w:val="26"/>
          <w:szCs w:val="26"/>
        </w:rPr>
        <w:t>"</w:t>
      </w:r>
      <w:r w:rsidRPr="00045B81">
        <w:rPr>
          <w:b/>
          <w:sz w:val="26"/>
          <w:szCs w:val="26"/>
        </w:rPr>
        <w:t xml:space="preserve"> </w:t>
      </w:r>
      <w:r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80"/>
      </w:tblGrid>
      <w:tr w:rsidR="00852042" w:rsidRPr="00045B81" w:rsidTr="00BB273D">
        <w:tc>
          <w:tcPr>
            <w:tcW w:w="974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rsidTr="00BB273D">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6D67E3" w:rsidRDefault="002D7F54" w:rsidP="006C4607">
            <w:pPr>
              <w:pStyle w:val="naiskr"/>
              <w:spacing w:before="0" w:after="0"/>
              <w:ind w:hanging="10"/>
              <w:rPr>
                <w:sz w:val="26"/>
                <w:szCs w:val="26"/>
              </w:rPr>
            </w:pPr>
            <w:r w:rsidRPr="00045B81">
              <w:rPr>
                <w:sz w:val="26"/>
                <w:szCs w:val="26"/>
              </w:rPr>
              <w:t>Pamatojums</w:t>
            </w:r>
          </w:p>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Pr="006D67E3" w:rsidRDefault="006D67E3" w:rsidP="006D67E3"/>
          <w:p w:rsidR="006D67E3" w:rsidRDefault="006D67E3" w:rsidP="006D67E3"/>
          <w:p w:rsidR="006D67E3" w:rsidRDefault="006D67E3" w:rsidP="006D67E3"/>
          <w:p w:rsidR="00262E2B" w:rsidRPr="006D67E3" w:rsidRDefault="00262E2B" w:rsidP="006D67E3">
            <w:pPr>
              <w:ind w:firstLine="720"/>
            </w:pPr>
          </w:p>
        </w:tc>
        <w:tc>
          <w:tcPr>
            <w:tcW w:w="4880" w:type="dxa"/>
          </w:tcPr>
          <w:p w:rsidR="00642E8D" w:rsidRDefault="00D73EB0" w:rsidP="00642E8D">
            <w:pPr>
              <w:spacing w:after="120"/>
              <w:jc w:val="both"/>
              <w:rPr>
                <w:sz w:val="26"/>
                <w:szCs w:val="26"/>
              </w:rPr>
            </w:pPr>
            <w:r w:rsidRPr="00045B81">
              <w:rPr>
                <w:sz w:val="26"/>
                <w:szCs w:val="26"/>
              </w:rPr>
              <w:t xml:space="preserve">Ministru kabinets 2013.gada </w:t>
            </w:r>
            <w:r w:rsidR="00FA4FD9">
              <w:rPr>
                <w:sz w:val="26"/>
                <w:szCs w:val="26"/>
              </w:rPr>
              <w:t>17</w:t>
            </w:r>
            <w:r w:rsidRPr="00045B81">
              <w:rPr>
                <w:sz w:val="26"/>
                <w:szCs w:val="26"/>
              </w:rPr>
              <w:t>.</w:t>
            </w:r>
            <w:r w:rsidR="00FA4FD9">
              <w:rPr>
                <w:sz w:val="26"/>
                <w:szCs w:val="26"/>
              </w:rPr>
              <w:t>decembrī</w:t>
            </w:r>
            <w:r w:rsidRPr="00045B81">
              <w:rPr>
                <w:sz w:val="26"/>
                <w:szCs w:val="26"/>
              </w:rPr>
              <w:t xml:space="preserve"> izskatīja informatīvo ziņojumu par vienotās attīstības finanšu institūcijas izveidi un atbalstīja, ka </w:t>
            </w:r>
            <w:r w:rsidR="00617BC7" w:rsidRPr="00045B81">
              <w:rPr>
                <w:sz w:val="26"/>
                <w:szCs w:val="26"/>
              </w:rPr>
              <w:t>vienotā attīstības finanšu institūcija tiek veidota kā holdinga sabiedrība, apvienojot valsts akciju sabiedrību „Latvijas Hipotēku un zemes banka”</w:t>
            </w:r>
            <w:r w:rsidR="00FE6828" w:rsidRPr="00045B81">
              <w:rPr>
                <w:sz w:val="26"/>
                <w:szCs w:val="26"/>
              </w:rPr>
              <w:t xml:space="preserve"> (</w:t>
            </w:r>
            <w:r w:rsidR="00104E29">
              <w:rPr>
                <w:sz w:val="26"/>
                <w:szCs w:val="26"/>
              </w:rPr>
              <w:t>kopš 2014.gada 1.janvāra valsts akciju sabiedrība „Attīstības finanšu institūcija „</w:t>
            </w:r>
            <w:proofErr w:type="spellStart"/>
            <w:r w:rsidR="00104E29">
              <w:rPr>
                <w:sz w:val="26"/>
                <w:szCs w:val="26"/>
              </w:rPr>
              <w:t>Altum</w:t>
            </w:r>
            <w:proofErr w:type="spellEnd"/>
            <w:r w:rsidR="00104E29">
              <w:rPr>
                <w:sz w:val="26"/>
                <w:szCs w:val="26"/>
              </w:rPr>
              <w:t>””</w:t>
            </w:r>
            <w:r w:rsidR="00617BC7" w:rsidRPr="00045B81">
              <w:rPr>
                <w:sz w:val="26"/>
                <w:szCs w:val="26"/>
              </w:rPr>
              <w:t>)</w:t>
            </w:r>
            <w:r w:rsidR="00A473F1">
              <w:rPr>
                <w:sz w:val="26"/>
                <w:szCs w:val="26"/>
              </w:rPr>
              <w:t xml:space="preserve"> (turpmāk- </w:t>
            </w:r>
            <w:proofErr w:type="spellStart"/>
            <w:r w:rsidR="00A473F1">
              <w:rPr>
                <w:sz w:val="26"/>
                <w:szCs w:val="26"/>
              </w:rPr>
              <w:t>Altum</w:t>
            </w:r>
            <w:proofErr w:type="spellEnd"/>
            <w:r w:rsidR="00A473F1">
              <w:rPr>
                <w:sz w:val="26"/>
                <w:szCs w:val="26"/>
              </w:rPr>
              <w:t>)</w:t>
            </w:r>
            <w:r w:rsidR="00617BC7" w:rsidRPr="00045B81">
              <w:rPr>
                <w:sz w:val="26"/>
                <w:szCs w:val="26"/>
              </w:rPr>
              <w:t>, sabiedrību ar ierobežotu atbildību  „Latvijas Garantiju aģentūra”</w:t>
            </w:r>
            <w:r w:rsidR="00A473F1">
              <w:rPr>
                <w:sz w:val="26"/>
                <w:szCs w:val="26"/>
              </w:rPr>
              <w:t xml:space="preserve"> (turpmāk- LGA)</w:t>
            </w:r>
            <w:r w:rsidR="00617BC7" w:rsidRPr="00045B81">
              <w:rPr>
                <w:sz w:val="26"/>
                <w:szCs w:val="26"/>
              </w:rPr>
              <w:t>, valsts akciju sabiedrību „Lauku attīstības fonds”</w:t>
            </w:r>
            <w:r w:rsidR="00A473F1">
              <w:rPr>
                <w:sz w:val="26"/>
                <w:szCs w:val="26"/>
              </w:rPr>
              <w:t xml:space="preserve"> (turpmāk- LAF)</w:t>
            </w:r>
            <w:r w:rsidR="00617BC7" w:rsidRPr="00045B81">
              <w:rPr>
                <w:sz w:val="26"/>
                <w:szCs w:val="26"/>
              </w:rPr>
              <w:t xml:space="preserve"> un dibinot jaunu holdinga sabiedrību. Lai nodrošinātu vienotās attīstības finanšu institūcijas </w:t>
            </w:r>
            <w:r w:rsidR="001875B5">
              <w:rPr>
                <w:sz w:val="26"/>
                <w:szCs w:val="26"/>
              </w:rPr>
              <w:t>darbību kā holdingam, akciju sabiedrībai „Attīstības finanšu institūcija”</w:t>
            </w:r>
            <w:r w:rsidR="00A473F1">
              <w:rPr>
                <w:sz w:val="26"/>
                <w:szCs w:val="26"/>
              </w:rPr>
              <w:t xml:space="preserve"> (turpmāk- AFI)</w:t>
            </w:r>
            <w:r w:rsidR="001875B5">
              <w:rPr>
                <w:sz w:val="26"/>
                <w:szCs w:val="26"/>
              </w:rPr>
              <w:t xml:space="preserve"> kā holdinga vadošajai sabiedrībai </w:t>
            </w:r>
            <w:r w:rsidR="00104E29">
              <w:rPr>
                <w:sz w:val="26"/>
                <w:szCs w:val="26"/>
              </w:rPr>
              <w:t>atbilstoši Ministru kabineta 2013.gada 17.decembra lēmumam (Ministru kabineta 2013.gada 17.decembra protokols Nr.</w:t>
            </w:r>
            <w:r w:rsidR="00B20FD0">
              <w:rPr>
                <w:sz w:val="26"/>
                <w:szCs w:val="26"/>
              </w:rPr>
              <w:t>67, 141.§</w:t>
            </w:r>
            <w:r w:rsidR="0035410B">
              <w:rPr>
                <w:sz w:val="26"/>
                <w:szCs w:val="26"/>
              </w:rPr>
              <w:t>.</w:t>
            </w:r>
            <w:r w:rsidR="00B20FD0">
              <w:rPr>
                <w:sz w:val="26"/>
                <w:szCs w:val="26"/>
              </w:rPr>
              <w:t>)</w:t>
            </w:r>
            <w:r w:rsidR="00104E29">
              <w:rPr>
                <w:sz w:val="26"/>
                <w:szCs w:val="26"/>
              </w:rPr>
              <w:t xml:space="preserve"> </w:t>
            </w:r>
            <w:r w:rsidR="001875B5">
              <w:rPr>
                <w:sz w:val="26"/>
                <w:szCs w:val="26"/>
              </w:rPr>
              <w:t>iegūstot izšķirošo ietekmi</w:t>
            </w:r>
            <w:r w:rsidR="00A473F1">
              <w:rPr>
                <w:sz w:val="26"/>
                <w:szCs w:val="26"/>
              </w:rPr>
              <w:t xml:space="preserve"> LAF</w:t>
            </w:r>
            <w:r w:rsidR="001875B5">
              <w:rPr>
                <w:sz w:val="26"/>
                <w:szCs w:val="26"/>
              </w:rPr>
              <w:t xml:space="preserve">, </w:t>
            </w:r>
            <w:proofErr w:type="spellStart"/>
            <w:r w:rsidR="001875B5">
              <w:rPr>
                <w:sz w:val="26"/>
                <w:szCs w:val="26"/>
              </w:rPr>
              <w:t>Altum</w:t>
            </w:r>
            <w:proofErr w:type="spellEnd"/>
            <w:r w:rsidR="001875B5">
              <w:rPr>
                <w:sz w:val="26"/>
                <w:szCs w:val="26"/>
              </w:rPr>
              <w:t xml:space="preserve"> un LG</w:t>
            </w:r>
            <w:r w:rsidR="00A473F1">
              <w:rPr>
                <w:sz w:val="26"/>
                <w:szCs w:val="26"/>
              </w:rPr>
              <w:t>A</w:t>
            </w:r>
            <w:r w:rsidR="00EA7A27">
              <w:rPr>
                <w:sz w:val="26"/>
                <w:szCs w:val="26"/>
              </w:rPr>
              <w:t>.</w:t>
            </w:r>
            <w:r w:rsidR="00104E29">
              <w:rPr>
                <w:sz w:val="26"/>
                <w:szCs w:val="26"/>
              </w:rPr>
              <w:t xml:space="preserve"> </w:t>
            </w:r>
            <w:r w:rsidR="001875B5">
              <w:rPr>
                <w:sz w:val="26"/>
                <w:szCs w:val="26"/>
              </w:rPr>
              <w:t xml:space="preserve"> </w:t>
            </w:r>
            <w:r w:rsidR="00EA7A27">
              <w:rPr>
                <w:sz w:val="26"/>
                <w:szCs w:val="26"/>
              </w:rPr>
              <w:t>Atbilstoši Ministru kabineta</w:t>
            </w:r>
            <w:r w:rsidR="00A473F1">
              <w:rPr>
                <w:sz w:val="26"/>
                <w:szCs w:val="26"/>
              </w:rPr>
              <w:t xml:space="preserve"> 2014.gada 29.jūlija lēmumam (Ministru kabineta 2014.gada 29.jūlija protokols Nr.41, 32.§.) ir uzsākta</w:t>
            </w:r>
            <w:r w:rsidR="00642E8D">
              <w:rPr>
                <w:sz w:val="26"/>
                <w:szCs w:val="26"/>
              </w:rPr>
              <w:t xml:space="preserve"> </w:t>
            </w:r>
            <w:proofErr w:type="spellStart"/>
            <w:r w:rsidR="00642E8D">
              <w:rPr>
                <w:sz w:val="26"/>
                <w:szCs w:val="26"/>
              </w:rPr>
              <w:t>Altum</w:t>
            </w:r>
            <w:proofErr w:type="spellEnd"/>
            <w:r w:rsidR="00642E8D">
              <w:rPr>
                <w:sz w:val="26"/>
                <w:szCs w:val="26"/>
              </w:rPr>
              <w:t xml:space="preserve">, LGA, LAF un AFI reorganizācija, </w:t>
            </w:r>
            <w:proofErr w:type="spellStart"/>
            <w:r w:rsidR="00642E8D">
              <w:rPr>
                <w:sz w:val="26"/>
                <w:szCs w:val="26"/>
              </w:rPr>
              <w:t>Altum</w:t>
            </w:r>
            <w:proofErr w:type="spellEnd"/>
            <w:r w:rsidR="00642E8D">
              <w:rPr>
                <w:sz w:val="26"/>
                <w:szCs w:val="26"/>
              </w:rPr>
              <w:t xml:space="preserve">, LGA, LAF pievienojot AFI. </w:t>
            </w:r>
          </w:p>
          <w:p w:rsidR="00642E8D" w:rsidRDefault="00642E8D" w:rsidP="00642E8D">
            <w:pPr>
              <w:spacing w:after="120"/>
              <w:jc w:val="both"/>
              <w:rPr>
                <w:sz w:val="26"/>
                <w:szCs w:val="26"/>
              </w:rPr>
            </w:pPr>
            <w:r>
              <w:rPr>
                <w:sz w:val="26"/>
                <w:szCs w:val="26"/>
              </w:rPr>
              <w:t>Tāpat Ministru kabinets Finanšu ministrijai ar Ministru kabineta 2014.gada 29.jūlija lēmum</w:t>
            </w:r>
            <w:r w:rsidR="005C6284">
              <w:rPr>
                <w:sz w:val="26"/>
                <w:szCs w:val="26"/>
              </w:rPr>
              <w:t>u</w:t>
            </w:r>
            <w:r>
              <w:rPr>
                <w:sz w:val="26"/>
                <w:szCs w:val="26"/>
              </w:rPr>
              <w:t xml:space="preserve"> (Ministru kabineta 2014.gada 29.jūlija protokols Nr.41, 32.§., 5.punkts) uzdeva izstrādāt speciālo regulējumu </w:t>
            </w:r>
            <w:r w:rsidR="00DE553A">
              <w:rPr>
                <w:sz w:val="26"/>
                <w:szCs w:val="26"/>
              </w:rPr>
              <w:t xml:space="preserve">AFI darbībai un </w:t>
            </w:r>
            <w:r w:rsidR="00DE553A" w:rsidRPr="00DE553A">
              <w:rPr>
                <w:sz w:val="26"/>
                <w:szCs w:val="26"/>
              </w:rPr>
              <w:t>līdz 2014.gada 1.oktobrim iesniegt izskatīšanai Ministru kabinetā AFI likumprojektu, kas paredz reorganizētās AFI darbību un dalītu kapitāla daļu turēšanu</w:t>
            </w:r>
            <w:r w:rsidR="00DE553A">
              <w:rPr>
                <w:sz w:val="26"/>
                <w:szCs w:val="26"/>
              </w:rPr>
              <w:t xml:space="preserve">, atbilstoši Ministru kabineta 2014.gada 29.jūlija protokola Nr.41, 32.§. 4.punktā noteiktajai kapitāla daļu turēšanas proporcijai. </w:t>
            </w:r>
          </w:p>
          <w:p w:rsidR="00DD4EA0" w:rsidRPr="00045B81" w:rsidRDefault="00DD4EA0" w:rsidP="0089427F">
            <w:pPr>
              <w:spacing w:after="120"/>
              <w:jc w:val="both"/>
              <w:rPr>
                <w:sz w:val="26"/>
                <w:szCs w:val="26"/>
              </w:rPr>
            </w:pPr>
            <w:r>
              <w:rPr>
                <w:sz w:val="26"/>
                <w:szCs w:val="26"/>
              </w:rPr>
              <w:t xml:space="preserve">Tādēļ, lai nodrošinātu  </w:t>
            </w:r>
            <w:r w:rsidR="00DE553A">
              <w:rPr>
                <w:sz w:val="26"/>
                <w:szCs w:val="26"/>
              </w:rPr>
              <w:t>AFI</w:t>
            </w:r>
            <w:r w:rsidRPr="00DD4EA0">
              <w:rPr>
                <w:sz w:val="26"/>
                <w:szCs w:val="26"/>
              </w:rPr>
              <w:t xml:space="preserve"> darbību </w:t>
            </w:r>
            <w:r w:rsidR="00DE553A">
              <w:rPr>
                <w:sz w:val="26"/>
                <w:szCs w:val="26"/>
              </w:rPr>
              <w:t xml:space="preserve">pēc kapitālsabiedrību </w:t>
            </w:r>
            <w:proofErr w:type="spellStart"/>
            <w:r w:rsidR="00DE553A">
              <w:rPr>
                <w:sz w:val="26"/>
                <w:szCs w:val="26"/>
              </w:rPr>
              <w:t>Altum</w:t>
            </w:r>
            <w:proofErr w:type="spellEnd"/>
            <w:r w:rsidR="00DE553A">
              <w:rPr>
                <w:sz w:val="26"/>
                <w:szCs w:val="26"/>
              </w:rPr>
              <w:t xml:space="preserve">, LGA, LAF un AFI  </w:t>
            </w:r>
            <w:r w:rsidRPr="00DD4EA0">
              <w:rPr>
                <w:sz w:val="26"/>
                <w:szCs w:val="26"/>
              </w:rPr>
              <w:t xml:space="preserve"> </w:t>
            </w:r>
            <w:r w:rsidR="00DE553A">
              <w:rPr>
                <w:sz w:val="26"/>
                <w:szCs w:val="26"/>
              </w:rPr>
              <w:lastRenderedPageBreak/>
              <w:t>reorganizācijas pabeigšanas, ir izstrādāts likumprojekts “Attīstības finanšu institūcijas likums”</w:t>
            </w:r>
            <w:r w:rsidR="0015279E">
              <w:rPr>
                <w:sz w:val="26"/>
                <w:szCs w:val="26"/>
              </w:rPr>
              <w:t xml:space="preserve">. </w:t>
            </w:r>
          </w:p>
        </w:tc>
      </w:tr>
      <w:tr w:rsidR="00262E2B" w:rsidRPr="00045B81" w:rsidTr="00BB273D">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DC7EC8">
              <w:rPr>
                <w:sz w:val="26"/>
                <w:szCs w:val="26"/>
              </w:rPr>
              <w:t>, kuru risināšanai tiesību akta projekts izstrādāts, tiesiskā regulējuma mērķis un būtība</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80" w:type="dxa"/>
          </w:tcPr>
          <w:p w:rsidR="0089427F" w:rsidRDefault="0089427F" w:rsidP="00997609">
            <w:pPr>
              <w:spacing w:before="120" w:after="120"/>
              <w:jc w:val="both"/>
              <w:rPr>
                <w:sz w:val="26"/>
                <w:szCs w:val="26"/>
              </w:rPr>
            </w:pPr>
            <w:r>
              <w:rPr>
                <w:sz w:val="26"/>
                <w:szCs w:val="26"/>
              </w:rPr>
              <w:t xml:space="preserve">Atbilstoši Ministru kabineta dotajam uzdevumam Finanšu ministrija ir izstrādājusi likumprojektu “Attīstības finanšu institūcijas likums” (turpmāk- likumprojekts). Likumprojekts paredz jauna normatīvā regulējuma izveidi valsts akciju sabiedrības “Attīstības finanšu institūcija” darbības </w:t>
            </w:r>
            <w:r w:rsidR="0013496B">
              <w:rPr>
                <w:sz w:val="26"/>
                <w:szCs w:val="26"/>
              </w:rPr>
              <w:t xml:space="preserve">nodrošināšanai pēc valsts kapitālsabiedrību AFI, </w:t>
            </w:r>
            <w:proofErr w:type="spellStart"/>
            <w:r w:rsidR="0013496B">
              <w:rPr>
                <w:sz w:val="26"/>
                <w:szCs w:val="26"/>
              </w:rPr>
              <w:t>Altum</w:t>
            </w:r>
            <w:proofErr w:type="spellEnd"/>
            <w:r w:rsidR="0013496B">
              <w:rPr>
                <w:sz w:val="26"/>
                <w:szCs w:val="26"/>
              </w:rPr>
              <w:t>, LGA un LAF reorganizācijas</w:t>
            </w:r>
            <w:r>
              <w:rPr>
                <w:sz w:val="26"/>
                <w:szCs w:val="26"/>
              </w:rPr>
              <w:t xml:space="preserve">. </w:t>
            </w:r>
          </w:p>
          <w:p w:rsidR="00E6183E" w:rsidRDefault="00997609" w:rsidP="00997609">
            <w:pPr>
              <w:spacing w:before="120" w:after="120"/>
              <w:jc w:val="both"/>
              <w:rPr>
                <w:sz w:val="26"/>
                <w:szCs w:val="26"/>
              </w:rPr>
            </w:pPr>
            <w:r>
              <w:rPr>
                <w:sz w:val="26"/>
                <w:szCs w:val="26"/>
              </w:rPr>
              <w:t xml:space="preserve">Pašreizējā situācijā </w:t>
            </w:r>
            <w:r w:rsidR="007F7BB1">
              <w:rPr>
                <w:sz w:val="26"/>
                <w:szCs w:val="26"/>
              </w:rPr>
              <w:t xml:space="preserve">atsevišķu valsts kapitālsabiedrību- AFI, </w:t>
            </w:r>
            <w:proofErr w:type="spellStart"/>
            <w:r w:rsidR="007F7BB1">
              <w:rPr>
                <w:sz w:val="26"/>
                <w:szCs w:val="26"/>
              </w:rPr>
              <w:t>Altum</w:t>
            </w:r>
            <w:proofErr w:type="spellEnd"/>
            <w:r w:rsidR="007F7BB1">
              <w:rPr>
                <w:sz w:val="26"/>
                <w:szCs w:val="26"/>
              </w:rPr>
              <w:t xml:space="preserve"> un LAF darbību noteica </w:t>
            </w:r>
            <w:r w:rsidR="00B20FD0">
              <w:rPr>
                <w:sz w:val="26"/>
                <w:szCs w:val="26"/>
              </w:rPr>
              <w:t xml:space="preserve">valsts </w:t>
            </w:r>
            <w:r>
              <w:rPr>
                <w:sz w:val="26"/>
                <w:szCs w:val="26"/>
              </w:rPr>
              <w:t xml:space="preserve">kapitālsabiedrību </w:t>
            </w:r>
            <w:r w:rsidR="00C6341E">
              <w:rPr>
                <w:sz w:val="26"/>
                <w:szCs w:val="26"/>
              </w:rPr>
              <w:t xml:space="preserve"> likuma „Par valsts un pašvaldību kapitāla daļām un kapitālsabiedrībām” regulējums E sadaļas “Valsts un pašvaldības akciju sabiedrība” IV nodaļ</w:t>
            </w:r>
            <w:r w:rsidR="007F7BB1">
              <w:rPr>
                <w:sz w:val="26"/>
                <w:szCs w:val="26"/>
              </w:rPr>
              <w:t>ā</w:t>
            </w:r>
            <w:r w:rsidR="00C6341E">
              <w:rPr>
                <w:sz w:val="26"/>
                <w:szCs w:val="26"/>
              </w:rPr>
              <w:t xml:space="preserve"> “To valsts un pašvaldību akciju sabiedrību organizatoriskā struktūra, kuras darbojas kā kredītiestāde, ieguldījumu pārvaldes sabiedrība vai finanšu iestāde</w:t>
            </w:r>
            <w:r w:rsidR="007F7BB1">
              <w:rPr>
                <w:sz w:val="26"/>
                <w:szCs w:val="26"/>
              </w:rPr>
              <w:t xml:space="preserve"> Kredītiestāžu likuma izpratnē”, jo normatīvais regulējums </w:t>
            </w:r>
            <w:r w:rsidR="00C6341E">
              <w:rPr>
                <w:sz w:val="26"/>
                <w:szCs w:val="26"/>
              </w:rPr>
              <w:t xml:space="preserve">attiecas uz ierobežotu loku valsts akciju sabiedrību, kuras darbojas kā kredītiestādes, ieguldījumu pārvaldes sabiedrības vai finanšu iestādes Kredītiestāžu likuma izpratnē. </w:t>
            </w:r>
            <w:r w:rsidR="007F7BB1">
              <w:rPr>
                <w:sz w:val="26"/>
                <w:szCs w:val="26"/>
              </w:rPr>
              <w:t xml:space="preserve">Lai paredzētu speciālu normatīvo regulējumu, kas ir atšķirīgs no </w:t>
            </w:r>
            <w:r w:rsidR="00E6183E">
              <w:rPr>
                <w:sz w:val="26"/>
                <w:szCs w:val="26"/>
              </w:rPr>
              <w:t xml:space="preserve">                likuma "Par valsts un pašvaldību kapitāla daļām un kapitālsabiedrībām” regulējuma, </w:t>
            </w:r>
            <w:r w:rsidR="00E02284">
              <w:rPr>
                <w:sz w:val="26"/>
                <w:szCs w:val="26"/>
              </w:rPr>
              <w:t xml:space="preserve">kā arī Komerclikuma regulējuma, </w:t>
            </w:r>
            <w:r w:rsidR="00E6183E">
              <w:rPr>
                <w:sz w:val="26"/>
                <w:szCs w:val="26"/>
              </w:rPr>
              <w:t xml:space="preserve">ir izstrādāts likumprojekts. </w:t>
            </w:r>
          </w:p>
          <w:p w:rsidR="00E6183E" w:rsidRDefault="00E6183E" w:rsidP="00997609">
            <w:pPr>
              <w:spacing w:before="120" w:after="120"/>
              <w:jc w:val="both"/>
              <w:rPr>
                <w:sz w:val="26"/>
                <w:szCs w:val="26"/>
              </w:rPr>
            </w:pPr>
            <w:r>
              <w:rPr>
                <w:sz w:val="26"/>
                <w:szCs w:val="26"/>
              </w:rPr>
              <w:t>Likumprojekts paredz tiesisko situāciju, sākot ar br</w:t>
            </w:r>
            <w:r w:rsidR="009A4E43">
              <w:rPr>
                <w:sz w:val="26"/>
                <w:szCs w:val="26"/>
              </w:rPr>
              <w:t xml:space="preserve">īdi, kad </w:t>
            </w:r>
            <w:proofErr w:type="spellStart"/>
            <w:r w:rsidR="009A4E43">
              <w:rPr>
                <w:sz w:val="26"/>
                <w:szCs w:val="26"/>
              </w:rPr>
              <w:t>Altum</w:t>
            </w:r>
            <w:proofErr w:type="spellEnd"/>
            <w:r w:rsidR="009A4E43">
              <w:rPr>
                <w:sz w:val="26"/>
                <w:szCs w:val="26"/>
              </w:rPr>
              <w:t xml:space="preserve">, LGA, LAF un AFI būs pilnībā integrēts un uzsāks darbību kā viena  institūcija. Apvienotas AFI efektīvas darbības nodrošināšanai, īstenojot valsts atbalsta un attīstības programmas, kuras pilnībā vai daļēji tiek īstenotas finanšu instrumentu veidā, ir nepieciešams atbilstošs normatīvais regulējums. </w:t>
            </w:r>
          </w:p>
          <w:p w:rsidR="008E744B" w:rsidRDefault="00FE619C" w:rsidP="00FE619C">
            <w:pPr>
              <w:spacing w:before="120" w:after="120"/>
              <w:jc w:val="both"/>
              <w:rPr>
                <w:sz w:val="26"/>
                <w:szCs w:val="26"/>
              </w:rPr>
            </w:pPr>
            <w:r>
              <w:rPr>
                <w:sz w:val="26"/>
                <w:szCs w:val="26"/>
              </w:rPr>
              <w:t xml:space="preserve">Esošā normatīvā regulējuma izmaiņas nodrošinās </w:t>
            </w:r>
            <w:r w:rsidR="005C6284">
              <w:rPr>
                <w:sz w:val="26"/>
                <w:szCs w:val="26"/>
              </w:rPr>
              <w:t>Ministru kabineta 2014.gada 29.jūlija l</w:t>
            </w:r>
            <w:r>
              <w:rPr>
                <w:sz w:val="26"/>
                <w:szCs w:val="26"/>
              </w:rPr>
              <w:t>ēmumu izpildi atbilstoši</w:t>
            </w:r>
            <w:r w:rsidR="005C6284">
              <w:rPr>
                <w:sz w:val="26"/>
                <w:szCs w:val="26"/>
              </w:rPr>
              <w:t xml:space="preserve"> Ministru </w:t>
            </w:r>
            <w:r w:rsidR="005C6284">
              <w:rPr>
                <w:sz w:val="26"/>
                <w:szCs w:val="26"/>
              </w:rPr>
              <w:lastRenderedPageBreak/>
              <w:t>kabineta 2014.gada 29.jūlija protokol</w:t>
            </w:r>
            <w:r>
              <w:rPr>
                <w:sz w:val="26"/>
                <w:szCs w:val="26"/>
              </w:rPr>
              <w:t>a</w:t>
            </w:r>
            <w:r w:rsidR="005C6284">
              <w:rPr>
                <w:sz w:val="26"/>
                <w:szCs w:val="26"/>
              </w:rPr>
              <w:t xml:space="preserve"> Nr.41, 32.§.</w:t>
            </w:r>
            <w:r>
              <w:rPr>
                <w:sz w:val="26"/>
                <w:szCs w:val="26"/>
              </w:rPr>
              <w:t xml:space="preserve"> 4. un 5.punktā noteiktajam.</w:t>
            </w:r>
            <w:r w:rsidR="008E744B">
              <w:rPr>
                <w:sz w:val="26"/>
                <w:szCs w:val="26"/>
              </w:rPr>
              <w:t xml:space="preserve"> </w:t>
            </w:r>
          </w:p>
          <w:p w:rsidR="00CA2439" w:rsidRDefault="00E02284" w:rsidP="009A725B">
            <w:pPr>
              <w:spacing w:before="120" w:after="120"/>
              <w:jc w:val="both"/>
              <w:rPr>
                <w:sz w:val="26"/>
                <w:szCs w:val="26"/>
              </w:rPr>
            </w:pPr>
            <w:r>
              <w:rPr>
                <w:sz w:val="26"/>
                <w:szCs w:val="26"/>
              </w:rPr>
              <w:t>Likumprojektā paredzēts regulējums, nosakot Attīstības finanšu institūcijas darbības mērķi, īstenojot valsts atbalsta un attīstības programmas, kuras pilnībā vai daļēji tiek finansētas finanšu instrumentu veidā</w:t>
            </w:r>
            <w:r w:rsidR="0017728E">
              <w:rPr>
                <w:sz w:val="26"/>
                <w:szCs w:val="26"/>
              </w:rPr>
              <w:t xml:space="preserve">, Attīstības finanšu institūcijas finanšu pārvaldības jautājumus, kā arī kārtību, kādā Attīstības finanšu institūcija kā  valsts kapitālsabiedrība, kas veic deleģētus  valsts pārvaldes uzdevumus, īsteno </w:t>
            </w:r>
            <w:r w:rsidR="00E30964">
              <w:rPr>
                <w:sz w:val="26"/>
                <w:szCs w:val="26"/>
              </w:rPr>
              <w:t xml:space="preserve">ar kapitālsabiedrības pārvaldību saistītos jautājumus. </w:t>
            </w:r>
            <w:r>
              <w:rPr>
                <w:sz w:val="26"/>
                <w:szCs w:val="26"/>
              </w:rPr>
              <w:t xml:space="preserve">Likumprojekts paredz, ka valsts atbalsta un attīstības programmas, kuras </w:t>
            </w:r>
            <w:r w:rsidR="00E30964">
              <w:rPr>
                <w:sz w:val="26"/>
                <w:szCs w:val="26"/>
              </w:rPr>
              <w:t xml:space="preserve">pilnībā vai daļēji </w:t>
            </w:r>
            <w:r>
              <w:rPr>
                <w:sz w:val="26"/>
                <w:szCs w:val="26"/>
              </w:rPr>
              <w:t>tiek īstenotas finanšu instrumentu veidā</w:t>
            </w:r>
            <w:r w:rsidR="00E30964">
              <w:rPr>
                <w:sz w:val="26"/>
                <w:szCs w:val="26"/>
              </w:rPr>
              <w:t xml:space="preserve"> (turpmāk- programmas), ievieš Attīstības finanšu institūcija. </w:t>
            </w:r>
            <w:r w:rsidR="00466961">
              <w:rPr>
                <w:sz w:val="26"/>
                <w:szCs w:val="26"/>
              </w:rPr>
              <w:t xml:space="preserve">Attīstības finanšu institūcija, ieviešot programmas, veic valsts pārvaldes uzdevumu Valsts pārvaldes iekārtas likuma izpratnē. Valsts pārvaldes uzdevumu veikšana Attīstības finanšu institūcijai tiek uzdota ar Ministru kabineta noteikumiem vai likumu. </w:t>
            </w:r>
            <w:r w:rsidR="00E30964">
              <w:rPr>
                <w:sz w:val="26"/>
                <w:szCs w:val="26"/>
              </w:rPr>
              <w:t>Attīstības finanšu institūcija</w:t>
            </w:r>
            <w:r w:rsidR="00466961">
              <w:rPr>
                <w:sz w:val="26"/>
                <w:szCs w:val="26"/>
              </w:rPr>
              <w:t xml:space="preserve"> īsteno Eiropas Savienības fondu un citas ārvalstu finanšu palīdzības programmas, </w:t>
            </w:r>
            <w:r w:rsidR="009A725B">
              <w:rPr>
                <w:sz w:val="26"/>
                <w:szCs w:val="26"/>
              </w:rPr>
              <w:t xml:space="preserve">valsts finansētas programmas, kā arī var piedalīties </w:t>
            </w:r>
            <w:r w:rsidR="009A725B" w:rsidRPr="009A725B">
              <w:rPr>
                <w:sz w:val="26"/>
                <w:szCs w:val="26"/>
              </w:rPr>
              <w:t>Eiropas Savienības institūciju realizētajās un citas ārvalstu finanšu palīdzības finansētajās programmās</w:t>
            </w:r>
            <w:r w:rsidR="009A725B">
              <w:rPr>
                <w:sz w:val="26"/>
                <w:szCs w:val="26"/>
              </w:rPr>
              <w:t>.</w:t>
            </w:r>
            <w:r w:rsidR="00BB273D">
              <w:rPr>
                <w:sz w:val="26"/>
                <w:szCs w:val="26"/>
              </w:rPr>
              <w:t xml:space="preserve"> Īstenojot programmas, Attīstības finanšu institūcija ievēro specifiskos atbalsta sniegšanas nosacījumus, kas paredzēti Eiropas Savienības struktūrfondu un Kohēzijas fonda īstenošanu reglamentējošos normatīvajos aktos, Lauksaimniecības un lauku attīstības likumā, </w:t>
            </w:r>
            <w:r w:rsidR="00CA2439">
              <w:rPr>
                <w:sz w:val="26"/>
                <w:szCs w:val="26"/>
              </w:rPr>
              <w:t xml:space="preserve">kā arī citos normatīvajos aktos noteiktos programmu īstenošanas un citu deleģēto valsts pārvaldes uzdevumu īstenošanas kārtību. Īstenojot programmas, Attīstības finanšu institūcija ievēro Komercdarbības atbalsta kontroles likumā noteiktos ierobežojumus valsts atbalsta sniegšanai. </w:t>
            </w:r>
          </w:p>
          <w:p w:rsidR="00CA2439" w:rsidRDefault="00CA2439" w:rsidP="00E65E3B">
            <w:pPr>
              <w:spacing w:before="120" w:after="120"/>
              <w:jc w:val="both"/>
              <w:rPr>
                <w:sz w:val="26"/>
                <w:szCs w:val="26"/>
              </w:rPr>
            </w:pPr>
            <w:r>
              <w:rPr>
                <w:sz w:val="26"/>
                <w:szCs w:val="26"/>
              </w:rPr>
              <w:t xml:space="preserve">Attīstības finanšu institūcijas pārvalde tiek organizēta atbilstoši likuma </w:t>
            </w:r>
            <w:r w:rsidRPr="005C6284">
              <w:rPr>
                <w:sz w:val="26"/>
                <w:szCs w:val="26"/>
              </w:rPr>
              <w:t>"</w:t>
            </w:r>
            <w:r>
              <w:rPr>
                <w:sz w:val="26"/>
                <w:szCs w:val="26"/>
              </w:rPr>
              <w:t>P</w:t>
            </w:r>
            <w:r w:rsidRPr="005C6284">
              <w:rPr>
                <w:sz w:val="26"/>
                <w:szCs w:val="26"/>
              </w:rPr>
              <w:t xml:space="preserve">ar valsts un pašvaldību kapitāla daļām un </w:t>
            </w:r>
            <w:r w:rsidRPr="005C6284">
              <w:rPr>
                <w:sz w:val="26"/>
                <w:szCs w:val="26"/>
              </w:rPr>
              <w:lastRenderedPageBreak/>
              <w:t>kapitālsabiedrībām"</w:t>
            </w:r>
            <w:r>
              <w:rPr>
                <w:sz w:val="26"/>
                <w:szCs w:val="26"/>
              </w:rPr>
              <w:t xml:space="preserve"> spēkā esošajam normatīvajam regulējumam, kā arī saskaņā ar Komerclikumu. Likumprojekts “Attīstības finanšu institūcijas likums” paredz speciālās tiesību normas Attīstības finanšu institūcijas pārvaldē</w:t>
            </w:r>
            <w:r w:rsidR="00E65E3B">
              <w:rPr>
                <w:sz w:val="26"/>
                <w:szCs w:val="26"/>
              </w:rPr>
              <w:t xml:space="preserve">, kuras nav ietvertas  likumā </w:t>
            </w:r>
            <w:r w:rsidR="00E65E3B" w:rsidRPr="005C6284">
              <w:rPr>
                <w:sz w:val="26"/>
                <w:szCs w:val="26"/>
              </w:rPr>
              <w:t>"</w:t>
            </w:r>
            <w:r w:rsidR="00E65E3B">
              <w:rPr>
                <w:sz w:val="26"/>
                <w:szCs w:val="26"/>
              </w:rPr>
              <w:t>P</w:t>
            </w:r>
            <w:r w:rsidR="00E65E3B" w:rsidRPr="005C6284">
              <w:rPr>
                <w:sz w:val="26"/>
                <w:szCs w:val="26"/>
              </w:rPr>
              <w:t>ar valsts un pašvaldību kapitāla daļām un kapitālsabiedrībām"</w:t>
            </w:r>
            <w:r w:rsidR="00E65E3B">
              <w:rPr>
                <w:sz w:val="26"/>
                <w:szCs w:val="26"/>
              </w:rPr>
              <w:t xml:space="preserve"> </w:t>
            </w:r>
            <w:r>
              <w:rPr>
                <w:sz w:val="26"/>
                <w:szCs w:val="26"/>
              </w:rPr>
              <w:t xml:space="preserve"> </w:t>
            </w:r>
            <w:r w:rsidR="00E65E3B">
              <w:rPr>
                <w:sz w:val="26"/>
                <w:szCs w:val="26"/>
              </w:rPr>
              <w:t xml:space="preserve">un Komerclikumā. Likumprojektā paredzēta kārtība dalītai kapitāldaļu turēšanai Attīstības finanšu institūcijā, kuras 100% akciju īpašnieks ir valsts, paredzot, ka 30% valsts akciju turētājs ir Ekonomikas ministrija, 30% valsts akciju turētājs ir Zemkopības ministrija un 40% valsts akciju turētājs ir Finanšu ministrija. </w:t>
            </w:r>
          </w:p>
          <w:p w:rsidR="00E65E3B" w:rsidRDefault="00E65E3B" w:rsidP="00E65E3B">
            <w:pPr>
              <w:spacing w:before="120" w:after="120"/>
              <w:jc w:val="both"/>
              <w:rPr>
                <w:sz w:val="26"/>
                <w:szCs w:val="26"/>
              </w:rPr>
            </w:pPr>
            <w:r>
              <w:rPr>
                <w:sz w:val="26"/>
                <w:szCs w:val="26"/>
              </w:rPr>
              <w:t xml:space="preserve">Likumprojekts paredz noteikt Attīstības finanšu institūcijas padomes locekļu skaitu un atalgojuma noteikšanas kārtību, akcionāru sapulces, padomes kompetencē esošus jautājumus, ciktāl tas nav atrunāts likumā </w:t>
            </w:r>
            <w:r w:rsidRPr="005C6284">
              <w:rPr>
                <w:sz w:val="26"/>
                <w:szCs w:val="26"/>
              </w:rPr>
              <w:t>"</w:t>
            </w:r>
            <w:r>
              <w:rPr>
                <w:sz w:val="26"/>
                <w:szCs w:val="26"/>
              </w:rPr>
              <w:t>P</w:t>
            </w:r>
            <w:r w:rsidRPr="005C6284">
              <w:rPr>
                <w:sz w:val="26"/>
                <w:szCs w:val="26"/>
              </w:rPr>
              <w:t>ar valsts un pašvaldību kapitāla daļām un kapitālsabiedrībām"</w:t>
            </w:r>
            <w:r>
              <w:rPr>
                <w:sz w:val="26"/>
                <w:szCs w:val="26"/>
              </w:rPr>
              <w:t xml:space="preserve"> vai Komerclikumā. </w:t>
            </w:r>
          </w:p>
          <w:p w:rsidR="00E65E3B" w:rsidRDefault="00E65E3B" w:rsidP="00E65E3B">
            <w:pPr>
              <w:spacing w:before="120" w:after="120"/>
              <w:jc w:val="both"/>
              <w:rPr>
                <w:sz w:val="26"/>
                <w:szCs w:val="26"/>
              </w:rPr>
            </w:pPr>
            <w:r>
              <w:rPr>
                <w:sz w:val="26"/>
                <w:szCs w:val="26"/>
              </w:rPr>
              <w:t xml:space="preserve">Likumprojekts paredz speciālu regulējumu valdes un padomes locekļu atlases prasību noteikšanai, kas ir analogas regulētā finanšu tirgus dalībniekiem, jo Attīstības finanšu institūcija veic finanšu iestādes funkcijas. </w:t>
            </w:r>
          </w:p>
          <w:p w:rsidR="00E65E3B" w:rsidRDefault="00E65E3B" w:rsidP="00E65E3B">
            <w:pPr>
              <w:spacing w:before="120" w:after="120"/>
              <w:jc w:val="both"/>
              <w:rPr>
                <w:sz w:val="26"/>
                <w:szCs w:val="26"/>
              </w:rPr>
            </w:pPr>
            <w:r>
              <w:rPr>
                <w:sz w:val="26"/>
                <w:szCs w:val="26"/>
              </w:rPr>
              <w:t xml:space="preserve"> Likumprojekts paredz kārtību atalgojuma noteikšanai Attīstības finanšu institūcijas padomes locekļiem, kas tiek noteikts atbilstoši  finanšu institūcijas atalgojuma noteikšanas kritērijiem kapitālsabiedrībām, un kuras nosaka Ministru kabinets. </w:t>
            </w:r>
          </w:p>
          <w:p w:rsidR="00162C05" w:rsidRDefault="00162C05" w:rsidP="00162C05">
            <w:pPr>
              <w:spacing w:before="120" w:after="120"/>
              <w:jc w:val="both"/>
              <w:rPr>
                <w:sz w:val="26"/>
                <w:szCs w:val="26"/>
              </w:rPr>
            </w:pPr>
            <w:r>
              <w:rPr>
                <w:sz w:val="26"/>
                <w:szCs w:val="26"/>
              </w:rPr>
              <w:t xml:space="preserve">Likumprojekts paredz kārtību Attīstības finanšu institūcijas rezerves kapitāla veidošanai, lai nodrošinātu Attīstības finanšu institūcijas finanšu stabilitāti un ilgtspējīgu darbību programmu īstenošanā. </w:t>
            </w:r>
          </w:p>
          <w:p w:rsidR="00E65F41" w:rsidRPr="00045B81" w:rsidRDefault="00E65F41" w:rsidP="00BF73DE">
            <w:pPr>
              <w:spacing w:before="120" w:after="120"/>
              <w:jc w:val="both"/>
              <w:rPr>
                <w:sz w:val="26"/>
                <w:szCs w:val="26"/>
              </w:rPr>
            </w:pPr>
            <w:r>
              <w:rPr>
                <w:sz w:val="26"/>
                <w:szCs w:val="26"/>
              </w:rPr>
              <w:t xml:space="preserve">Likumprojekta 4.panta trešās daļas regulējums paredz, Finanšu institūcijas akcijas aizliegts ieķīlāt, vai kā citādi apgrūtināt. Aizliegums Finanšu institūcijas akcijām piemērot apgrūtinājumus attiecas uz gadījumiem, kad tiek slēgti civiltiesiski darījumi, kas attiecas uz Finanšu institūcijas akcijām, un gadījumos, kad   </w:t>
            </w:r>
            <w:r>
              <w:rPr>
                <w:sz w:val="26"/>
                <w:szCs w:val="26"/>
              </w:rPr>
              <w:lastRenderedPageBreak/>
              <w:t xml:space="preserve">akcijas tiek apgrūtinātas ar saistību un lietu tiesībām. </w:t>
            </w:r>
            <w:r w:rsidR="00BF73DE">
              <w:rPr>
                <w:sz w:val="26"/>
                <w:szCs w:val="26"/>
              </w:rPr>
              <w:t xml:space="preserve">      </w:t>
            </w:r>
          </w:p>
        </w:tc>
      </w:tr>
      <w:tr w:rsidR="00262E2B" w:rsidRPr="00045B81" w:rsidTr="00BB273D">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3.</w:t>
            </w:r>
          </w:p>
        </w:tc>
        <w:tc>
          <w:tcPr>
            <w:tcW w:w="4315" w:type="dxa"/>
          </w:tcPr>
          <w:p w:rsidR="00262E2B" w:rsidRPr="00045B81" w:rsidRDefault="00DC7EC8" w:rsidP="006C4607">
            <w:pPr>
              <w:pStyle w:val="naiskr"/>
              <w:spacing w:before="0" w:after="0"/>
              <w:rPr>
                <w:sz w:val="26"/>
                <w:szCs w:val="26"/>
              </w:rPr>
            </w:pPr>
            <w:r>
              <w:rPr>
                <w:sz w:val="26"/>
                <w:szCs w:val="26"/>
              </w:rPr>
              <w:t>Projekta izstrādē iesaistītās institūcijas</w:t>
            </w:r>
          </w:p>
        </w:tc>
        <w:tc>
          <w:tcPr>
            <w:tcW w:w="4880" w:type="dxa"/>
          </w:tcPr>
          <w:p w:rsidR="00D20FF4" w:rsidRPr="00045B81" w:rsidRDefault="00997609" w:rsidP="006C4607">
            <w:pPr>
              <w:pStyle w:val="FootnoteText"/>
              <w:rPr>
                <w:sz w:val="26"/>
                <w:szCs w:val="26"/>
              </w:rPr>
            </w:pPr>
            <w:r>
              <w:rPr>
                <w:sz w:val="26"/>
                <w:szCs w:val="26"/>
              </w:rPr>
              <w:t xml:space="preserve">Nav. </w:t>
            </w:r>
          </w:p>
        </w:tc>
      </w:tr>
      <w:tr w:rsidR="00262E2B" w:rsidRPr="00045B81" w:rsidTr="00BB273D">
        <w:tc>
          <w:tcPr>
            <w:tcW w:w="550" w:type="dxa"/>
          </w:tcPr>
          <w:p w:rsidR="00262E2B" w:rsidRPr="00045B81" w:rsidRDefault="00997609" w:rsidP="006C4607">
            <w:pPr>
              <w:pStyle w:val="naiskr"/>
              <w:spacing w:before="0" w:after="0"/>
              <w:rPr>
                <w:sz w:val="26"/>
                <w:szCs w:val="26"/>
              </w:rPr>
            </w:pPr>
            <w:r>
              <w:rPr>
                <w:sz w:val="26"/>
                <w:szCs w:val="26"/>
              </w:rPr>
              <w:t>4</w:t>
            </w:r>
            <w:r w:rsidR="00262E2B" w:rsidRPr="00045B81">
              <w:rPr>
                <w:sz w:val="26"/>
                <w:szCs w:val="26"/>
              </w:rPr>
              <w:t>.</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80" w:type="dxa"/>
          </w:tcPr>
          <w:p w:rsidR="00262E2B" w:rsidRPr="00045B81" w:rsidRDefault="001B71CD" w:rsidP="006C4607">
            <w:pPr>
              <w:pStyle w:val="naiskr"/>
              <w:spacing w:before="0" w:after="0"/>
              <w:rPr>
                <w:sz w:val="26"/>
                <w:szCs w:val="26"/>
              </w:rPr>
            </w:pPr>
            <w:r w:rsidRPr="00045B81">
              <w:rPr>
                <w:sz w:val="26"/>
                <w:szCs w:val="26"/>
              </w:rPr>
              <w:t>Nav.</w:t>
            </w:r>
          </w:p>
        </w:tc>
      </w:tr>
    </w:tbl>
    <w:p w:rsidR="00FB42BB" w:rsidRDefault="00FB42BB" w:rsidP="00A27EDB">
      <w:pPr>
        <w:pStyle w:val="naisf"/>
        <w:spacing w:before="0" w:after="0"/>
        <w:ind w:firstLine="0"/>
        <w:rPr>
          <w:sz w:val="26"/>
          <w:szCs w:val="26"/>
        </w:rPr>
      </w:pPr>
    </w:p>
    <w:p w:rsidR="00FB42BB" w:rsidRPr="00045B81" w:rsidRDefault="00FB42BB"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r w:rsidR="00610833">
              <w:rPr>
                <w:sz w:val="26"/>
                <w:szCs w:val="26"/>
              </w:rPr>
              <w:t>, tautsaimniecības attīstību un administratīvo slogu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r w:rsidR="00610833">
              <w:rPr>
                <w:sz w:val="26"/>
                <w:szCs w:val="26"/>
              </w:rPr>
              <w:t>s</w:t>
            </w:r>
            <w:proofErr w:type="spellEnd"/>
            <w:r w:rsidR="00610833">
              <w:rPr>
                <w:sz w:val="26"/>
                <w:szCs w:val="26"/>
              </w:rPr>
              <w:t>, kuras tiesiskais regulējums ietekmē vai varētu ietekmēt</w:t>
            </w:r>
          </w:p>
        </w:tc>
        <w:tc>
          <w:tcPr>
            <w:tcW w:w="4500" w:type="dxa"/>
          </w:tcPr>
          <w:p w:rsidR="00A75E7F" w:rsidRPr="00045B81" w:rsidRDefault="004E3970" w:rsidP="0015279E">
            <w:pPr>
              <w:pStyle w:val="naiskr"/>
              <w:spacing w:before="120" w:after="120"/>
              <w:jc w:val="both"/>
              <w:rPr>
                <w:iCs/>
                <w:sz w:val="26"/>
                <w:szCs w:val="26"/>
              </w:rPr>
            </w:pPr>
            <w:r>
              <w:rPr>
                <w:iCs/>
                <w:sz w:val="26"/>
                <w:szCs w:val="26"/>
              </w:rPr>
              <w:t>Kapitālsabiedrības, kurās valstij pieder 100% akciju</w:t>
            </w:r>
            <w:r w:rsidR="009A4E43">
              <w:rPr>
                <w:iCs/>
                <w:sz w:val="26"/>
                <w:szCs w:val="26"/>
              </w:rPr>
              <w:t xml:space="preserve"> vai kapitāla daļu</w:t>
            </w:r>
            <w:r w:rsidR="0015279E">
              <w:rPr>
                <w:iCs/>
                <w:sz w:val="26"/>
                <w:szCs w:val="26"/>
              </w:rPr>
              <w:t xml:space="preserve">- </w:t>
            </w:r>
            <w:r>
              <w:rPr>
                <w:iCs/>
                <w:sz w:val="26"/>
                <w:szCs w:val="26"/>
              </w:rPr>
              <w:t xml:space="preserve"> </w:t>
            </w:r>
            <w:r w:rsidR="0015279E">
              <w:rPr>
                <w:iCs/>
                <w:sz w:val="26"/>
                <w:szCs w:val="26"/>
              </w:rPr>
              <w:t xml:space="preserve">AFI, </w:t>
            </w:r>
            <w:proofErr w:type="spellStart"/>
            <w:r w:rsidR="0015279E">
              <w:rPr>
                <w:iCs/>
                <w:sz w:val="26"/>
                <w:szCs w:val="26"/>
              </w:rPr>
              <w:t>Altum</w:t>
            </w:r>
            <w:proofErr w:type="spellEnd"/>
            <w:r w:rsidR="0015279E">
              <w:rPr>
                <w:iCs/>
                <w:sz w:val="26"/>
                <w:szCs w:val="26"/>
              </w:rPr>
              <w:t xml:space="preserve"> </w:t>
            </w:r>
            <w:r w:rsidR="009A4E43">
              <w:rPr>
                <w:iCs/>
                <w:sz w:val="26"/>
                <w:szCs w:val="26"/>
              </w:rPr>
              <w:t xml:space="preserve">LGA </w:t>
            </w:r>
            <w:r w:rsidR="0015279E">
              <w:rPr>
                <w:iCs/>
                <w:sz w:val="26"/>
                <w:szCs w:val="26"/>
              </w:rPr>
              <w:t>un LAF, kas pēc reorganizācijas uzsāks darbu kā valsts akciju sabiedrība AFI.</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t>2.</w:t>
            </w:r>
          </w:p>
        </w:tc>
        <w:tc>
          <w:tcPr>
            <w:tcW w:w="4855" w:type="dxa"/>
          </w:tcPr>
          <w:p w:rsidR="00C1133D" w:rsidRPr="00045B81" w:rsidRDefault="007C414F" w:rsidP="006C4607">
            <w:pPr>
              <w:pStyle w:val="naiskr"/>
              <w:spacing w:before="0" w:after="0"/>
              <w:rPr>
                <w:sz w:val="26"/>
                <w:szCs w:val="26"/>
              </w:rPr>
            </w:pPr>
            <w:r>
              <w:rPr>
                <w:sz w:val="26"/>
                <w:szCs w:val="26"/>
              </w:rPr>
              <w:t>Tiesiskā regulējuma ietekme uz tautsaimniecību un administratīvo slogu</w:t>
            </w:r>
          </w:p>
        </w:tc>
        <w:tc>
          <w:tcPr>
            <w:tcW w:w="4500" w:type="dxa"/>
          </w:tcPr>
          <w:p w:rsidR="007C78FD" w:rsidRDefault="007C414F" w:rsidP="00102DD8">
            <w:pPr>
              <w:pStyle w:val="naiskr"/>
              <w:spacing w:before="0" w:after="0"/>
              <w:jc w:val="both"/>
              <w:rPr>
                <w:sz w:val="26"/>
                <w:szCs w:val="26"/>
              </w:rPr>
            </w:pPr>
            <w:r>
              <w:rPr>
                <w:sz w:val="26"/>
                <w:szCs w:val="26"/>
              </w:rPr>
              <w:t xml:space="preserve">Grozījumi esošajā normatīvajā regulējumā nodrošinās pozitīvu ietekmi uz </w:t>
            </w:r>
            <w:r w:rsidR="00102DD8">
              <w:rPr>
                <w:sz w:val="26"/>
                <w:szCs w:val="26"/>
              </w:rPr>
              <w:t>t</w:t>
            </w:r>
            <w:r>
              <w:rPr>
                <w:sz w:val="26"/>
                <w:szCs w:val="26"/>
              </w:rPr>
              <w:t xml:space="preserve">autsaimniecību un </w:t>
            </w:r>
            <w:r w:rsidR="00102DD8">
              <w:rPr>
                <w:sz w:val="26"/>
                <w:szCs w:val="26"/>
              </w:rPr>
              <w:t xml:space="preserve">mazinās administratīvo slogu, jo ir paredzēts optimizēt to esošo atbalsta sniegšanas institūciju struktūru, kuras īsteno valsts atbalsta un attīstības programmas finanšu instrumentu veidā. </w:t>
            </w:r>
          </w:p>
          <w:p w:rsidR="007C78FD" w:rsidRPr="00045B81" w:rsidRDefault="00855420" w:rsidP="0015279E">
            <w:pPr>
              <w:pStyle w:val="naiskr"/>
              <w:spacing w:before="0" w:after="0"/>
              <w:jc w:val="both"/>
              <w:rPr>
                <w:sz w:val="26"/>
                <w:szCs w:val="26"/>
              </w:rPr>
            </w:pPr>
            <w:r>
              <w:rPr>
                <w:sz w:val="26"/>
                <w:szCs w:val="26"/>
              </w:rPr>
              <w:t>V</w:t>
            </w:r>
            <w:r w:rsidR="007C78FD">
              <w:rPr>
                <w:sz w:val="26"/>
                <w:szCs w:val="26"/>
              </w:rPr>
              <w:t>alsts kapitālsabiedrīb</w:t>
            </w:r>
            <w:r w:rsidR="0015279E">
              <w:rPr>
                <w:sz w:val="26"/>
                <w:szCs w:val="26"/>
              </w:rPr>
              <w:t xml:space="preserve">u </w:t>
            </w:r>
            <w:r w:rsidR="007C78FD">
              <w:rPr>
                <w:sz w:val="26"/>
                <w:szCs w:val="26"/>
              </w:rPr>
              <w:t xml:space="preserve"> </w:t>
            </w:r>
            <w:r w:rsidR="0015279E">
              <w:rPr>
                <w:sz w:val="26"/>
                <w:szCs w:val="26"/>
              </w:rPr>
              <w:t xml:space="preserve">reorganizācija </w:t>
            </w:r>
            <w:r w:rsidR="007C78FD">
              <w:rPr>
                <w:sz w:val="26"/>
                <w:szCs w:val="26"/>
              </w:rPr>
              <w:t xml:space="preserve">neietekmēs kopējo valsts saistību apmēru.  </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t>3.</w:t>
            </w:r>
          </w:p>
        </w:tc>
        <w:tc>
          <w:tcPr>
            <w:tcW w:w="4855" w:type="dxa"/>
          </w:tcPr>
          <w:p w:rsidR="00C1133D" w:rsidRPr="00045B81" w:rsidRDefault="00102DD8" w:rsidP="006C4607">
            <w:pPr>
              <w:pStyle w:val="naiskr"/>
              <w:spacing w:before="0" w:after="0"/>
              <w:rPr>
                <w:sz w:val="26"/>
                <w:szCs w:val="26"/>
              </w:rPr>
            </w:pPr>
            <w:r>
              <w:rPr>
                <w:sz w:val="26"/>
                <w:szCs w:val="26"/>
              </w:rPr>
              <w:t>Administratīvo izmaksu monetārs novērtējums</w:t>
            </w:r>
          </w:p>
        </w:tc>
        <w:tc>
          <w:tcPr>
            <w:tcW w:w="4500" w:type="dxa"/>
          </w:tcPr>
          <w:p w:rsidR="0062298A" w:rsidRPr="00045B81" w:rsidRDefault="009A4E43" w:rsidP="009A4E43">
            <w:pPr>
              <w:pStyle w:val="naiskr"/>
              <w:spacing w:before="120" w:after="120"/>
              <w:jc w:val="both"/>
              <w:rPr>
                <w:sz w:val="26"/>
                <w:szCs w:val="26"/>
              </w:rPr>
            </w:pPr>
            <w:r>
              <w:rPr>
                <w:sz w:val="26"/>
                <w:szCs w:val="26"/>
              </w:rPr>
              <w:t xml:space="preserve">Jauna </w:t>
            </w:r>
            <w:r w:rsidR="00102DD8" w:rsidRPr="00102DD8">
              <w:rPr>
                <w:sz w:val="26"/>
                <w:szCs w:val="26"/>
              </w:rPr>
              <w:t>normatīvā regulējum</w:t>
            </w:r>
            <w:r>
              <w:rPr>
                <w:sz w:val="26"/>
                <w:szCs w:val="26"/>
              </w:rPr>
              <w:t xml:space="preserve">a izstrāde </w:t>
            </w:r>
            <w:r w:rsidR="00102DD8">
              <w:rPr>
                <w:sz w:val="26"/>
                <w:szCs w:val="26"/>
              </w:rPr>
              <w:t>neparedz papildu administratīvās izmaksas un neradīs papildu slogu valsts budžetam</w:t>
            </w:r>
            <w:r w:rsidR="0015279E">
              <w:rPr>
                <w:sz w:val="26"/>
                <w:szCs w:val="26"/>
              </w:rPr>
              <w:t xml:space="preserve">, jo izstrādātais jaunais normatīvais regulējums- likumprojekts “Attīstības finanšu institūcijas likums” aizstās </w:t>
            </w:r>
            <w:r w:rsidR="005C6284">
              <w:rPr>
                <w:sz w:val="26"/>
                <w:szCs w:val="26"/>
              </w:rPr>
              <w:t>likum</w:t>
            </w:r>
            <w:r>
              <w:rPr>
                <w:sz w:val="26"/>
                <w:szCs w:val="26"/>
              </w:rPr>
              <w:t>a</w:t>
            </w:r>
            <w:r w:rsidR="005C6284">
              <w:rPr>
                <w:sz w:val="26"/>
                <w:szCs w:val="26"/>
              </w:rPr>
              <w:t xml:space="preserve"> </w:t>
            </w:r>
            <w:r w:rsidR="005C6284" w:rsidRPr="005C6284">
              <w:rPr>
                <w:sz w:val="26"/>
                <w:szCs w:val="26"/>
              </w:rPr>
              <w:t>"</w:t>
            </w:r>
            <w:r>
              <w:rPr>
                <w:sz w:val="26"/>
                <w:szCs w:val="26"/>
              </w:rPr>
              <w:t>P</w:t>
            </w:r>
            <w:r w:rsidR="005C6284" w:rsidRPr="005C6284">
              <w:rPr>
                <w:sz w:val="26"/>
                <w:szCs w:val="26"/>
              </w:rPr>
              <w:t>ar valsts un pašvaldību kapitāla daļām un kapitālsabiedrībām"</w:t>
            </w:r>
            <w:r>
              <w:rPr>
                <w:sz w:val="26"/>
                <w:szCs w:val="26"/>
              </w:rPr>
              <w:t xml:space="preserve">  E sadaļas “Valsts un pašvaldības akciju sabiedrība” IV nodaļā “To valsts un pašvaldību akciju sabiedrību organizatoriskā struktūra, kuras darbojas kā kredītiestāde, ieguldījumu pārvaldes sabiedrība vai finanšu iestāde Kredītiestāžu likuma izpratnē” regulējumu.</w:t>
            </w:r>
          </w:p>
        </w:tc>
      </w:tr>
      <w:tr w:rsidR="0062298A" w:rsidRPr="00045B81">
        <w:tc>
          <w:tcPr>
            <w:tcW w:w="550" w:type="dxa"/>
          </w:tcPr>
          <w:p w:rsidR="0062298A" w:rsidRPr="00045B81" w:rsidRDefault="00102DD8" w:rsidP="006C4607">
            <w:pPr>
              <w:pStyle w:val="naiskr"/>
              <w:spacing w:before="0" w:after="0"/>
              <w:rPr>
                <w:sz w:val="26"/>
                <w:szCs w:val="26"/>
              </w:rPr>
            </w:pPr>
            <w:r>
              <w:rPr>
                <w:sz w:val="26"/>
                <w:szCs w:val="26"/>
              </w:rPr>
              <w:t>4</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r w:rsidR="00102DD8">
              <w:rPr>
                <w:sz w:val="26"/>
                <w:szCs w:val="26"/>
              </w:rPr>
              <w:t>.</w:t>
            </w:r>
          </w:p>
        </w:tc>
      </w:tr>
    </w:tbl>
    <w:p w:rsidR="00F52382" w:rsidRDefault="00F52382" w:rsidP="005C5EDC">
      <w:pPr>
        <w:pStyle w:val="naisf"/>
        <w:spacing w:before="0" w:after="0"/>
        <w:ind w:firstLine="0"/>
        <w:rPr>
          <w:sz w:val="26"/>
          <w:szCs w:val="26"/>
        </w:rPr>
      </w:pPr>
    </w:p>
    <w:p w:rsidR="005C4010" w:rsidRPr="00045B81" w:rsidRDefault="005C4010" w:rsidP="005C5EDC">
      <w:pPr>
        <w:pStyle w:val="naisf"/>
        <w:spacing w:before="0" w:after="0"/>
        <w:ind w:firstLine="0"/>
        <w:rPr>
          <w:sz w:val="26"/>
          <w:szCs w:val="26"/>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Default="00A718FC" w:rsidP="006C4607">
      <w:pPr>
        <w:pStyle w:val="naiskr"/>
        <w:tabs>
          <w:tab w:val="left" w:pos="2628"/>
        </w:tabs>
        <w:spacing w:before="0" w:after="0"/>
        <w:rPr>
          <w:i/>
          <w:sz w:val="26"/>
          <w:szCs w:val="26"/>
        </w:rPr>
      </w:pPr>
    </w:p>
    <w:p w:rsidR="005C4010" w:rsidRDefault="005C4010" w:rsidP="006C4607">
      <w:pPr>
        <w:pStyle w:val="naiskr"/>
        <w:tabs>
          <w:tab w:val="left" w:pos="2628"/>
        </w:tabs>
        <w:spacing w:before="0" w:after="0"/>
        <w:rPr>
          <w:i/>
          <w:sz w:val="26"/>
          <w:szCs w:val="2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102DD8" w:rsidRDefault="00B4661D" w:rsidP="00B55A81">
            <w:pPr>
              <w:pStyle w:val="naiskr"/>
              <w:tabs>
                <w:tab w:val="left" w:pos="427"/>
                <w:tab w:val="left" w:pos="2628"/>
              </w:tabs>
              <w:spacing w:before="0" w:after="0"/>
              <w:ind w:left="1"/>
              <w:jc w:val="both"/>
              <w:rPr>
                <w:sz w:val="26"/>
                <w:szCs w:val="26"/>
              </w:rPr>
            </w:pPr>
            <w:r w:rsidRPr="00045B81">
              <w:rPr>
                <w:sz w:val="26"/>
                <w:szCs w:val="26"/>
              </w:rPr>
              <w:t xml:space="preserve">Lai nodrošinātu </w:t>
            </w:r>
            <w:r w:rsidR="00102DD8">
              <w:rPr>
                <w:sz w:val="26"/>
                <w:szCs w:val="26"/>
              </w:rPr>
              <w:t xml:space="preserve">grozījumu esošajā normatīvajā regulējumā </w:t>
            </w:r>
            <w:r w:rsidR="005C6284">
              <w:rPr>
                <w:sz w:val="26"/>
                <w:szCs w:val="26"/>
              </w:rPr>
              <w:t>stāšanos spēkā</w:t>
            </w:r>
            <w:r w:rsidR="00102DD8">
              <w:rPr>
                <w:sz w:val="26"/>
                <w:szCs w:val="26"/>
              </w:rPr>
              <w:t xml:space="preserve">, </w:t>
            </w:r>
            <w:r w:rsidR="00C832A6">
              <w:rPr>
                <w:sz w:val="26"/>
                <w:szCs w:val="26"/>
              </w:rPr>
              <w:t xml:space="preserve">papildus </w:t>
            </w:r>
            <w:r w:rsidR="009A4E43">
              <w:rPr>
                <w:sz w:val="26"/>
                <w:szCs w:val="26"/>
              </w:rPr>
              <w:t xml:space="preserve">likumprojektam </w:t>
            </w:r>
            <w:r w:rsidR="00B55A81">
              <w:rPr>
                <w:sz w:val="26"/>
                <w:szCs w:val="26"/>
              </w:rPr>
              <w:t xml:space="preserve">nepieciešams nodrošināt likumprojekta </w:t>
            </w:r>
            <w:r w:rsidR="00C832A6" w:rsidRPr="00C832A6">
              <w:rPr>
                <w:sz w:val="26"/>
                <w:szCs w:val="26"/>
              </w:rPr>
              <w:t>"Grozījum</w:t>
            </w:r>
            <w:r w:rsidR="005C6284">
              <w:rPr>
                <w:sz w:val="26"/>
                <w:szCs w:val="26"/>
              </w:rPr>
              <w:t>s</w:t>
            </w:r>
            <w:r w:rsidR="00C832A6" w:rsidRPr="00C832A6">
              <w:rPr>
                <w:sz w:val="26"/>
                <w:szCs w:val="26"/>
              </w:rPr>
              <w:t xml:space="preserve"> likumā par valsts un pašvaldību kapitālsabiedrībām"</w:t>
            </w:r>
            <w:r w:rsidR="00C832A6">
              <w:rPr>
                <w:sz w:val="26"/>
                <w:szCs w:val="26"/>
              </w:rPr>
              <w:t xml:space="preserve">  </w:t>
            </w:r>
            <w:r w:rsidR="005C6284">
              <w:rPr>
                <w:sz w:val="26"/>
                <w:szCs w:val="26"/>
              </w:rPr>
              <w:t xml:space="preserve">vienlaicīgu spēkā stāšanos. </w:t>
            </w:r>
          </w:p>
          <w:p w:rsidR="00162C05" w:rsidRDefault="00162C05" w:rsidP="00B55A81">
            <w:pPr>
              <w:pStyle w:val="naiskr"/>
              <w:tabs>
                <w:tab w:val="left" w:pos="427"/>
                <w:tab w:val="left" w:pos="2628"/>
              </w:tabs>
              <w:spacing w:before="0" w:after="0"/>
              <w:ind w:left="1"/>
              <w:jc w:val="both"/>
              <w:rPr>
                <w:sz w:val="26"/>
                <w:szCs w:val="26"/>
              </w:rPr>
            </w:pPr>
            <w:r>
              <w:rPr>
                <w:sz w:val="26"/>
                <w:szCs w:val="26"/>
              </w:rPr>
              <w:t>Likumprojekts “Attīstības finanšu institūcijas likums” paredz uz likumprojekta pamata izdotu Ministru kabineta noteikumu izdošanu:</w:t>
            </w:r>
          </w:p>
          <w:p w:rsidR="00E04075" w:rsidRDefault="00162C05" w:rsidP="001B7157">
            <w:pPr>
              <w:pStyle w:val="naiskr"/>
              <w:numPr>
                <w:ilvl w:val="0"/>
                <w:numId w:val="23"/>
              </w:numPr>
              <w:tabs>
                <w:tab w:val="left" w:pos="427"/>
                <w:tab w:val="left" w:pos="2628"/>
              </w:tabs>
              <w:spacing w:before="0" w:after="0"/>
              <w:jc w:val="both"/>
              <w:rPr>
                <w:sz w:val="26"/>
                <w:szCs w:val="26"/>
              </w:rPr>
            </w:pPr>
            <w:r>
              <w:rPr>
                <w:sz w:val="26"/>
                <w:szCs w:val="26"/>
              </w:rPr>
              <w:t xml:space="preserve">Likumprojekta </w:t>
            </w:r>
            <w:r w:rsidR="00E04075">
              <w:rPr>
                <w:sz w:val="26"/>
                <w:szCs w:val="26"/>
              </w:rPr>
              <w:t>1</w:t>
            </w:r>
            <w:r w:rsidR="00855420">
              <w:rPr>
                <w:sz w:val="26"/>
                <w:szCs w:val="26"/>
              </w:rPr>
              <w:t>2</w:t>
            </w:r>
            <w:r w:rsidR="00E04075">
              <w:rPr>
                <w:sz w:val="26"/>
                <w:szCs w:val="26"/>
              </w:rPr>
              <w:t xml:space="preserve">.panta </w:t>
            </w:r>
            <w:r w:rsidR="004A308B">
              <w:rPr>
                <w:sz w:val="26"/>
                <w:szCs w:val="26"/>
              </w:rPr>
              <w:t xml:space="preserve">ceturtā </w:t>
            </w:r>
            <w:r w:rsidR="00E04075">
              <w:rPr>
                <w:sz w:val="26"/>
                <w:szCs w:val="26"/>
              </w:rPr>
              <w:t>daļa paredz Ministru kabineta noteikumu izdošanu, kas nosaka programmu īstenošanas nosacījumus;</w:t>
            </w:r>
          </w:p>
          <w:p w:rsidR="00E04075" w:rsidRDefault="00E04075" w:rsidP="001B7157">
            <w:pPr>
              <w:pStyle w:val="naiskr"/>
              <w:numPr>
                <w:ilvl w:val="0"/>
                <w:numId w:val="23"/>
              </w:numPr>
              <w:tabs>
                <w:tab w:val="left" w:pos="427"/>
                <w:tab w:val="left" w:pos="2628"/>
              </w:tabs>
              <w:spacing w:before="0" w:after="0"/>
              <w:jc w:val="both"/>
              <w:rPr>
                <w:sz w:val="26"/>
                <w:szCs w:val="26"/>
              </w:rPr>
            </w:pPr>
            <w:r>
              <w:rPr>
                <w:sz w:val="26"/>
                <w:szCs w:val="26"/>
              </w:rPr>
              <w:t xml:space="preserve">Likumprojekta </w:t>
            </w:r>
            <w:r w:rsidR="001B7157">
              <w:rPr>
                <w:sz w:val="26"/>
                <w:szCs w:val="26"/>
              </w:rPr>
              <w:t>1</w:t>
            </w:r>
            <w:r w:rsidR="00855420">
              <w:rPr>
                <w:sz w:val="26"/>
                <w:szCs w:val="26"/>
              </w:rPr>
              <w:t>2</w:t>
            </w:r>
            <w:r w:rsidR="001B7157">
              <w:rPr>
                <w:sz w:val="26"/>
                <w:szCs w:val="26"/>
              </w:rPr>
              <w:t>.panta otrā daļa paredz Attīstības f</w:t>
            </w:r>
            <w:r w:rsidR="001B7157" w:rsidRPr="001B7157">
              <w:rPr>
                <w:sz w:val="26"/>
                <w:szCs w:val="26"/>
              </w:rPr>
              <w:t>inanšu institūcijas konsultatīvās  padomes izveidi (turpmāk- konsultatīvā padome), kurā ar padomdevēja tiesībām darbojas nevalstiskā sektora pārstāvji</w:t>
            </w:r>
            <w:r w:rsidR="001B7157">
              <w:rPr>
                <w:sz w:val="26"/>
                <w:szCs w:val="26"/>
              </w:rPr>
              <w:t xml:space="preserve">, nosakot </w:t>
            </w:r>
            <w:r w:rsidR="001B7157" w:rsidRPr="001B7157">
              <w:rPr>
                <w:sz w:val="26"/>
                <w:szCs w:val="26"/>
              </w:rPr>
              <w:t xml:space="preserve"> </w:t>
            </w:r>
            <w:r w:rsidR="001B7157">
              <w:rPr>
                <w:sz w:val="26"/>
                <w:szCs w:val="26"/>
              </w:rPr>
              <w:t>k</w:t>
            </w:r>
            <w:r w:rsidR="001B7157" w:rsidRPr="001B7157">
              <w:rPr>
                <w:sz w:val="26"/>
                <w:szCs w:val="26"/>
              </w:rPr>
              <w:t>onsultatīvās padomes darbības kārtību, veicamās darbības programmu izstrādes nodrošināšanai, ieviešanas uzraudzībai</w:t>
            </w:r>
            <w:r w:rsidR="001B7157">
              <w:rPr>
                <w:sz w:val="26"/>
                <w:szCs w:val="26"/>
              </w:rPr>
              <w:t>;</w:t>
            </w:r>
          </w:p>
          <w:p w:rsidR="001B7157" w:rsidRDefault="001B7157" w:rsidP="001B7157">
            <w:pPr>
              <w:pStyle w:val="naiskr"/>
              <w:numPr>
                <w:ilvl w:val="0"/>
                <w:numId w:val="23"/>
              </w:numPr>
              <w:tabs>
                <w:tab w:val="left" w:pos="427"/>
                <w:tab w:val="left" w:pos="2628"/>
              </w:tabs>
              <w:spacing w:before="0" w:after="0"/>
              <w:jc w:val="both"/>
              <w:rPr>
                <w:sz w:val="26"/>
                <w:szCs w:val="26"/>
              </w:rPr>
            </w:pPr>
            <w:r>
              <w:rPr>
                <w:sz w:val="26"/>
                <w:szCs w:val="26"/>
              </w:rPr>
              <w:t>Likumprojekta 1</w:t>
            </w:r>
            <w:r w:rsidR="00855420">
              <w:rPr>
                <w:sz w:val="26"/>
                <w:szCs w:val="26"/>
              </w:rPr>
              <w:t>9</w:t>
            </w:r>
            <w:r>
              <w:rPr>
                <w:sz w:val="26"/>
                <w:szCs w:val="26"/>
              </w:rPr>
              <w:t xml:space="preserve">.panta </w:t>
            </w:r>
            <w:r w:rsidR="004A308B">
              <w:rPr>
                <w:sz w:val="26"/>
                <w:szCs w:val="26"/>
              </w:rPr>
              <w:t xml:space="preserve">otrā </w:t>
            </w:r>
            <w:r>
              <w:rPr>
                <w:sz w:val="26"/>
                <w:szCs w:val="26"/>
              </w:rPr>
              <w:t xml:space="preserve">daļa paredz izdot Ministru kabineta noteikumus, kas paredz kārtību, kādā gadskārtējā likumā par valsts budžetu tiek iekļautas </w:t>
            </w:r>
            <w:r w:rsidRPr="001B7157">
              <w:rPr>
                <w:sz w:val="26"/>
                <w:szCs w:val="26"/>
              </w:rPr>
              <w:t>valsts saistīb</w:t>
            </w:r>
            <w:r>
              <w:rPr>
                <w:sz w:val="26"/>
                <w:szCs w:val="26"/>
              </w:rPr>
              <w:t>as par Attīstības finanšu institūcijas izsniegtajām garantijām, tiek noteikts</w:t>
            </w:r>
            <w:r w:rsidRPr="001B7157">
              <w:rPr>
                <w:sz w:val="26"/>
                <w:szCs w:val="26"/>
              </w:rPr>
              <w:t xml:space="preserve"> to apmērs un piešķiršanas kritēriji</w:t>
            </w:r>
            <w:r>
              <w:rPr>
                <w:sz w:val="26"/>
                <w:szCs w:val="26"/>
              </w:rPr>
              <w:t>.</w:t>
            </w:r>
          </w:p>
          <w:p w:rsidR="00162C05" w:rsidRDefault="00162C05" w:rsidP="00B55A81">
            <w:pPr>
              <w:pStyle w:val="naiskr"/>
              <w:tabs>
                <w:tab w:val="left" w:pos="427"/>
                <w:tab w:val="left" w:pos="2628"/>
              </w:tabs>
              <w:spacing w:before="0" w:after="0"/>
              <w:ind w:left="1"/>
              <w:jc w:val="both"/>
              <w:rPr>
                <w:sz w:val="26"/>
                <w:szCs w:val="26"/>
              </w:rPr>
            </w:pPr>
          </w:p>
          <w:p w:rsidR="001B7157" w:rsidRPr="00D15C07" w:rsidRDefault="001B7157" w:rsidP="00B55A81">
            <w:pPr>
              <w:pStyle w:val="naiskr"/>
              <w:tabs>
                <w:tab w:val="left" w:pos="427"/>
                <w:tab w:val="left" w:pos="2628"/>
              </w:tabs>
              <w:spacing w:before="0" w:after="0"/>
              <w:ind w:left="1"/>
              <w:jc w:val="both"/>
              <w:rPr>
                <w:sz w:val="26"/>
                <w:szCs w:val="26"/>
              </w:rPr>
            </w:pPr>
          </w:p>
        </w:tc>
      </w:tr>
      <w:tr w:rsidR="00C832A6" w:rsidRPr="00045B81" w:rsidTr="005C5EDC">
        <w:trPr>
          <w:jc w:val="center"/>
        </w:trPr>
        <w:tc>
          <w:tcPr>
            <w:tcW w:w="1188" w:type="dxa"/>
          </w:tcPr>
          <w:p w:rsidR="00C832A6" w:rsidRPr="00045B81" w:rsidRDefault="00C832A6" w:rsidP="000A325D">
            <w:pPr>
              <w:pStyle w:val="naiskr"/>
              <w:tabs>
                <w:tab w:val="left" w:pos="2628"/>
              </w:tabs>
              <w:spacing w:before="0" w:after="0"/>
              <w:jc w:val="both"/>
              <w:rPr>
                <w:iCs/>
                <w:sz w:val="26"/>
                <w:szCs w:val="26"/>
              </w:rPr>
            </w:pPr>
            <w:r>
              <w:rPr>
                <w:iCs/>
                <w:sz w:val="26"/>
                <w:szCs w:val="26"/>
              </w:rPr>
              <w:t>2.</w:t>
            </w:r>
          </w:p>
        </w:tc>
        <w:tc>
          <w:tcPr>
            <w:tcW w:w="3862" w:type="dxa"/>
          </w:tcPr>
          <w:p w:rsidR="00C832A6" w:rsidRPr="00045B81" w:rsidRDefault="00C832A6" w:rsidP="000A325D">
            <w:pPr>
              <w:pStyle w:val="naiskr"/>
              <w:tabs>
                <w:tab w:val="left" w:pos="2628"/>
              </w:tabs>
              <w:spacing w:before="0" w:after="0"/>
              <w:jc w:val="both"/>
              <w:rPr>
                <w:sz w:val="26"/>
                <w:szCs w:val="26"/>
              </w:rPr>
            </w:pPr>
            <w:r>
              <w:rPr>
                <w:sz w:val="26"/>
                <w:szCs w:val="26"/>
              </w:rPr>
              <w:t>Atbildīgā institūcija</w:t>
            </w:r>
          </w:p>
        </w:tc>
        <w:tc>
          <w:tcPr>
            <w:tcW w:w="5048" w:type="dxa"/>
          </w:tcPr>
          <w:p w:rsidR="00C832A6" w:rsidRPr="00D15C07" w:rsidRDefault="00C832A6" w:rsidP="005C5EDC">
            <w:pPr>
              <w:pStyle w:val="naiskr"/>
              <w:tabs>
                <w:tab w:val="left" w:pos="427"/>
                <w:tab w:val="left" w:pos="2628"/>
              </w:tabs>
              <w:spacing w:before="0" w:after="0"/>
              <w:ind w:left="1"/>
              <w:jc w:val="both"/>
              <w:rPr>
                <w:sz w:val="26"/>
                <w:szCs w:val="26"/>
              </w:rPr>
            </w:pPr>
            <w:r>
              <w:rPr>
                <w:sz w:val="26"/>
                <w:szCs w:val="26"/>
              </w:rPr>
              <w:t>Finanšu ministrija.</w:t>
            </w:r>
          </w:p>
        </w:tc>
      </w:tr>
      <w:tr w:rsidR="00924023" w:rsidRPr="00045B81" w:rsidTr="005C5EDC">
        <w:trPr>
          <w:jc w:val="center"/>
        </w:trPr>
        <w:tc>
          <w:tcPr>
            <w:tcW w:w="1188" w:type="dxa"/>
          </w:tcPr>
          <w:p w:rsidR="00924023" w:rsidRPr="00045B81" w:rsidRDefault="00C832A6" w:rsidP="000A325D">
            <w:pPr>
              <w:pStyle w:val="naiskr"/>
              <w:tabs>
                <w:tab w:val="left" w:pos="2628"/>
              </w:tabs>
              <w:spacing w:before="0" w:after="0"/>
              <w:jc w:val="both"/>
              <w:rPr>
                <w:iCs/>
                <w:sz w:val="26"/>
                <w:szCs w:val="26"/>
              </w:rPr>
            </w:pPr>
            <w:r>
              <w:rPr>
                <w:iCs/>
                <w:sz w:val="26"/>
                <w:szCs w:val="26"/>
              </w:rPr>
              <w:t>3</w:t>
            </w:r>
            <w:r w:rsidR="00924023" w:rsidRPr="00045B81">
              <w:rPr>
                <w:iCs/>
                <w:sz w:val="26"/>
                <w:szCs w:val="26"/>
              </w:rPr>
              <w:t>.</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D15C07" w:rsidRDefault="00C832A6" w:rsidP="005C5EDC">
            <w:pPr>
              <w:pStyle w:val="naiskr"/>
              <w:tabs>
                <w:tab w:val="left" w:pos="427"/>
                <w:tab w:val="left" w:pos="2628"/>
              </w:tabs>
              <w:spacing w:before="0" w:after="0"/>
              <w:ind w:left="1"/>
              <w:jc w:val="both"/>
              <w:rPr>
                <w:sz w:val="26"/>
                <w:szCs w:val="26"/>
              </w:rPr>
            </w:pPr>
            <w:r>
              <w:rPr>
                <w:sz w:val="26"/>
                <w:szCs w:val="26"/>
              </w:rPr>
              <w:t>Nav.</w:t>
            </w:r>
          </w:p>
        </w:tc>
      </w:tr>
    </w:tbl>
    <w:p w:rsidR="00917342" w:rsidRPr="00045B81" w:rsidRDefault="00917342">
      <w:pPr>
        <w:rPr>
          <w:sz w:val="26"/>
          <w:szCs w:val="26"/>
        </w:rPr>
      </w:pPr>
    </w:p>
    <w:tbl>
      <w:tblPr>
        <w:tblW w:w="5468"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54"/>
        <w:gridCol w:w="2051"/>
        <w:gridCol w:w="7007"/>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466961">
            <w:pPr>
              <w:jc w:val="center"/>
              <w:rPr>
                <w:b/>
                <w:sz w:val="26"/>
                <w:szCs w:val="26"/>
              </w:rPr>
            </w:pPr>
            <w:r w:rsidRPr="00045B81">
              <w:rPr>
                <w:b/>
                <w:sz w:val="26"/>
                <w:szCs w:val="26"/>
              </w:rPr>
              <w:t>V. Tiesību akta projekta atbilstība Latvijas Republikas starptautiskajām saistībām</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Saistības pret Eiropas Savienību</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Citas starptautiskās saistības</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466961">
            <w:pPr>
              <w:ind w:left="57"/>
              <w:jc w:val="both"/>
              <w:rPr>
                <w:sz w:val="26"/>
                <w:szCs w:val="26"/>
              </w:rPr>
            </w:pPr>
            <w:r>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466961">
            <w:pPr>
              <w:ind w:left="57"/>
              <w:rPr>
                <w:sz w:val="26"/>
                <w:szCs w:val="26"/>
              </w:rPr>
            </w:pPr>
            <w:r w:rsidRPr="00045B81">
              <w:rPr>
                <w:sz w:val="26"/>
                <w:szCs w:val="26"/>
              </w:rPr>
              <w:t>Cita informācija</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FE72CA">
            <w:pPr>
              <w:ind w:left="57"/>
              <w:jc w:val="both"/>
              <w:rPr>
                <w:sz w:val="26"/>
                <w:szCs w:val="26"/>
              </w:rPr>
            </w:pPr>
            <w:r>
              <w:rPr>
                <w:sz w:val="26"/>
                <w:szCs w:val="26"/>
              </w:rPr>
              <w:t>Nav.</w:t>
            </w:r>
          </w:p>
        </w:tc>
      </w:tr>
    </w:tbl>
    <w:p w:rsidR="00F52382" w:rsidRDefault="00F52382"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466961">
            <w:pPr>
              <w:ind w:left="57"/>
              <w:jc w:val="center"/>
              <w:rPr>
                <w:b/>
                <w:sz w:val="26"/>
                <w:szCs w:val="26"/>
              </w:rPr>
            </w:pPr>
            <w:r w:rsidRPr="00045B81">
              <w:rPr>
                <w:b/>
                <w:sz w:val="26"/>
                <w:szCs w:val="26"/>
              </w:rPr>
              <w:t>1.tabula</w:t>
            </w:r>
          </w:p>
          <w:p w:rsidR="00FE72CA" w:rsidRPr="00045B81" w:rsidRDefault="00FE72CA" w:rsidP="00466961">
            <w:pPr>
              <w:ind w:left="57"/>
              <w:jc w:val="center"/>
              <w:rPr>
                <w:sz w:val="26"/>
                <w:szCs w:val="26"/>
              </w:rPr>
            </w:pPr>
            <w:r w:rsidRPr="00045B81">
              <w:rPr>
                <w:b/>
                <w:sz w:val="26"/>
                <w:szCs w:val="26"/>
              </w:rPr>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466961">
            <w:pPr>
              <w:ind w:left="57"/>
              <w:jc w:val="center"/>
              <w:rPr>
                <w:b/>
                <w:sz w:val="26"/>
                <w:szCs w:val="26"/>
              </w:rPr>
            </w:pPr>
            <w:r w:rsidRPr="00045B81">
              <w:rPr>
                <w:b/>
                <w:sz w:val="26"/>
                <w:szCs w:val="26"/>
              </w:rPr>
              <w:t>2.tabula</w:t>
            </w:r>
          </w:p>
          <w:p w:rsidR="00FE72CA" w:rsidRPr="00045B81" w:rsidRDefault="00FE72CA" w:rsidP="0046696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46696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t>Projekts šo jomu neskar.</w:t>
            </w:r>
          </w:p>
        </w:tc>
      </w:tr>
    </w:tbl>
    <w:p w:rsidR="00F52382" w:rsidRPr="00045B81" w:rsidRDefault="00F52382">
      <w:pPr>
        <w:rPr>
          <w:sz w:val="26"/>
          <w:szCs w:val="26"/>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917342">
            <w:pPr>
              <w:pStyle w:val="naisnod"/>
              <w:spacing w:before="0" w:after="0"/>
              <w:ind w:left="57" w:right="57"/>
              <w:rPr>
                <w:sz w:val="26"/>
                <w:szCs w:val="26"/>
              </w:rPr>
            </w:pPr>
            <w:r w:rsidRPr="00045B81">
              <w:rPr>
                <w:sz w:val="26"/>
                <w:szCs w:val="26"/>
              </w:rPr>
              <w:t>VI</w:t>
            </w:r>
            <w:r w:rsidR="000941C5" w:rsidRPr="00045B81">
              <w:rPr>
                <w:sz w:val="26"/>
                <w:szCs w:val="26"/>
              </w:rPr>
              <w:t>.</w:t>
            </w:r>
            <w:r w:rsidRPr="00045B81">
              <w:rPr>
                <w:sz w:val="26"/>
                <w:szCs w:val="26"/>
              </w:rPr>
              <w:t xml:space="preserve"> Sabiedrības līdzdalība un </w:t>
            </w:r>
            <w:r w:rsidR="00917342">
              <w:rPr>
                <w:sz w:val="26"/>
                <w:szCs w:val="26"/>
              </w:rPr>
              <w:t>komunikācijas aktivitātes</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55"/>
        <w:gridCol w:w="5277"/>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395832">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555"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277" w:type="dxa"/>
          </w:tcPr>
          <w:p w:rsidR="00917342" w:rsidRPr="00045B81" w:rsidRDefault="00917342" w:rsidP="00B55A81">
            <w:pPr>
              <w:pStyle w:val="naiskr"/>
              <w:tabs>
                <w:tab w:val="left" w:pos="427"/>
                <w:tab w:val="left" w:pos="2628"/>
              </w:tabs>
              <w:spacing w:before="0" w:after="0"/>
              <w:ind w:left="70"/>
              <w:jc w:val="both"/>
              <w:rPr>
                <w:iCs/>
                <w:sz w:val="26"/>
                <w:szCs w:val="26"/>
              </w:rPr>
            </w:pPr>
            <w:r>
              <w:rPr>
                <w:iCs/>
                <w:sz w:val="26"/>
                <w:szCs w:val="26"/>
              </w:rPr>
              <w:t xml:space="preserve">Finanšu ministrija, Ekonomikas ministrija, Zemkopības ministrija, </w:t>
            </w:r>
            <w:r w:rsidR="005C6284">
              <w:rPr>
                <w:iCs/>
                <w:sz w:val="26"/>
                <w:szCs w:val="26"/>
              </w:rPr>
              <w:t xml:space="preserve">AFI, </w:t>
            </w:r>
            <w:proofErr w:type="spellStart"/>
            <w:r w:rsidR="005C6284">
              <w:rPr>
                <w:iCs/>
                <w:sz w:val="26"/>
                <w:szCs w:val="26"/>
              </w:rPr>
              <w:t>Altum</w:t>
            </w:r>
            <w:proofErr w:type="spellEnd"/>
            <w:r w:rsidR="005C6284">
              <w:rPr>
                <w:iCs/>
                <w:sz w:val="26"/>
                <w:szCs w:val="26"/>
              </w:rPr>
              <w:t>, LAF</w:t>
            </w:r>
            <w:r w:rsidR="00B55A81">
              <w:rPr>
                <w:iCs/>
                <w:sz w:val="26"/>
                <w:szCs w:val="26"/>
              </w:rPr>
              <w:t>, LGA.</w:t>
            </w:r>
          </w:p>
        </w:tc>
      </w:tr>
      <w:tr w:rsidR="0023436E" w:rsidRPr="00045B81" w:rsidTr="00395832">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555"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277"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395832">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555"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DB39FC">
            <w:pPr>
              <w:pStyle w:val="naisf"/>
              <w:spacing w:before="0" w:after="0"/>
              <w:ind w:left="57" w:right="57" w:firstLine="0"/>
              <w:jc w:val="left"/>
              <w:rPr>
                <w:sz w:val="26"/>
                <w:szCs w:val="26"/>
              </w:rPr>
            </w:pPr>
            <w:r w:rsidRPr="00045B81">
              <w:rPr>
                <w:sz w:val="26"/>
                <w:szCs w:val="26"/>
              </w:rPr>
              <w:t>Jaunu institūciju izveide</w:t>
            </w:r>
            <w:r w:rsidR="00DB39FC">
              <w:rPr>
                <w:sz w:val="26"/>
                <w:szCs w:val="26"/>
              </w:rPr>
              <w:t>, esošu institūciju likvidācija vai reorganizācija, to ietekme uz institūcijas cilvēkresursiem</w:t>
            </w:r>
          </w:p>
        </w:tc>
        <w:tc>
          <w:tcPr>
            <w:tcW w:w="5277" w:type="dxa"/>
          </w:tcPr>
          <w:p w:rsidR="00DB39FC" w:rsidRDefault="00B55A81" w:rsidP="00B55A81">
            <w:pPr>
              <w:pStyle w:val="naisnod"/>
              <w:spacing w:before="0" w:after="0"/>
              <w:ind w:left="57" w:right="57"/>
              <w:jc w:val="both"/>
              <w:rPr>
                <w:b w:val="0"/>
                <w:sz w:val="26"/>
                <w:szCs w:val="26"/>
              </w:rPr>
            </w:pPr>
            <w:r>
              <w:rPr>
                <w:b w:val="0"/>
                <w:sz w:val="26"/>
                <w:szCs w:val="26"/>
              </w:rPr>
              <w:t>Ar likumprojekta apstiprināšanu</w:t>
            </w:r>
            <w:r w:rsidR="00DB39FC">
              <w:rPr>
                <w:b w:val="0"/>
                <w:sz w:val="26"/>
                <w:szCs w:val="26"/>
              </w:rPr>
              <w:t>, tiks optimizēta esošā finanšu instrumentu valsts atbalsta un attīstības programmu ieviešanas institucionālā sistēma</w:t>
            </w:r>
            <w:r w:rsidR="005C6284">
              <w:rPr>
                <w:b w:val="0"/>
                <w:sz w:val="26"/>
                <w:szCs w:val="26"/>
              </w:rPr>
              <w:t xml:space="preserve">, reorganizējot esošās valsts kapitālsabiedrības, kuras </w:t>
            </w:r>
            <w:r>
              <w:rPr>
                <w:b w:val="0"/>
                <w:sz w:val="26"/>
                <w:szCs w:val="26"/>
              </w:rPr>
              <w:t xml:space="preserve">īsteno valsts atbalsta un attīstības programmas </w:t>
            </w:r>
            <w:r w:rsidR="005C6284">
              <w:rPr>
                <w:b w:val="0"/>
                <w:sz w:val="26"/>
                <w:szCs w:val="26"/>
              </w:rPr>
              <w:t xml:space="preserve">finanšu instrumentu veidā- </w:t>
            </w:r>
            <w:proofErr w:type="spellStart"/>
            <w:r w:rsidR="005C6284">
              <w:rPr>
                <w:b w:val="0"/>
                <w:sz w:val="26"/>
                <w:szCs w:val="26"/>
              </w:rPr>
              <w:t>Altum</w:t>
            </w:r>
            <w:proofErr w:type="spellEnd"/>
            <w:r w:rsidR="005C6284">
              <w:rPr>
                <w:b w:val="0"/>
                <w:sz w:val="26"/>
                <w:szCs w:val="26"/>
              </w:rPr>
              <w:t>, LAF un LGA pēc reorganizācijas pabeigšanas tiks pievienotas AFI.</w:t>
            </w:r>
          </w:p>
          <w:p w:rsidR="00F00D7C" w:rsidRDefault="00F00D7C" w:rsidP="00395832">
            <w:pPr>
              <w:pStyle w:val="naisnod"/>
              <w:spacing w:before="0" w:after="0"/>
              <w:ind w:right="57"/>
              <w:jc w:val="both"/>
              <w:rPr>
                <w:b w:val="0"/>
                <w:sz w:val="26"/>
                <w:szCs w:val="26"/>
              </w:rPr>
            </w:pPr>
            <w:r>
              <w:rPr>
                <w:b w:val="0"/>
                <w:sz w:val="26"/>
                <w:szCs w:val="26"/>
              </w:rPr>
              <w:t>Ieguvumi no institūciju apvienošanas:</w:t>
            </w:r>
          </w:p>
          <w:p w:rsidR="00F00D7C" w:rsidRPr="00395832" w:rsidRDefault="00395832" w:rsidP="00395832">
            <w:pPr>
              <w:pStyle w:val="ListParagraph"/>
              <w:numPr>
                <w:ilvl w:val="0"/>
                <w:numId w:val="22"/>
              </w:numPr>
              <w:jc w:val="both"/>
              <w:rPr>
                <w:rFonts w:ascii="Times New Roman" w:eastAsia="Times New Roman" w:hAnsi="Times New Roman"/>
                <w:bCs/>
                <w:sz w:val="26"/>
                <w:szCs w:val="26"/>
                <w:lang w:eastAsia="lv-LV"/>
              </w:rPr>
            </w:pPr>
            <w:r w:rsidRPr="00395832">
              <w:rPr>
                <w:rFonts w:ascii="Times New Roman" w:eastAsia="Times New Roman" w:hAnsi="Times New Roman"/>
                <w:bCs/>
                <w:sz w:val="26"/>
                <w:szCs w:val="26"/>
                <w:lang w:eastAsia="lv-LV"/>
              </w:rPr>
              <w:t>p</w:t>
            </w:r>
            <w:r w:rsidR="00F00D7C" w:rsidRPr="00395832">
              <w:rPr>
                <w:rFonts w:ascii="Times New Roman" w:eastAsia="Times New Roman" w:hAnsi="Times New Roman"/>
                <w:bCs/>
                <w:sz w:val="26"/>
                <w:szCs w:val="26"/>
                <w:lang w:eastAsia="lv-LV"/>
              </w:rPr>
              <w:t>rofesionālākas un finanšu institūciju labāka</w:t>
            </w:r>
            <w:r w:rsidRPr="00395832">
              <w:rPr>
                <w:rFonts w:ascii="Times New Roman" w:eastAsia="Times New Roman" w:hAnsi="Times New Roman"/>
                <w:bCs/>
                <w:sz w:val="26"/>
                <w:szCs w:val="26"/>
                <w:lang w:eastAsia="lv-LV"/>
              </w:rPr>
              <w:t>ja</w:t>
            </w:r>
            <w:r w:rsidR="00F00D7C" w:rsidRPr="00395832">
              <w:rPr>
                <w:rFonts w:ascii="Times New Roman" w:eastAsia="Times New Roman" w:hAnsi="Times New Roman"/>
                <w:bCs/>
                <w:sz w:val="26"/>
                <w:szCs w:val="26"/>
                <w:lang w:eastAsia="lv-LV"/>
              </w:rPr>
              <w:t>i starptautiskajai praksei atbilstošas finanšu uzskaites un finanšu atskaišu sagatavošana</w:t>
            </w:r>
            <w:r w:rsidRPr="00395832">
              <w:rPr>
                <w:rFonts w:ascii="Times New Roman" w:eastAsia="Times New Roman" w:hAnsi="Times New Roman"/>
                <w:bCs/>
                <w:sz w:val="26"/>
                <w:szCs w:val="26"/>
                <w:lang w:eastAsia="lv-LV"/>
              </w:rPr>
              <w:t>, finanšu  resursu pārvaldība;</w:t>
            </w:r>
          </w:p>
          <w:p w:rsidR="00395832" w:rsidRPr="00395832" w:rsidRDefault="00395832" w:rsidP="00466961">
            <w:pPr>
              <w:pStyle w:val="ListParagraph"/>
              <w:numPr>
                <w:ilvl w:val="0"/>
                <w:numId w:val="22"/>
              </w:numPr>
              <w:spacing w:after="0"/>
              <w:ind w:right="57"/>
              <w:jc w:val="both"/>
              <w:rPr>
                <w:sz w:val="26"/>
                <w:szCs w:val="26"/>
              </w:rPr>
            </w:pPr>
            <w:r w:rsidRPr="00395832">
              <w:rPr>
                <w:rFonts w:ascii="Times New Roman" w:eastAsia="Times New Roman" w:hAnsi="Times New Roman"/>
                <w:bCs/>
                <w:sz w:val="26"/>
                <w:szCs w:val="26"/>
                <w:lang w:eastAsia="lv-LV"/>
              </w:rPr>
              <w:t xml:space="preserve">finanšu resursu koncentrēšana, lai </w:t>
            </w:r>
            <w:r w:rsidRPr="00395832">
              <w:rPr>
                <w:rFonts w:ascii="Times New Roman" w:eastAsia="Times New Roman" w:hAnsi="Times New Roman"/>
                <w:sz w:val="26"/>
                <w:szCs w:val="26"/>
                <w:lang w:eastAsia="lv-LV"/>
              </w:rPr>
              <w:t xml:space="preserve">sekmētu </w:t>
            </w:r>
            <w:r w:rsidRPr="00395832">
              <w:rPr>
                <w:rFonts w:ascii="Times New Roman" w:eastAsia="Times New Roman" w:hAnsi="Times New Roman"/>
                <w:bCs/>
                <w:sz w:val="26"/>
                <w:szCs w:val="26"/>
                <w:lang w:eastAsia="lv-LV"/>
              </w:rPr>
              <w:t>mērķtiecīgāku valsts atbalsta un attīstības finanšu instrumentu ieviešanu, kā arī ātrāku reaģēšanu uz tirgus nepilnībām;</w:t>
            </w:r>
          </w:p>
          <w:p w:rsidR="00395832" w:rsidRPr="00395832" w:rsidRDefault="00395832" w:rsidP="00466961">
            <w:pPr>
              <w:pStyle w:val="ListParagraph"/>
              <w:numPr>
                <w:ilvl w:val="0"/>
                <w:numId w:val="22"/>
              </w:numPr>
              <w:spacing w:after="0"/>
              <w:ind w:right="57"/>
              <w:jc w:val="both"/>
              <w:rPr>
                <w:rFonts w:ascii="Times New Roman" w:eastAsia="Times New Roman" w:hAnsi="Times New Roman"/>
                <w:bCs/>
                <w:sz w:val="26"/>
                <w:szCs w:val="26"/>
                <w:lang w:eastAsia="lv-LV"/>
              </w:rPr>
            </w:pPr>
            <w:r w:rsidRPr="00395832">
              <w:rPr>
                <w:rFonts w:ascii="Times New Roman" w:eastAsia="Times New Roman" w:hAnsi="Times New Roman"/>
                <w:bCs/>
                <w:sz w:val="26"/>
                <w:szCs w:val="26"/>
                <w:lang w:eastAsia="lv-LV"/>
              </w:rPr>
              <w:t>tiek koncentrēta vienuviet valsts riska pārvaldība, kas saistīta ar finanšu instrumentu valsts atbalsta un attīstības programmu īstenošanu;</w:t>
            </w:r>
          </w:p>
          <w:p w:rsidR="00B55A81" w:rsidRPr="00395832" w:rsidRDefault="00395832" w:rsidP="00395832">
            <w:pPr>
              <w:pStyle w:val="ListParagraph"/>
              <w:numPr>
                <w:ilvl w:val="0"/>
                <w:numId w:val="22"/>
              </w:numPr>
              <w:spacing w:after="0"/>
              <w:ind w:right="57"/>
              <w:jc w:val="both"/>
              <w:rPr>
                <w:b/>
                <w:sz w:val="26"/>
                <w:szCs w:val="26"/>
              </w:rPr>
            </w:pPr>
            <w:r w:rsidRPr="00395832">
              <w:rPr>
                <w:rFonts w:ascii="Times New Roman" w:eastAsia="Times New Roman" w:hAnsi="Times New Roman"/>
                <w:bCs/>
                <w:sz w:val="26"/>
                <w:szCs w:val="26"/>
                <w:lang w:eastAsia="lv-LV"/>
              </w:rPr>
              <w:t xml:space="preserve">izveidojot vienotu rezerves kapitālu un tādējādi atspoguļojot adekvātu AFI pašu </w:t>
            </w:r>
            <w:r w:rsidRPr="00395832">
              <w:rPr>
                <w:rFonts w:ascii="Times New Roman" w:eastAsia="Times New Roman" w:hAnsi="Times New Roman"/>
                <w:bCs/>
                <w:sz w:val="26"/>
                <w:szCs w:val="26"/>
                <w:lang w:eastAsia="lv-LV"/>
              </w:rPr>
              <w:lastRenderedPageBreak/>
              <w:t>kapitālu un nesadalītās peļņas/ uzkrāto zaudējumu apmēru, tiek stiprināta AFI ilgtspējīga finanšu stabilitāte un uzticamība privāto investoru</w:t>
            </w:r>
            <w:r>
              <w:rPr>
                <w:rFonts w:ascii="Times New Roman" w:eastAsia="Times New Roman" w:hAnsi="Times New Roman"/>
                <w:bCs/>
                <w:sz w:val="26"/>
                <w:szCs w:val="26"/>
                <w:lang w:eastAsia="lv-LV"/>
              </w:rPr>
              <w:t>, kā arī starptautisko finanšu institūciju</w:t>
            </w:r>
            <w:r w:rsidRPr="00395832">
              <w:rPr>
                <w:rFonts w:ascii="Times New Roman" w:eastAsia="Times New Roman" w:hAnsi="Times New Roman"/>
                <w:bCs/>
                <w:sz w:val="26"/>
                <w:szCs w:val="26"/>
                <w:lang w:eastAsia="lv-LV"/>
              </w:rPr>
              <w:t xml:space="preserve"> finansējuma piesaistei.</w:t>
            </w:r>
            <w:r w:rsidRPr="00395832">
              <w:rPr>
                <w:bCs/>
                <w:sz w:val="26"/>
                <w:szCs w:val="26"/>
              </w:rPr>
              <w:t xml:space="preserve"> </w:t>
            </w:r>
          </w:p>
        </w:tc>
      </w:tr>
      <w:tr w:rsidR="0023436E" w:rsidRPr="00045B81" w:rsidTr="00395832">
        <w:trPr>
          <w:trHeight w:val="591"/>
        </w:trPr>
        <w:tc>
          <w:tcPr>
            <w:tcW w:w="374" w:type="dxa"/>
          </w:tcPr>
          <w:p w:rsidR="0023436E" w:rsidRPr="00045B81" w:rsidRDefault="00DB39FC" w:rsidP="007D099D">
            <w:pPr>
              <w:pStyle w:val="naisnod"/>
              <w:spacing w:before="0" w:after="0"/>
              <w:ind w:left="57" w:right="57"/>
              <w:jc w:val="left"/>
              <w:rPr>
                <w:b w:val="0"/>
                <w:sz w:val="26"/>
                <w:szCs w:val="26"/>
              </w:rPr>
            </w:pPr>
            <w:r>
              <w:rPr>
                <w:b w:val="0"/>
                <w:sz w:val="26"/>
                <w:szCs w:val="26"/>
              </w:rPr>
              <w:lastRenderedPageBreak/>
              <w:t>3</w:t>
            </w:r>
            <w:r w:rsidR="0023436E" w:rsidRPr="00045B81">
              <w:rPr>
                <w:b w:val="0"/>
                <w:sz w:val="26"/>
                <w:szCs w:val="26"/>
              </w:rPr>
              <w:t>.</w:t>
            </w:r>
          </w:p>
        </w:tc>
        <w:tc>
          <w:tcPr>
            <w:tcW w:w="4555" w:type="dxa"/>
          </w:tcPr>
          <w:p w:rsidR="0023436E" w:rsidRPr="00045B81" w:rsidRDefault="00DB39FC" w:rsidP="00104E29">
            <w:pPr>
              <w:pStyle w:val="naisf"/>
              <w:spacing w:before="0" w:after="0"/>
              <w:ind w:left="57" w:right="57" w:firstLine="0"/>
              <w:jc w:val="left"/>
              <w:rPr>
                <w:sz w:val="26"/>
                <w:szCs w:val="26"/>
              </w:rPr>
            </w:pPr>
            <w:r>
              <w:rPr>
                <w:sz w:val="26"/>
                <w:szCs w:val="26"/>
              </w:rPr>
              <w:t>Cita info</w:t>
            </w:r>
            <w:r w:rsidR="00104E29">
              <w:rPr>
                <w:sz w:val="26"/>
                <w:szCs w:val="26"/>
              </w:rPr>
              <w:t>r</w:t>
            </w:r>
            <w:r>
              <w:rPr>
                <w:sz w:val="26"/>
                <w:szCs w:val="26"/>
              </w:rPr>
              <w:t>mācija</w:t>
            </w:r>
          </w:p>
        </w:tc>
        <w:tc>
          <w:tcPr>
            <w:tcW w:w="5277" w:type="dxa"/>
          </w:tcPr>
          <w:p w:rsidR="0023436E" w:rsidRPr="00045B81" w:rsidRDefault="00DB39FC" w:rsidP="005C5EDC">
            <w:pPr>
              <w:pStyle w:val="naisnod"/>
              <w:spacing w:before="0" w:after="0"/>
              <w:ind w:left="57" w:right="57"/>
              <w:jc w:val="left"/>
              <w:rPr>
                <w:b w:val="0"/>
                <w:sz w:val="26"/>
                <w:szCs w:val="26"/>
                <w:highlight w:val="yellow"/>
              </w:rPr>
            </w:pPr>
            <w:r w:rsidRPr="00DB39FC">
              <w:rPr>
                <w:b w:val="0"/>
                <w:sz w:val="26"/>
                <w:szCs w:val="26"/>
              </w:rPr>
              <w:t>Nav.</w:t>
            </w:r>
          </w:p>
        </w:tc>
      </w:tr>
    </w:tbl>
    <w:p w:rsidR="00BF40ED" w:rsidRPr="00045B81" w:rsidRDefault="00BF40ED" w:rsidP="00DB383F">
      <w:pPr>
        <w:pStyle w:val="naisf"/>
        <w:tabs>
          <w:tab w:val="left" w:pos="6804"/>
        </w:tabs>
        <w:spacing w:before="0" w:after="0"/>
        <w:ind w:firstLine="0"/>
        <w:rPr>
          <w:sz w:val="26"/>
          <w:szCs w:val="26"/>
        </w:rPr>
      </w:pPr>
    </w:p>
    <w:p w:rsidR="00FB42BB" w:rsidRDefault="00FB42BB" w:rsidP="00845811">
      <w:pPr>
        <w:pStyle w:val="naisf"/>
        <w:tabs>
          <w:tab w:val="left" w:pos="6804"/>
        </w:tabs>
        <w:spacing w:before="0" w:after="0"/>
        <w:ind w:firstLine="720"/>
        <w:rPr>
          <w:sz w:val="26"/>
          <w:szCs w:val="26"/>
        </w:rPr>
      </w:pPr>
    </w:p>
    <w:p w:rsidR="0015060C" w:rsidRPr="00045B81" w:rsidRDefault="00D543DB" w:rsidP="00845811">
      <w:pPr>
        <w:pStyle w:val="naisf"/>
        <w:tabs>
          <w:tab w:val="left" w:pos="6804"/>
        </w:tabs>
        <w:spacing w:before="0" w:after="0"/>
        <w:ind w:firstLine="720"/>
        <w:rPr>
          <w:sz w:val="26"/>
          <w:szCs w:val="26"/>
        </w:rPr>
      </w:pPr>
      <w:r w:rsidRPr="00045B81">
        <w:rPr>
          <w:sz w:val="26"/>
          <w:szCs w:val="26"/>
        </w:rPr>
        <w:t>Finanšu</w:t>
      </w:r>
      <w:r w:rsidR="0015060C" w:rsidRPr="00045B81">
        <w:rPr>
          <w:sz w:val="26"/>
          <w:szCs w:val="26"/>
        </w:rPr>
        <w:t xml:space="preserve"> ministrs</w:t>
      </w:r>
      <w:r w:rsidR="00214094" w:rsidRPr="00045B81">
        <w:rPr>
          <w:sz w:val="26"/>
          <w:szCs w:val="26"/>
        </w:rPr>
        <w:tab/>
      </w:r>
      <w:proofErr w:type="spellStart"/>
      <w:r w:rsidRPr="00045B81">
        <w:rPr>
          <w:sz w:val="26"/>
          <w:szCs w:val="26"/>
        </w:rPr>
        <w:t>A.Vilks</w:t>
      </w:r>
      <w:proofErr w:type="spellEnd"/>
      <w:r w:rsidRPr="00045B81">
        <w:rPr>
          <w:sz w:val="26"/>
          <w:szCs w:val="26"/>
        </w:rPr>
        <w:t xml:space="preserve"> </w:t>
      </w:r>
    </w:p>
    <w:p w:rsidR="00D543DB" w:rsidRPr="00045B81" w:rsidRDefault="00D543DB" w:rsidP="00845811">
      <w:pPr>
        <w:pStyle w:val="naisf"/>
        <w:tabs>
          <w:tab w:val="left" w:pos="6804"/>
        </w:tabs>
        <w:spacing w:before="0" w:after="0"/>
        <w:ind w:firstLine="720"/>
        <w:rPr>
          <w:sz w:val="26"/>
          <w:szCs w:val="26"/>
        </w:rPr>
      </w:pPr>
    </w:p>
    <w:p w:rsidR="00874FD4" w:rsidRPr="007C78FD" w:rsidRDefault="007871A0" w:rsidP="00874FD4">
      <w:pPr>
        <w:pStyle w:val="BlockText"/>
        <w:spacing w:before="0" w:beforeAutospacing="0" w:after="0" w:afterAutospacing="0"/>
        <w:jc w:val="both"/>
        <w:rPr>
          <w:color w:val="auto"/>
          <w:sz w:val="18"/>
          <w:szCs w:val="18"/>
        </w:rPr>
      </w:pPr>
      <w:r>
        <w:rPr>
          <w:color w:val="auto"/>
          <w:sz w:val="18"/>
          <w:szCs w:val="18"/>
        </w:rPr>
        <w:t>30</w:t>
      </w:r>
      <w:r w:rsidR="0030011F" w:rsidRPr="007C78FD">
        <w:rPr>
          <w:color w:val="auto"/>
          <w:sz w:val="18"/>
          <w:szCs w:val="18"/>
        </w:rPr>
        <w:t>.</w:t>
      </w:r>
      <w:r>
        <w:rPr>
          <w:color w:val="auto"/>
          <w:sz w:val="18"/>
          <w:szCs w:val="18"/>
        </w:rPr>
        <w:t>09</w:t>
      </w:r>
      <w:r w:rsidR="00045B81" w:rsidRPr="007C78FD">
        <w:rPr>
          <w:color w:val="auto"/>
          <w:sz w:val="18"/>
          <w:szCs w:val="18"/>
        </w:rPr>
        <w:t>.201</w:t>
      </w:r>
      <w:r w:rsidR="00917342" w:rsidRPr="007C78FD">
        <w:rPr>
          <w:color w:val="auto"/>
          <w:sz w:val="18"/>
          <w:szCs w:val="18"/>
        </w:rPr>
        <w:t>4</w:t>
      </w:r>
      <w:r w:rsidR="00045B81" w:rsidRPr="007C78FD">
        <w:rPr>
          <w:color w:val="auto"/>
          <w:sz w:val="18"/>
          <w:szCs w:val="18"/>
        </w:rPr>
        <w:t xml:space="preserve">. </w:t>
      </w:r>
      <w:r w:rsidR="00855420">
        <w:rPr>
          <w:color w:val="auto"/>
          <w:sz w:val="18"/>
          <w:szCs w:val="18"/>
        </w:rPr>
        <w:t>8:58</w:t>
      </w:r>
    </w:p>
    <w:p w:rsidR="00F00D7C" w:rsidRDefault="00395832" w:rsidP="00874FD4">
      <w:pPr>
        <w:rPr>
          <w:sz w:val="18"/>
          <w:szCs w:val="18"/>
        </w:rPr>
      </w:pPr>
      <w:r>
        <w:rPr>
          <w:sz w:val="18"/>
          <w:szCs w:val="18"/>
        </w:rPr>
        <w:t>1</w:t>
      </w:r>
      <w:r w:rsidR="000051D5">
        <w:rPr>
          <w:sz w:val="18"/>
          <w:szCs w:val="18"/>
        </w:rPr>
        <w:t>5</w:t>
      </w:r>
      <w:r w:rsidR="00855420">
        <w:rPr>
          <w:sz w:val="18"/>
          <w:szCs w:val="18"/>
        </w:rPr>
        <w:t>15</w:t>
      </w:r>
    </w:p>
    <w:p w:rsidR="00874FD4" w:rsidRPr="007C78FD" w:rsidRDefault="00917342" w:rsidP="00874FD4">
      <w:pPr>
        <w:rPr>
          <w:sz w:val="18"/>
          <w:szCs w:val="18"/>
        </w:rPr>
      </w:pPr>
      <w:r w:rsidRPr="007C78FD">
        <w:rPr>
          <w:sz w:val="18"/>
          <w:szCs w:val="18"/>
        </w:rPr>
        <w:t>D</w:t>
      </w:r>
      <w:r w:rsidR="00874FD4" w:rsidRPr="007C78FD">
        <w:rPr>
          <w:sz w:val="18"/>
          <w:szCs w:val="18"/>
        </w:rPr>
        <w:t xml:space="preserve">. </w:t>
      </w:r>
      <w:r w:rsidRPr="007C78FD">
        <w:rPr>
          <w:sz w:val="18"/>
          <w:szCs w:val="18"/>
        </w:rPr>
        <w:t>Buse</w:t>
      </w:r>
    </w:p>
    <w:p w:rsidR="003F40CC" w:rsidRPr="00045B81" w:rsidRDefault="00874FD4" w:rsidP="00054D69">
      <w:pPr>
        <w:rPr>
          <w:rStyle w:val="Hyperlink"/>
          <w:color w:val="auto"/>
          <w:sz w:val="20"/>
          <w:szCs w:val="20"/>
        </w:rPr>
      </w:pPr>
      <w:r w:rsidRPr="007C78FD">
        <w:rPr>
          <w:sz w:val="18"/>
          <w:szCs w:val="18"/>
        </w:rPr>
        <w:t>67095</w:t>
      </w:r>
      <w:r w:rsidR="00917342" w:rsidRPr="007C78FD">
        <w:rPr>
          <w:sz w:val="18"/>
          <w:szCs w:val="18"/>
        </w:rPr>
        <w:t>535</w:t>
      </w:r>
      <w:r w:rsidRPr="007C78FD">
        <w:rPr>
          <w:sz w:val="18"/>
          <w:szCs w:val="18"/>
        </w:rPr>
        <w:t xml:space="preserve">, </w:t>
      </w:r>
      <w:r w:rsidR="00917342" w:rsidRPr="007C78FD">
        <w:rPr>
          <w:sz w:val="18"/>
          <w:szCs w:val="18"/>
        </w:rPr>
        <w:t>Dina.Buse@fm.gov.lv</w:t>
      </w:r>
    </w:p>
    <w:sectPr w:rsidR="003F40CC" w:rsidRPr="00045B81" w:rsidSect="007C78F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8A" w:rsidRDefault="00AA738A">
      <w:r>
        <w:separator/>
      </w:r>
    </w:p>
  </w:endnote>
  <w:endnote w:type="continuationSeparator" w:id="0">
    <w:p w:rsidR="00AA738A" w:rsidRDefault="00A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5C" w:rsidRDefault="00F02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61" w:rsidRPr="00BD4D10" w:rsidRDefault="00466961" w:rsidP="00BD4D10">
    <w:pPr>
      <w:pStyle w:val="Footer"/>
      <w:jc w:val="both"/>
      <w:rPr>
        <w:noProof/>
        <w:sz w:val="20"/>
        <w:szCs w:val="20"/>
      </w:rPr>
    </w:pPr>
    <w:r w:rsidRPr="00BD4D10">
      <w:rPr>
        <w:noProof/>
        <w:sz w:val="20"/>
        <w:szCs w:val="20"/>
      </w:rPr>
      <w:t>F</w:t>
    </w:r>
    <w:r>
      <w:rPr>
        <w:noProof/>
        <w:sz w:val="20"/>
        <w:szCs w:val="20"/>
      </w:rPr>
      <w:t>MAnot_</w:t>
    </w:r>
    <w:r w:rsidR="00F02B5C">
      <w:rPr>
        <w:noProof/>
        <w:sz w:val="20"/>
        <w:szCs w:val="20"/>
      </w:rPr>
      <w:t>300</w:t>
    </w:r>
    <w:r>
      <w:rPr>
        <w:noProof/>
        <w:sz w:val="20"/>
        <w:szCs w:val="20"/>
      </w:rPr>
      <w:t>914_AFI_lik</w:t>
    </w:r>
    <w:r w:rsidRPr="00BD4D10">
      <w:rPr>
        <w:noProof/>
        <w:sz w:val="20"/>
        <w:szCs w:val="20"/>
      </w:rPr>
      <w:t>; Likumprojekt</w:t>
    </w:r>
    <w:r>
      <w:rPr>
        <w:noProof/>
        <w:sz w:val="20"/>
        <w:szCs w:val="20"/>
      </w:rPr>
      <w:t>a</w:t>
    </w:r>
    <w:r w:rsidRPr="00BD4D10">
      <w:rPr>
        <w:noProof/>
        <w:sz w:val="20"/>
        <w:szCs w:val="20"/>
      </w:rPr>
      <w:t xml:space="preserve"> "</w:t>
    </w:r>
    <w:r>
      <w:rPr>
        <w:noProof/>
        <w:sz w:val="20"/>
        <w:szCs w:val="20"/>
      </w:rPr>
      <w:t>Attīstības finanšu institūcijas likums”</w:t>
    </w:r>
    <w:r w:rsidRPr="00BD4D10">
      <w:rPr>
        <w:noProof/>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E3" w:rsidRPr="00BD4D10" w:rsidRDefault="006D67E3" w:rsidP="006D67E3">
    <w:pPr>
      <w:pStyle w:val="Footer"/>
      <w:jc w:val="both"/>
      <w:rPr>
        <w:noProof/>
        <w:sz w:val="20"/>
        <w:szCs w:val="20"/>
      </w:rPr>
    </w:pPr>
    <w:r w:rsidRPr="00BD4D10">
      <w:rPr>
        <w:noProof/>
        <w:sz w:val="20"/>
        <w:szCs w:val="20"/>
      </w:rPr>
      <w:t>F</w:t>
    </w:r>
    <w:r>
      <w:rPr>
        <w:noProof/>
        <w:sz w:val="20"/>
        <w:szCs w:val="20"/>
      </w:rPr>
      <w:t>MAnot_</w:t>
    </w:r>
    <w:r w:rsidR="00F02B5C">
      <w:rPr>
        <w:noProof/>
        <w:sz w:val="20"/>
        <w:szCs w:val="20"/>
      </w:rPr>
      <w:t>30</w:t>
    </w:r>
    <w:r>
      <w:rPr>
        <w:noProof/>
        <w:sz w:val="20"/>
        <w:szCs w:val="20"/>
      </w:rPr>
      <w:t>0914_AFI_lik</w:t>
    </w:r>
    <w:r w:rsidRPr="00BD4D10">
      <w:rPr>
        <w:noProof/>
        <w:sz w:val="20"/>
        <w:szCs w:val="20"/>
      </w:rPr>
      <w:t>; Likumprojekt</w:t>
    </w:r>
    <w:r>
      <w:rPr>
        <w:noProof/>
        <w:sz w:val="20"/>
        <w:szCs w:val="20"/>
      </w:rPr>
      <w:t>a</w:t>
    </w:r>
    <w:r w:rsidRPr="00BD4D10">
      <w:rPr>
        <w:noProof/>
        <w:sz w:val="20"/>
        <w:szCs w:val="20"/>
      </w:rPr>
      <w:t xml:space="preserve"> "</w:t>
    </w:r>
    <w:r>
      <w:rPr>
        <w:noProof/>
        <w:sz w:val="20"/>
        <w:szCs w:val="20"/>
      </w:rPr>
      <w:t>Attīstības finanšu institūcijas likums”</w:t>
    </w:r>
    <w:r w:rsidRPr="00BD4D10">
      <w:rPr>
        <w:noProof/>
        <w:sz w:val="20"/>
        <w:szCs w:val="20"/>
      </w:rPr>
      <w:t xml:space="preserve"> sākotnējās ietekmes novērtējuma ziņojums (anotācija)</w:t>
    </w:r>
  </w:p>
  <w:p w:rsidR="00466961" w:rsidRPr="006D67E3" w:rsidRDefault="00466961" w:rsidP="006D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8A" w:rsidRDefault="00AA738A">
      <w:r>
        <w:separator/>
      </w:r>
    </w:p>
  </w:footnote>
  <w:footnote w:type="continuationSeparator" w:id="0">
    <w:p w:rsidR="00AA738A" w:rsidRDefault="00AA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61" w:rsidRDefault="0046696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961" w:rsidRDefault="0046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61" w:rsidRDefault="0046696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287">
      <w:rPr>
        <w:rStyle w:val="PageNumber"/>
        <w:noProof/>
      </w:rPr>
      <w:t>7</w:t>
    </w:r>
    <w:r>
      <w:rPr>
        <w:rStyle w:val="PageNumber"/>
      </w:rPr>
      <w:fldChar w:fldCharType="end"/>
    </w:r>
  </w:p>
  <w:p w:rsidR="00466961" w:rsidRDefault="00466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5C" w:rsidRDefault="00F02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8051DA"/>
    <w:multiLevelType w:val="hybridMultilevel"/>
    <w:tmpl w:val="B03A428C"/>
    <w:lvl w:ilvl="0" w:tplc="04260001">
      <w:start w:val="1"/>
      <w:numFmt w:val="bullet"/>
      <w:lvlText w:val=""/>
      <w:lvlJc w:val="left"/>
      <w:pPr>
        <w:ind w:left="721" w:hanging="360"/>
      </w:pPr>
      <w:rPr>
        <w:rFonts w:ascii="Symbol" w:hAnsi="Symbol"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7">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CD21394"/>
    <w:multiLevelType w:val="hybridMultilevel"/>
    <w:tmpl w:val="777A204E"/>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EE16422"/>
    <w:multiLevelType w:val="hybridMultilevel"/>
    <w:tmpl w:val="70C24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5"/>
  </w:num>
  <w:num w:numId="4">
    <w:abstractNumId w:val="2"/>
  </w:num>
  <w:num w:numId="5">
    <w:abstractNumId w:val="1"/>
  </w:num>
  <w:num w:numId="6">
    <w:abstractNumId w:val="16"/>
  </w:num>
  <w:num w:numId="7">
    <w:abstractNumId w:val="20"/>
  </w:num>
  <w:num w:numId="8">
    <w:abstractNumId w:val="11"/>
  </w:num>
  <w:num w:numId="9">
    <w:abstractNumId w:val="3"/>
  </w:num>
  <w:num w:numId="10">
    <w:abstractNumId w:val="12"/>
  </w:num>
  <w:num w:numId="11">
    <w:abstractNumId w:val="13"/>
  </w:num>
  <w:num w:numId="12">
    <w:abstractNumId w:val="17"/>
  </w:num>
  <w:num w:numId="13">
    <w:abstractNumId w:val="18"/>
  </w:num>
  <w:num w:numId="14">
    <w:abstractNumId w:val="21"/>
  </w:num>
  <w:num w:numId="15">
    <w:abstractNumId w:val="4"/>
  </w:num>
  <w:num w:numId="16">
    <w:abstractNumId w:val="22"/>
  </w:num>
  <w:num w:numId="17">
    <w:abstractNumId w:val="0"/>
  </w:num>
  <w:num w:numId="18">
    <w:abstractNumId w:val="7"/>
  </w:num>
  <w:num w:numId="19">
    <w:abstractNumId w:val="10"/>
  </w:num>
  <w:num w:numId="20">
    <w:abstractNumId w:val="15"/>
  </w:num>
  <w:num w:numId="21">
    <w:abstractNumId w:val="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51D5"/>
    <w:rsid w:val="00011D24"/>
    <w:rsid w:val="00013FF4"/>
    <w:rsid w:val="00020FE1"/>
    <w:rsid w:val="00022E13"/>
    <w:rsid w:val="0002322C"/>
    <w:rsid w:val="00032388"/>
    <w:rsid w:val="00035CE2"/>
    <w:rsid w:val="00045B81"/>
    <w:rsid w:val="00054D69"/>
    <w:rsid w:val="0005553B"/>
    <w:rsid w:val="00056D81"/>
    <w:rsid w:val="000604D2"/>
    <w:rsid w:val="000824C6"/>
    <w:rsid w:val="00084751"/>
    <w:rsid w:val="0009005E"/>
    <w:rsid w:val="000941C5"/>
    <w:rsid w:val="000A325D"/>
    <w:rsid w:val="000A6451"/>
    <w:rsid w:val="000B064E"/>
    <w:rsid w:val="000B69CF"/>
    <w:rsid w:val="000C790C"/>
    <w:rsid w:val="000F061D"/>
    <w:rsid w:val="000F4794"/>
    <w:rsid w:val="00102DD8"/>
    <w:rsid w:val="00104E29"/>
    <w:rsid w:val="00124F12"/>
    <w:rsid w:val="00133905"/>
    <w:rsid w:val="0013496B"/>
    <w:rsid w:val="00144E3A"/>
    <w:rsid w:val="0015060C"/>
    <w:rsid w:val="0015279E"/>
    <w:rsid w:val="00157F32"/>
    <w:rsid w:val="0016018A"/>
    <w:rsid w:val="00161814"/>
    <w:rsid w:val="00161F0E"/>
    <w:rsid w:val="00162C05"/>
    <w:rsid w:val="00170E2A"/>
    <w:rsid w:val="00175482"/>
    <w:rsid w:val="0017728E"/>
    <w:rsid w:val="00177394"/>
    <w:rsid w:val="001825CC"/>
    <w:rsid w:val="00182C18"/>
    <w:rsid w:val="00183CC2"/>
    <w:rsid w:val="00183E35"/>
    <w:rsid w:val="001875B5"/>
    <w:rsid w:val="001900E4"/>
    <w:rsid w:val="00190F88"/>
    <w:rsid w:val="00191865"/>
    <w:rsid w:val="001A4066"/>
    <w:rsid w:val="001A6AE4"/>
    <w:rsid w:val="001B01FD"/>
    <w:rsid w:val="001B4A71"/>
    <w:rsid w:val="001B7157"/>
    <w:rsid w:val="001B71AB"/>
    <w:rsid w:val="001B71CD"/>
    <w:rsid w:val="001C6135"/>
    <w:rsid w:val="001D5B54"/>
    <w:rsid w:val="001D711B"/>
    <w:rsid w:val="001E06FA"/>
    <w:rsid w:val="001E1DBF"/>
    <w:rsid w:val="001E3A84"/>
    <w:rsid w:val="001E4639"/>
    <w:rsid w:val="001E4A7D"/>
    <w:rsid w:val="001F43A8"/>
    <w:rsid w:val="001F5CD6"/>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65ECD"/>
    <w:rsid w:val="00270429"/>
    <w:rsid w:val="0027054C"/>
    <w:rsid w:val="002720EB"/>
    <w:rsid w:val="002723E9"/>
    <w:rsid w:val="00277929"/>
    <w:rsid w:val="00277AB3"/>
    <w:rsid w:val="00282E88"/>
    <w:rsid w:val="00283B82"/>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F78C8"/>
    <w:rsid w:val="0030011F"/>
    <w:rsid w:val="00301CF3"/>
    <w:rsid w:val="003032CE"/>
    <w:rsid w:val="00305BBD"/>
    <w:rsid w:val="00306287"/>
    <w:rsid w:val="0030705C"/>
    <w:rsid w:val="00316B9F"/>
    <w:rsid w:val="0032715C"/>
    <w:rsid w:val="00337CA5"/>
    <w:rsid w:val="0034622F"/>
    <w:rsid w:val="00351F03"/>
    <w:rsid w:val="0035410B"/>
    <w:rsid w:val="00360CCC"/>
    <w:rsid w:val="00362478"/>
    <w:rsid w:val="003652D0"/>
    <w:rsid w:val="00370649"/>
    <w:rsid w:val="00375B25"/>
    <w:rsid w:val="00385B77"/>
    <w:rsid w:val="00385D1E"/>
    <w:rsid w:val="00395832"/>
    <w:rsid w:val="00396542"/>
    <w:rsid w:val="0039685B"/>
    <w:rsid w:val="003A31A6"/>
    <w:rsid w:val="003A7F0C"/>
    <w:rsid w:val="003A7F79"/>
    <w:rsid w:val="003B0BA1"/>
    <w:rsid w:val="003B28D2"/>
    <w:rsid w:val="003B33FD"/>
    <w:rsid w:val="003B6404"/>
    <w:rsid w:val="003C098F"/>
    <w:rsid w:val="003C2392"/>
    <w:rsid w:val="003C449B"/>
    <w:rsid w:val="003C4862"/>
    <w:rsid w:val="003C7B68"/>
    <w:rsid w:val="003D21FF"/>
    <w:rsid w:val="003F0112"/>
    <w:rsid w:val="003F071A"/>
    <w:rsid w:val="003F127A"/>
    <w:rsid w:val="003F160B"/>
    <w:rsid w:val="003F40CC"/>
    <w:rsid w:val="00400032"/>
    <w:rsid w:val="00400B5B"/>
    <w:rsid w:val="00405A00"/>
    <w:rsid w:val="00406E17"/>
    <w:rsid w:val="00420870"/>
    <w:rsid w:val="0043791B"/>
    <w:rsid w:val="00441483"/>
    <w:rsid w:val="00441BCB"/>
    <w:rsid w:val="0045176A"/>
    <w:rsid w:val="00456332"/>
    <w:rsid w:val="00461826"/>
    <w:rsid w:val="00466961"/>
    <w:rsid w:val="004800F9"/>
    <w:rsid w:val="00483F0D"/>
    <w:rsid w:val="0049134A"/>
    <w:rsid w:val="00491985"/>
    <w:rsid w:val="004933F1"/>
    <w:rsid w:val="004A308B"/>
    <w:rsid w:val="004A58CB"/>
    <w:rsid w:val="004B1795"/>
    <w:rsid w:val="004B1F53"/>
    <w:rsid w:val="004B56DD"/>
    <w:rsid w:val="004C020F"/>
    <w:rsid w:val="004C1AFD"/>
    <w:rsid w:val="004C558B"/>
    <w:rsid w:val="004C6A82"/>
    <w:rsid w:val="004D5832"/>
    <w:rsid w:val="004E371E"/>
    <w:rsid w:val="004E3970"/>
    <w:rsid w:val="004F1331"/>
    <w:rsid w:val="004F1F88"/>
    <w:rsid w:val="004F5F1B"/>
    <w:rsid w:val="004F6EEC"/>
    <w:rsid w:val="00502374"/>
    <w:rsid w:val="005060A1"/>
    <w:rsid w:val="00507312"/>
    <w:rsid w:val="00516072"/>
    <w:rsid w:val="00526FE9"/>
    <w:rsid w:val="005311E7"/>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16A6"/>
    <w:rsid w:val="005B401B"/>
    <w:rsid w:val="005B4730"/>
    <w:rsid w:val="005C3924"/>
    <w:rsid w:val="005C4010"/>
    <w:rsid w:val="005C5EDC"/>
    <w:rsid w:val="005C6284"/>
    <w:rsid w:val="005D624F"/>
    <w:rsid w:val="005E05D7"/>
    <w:rsid w:val="005E41E7"/>
    <w:rsid w:val="005E450F"/>
    <w:rsid w:val="005E596F"/>
    <w:rsid w:val="006077F5"/>
    <w:rsid w:val="00610833"/>
    <w:rsid w:val="00617BC7"/>
    <w:rsid w:val="0062298A"/>
    <w:rsid w:val="00626514"/>
    <w:rsid w:val="00626589"/>
    <w:rsid w:val="006334AB"/>
    <w:rsid w:val="006339A0"/>
    <w:rsid w:val="006413A8"/>
    <w:rsid w:val="00642E56"/>
    <w:rsid w:val="00642E8D"/>
    <w:rsid w:val="00644813"/>
    <w:rsid w:val="006448B5"/>
    <w:rsid w:val="00651E00"/>
    <w:rsid w:val="00674572"/>
    <w:rsid w:val="00687763"/>
    <w:rsid w:val="00692B0D"/>
    <w:rsid w:val="00693E0E"/>
    <w:rsid w:val="00696A69"/>
    <w:rsid w:val="006A1AE3"/>
    <w:rsid w:val="006B20CC"/>
    <w:rsid w:val="006C0427"/>
    <w:rsid w:val="006C30E1"/>
    <w:rsid w:val="006C3316"/>
    <w:rsid w:val="006C4607"/>
    <w:rsid w:val="006D48F1"/>
    <w:rsid w:val="006D67E3"/>
    <w:rsid w:val="006E08F9"/>
    <w:rsid w:val="006E1407"/>
    <w:rsid w:val="006F0091"/>
    <w:rsid w:val="006F45BE"/>
    <w:rsid w:val="006F520D"/>
    <w:rsid w:val="006F601C"/>
    <w:rsid w:val="006F6551"/>
    <w:rsid w:val="006F6579"/>
    <w:rsid w:val="007004FC"/>
    <w:rsid w:val="00706670"/>
    <w:rsid w:val="00715CFA"/>
    <w:rsid w:val="0072417C"/>
    <w:rsid w:val="00726DE2"/>
    <w:rsid w:val="007278AC"/>
    <w:rsid w:val="00734211"/>
    <w:rsid w:val="00734450"/>
    <w:rsid w:val="00737664"/>
    <w:rsid w:val="00745F67"/>
    <w:rsid w:val="0075039E"/>
    <w:rsid w:val="00752D9D"/>
    <w:rsid w:val="00752DDD"/>
    <w:rsid w:val="00754784"/>
    <w:rsid w:val="00757C6E"/>
    <w:rsid w:val="00762BDA"/>
    <w:rsid w:val="00763484"/>
    <w:rsid w:val="007805FD"/>
    <w:rsid w:val="00784422"/>
    <w:rsid w:val="007871A0"/>
    <w:rsid w:val="00792C50"/>
    <w:rsid w:val="007976B7"/>
    <w:rsid w:val="007A530E"/>
    <w:rsid w:val="007A6D22"/>
    <w:rsid w:val="007B3B54"/>
    <w:rsid w:val="007B3FA0"/>
    <w:rsid w:val="007C0F2C"/>
    <w:rsid w:val="007C2BCC"/>
    <w:rsid w:val="007C414F"/>
    <w:rsid w:val="007C4EF0"/>
    <w:rsid w:val="007C6FD0"/>
    <w:rsid w:val="007C78FD"/>
    <w:rsid w:val="007D099D"/>
    <w:rsid w:val="007D426A"/>
    <w:rsid w:val="007E2664"/>
    <w:rsid w:val="007E3ABF"/>
    <w:rsid w:val="007E5BFA"/>
    <w:rsid w:val="007E6689"/>
    <w:rsid w:val="007E731C"/>
    <w:rsid w:val="007F0A03"/>
    <w:rsid w:val="007F7BB1"/>
    <w:rsid w:val="00810040"/>
    <w:rsid w:val="0082023A"/>
    <w:rsid w:val="00821A7A"/>
    <w:rsid w:val="008253F8"/>
    <w:rsid w:val="008325E4"/>
    <w:rsid w:val="00832762"/>
    <w:rsid w:val="00832A2B"/>
    <w:rsid w:val="00845811"/>
    <w:rsid w:val="00846994"/>
    <w:rsid w:val="00850451"/>
    <w:rsid w:val="00852042"/>
    <w:rsid w:val="008534C9"/>
    <w:rsid w:val="00853A64"/>
    <w:rsid w:val="00853D47"/>
    <w:rsid w:val="00855420"/>
    <w:rsid w:val="0085599D"/>
    <w:rsid w:val="0086381B"/>
    <w:rsid w:val="00874741"/>
    <w:rsid w:val="00874FD4"/>
    <w:rsid w:val="0087510C"/>
    <w:rsid w:val="00887A61"/>
    <w:rsid w:val="0089427F"/>
    <w:rsid w:val="0089738E"/>
    <w:rsid w:val="008A41DF"/>
    <w:rsid w:val="008B5FDB"/>
    <w:rsid w:val="008C50F4"/>
    <w:rsid w:val="008C5649"/>
    <w:rsid w:val="008D25B0"/>
    <w:rsid w:val="008E44A2"/>
    <w:rsid w:val="008E5A64"/>
    <w:rsid w:val="008E697D"/>
    <w:rsid w:val="008E744B"/>
    <w:rsid w:val="00903263"/>
    <w:rsid w:val="009036E5"/>
    <w:rsid w:val="00906A21"/>
    <w:rsid w:val="009079C3"/>
    <w:rsid w:val="00910462"/>
    <w:rsid w:val="00915AB1"/>
    <w:rsid w:val="00917342"/>
    <w:rsid w:val="00917532"/>
    <w:rsid w:val="009235BA"/>
    <w:rsid w:val="00924023"/>
    <w:rsid w:val="00924CE2"/>
    <w:rsid w:val="00924F17"/>
    <w:rsid w:val="00925B9F"/>
    <w:rsid w:val="00931AED"/>
    <w:rsid w:val="00932D95"/>
    <w:rsid w:val="009476A3"/>
    <w:rsid w:val="0095334F"/>
    <w:rsid w:val="00965897"/>
    <w:rsid w:val="0096765C"/>
    <w:rsid w:val="009727E4"/>
    <w:rsid w:val="00981C38"/>
    <w:rsid w:val="009934C5"/>
    <w:rsid w:val="00994C0F"/>
    <w:rsid w:val="00997609"/>
    <w:rsid w:val="009A4E43"/>
    <w:rsid w:val="009A647A"/>
    <w:rsid w:val="009A725B"/>
    <w:rsid w:val="009B22D7"/>
    <w:rsid w:val="009B2AA7"/>
    <w:rsid w:val="009B4171"/>
    <w:rsid w:val="009B42E5"/>
    <w:rsid w:val="009B72ED"/>
    <w:rsid w:val="009C6DEB"/>
    <w:rsid w:val="009D1944"/>
    <w:rsid w:val="009D6504"/>
    <w:rsid w:val="009E12D7"/>
    <w:rsid w:val="009E661A"/>
    <w:rsid w:val="009E775E"/>
    <w:rsid w:val="009F5C8A"/>
    <w:rsid w:val="00A02E68"/>
    <w:rsid w:val="00A05A7A"/>
    <w:rsid w:val="00A06781"/>
    <w:rsid w:val="00A074C3"/>
    <w:rsid w:val="00A100D9"/>
    <w:rsid w:val="00A1509C"/>
    <w:rsid w:val="00A27EDB"/>
    <w:rsid w:val="00A34260"/>
    <w:rsid w:val="00A42E83"/>
    <w:rsid w:val="00A473F1"/>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A738A"/>
    <w:rsid w:val="00AB2B1A"/>
    <w:rsid w:val="00AB397F"/>
    <w:rsid w:val="00AB5705"/>
    <w:rsid w:val="00AB5832"/>
    <w:rsid w:val="00AC4FDE"/>
    <w:rsid w:val="00AC51F2"/>
    <w:rsid w:val="00AE5066"/>
    <w:rsid w:val="00AE5E24"/>
    <w:rsid w:val="00AE61B7"/>
    <w:rsid w:val="00AE6CBA"/>
    <w:rsid w:val="00AE79AD"/>
    <w:rsid w:val="00AF35E4"/>
    <w:rsid w:val="00AF3BCA"/>
    <w:rsid w:val="00AF5CDE"/>
    <w:rsid w:val="00B10A34"/>
    <w:rsid w:val="00B11A57"/>
    <w:rsid w:val="00B20FD0"/>
    <w:rsid w:val="00B211C3"/>
    <w:rsid w:val="00B23B35"/>
    <w:rsid w:val="00B25597"/>
    <w:rsid w:val="00B267B9"/>
    <w:rsid w:val="00B33E09"/>
    <w:rsid w:val="00B36380"/>
    <w:rsid w:val="00B4661D"/>
    <w:rsid w:val="00B47BCA"/>
    <w:rsid w:val="00B50708"/>
    <w:rsid w:val="00B50C68"/>
    <w:rsid w:val="00B51293"/>
    <w:rsid w:val="00B52B1E"/>
    <w:rsid w:val="00B55481"/>
    <w:rsid w:val="00B55A81"/>
    <w:rsid w:val="00B56C32"/>
    <w:rsid w:val="00B57ACF"/>
    <w:rsid w:val="00B62436"/>
    <w:rsid w:val="00B64BB1"/>
    <w:rsid w:val="00B73166"/>
    <w:rsid w:val="00B73BE1"/>
    <w:rsid w:val="00B8426C"/>
    <w:rsid w:val="00B86A5C"/>
    <w:rsid w:val="00B87CC7"/>
    <w:rsid w:val="00B91B8D"/>
    <w:rsid w:val="00B937FC"/>
    <w:rsid w:val="00B94E90"/>
    <w:rsid w:val="00B950AD"/>
    <w:rsid w:val="00B95C35"/>
    <w:rsid w:val="00BB0A82"/>
    <w:rsid w:val="00BB273D"/>
    <w:rsid w:val="00BB7C94"/>
    <w:rsid w:val="00BC0A9D"/>
    <w:rsid w:val="00BD1D2B"/>
    <w:rsid w:val="00BD4D10"/>
    <w:rsid w:val="00BE32D0"/>
    <w:rsid w:val="00BE4981"/>
    <w:rsid w:val="00BF40ED"/>
    <w:rsid w:val="00BF5BC2"/>
    <w:rsid w:val="00BF73DE"/>
    <w:rsid w:val="00C1133D"/>
    <w:rsid w:val="00C14365"/>
    <w:rsid w:val="00C20646"/>
    <w:rsid w:val="00C2270D"/>
    <w:rsid w:val="00C27A08"/>
    <w:rsid w:val="00C31312"/>
    <w:rsid w:val="00C326C6"/>
    <w:rsid w:val="00C35295"/>
    <w:rsid w:val="00C3653D"/>
    <w:rsid w:val="00C36ADD"/>
    <w:rsid w:val="00C36E74"/>
    <w:rsid w:val="00C40595"/>
    <w:rsid w:val="00C409A4"/>
    <w:rsid w:val="00C41621"/>
    <w:rsid w:val="00C449FA"/>
    <w:rsid w:val="00C457A3"/>
    <w:rsid w:val="00C51482"/>
    <w:rsid w:val="00C5384F"/>
    <w:rsid w:val="00C54C12"/>
    <w:rsid w:val="00C56964"/>
    <w:rsid w:val="00C5783C"/>
    <w:rsid w:val="00C6341E"/>
    <w:rsid w:val="00C656D5"/>
    <w:rsid w:val="00C67103"/>
    <w:rsid w:val="00C71170"/>
    <w:rsid w:val="00C71BB9"/>
    <w:rsid w:val="00C8321F"/>
    <w:rsid w:val="00C832A6"/>
    <w:rsid w:val="00C83765"/>
    <w:rsid w:val="00C848C9"/>
    <w:rsid w:val="00C94C28"/>
    <w:rsid w:val="00CA05C8"/>
    <w:rsid w:val="00CA2439"/>
    <w:rsid w:val="00CB0247"/>
    <w:rsid w:val="00CB3440"/>
    <w:rsid w:val="00CC0350"/>
    <w:rsid w:val="00CC1692"/>
    <w:rsid w:val="00CC6449"/>
    <w:rsid w:val="00CD0CBE"/>
    <w:rsid w:val="00CD138B"/>
    <w:rsid w:val="00CD3E31"/>
    <w:rsid w:val="00CD74A3"/>
    <w:rsid w:val="00CE0527"/>
    <w:rsid w:val="00CE3AF8"/>
    <w:rsid w:val="00CE5772"/>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56B8D"/>
    <w:rsid w:val="00D73EB0"/>
    <w:rsid w:val="00D76EF3"/>
    <w:rsid w:val="00D77BF8"/>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E0B83"/>
    <w:rsid w:val="00DE1A81"/>
    <w:rsid w:val="00DE1C13"/>
    <w:rsid w:val="00DE4E10"/>
    <w:rsid w:val="00DE553A"/>
    <w:rsid w:val="00E02284"/>
    <w:rsid w:val="00E02ABF"/>
    <w:rsid w:val="00E04075"/>
    <w:rsid w:val="00E14995"/>
    <w:rsid w:val="00E14C58"/>
    <w:rsid w:val="00E179CD"/>
    <w:rsid w:val="00E17EC7"/>
    <w:rsid w:val="00E23E8D"/>
    <w:rsid w:val="00E30964"/>
    <w:rsid w:val="00E37F98"/>
    <w:rsid w:val="00E46559"/>
    <w:rsid w:val="00E60222"/>
    <w:rsid w:val="00E6183E"/>
    <w:rsid w:val="00E65E3B"/>
    <w:rsid w:val="00E65F41"/>
    <w:rsid w:val="00E66595"/>
    <w:rsid w:val="00E6670C"/>
    <w:rsid w:val="00E776E8"/>
    <w:rsid w:val="00E866EA"/>
    <w:rsid w:val="00E92C1F"/>
    <w:rsid w:val="00E95D4B"/>
    <w:rsid w:val="00E97009"/>
    <w:rsid w:val="00E97472"/>
    <w:rsid w:val="00EA7A27"/>
    <w:rsid w:val="00EB199F"/>
    <w:rsid w:val="00EC23F7"/>
    <w:rsid w:val="00EC4A0E"/>
    <w:rsid w:val="00EC4BD8"/>
    <w:rsid w:val="00EC63EB"/>
    <w:rsid w:val="00ED03E5"/>
    <w:rsid w:val="00ED412F"/>
    <w:rsid w:val="00EE78A6"/>
    <w:rsid w:val="00EF362F"/>
    <w:rsid w:val="00EF36B2"/>
    <w:rsid w:val="00F00D7C"/>
    <w:rsid w:val="00F02B5C"/>
    <w:rsid w:val="00F031FB"/>
    <w:rsid w:val="00F201EC"/>
    <w:rsid w:val="00F208A9"/>
    <w:rsid w:val="00F273B4"/>
    <w:rsid w:val="00F37013"/>
    <w:rsid w:val="00F41D75"/>
    <w:rsid w:val="00F5139D"/>
    <w:rsid w:val="00F52382"/>
    <w:rsid w:val="00F63DAC"/>
    <w:rsid w:val="00F641D8"/>
    <w:rsid w:val="00F710DD"/>
    <w:rsid w:val="00F7454F"/>
    <w:rsid w:val="00F7539E"/>
    <w:rsid w:val="00F77988"/>
    <w:rsid w:val="00F77F48"/>
    <w:rsid w:val="00F82CC7"/>
    <w:rsid w:val="00F83B4D"/>
    <w:rsid w:val="00F921F8"/>
    <w:rsid w:val="00F92ADF"/>
    <w:rsid w:val="00FA4FD9"/>
    <w:rsid w:val="00FB1764"/>
    <w:rsid w:val="00FB30F1"/>
    <w:rsid w:val="00FB42BB"/>
    <w:rsid w:val="00FB46C2"/>
    <w:rsid w:val="00FB53E7"/>
    <w:rsid w:val="00FC0F2D"/>
    <w:rsid w:val="00FE30E3"/>
    <w:rsid w:val="00FE619C"/>
    <w:rsid w:val="00FE6828"/>
    <w:rsid w:val="00FE72CA"/>
    <w:rsid w:val="00FF0331"/>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AA951-C5B6-4BB1-8A26-6B0630B0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6FE7A1DD-1BAE-46F5-A067-76E4904E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8326</Words>
  <Characters>4747</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FMAnot_160114_AFI; Likumprojekta "Grozījumi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13047</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FMAnot_300914_AFI_lik; Likumprojekta "Attīstības finanšu institūcijas likums” sākotnējās ietekmes novērtējuma ziņojums (anotācija)</dc:title>
  <dc:subject>Anotācija</dc:subject>
  <dc:creator>dina.buse@fm.gov.lv</dc:creator>
  <dc:description>67095535, e-pasts:Dina.Buse@fm.gov.lv</dc:description>
  <cp:lastModifiedBy>Liene Strēlniece</cp:lastModifiedBy>
  <cp:revision>13</cp:revision>
  <cp:lastPrinted>2014-09-30T05:59:00Z</cp:lastPrinted>
  <dcterms:created xsi:type="dcterms:W3CDTF">2014-09-29T10:37:00Z</dcterms:created>
  <dcterms:modified xsi:type="dcterms:W3CDTF">2014-09-30T08:41:00Z</dcterms:modified>
</cp:coreProperties>
</file>