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drawings/drawing3.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7227" w:rsidRDefault="001E7227" w:rsidP="001E7227">
      <w:pPr>
        <w:ind w:firstLine="0"/>
        <w:jc w:val="center"/>
        <w:rPr>
          <w:rFonts w:cs="Times New Roman"/>
          <w:b/>
          <w:bCs/>
          <w:kern w:val="52"/>
          <w:sz w:val="56"/>
        </w:rPr>
      </w:pPr>
      <w:bookmarkStart w:id="0" w:name="OLE_LINK1"/>
      <w:bookmarkStart w:id="1" w:name="OLE_LINK2"/>
      <w:r w:rsidRPr="003927D1">
        <w:rPr>
          <w:rFonts w:cs="Times New Roman"/>
          <w:noProof/>
          <w:sz w:val="20"/>
          <w:lang w:eastAsia="lv-LV"/>
        </w:rPr>
        <w:drawing>
          <wp:anchor distT="0" distB="0" distL="114300" distR="114300" simplePos="0" relativeHeight="251658240" behindDoc="0" locked="0" layoutInCell="1" allowOverlap="1">
            <wp:simplePos x="0" y="0"/>
            <wp:positionH relativeFrom="column">
              <wp:posOffset>3686175</wp:posOffset>
            </wp:positionH>
            <wp:positionV relativeFrom="paragraph">
              <wp:posOffset>0</wp:posOffset>
            </wp:positionV>
            <wp:extent cx="1573530" cy="818515"/>
            <wp:effectExtent l="0" t="0" r="7620" b="635"/>
            <wp:wrapSquare wrapText="bothSides"/>
            <wp:docPr id="36" name="Picture 36" descr="FM_logo_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_logo_LV"/>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3530" cy="818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7227" w:rsidRDefault="001E7227" w:rsidP="001E7227">
      <w:pPr>
        <w:ind w:firstLine="0"/>
        <w:jc w:val="center"/>
        <w:rPr>
          <w:rFonts w:cs="Times New Roman"/>
          <w:b/>
          <w:bCs/>
          <w:kern w:val="52"/>
          <w:sz w:val="56"/>
        </w:rPr>
      </w:pPr>
    </w:p>
    <w:p w:rsidR="001E7227" w:rsidRDefault="001E7227" w:rsidP="001E7227">
      <w:pPr>
        <w:ind w:firstLine="0"/>
        <w:jc w:val="center"/>
        <w:rPr>
          <w:rFonts w:cs="Times New Roman"/>
          <w:b/>
          <w:bCs/>
          <w:kern w:val="52"/>
          <w:sz w:val="56"/>
        </w:rPr>
      </w:pPr>
    </w:p>
    <w:p w:rsidR="001E7227" w:rsidRDefault="001E7227" w:rsidP="001E7227">
      <w:pPr>
        <w:ind w:firstLine="0"/>
        <w:jc w:val="center"/>
        <w:rPr>
          <w:rFonts w:cs="Times New Roman"/>
          <w:b/>
          <w:bCs/>
          <w:kern w:val="52"/>
          <w:sz w:val="56"/>
        </w:rPr>
      </w:pPr>
    </w:p>
    <w:p w:rsidR="001E7227" w:rsidRDefault="001E7227" w:rsidP="001E7227">
      <w:pPr>
        <w:ind w:firstLine="0"/>
        <w:jc w:val="center"/>
        <w:rPr>
          <w:rFonts w:cs="Times New Roman"/>
          <w:b/>
          <w:bCs/>
          <w:kern w:val="52"/>
          <w:sz w:val="56"/>
        </w:rPr>
      </w:pPr>
    </w:p>
    <w:p w:rsidR="001E7227" w:rsidRDefault="001E7227" w:rsidP="001E7227">
      <w:pPr>
        <w:ind w:firstLine="0"/>
        <w:jc w:val="center"/>
        <w:rPr>
          <w:rFonts w:cs="Times New Roman"/>
          <w:b/>
          <w:bCs/>
          <w:kern w:val="52"/>
          <w:sz w:val="56"/>
        </w:rPr>
      </w:pPr>
    </w:p>
    <w:p w:rsidR="0079557A" w:rsidRDefault="001E7227" w:rsidP="001E7227">
      <w:pPr>
        <w:ind w:firstLine="0"/>
        <w:jc w:val="center"/>
        <w:rPr>
          <w:rFonts w:cs="Times New Roman"/>
          <w:b/>
          <w:bCs/>
          <w:kern w:val="52"/>
          <w:sz w:val="56"/>
        </w:rPr>
      </w:pPr>
      <w:r w:rsidRPr="003927D1">
        <w:rPr>
          <w:rFonts w:cs="Times New Roman"/>
          <w:b/>
          <w:bCs/>
          <w:kern w:val="52"/>
          <w:sz w:val="56"/>
        </w:rPr>
        <w:t>Par tautsaimniecības attīstību u</w:t>
      </w:r>
      <w:r w:rsidR="00D41F5C">
        <w:rPr>
          <w:rFonts w:cs="Times New Roman"/>
          <w:b/>
          <w:bCs/>
          <w:kern w:val="52"/>
          <w:sz w:val="56"/>
        </w:rPr>
        <w:t xml:space="preserve">n kopbudžeta izpildes gaitu </w:t>
      </w:r>
    </w:p>
    <w:p w:rsidR="001E7227" w:rsidRDefault="00D41F5C" w:rsidP="001E7227">
      <w:pPr>
        <w:ind w:firstLine="0"/>
        <w:jc w:val="center"/>
        <w:rPr>
          <w:rFonts w:cs="Times New Roman"/>
          <w:b/>
          <w:bCs/>
          <w:kern w:val="52"/>
          <w:sz w:val="56"/>
        </w:rPr>
      </w:pPr>
      <w:r>
        <w:rPr>
          <w:rFonts w:cs="Times New Roman"/>
          <w:b/>
          <w:bCs/>
          <w:kern w:val="52"/>
          <w:sz w:val="56"/>
        </w:rPr>
        <w:t>2014</w:t>
      </w:r>
      <w:r w:rsidR="001E7227" w:rsidRPr="003927D1">
        <w:rPr>
          <w:rFonts w:cs="Times New Roman"/>
          <w:b/>
          <w:bCs/>
          <w:kern w:val="52"/>
          <w:sz w:val="56"/>
        </w:rPr>
        <w:t xml:space="preserve">. gada </w:t>
      </w:r>
      <w:r w:rsidR="00D05689">
        <w:rPr>
          <w:rFonts w:cs="Times New Roman"/>
          <w:b/>
          <w:bCs/>
          <w:kern w:val="52"/>
          <w:sz w:val="56"/>
        </w:rPr>
        <w:t>1.</w:t>
      </w:r>
      <w:r w:rsidR="001E7227" w:rsidRPr="003927D1">
        <w:rPr>
          <w:rFonts w:cs="Times New Roman"/>
          <w:b/>
          <w:bCs/>
          <w:kern w:val="52"/>
          <w:sz w:val="56"/>
        </w:rPr>
        <w:t xml:space="preserve"> </w:t>
      </w:r>
      <w:r w:rsidR="001E7227">
        <w:rPr>
          <w:rFonts w:cs="Times New Roman"/>
          <w:b/>
          <w:bCs/>
          <w:kern w:val="52"/>
          <w:sz w:val="56"/>
        </w:rPr>
        <w:t>c</w:t>
      </w:r>
      <w:r w:rsidR="001E7227" w:rsidRPr="003927D1">
        <w:rPr>
          <w:rFonts w:cs="Times New Roman"/>
          <w:b/>
          <w:bCs/>
          <w:kern w:val="52"/>
          <w:sz w:val="56"/>
        </w:rPr>
        <w:t>eturksnī</w:t>
      </w:r>
      <w:bookmarkEnd w:id="0"/>
      <w:bookmarkEnd w:id="1"/>
    </w:p>
    <w:p w:rsidR="001E7227" w:rsidRDefault="001E7227" w:rsidP="001E7227">
      <w:pPr>
        <w:ind w:firstLine="0"/>
        <w:jc w:val="center"/>
        <w:rPr>
          <w:rFonts w:cs="Times New Roman"/>
          <w:b/>
          <w:bCs/>
          <w:kern w:val="52"/>
          <w:sz w:val="56"/>
        </w:rPr>
      </w:pPr>
    </w:p>
    <w:p w:rsidR="001E7227" w:rsidRDefault="001E7227" w:rsidP="001E7227">
      <w:pPr>
        <w:ind w:firstLine="0"/>
        <w:jc w:val="center"/>
        <w:rPr>
          <w:rFonts w:cs="Times New Roman"/>
        </w:rPr>
      </w:pPr>
    </w:p>
    <w:p w:rsidR="001E7227" w:rsidRDefault="001E7227" w:rsidP="001E7227">
      <w:pPr>
        <w:ind w:firstLine="0"/>
        <w:jc w:val="center"/>
        <w:rPr>
          <w:rFonts w:cs="Times New Roman"/>
        </w:rPr>
      </w:pPr>
    </w:p>
    <w:p w:rsidR="001E7227" w:rsidRDefault="001E7227" w:rsidP="001E7227">
      <w:pPr>
        <w:ind w:firstLine="0"/>
        <w:jc w:val="center"/>
        <w:rPr>
          <w:rFonts w:cs="Times New Roman"/>
        </w:rPr>
      </w:pPr>
    </w:p>
    <w:p w:rsidR="001E7227" w:rsidRDefault="001E7227" w:rsidP="001E7227">
      <w:pPr>
        <w:ind w:firstLine="0"/>
        <w:jc w:val="center"/>
        <w:rPr>
          <w:rFonts w:cs="Times New Roman"/>
        </w:rPr>
      </w:pPr>
    </w:p>
    <w:p w:rsidR="001E7227" w:rsidRDefault="001E7227" w:rsidP="001E7227">
      <w:pPr>
        <w:ind w:firstLine="0"/>
        <w:jc w:val="center"/>
        <w:rPr>
          <w:rFonts w:cs="Times New Roman"/>
        </w:rPr>
      </w:pPr>
    </w:p>
    <w:p w:rsidR="001E7227" w:rsidRDefault="001E7227" w:rsidP="001E7227">
      <w:pPr>
        <w:ind w:firstLine="0"/>
        <w:jc w:val="center"/>
        <w:rPr>
          <w:rFonts w:cs="Times New Roman"/>
        </w:rPr>
      </w:pPr>
    </w:p>
    <w:p w:rsidR="001E7227" w:rsidRDefault="001E7227" w:rsidP="001E7227">
      <w:pPr>
        <w:ind w:firstLine="0"/>
        <w:jc w:val="center"/>
        <w:rPr>
          <w:rFonts w:cs="Times New Roman"/>
        </w:rPr>
      </w:pPr>
    </w:p>
    <w:p w:rsidR="001E7227" w:rsidRDefault="001E7227" w:rsidP="001E7227">
      <w:pPr>
        <w:ind w:firstLine="0"/>
        <w:jc w:val="center"/>
        <w:rPr>
          <w:rFonts w:cs="Times New Roman"/>
        </w:rPr>
      </w:pPr>
    </w:p>
    <w:p w:rsidR="001E7227" w:rsidRPr="003927D1" w:rsidRDefault="001E7227" w:rsidP="001E7227">
      <w:pPr>
        <w:ind w:firstLine="0"/>
        <w:jc w:val="left"/>
        <w:rPr>
          <w:rFonts w:cs="Times New Roman"/>
        </w:rPr>
      </w:pPr>
    </w:p>
    <w:p w:rsidR="001E7227" w:rsidRDefault="001E7227" w:rsidP="001E7227">
      <w:pPr>
        <w:ind w:firstLine="0"/>
        <w:jc w:val="left"/>
        <w:rPr>
          <w:rFonts w:cs="Times New Roman"/>
        </w:rPr>
      </w:pPr>
    </w:p>
    <w:p w:rsidR="000272FD" w:rsidRDefault="000272FD" w:rsidP="001E7227">
      <w:pPr>
        <w:ind w:firstLine="0"/>
        <w:jc w:val="left"/>
        <w:rPr>
          <w:rFonts w:cs="Times New Roman"/>
        </w:rPr>
      </w:pPr>
    </w:p>
    <w:p w:rsidR="000272FD" w:rsidRDefault="000272FD" w:rsidP="001E7227">
      <w:pPr>
        <w:ind w:firstLine="0"/>
        <w:jc w:val="left"/>
        <w:rPr>
          <w:rFonts w:cs="Times New Roman"/>
        </w:rPr>
      </w:pPr>
    </w:p>
    <w:p w:rsidR="000272FD" w:rsidRPr="003927D1" w:rsidRDefault="000272FD" w:rsidP="001E7227">
      <w:pPr>
        <w:ind w:firstLine="0"/>
        <w:jc w:val="left"/>
        <w:rPr>
          <w:rFonts w:cs="Times New Roman"/>
        </w:rPr>
      </w:pPr>
    </w:p>
    <w:p w:rsidR="001E7227" w:rsidRPr="003927D1" w:rsidRDefault="001E7227" w:rsidP="001E7227">
      <w:pPr>
        <w:jc w:val="left"/>
        <w:rPr>
          <w:rFonts w:cs="Times New Roman"/>
          <w:sz w:val="20"/>
        </w:rPr>
      </w:pPr>
    </w:p>
    <w:p w:rsidR="001E7227" w:rsidRDefault="00D41F5C" w:rsidP="001E7227">
      <w:pPr>
        <w:pBdr>
          <w:top w:val="single" w:sz="4" w:space="4" w:color="auto"/>
        </w:pBdr>
        <w:ind w:firstLine="0"/>
        <w:jc w:val="left"/>
        <w:rPr>
          <w:rFonts w:cs="Times New Roman"/>
        </w:rPr>
      </w:pPr>
      <w:r>
        <w:rPr>
          <w:rFonts w:cs="Times New Roman"/>
        </w:rPr>
        <w:t>2014</w:t>
      </w:r>
      <w:r w:rsidR="001E7227" w:rsidRPr="003927D1">
        <w:rPr>
          <w:rFonts w:cs="Times New Roman"/>
        </w:rPr>
        <w:t>. gada maijs</w:t>
      </w:r>
    </w:p>
    <w:p w:rsidR="001E7227" w:rsidRPr="003927D1" w:rsidRDefault="001E7227" w:rsidP="001E7227">
      <w:pPr>
        <w:ind w:firstLine="0"/>
        <w:jc w:val="center"/>
        <w:rPr>
          <w:rFonts w:cs="Times New Roman"/>
        </w:rPr>
      </w:pPr>
    </w:p>
    <w:p w:rsidR="00C91A4A" w:rsidRDefault="00C91A4A">
      <w:pPr>
        <w:spacing w:after="0"/>
        <w:ind w:firstLine="0"/>
        <w:jc w:val="left"/>
        <w:rPr>
          <w:noProof/>
        </w:rPr>
      </w:pPr>
    </w:p>
    <w:bookmarkStart w:id="2" w:name="_Toc325101911" w:displacedByCustomXml="next"/>
    <w:bookmarkStart w:id="3" w:name="_Toc293496356" w:displacedByCustomXml="next"/>
    <w:bookmarkStart w:id="4" w:name="_Toc262026538" w:displacedByCustomXml="next"/>
    <w:sdt>
      <w:sdtPr>
        <w:rPr>
          <w:rFonts w:ascii="Times New Roman" w:eastAsiaTheme="minorHAnsi" w:hAnsi="Times New Roman" w:cstheme="minorBidi"/>
          <w:b w:val="0"/>
          <w:bCs w:val="0"/>
          <w:color w:val="auto"/>
          <w:lang w:val="lv-LV" w:eastAsia="en-US"/>
        </w:rPr>
        <w:id w:val="-825584993"/>
        <w:docPartObj>
          <w:docPartGallery w:val="Table of Contents"/>
          <w:docPartUnique/>
        </w:docPartObj>
      </w:sdtPr>
      <w:sdtEndPr>
        <w:rPr>
          <w:noProof/>
        </w:rPr>
      </w:sdtEndPr>
      <w:sdtContent>
        <w:p w:rsidR="006E5EF0" w:rsidRPr="00C91A4A" w:rsidRDefault="006E5EF0" w:rsidP="006E5EF0">
          <w:pPr>
            <w:pStyle w:val="TOCHeading"/>
            <w:jc w:val="center"/>
            <w:rPr>
              <w:rFonts w:ascii="Times New Roman" w:hAnsi="Times New Roman" w:cs="Times New Roman"/>
              <w:color w:val="000000" w:themeColor="text1"/>
              <w:sz w:val="44"/>
            </w:rPr>
          </w:pPr>
          <w:proofErr w:type="spellStart"/>
          <w:r w:rsidRPr="00C91A4A">
            <w:rPr>
              <w:rFonts w:ascii="Times New Roman" w:hAnsi="Times New Roman" w:cs="Times New Roman"/>
              <w:color w:val="000000" w:themeColor="text1"/>
              <w:sz w:val="44"/>
            </w:rPr>
            <w:t>Saturs</w:t>
          </w:r>
          <w:proofErr w:type="spellEnd"/>
        </w:p>
        <w:p w:rsidR="006910CA" w:rsidRDefault="005C7D14">
          <w:pPr>
            <w:pStyle w:val="TOC1"/>
            <w:rPr>
              <w:rFonts w:asciiTheme="minorHAnsi" w:eastAsiaTheme="minorEastAsia" w:hAnsiTheme="minorHAnsi"/>
              <w:kern w:val="0"/>
              <w:sz w:val="22"/>
              <w:szCs w:val="22"/>
              <w:lang w:eastAsia="lv-LV"/>
            </w:rPr>
          </w:pPr>
          <w:r w:rsidRPr="005C7D14">
            <w:fldChar w:fldCharType="begin"/>
          </w:r>
          <w:r w:rsidRPr="005C7D14">
            <w:instrText xml:space="preserve"> TOC \o "1-3" \h \z \u </w:instrText>
          </w:r>
          <w:r w:rsidRPr="005C7D14">
            <w:fldChar w:fldCharType="separate"/>
          </w:r>
          <w:hyperlink w:anchor="_Toc387911137" w:history="1">
            <w:r w:rsidR="006910CA" w:rsidRPr="003C2AC0">
              <w:rPr>
                <w:rStyle w:val="Hyperlink"/>
                <w:rFonts w:cs="Times New Roman"/>
                <w:b/>
              </w:rPr>
              <w:t>Kopsavilkums</w:t>
            </w:r>
            <w:r w:rsidR="006910CA">
              <w:rPr>
                <w:webHidden/>
              </w:rPr>
              <w:tab/>
            </w:r>
            <w:r w:rsidR="006910CA">
              <w:rPr>
                <w:webHidden/>
              </w:rPr>
              <w:fldChar w:fldCharType="begin"/>
            </w:r>
            <w:r w:rsidR="006910CA">
              <w:rPr>
                <w:webHidden/>
              </w:rPr>
              <w:instrText xml:space="preserve"> PAGEREF _Toc387911137 \h </w:instrText>
            </w:r>
            <w:r w:rsidR="006910CA">
              <w:rPr>
                <w:webHidden/>
              </w:rPr>
            </w:r>
            <w:r w:rsidR="006910CA">
              <w:rPr>
                <w:webHidden/>
              </w:rPr>
              <w:fldChar w:fldCharType="separate"/>
            </w:r>
            <w:r w:rsidR="00404D8F">
              <w:rPr>
                <w:webHidden/>
              </w:rPr>
              <w:t>3</w:t>
            </w:r>
            <w:r w:rsidR="006910CA">
              <w:rPr>
                <w:webHidden/>
              </w:rPr>
              <w:fldChar w:fldCharType="end"/>
            </w:r>
          </w:hyperlink>
        </w:p>
        <w:p w:rsidR="006910CA" w:rsidRDefault="004648EC">
          <w:pPr>
            <w:pStyle w:val="TOC1"/>
            <w:tabs>
              <w:tab w:val="left" w:pos="840"/>
            </w:tabs>
            <w:rPr>
              <w:rFonts w:asciiTheme="minorHAnsi" w:eastAsiaTheme="minorEastAsia" w:hAnsiTheme="minorHAnsi"/>
              <w:kern w:val="0"/>
              <w:sz w:val="22"/>
              <w:szCs w:val="22"/>
              <w:lang w:eastAsia="lv-LV"/>
            </w:rPr>
          </w:pPr>
          <w:hyperlink w:anchor="_Toc387911138" w:history="1">
            <w:r w:rsidR="006910CA" w:rsidRPr="003C2AC0">
              <w:rPr>
                <w:rStyle w:val="Hyperlink"/>
                <w:b/>
              </w:rPr>
              <w:t>1.</w:t>
            </w:r>
            <w:r w:rsidR="006910CA">
              <w:rPr>
                <w:rFonts w:asciiTheme="minorHAnsi" w:eastAsiaTheme="minorEastAsia" w:hAnsiTheme="minorHAnsi"/>
                <w:kern w:val="0"/>
                <w:sz w:val="22"/>
                <w:szCs w:val="22"/>
                <w:lang w:eastAsia="lv-LV"/>
              </w:rPr>
              <w:tab/>
            </w:r>
            <w:r w:rsidR="006910CA" w:rsidRPr="003C2AC0">
              <w:rPr>
                <w:rStyle w:val="Hyperlink"/>
                <w:b/>
              </w:rPr>
              <w:t>Tautsaimniecības attīstība</w:t>
            </w:r>
            <w:r w:rsidR="006910CA">
              <w:rPr>
                <w:webHidden/>
              </w:rPr>
              <w:tab/>
            </w:r>
            <w:r w:rsidR="006910CA">
              <w:rPr>
                <w:webHidden/>
              </w:rPr>
              <w:fldChar w:fldCharType="begin"/>
            </w:r>
            <w:r w:rsidR="006910CA">
              <w:rPr>
                <w:webHidden/>
              </w:rPr>
              <w:instrText xml:space="preserve"> PAGEREF _Toc387911138 \h </w:instrText>
            </w:r>
            <w:r w:rsidR="006910CA">
              <w:rPr>
                <w:webHidden/>
              </w:rPr>
            </w:r>
            <w:r w:rsidR="006910CA">
              <w:rPr>
                <w:webHidden/>
              </w:rPr>
              <w:fldChar w:fldCharType="separate"/>
            </w:r>
            <w:r w:rsidR="00404D8F">
              <w:rPr>
                <w:webHidden/>
              </w:rPr>
              <w:t>5</w:t>
            </w:r>
            <w:r w:rsidR="006910CA">
              <w:rPr>
                <w:webHidden/>
              </w:rPr>
              <w:fldChar w:fldCharType="end"/>
            </w:r>
          </w:hyperlink>
        </w:p>
        <w:p w:rsidR="006910CA" w:rsidRDefault="004648EC" w:rsidP="00547F06">
          <w:pPr>
            <w:pStyle w:val="TOC2"/>
            <w:rPr>
              <w:rFonts w:asciiTheme="minorHAnsi" w:eastAsiaTheme="minorEastAsia" w:hAnsiTheme="minorHAnsi" w:cstheme="minorBidi"/>
              <w:sz w:val="22"/>
              <w:szCs w:val="22"/>
              <w:lang w:eastAsia="lv-LV"/>
            </w:rPr>
          </w:pPr>
          <w:hyperlink w:anchor="_Toc387911139" w:history="1">
            <w:r w:rsidR="006910CA" w:rsidRPr="003C2AC0">
              <w:rPr>
                <w:rStyle w:val="Hyperlink"/>
              </w:rPr>
              <w:t>1.1. Ārējā ekonomiskā vide</w:t>
            </w:r>
            <w:r w:rsidR="006910CA">
              <w:rPr>
                <w:webHidden/>
              </w:rPr>
              <w:tab/>
            </w:r>
            <w:r w:rsidR="006910CA">
              <w:rPr>
                <w:webHidden/>
              </w:rPr>
              <w:fldChar w:fldCharType="begin"/>
            </w:r>
            <w:r w:rsidR="006910CA">
              <w:rPr>
                <w:webHidden/>
              </w:rPr>
              <w:instrText xml:space="preserve"> PAGEREF _Toc387911139 \h </w:instrText>
            </w:r>
            <w:r w:rsidR="006910CA">
              <w:rPr>
                <w:webHidden/>
              </w:rPr>
            </w:r>
            <w:r w:rsidR="006910CA">
              <w:rPr>
                <w:webHidden/>
              </w:rPr>
              <w:fldChar w:fldCharType="separate"/>
            </w:r>
            <w:r w:rsidR="00404D8F">
              <w:rPr>
                <w:webHidden/>
              </w:rPr>
              <w:t>5</w:t>
            </w:r>
            <w:r w:rsidR="006910CA">
              <w:rPr>
                <w:webHidden/>
              </w:rPr>
              <w:fldChar w:fldCharType="end"/>
            </w:r>
          </w:hyperlink>
        </w:p>
        <w:p w:rsidR="006910CA" w:rsidRDefault="004648EC" w:rsidP="00547F06">
          <w:pPr>
            <w:pStyle w:val="TOC2"/>
            <w:rPr>
              <w:rFonts w:asciiTheme="minorHAnsi" w:eastAsiaTheme="minorEastAsia" w:hAnsiTheme="minorHAnsi" w:cstheme="minorBidi"/>
              <w:sz w:val="22"/>
              <w:szCs w:val="22"/>
              <w:lang w:eastAsia="lv-LV"/>
            </w:rPr>
          </w:pPr>
          <w:hyperlink w:anchor="_Toc387911140" w:history="1">
            <w:r w:rsidR="006910CA" w:rsidRPr="003C2AC0">
              <w:rPr>
                <w:rStyle w:val="Hyperlink"/>
              </w:rPr>
              <w:t>1.2. Iekšzemes kopprodukts, ekonomiskā aktivitāte</w:t>
            </w:r>
            <w:r w:rsidR="006910CA">
              <w:rPr>
                <w:webHidden/>
              </w:rPr>
              <w:tab/>
            </w:r>
            <w:r w:rsidR="006910CA">
              <w:rPr>
                <w:webHidden/>
              </w:rPr>
              <w:fldChar w:fldCharType="begin"/>
            </w:r>
            <w:r w:rsidR="006910CA">
              <w:rPr>
                <w:webHidden/>
              </w:rPr>
              <w:instrText xml:space="preserve"> PAGEREF _Toc387911140 \h </w:instrText>
            </w:r>
            <w:r w:rsidR="006910CA">
              <w:rPr>
                <w:webHidden/>
              </w:rPr>
            </w:r>
            <w:r w:rsidR="006910CA">
              <w:rPr>
                <w:webHidden/>
              </w:rPr>
              <w:fldChar w:fldCharType="separate"/>
            </w:r>
            <w:r w:rsidR="00404D8F">
              <w:rPr>
                <w:webHidden/>
              </w:rPr>
              <w:t>7</w:t>
            </w:r>
            <w:r w:rsidR="006910CA">
              <w:rPr>
                <w:webHidden/>
              </w:rPr>
              <w:fldChar w:fldCharType="end"/>
            </w:r>
          </w:hyperlink>
        </w:p>
        <w:p w:rsidR="006910CA" w:rsidRDefault="004648EC" w:rsidP="00547F06">
          <w:pPr>
            <w:pStyle w:val="TOC2"/>
            <w:rPr>
              <w:rFonts w:asciiTheme="minorHAnsi" w:eastAsiaTheme="minorEastAsia" w:hAnsiTheme="minorHAnsi" w:cstheme="minorBidi"/>
              <w:sz w:val="22"/>
              <w:szCs w:val="22"/>
              <w:lang w:eastAsia="lv-LV"/>
            </w:rPr>
          </w:pPr>
          <w:hyperlink w:anchor="_Toc387911141" w:history="1">
            <w:r w:rsidR="006910CA" w:rsidRPr="003C2AC0">
              <w:rPr>
                <w:rStyle w:val="Hyperlink"/>
                <w:rFonts w:eastAsia="Times New Roman"/>
              </w:rPr>
              <w:t>1.3. Tautsaimniecības nozaru attīstība</w:t>
            </w:r>
            <w:r w:rsidR="006910CA">
              <w:rPr>
                <w:webHidden/>
              </w:rPr>
              <w:tab/>
            </w:r>
            <w:r w:rsidR="006910CA">
              <w:rPr>
                <w:webHidden/>
              </w:rPr>
              <w:fldChar w:fldCharType="begin"/>
            </w:r>
            <w:r w:rsidR="006910CA">
              <w:rPr>
                <w:webHidden/>
              </w:rPr>
              <w:instrText xml:space="preserve"> PAGEREF _Toc387911141 \h </w:instrText>
            </w:r>
            <w:r w:rsidR="006910CA">
              <w:rPr>
                <w:webHidden/>
              </w:rPr>
            </w:r>
            <w:r w:rsidR="006910CA">
              <w:rPr>
                <w:webHidden/>
              </w:rPr>
              <w:fldChar w:fldCharType="separate"/>
            </w:r>
            <w:r w:rsidR="00404D8F">
              <w:rPr>
                <w:webHidden/>
              </w:rPr>
              <w:t>9</w:t>
            </w:r>
            <w:r w:rsidR="006910CA">
              <w:rPr>
                <w:webHidden/>
              </w:rPr>
              <w:fldChar w:fldCharType="end"/>
            </w:r>
          </w:hyperlink>
        </w:p>
        <w:p w:rsidR="006910CA" w:rsidRDefault="004648EC" w:rsidP="00547F06">
          <w:pPr>
            <w:pStyle w:val="TOC2"/>
            <w:rPr>
              <w:rFonts w:asciiTheme="minorHAnsi" w:eastAsiaTheme="minorEastAsia" w:hAnsiTheme="minorHAnsi" w:cstheme="minorBidi"/>
              <w:sz w:val="22"/>
              <w:szCs w:val="22"/>
              <w:lang w:eastAsia="lv-LV"/>
            </w:rPr>
          </w:pPr>
          <w:hyperlink w:anchor="_Toc387911142" w:history="1">
            <w:r w:rsidR="006910CA" w:rsidRPr="003C2AC0">
              <w:rPr>
                <w:rStyle w:val="Hyperlink"/>
                <w:rFonts w:eastAsia="Times New Roman"/>
              </w:rPr>
              <w:t>1.4. Inflācija</w:t>
            </w:r>
            <w:r w:rsidR="006910CA">
              <w:rPr>
                <w:webHidden/>
              </w:rPr>
              <w:tab/>
            </w:r>
            <w:r w:rsidR="006910CA">
              <w:rPr>
                <w:webHidden/>
              </w:rPr>
              <w:fldChar w:fldCharType="begin"/>
            </w:r>
            <w:r w:rsidR="006910CA">
              <w:rPr>
                <w:webHidden/>
              </w:rPr>
              <w:instrText xml:space="preserve"> PAGEREF _Toc387911142 \h </w:instrText>
            </w:r>
            <w:r w:rsidR="006910CA">
              <w:rPr>
                <w:webHidden/>
              </w:rPr>
            </w:r>
            <w:r w:rsidR="006910CA">
              <w:rPr>
                <w:webHidden/>
              </w:rPr>
              <w:fldChar w:fldCharType="separate"/>
            </w:r>
            <w:r w:rsidR="00404D8F">
              <w:rPr>
                <w:webHidden/>
              </w:rPr>
              <w:t>17</w:t>
            </w:r>
            <w:r w:rsidR="006910CA">
              <w:rPr>
                <w:webHidden/>
              </w:rPr>
              <w:fldChar w:fldCharType="end"/>
            </w:r>
          </w:hyperlink>
        </w:p>
        <w:p w:rsidR="006910CA" w:rsidRDefault="004648EC" w:rsidP="00547F06">
          <w:pPr>
            <w:pStyle w:val="TOC2"/>
            <w:rPr>
              <w:rFonts w:asciiTheme="minorHAnsi" w:eastAsiaTheme="minorEastAsia" w:hAnsiTheme="minorHAnsi" w:cstheme="minorBidi"/>
              <w:sz w:val="22"/>
              <w:szCs w:val="22"/>
              <w:lang w:eastAsia="lv-LV"/>
            </w:rPr>
          </w:pPr>
          <w:hyperlink w:anchor="_Toc387911143" w:history="1">
            <w:r w:rsidR="006910CA" w:rsidRPr="003C2AC0">
              <w:rPr>
                <w:rStyle w:val="Hyperlink"/>
                <w:rFonts w:eastAsia="Times New Roman"/>
              </w:rPr>
              <w:t>1.5. Nodarbinātība un bezdarbs</w:t>
            </w:r>
            <w:r w:rsidR="006910CA">
              <w:rPr>
                <w:webHidden/>
              </w:rPr>
              <w:tab/>
            </w:r>
            <w:r w:rsidR="006910CA">
              <w:rPr>
                <w:webHidden/>
              </w:rPr>
              <w:fldChar w:fldCharType="begin"/>
            </w:r>
            <w:r w:rsidR="006910CA">
              <w:rPr>
                <w:webHidden/>
              </w:rPr>
              <w:instrText xml:space="preserve"> PAGEREF _Toc387911143 \h </w:instrText>
            </w:r>
            <w:r w:rsidR="006910CA">
              <w:rPr>
                <w:webHidden/>
              </w:rPr>
            </w:r>
            <w:r w:rsidR="006910CA">
              <w:rPr>
                <w:webHidden/>
              </w:rPr>
              <w:fldChar w:fldCharType="separate"/>
            </w:r>
            <w:r w:rsidR="00404D8F">
              <w:rPr>
                <w:webHidden/>
              </w:rPr>
              <w:t>18</w:t>
            </w:r>
            <w:r w:rsidR="006910CA">
              <w:rPr>
                <w:webHidden/>
              </w:rPr>
              <w:fldChar w:fldCharType="end"/>
            </w:r>
          </w:hyperlink>
        </w:p>
        <w:p w:rsidR="006910CA" w:rsidRDefault="004648EC" w:rsidP="00547F06">
          <w:pPr>
            <w:pStyle w:val="TOC2"/>
            <w:rPr>
              <w:rFonts w:asciiTheme="minorHAnsi" w:eastAsiaTheme="minorEastAsia" w:hAnsiTheme="minorHAnsi" w:cstheme="minorBidi"/>
              <w:sz w:val="22"/>
              <w:szCs w:val="22"/>
              <w:lang w:eastAsia="lv-LV"/>
            </w:rPr>
          </w:pPr>
          <w:hyperlink w:anchor="_Toc387911144" w:history="1">
            <w:r w:rsidR="006910CA" w:rsidRPr="003C2AC0">
              <w:rPr>
                <w:rStyle w:val="Hyperlink"/>
                <w:rFonts w:eastAsia="Times New Roman"/>
              </w:rPr>
              <w:t>1.6. Iedzīvotāju ienākumi</w:t>
            </w:r>
            <w:r w:rsidR="006910CA">
              <w:rPr>
                <w:webHidden/>
              </w:rPr>
              <w:tab/>
            </w:r>
            <w:r w:rsidR="006910CA">
              <w:rPr>
                <w:webHidden/>
              </w:rPr>
              <w:fldChar w:fldCharType="begin"/>
            </w:r>
            <w:r w:rsidR="006910CA">
              <w:rPr>
                <w:webHidden/>
              </w:rPr>
              <w:instrText xml:space="preserve"> PAGEREF _Toc387911144 \h </w:instrText>
            </w:r>
            <w:r w:rsidR="006910CA">
              <w:rPr>
                <w:webHidden/>
              </w:rPr>
            </w:r>
            <w:r w:rsidR="006910CA">
              <w:rPr>
                <w:webHidden/>
              </w:rPr>
              <w:fldChar w:fldCharType="separate"/>
            </w:r>
            <w:r w:rsidR="00404D8F">
              <w:rPr>
                <w:webHidden/>
              </w:rPr>
              <w:t>20</w:t>
            </w:r>
            <w:r w:rsidR="006910CA">
              <w:rPr>
                <w:webHidden/>
              </w:rPr>
              <w:fldChar w:fldCharType="end"/>
            </w:r>
          </w:hyperlink>
        </w:p>
        <w:p w:rsidR="006910CA" w:rsidRDefault="004648EC" w:rsidP="00547F06">
          <w:pPr>
            <w:pStyle w:val="TOC2"/>
            <w:rPr>
              <w:rFonts w:asciiTheme="minorHAnsi" w:eastAsiaTheme="minorEastAsia" w:hAnsiTheme="minorHAnsi" w:cstheme="minorBidi"/>
              <w:sz w:val="22"/>
              <w:szCs w:val="22"/>
              <w:lang w:eastAsia="lv-LV"/>
            </w:rPr>
          </w:pPr>
          <w:hyperlink w:anchor="_Toc387911145" w:history="1">
            <w:r w:rsidR="006910CA" w:rsidRPr="003C2AC0">
              <w:rPr>
                <w:rStyle w:val="Hyperlink"/>
                <w:rFonts w:eastAsia="Times New Roman"/>
              </w:rPr>
              <w:t>1.7. Ārējā tirdzniecība</w:t>
            </w:r>
            <w:r w:rsidR="006910CA">
              <w:rPr>
                <w:webHidden/>
              </w:rPr>
              <w:tab/>
            </w:r>
            <w:r w:rsidR="006910CA">
              <w:rPr>
                <w:webHidden/>
              </w:rPr>
              <w:fldChar w:fldCharType="begin"/>
            </w:r>
            <w:r w:rsidR="006910CA">
              <w:rPr>
                <w:webHidden/>
              </w:rPr>
              <w:instrText xml:space="preserve"> PAGEREF _Toc387911145 \h </w:instrText>
            </w:r>
            <w:r w:rsidR="006910CA">
              <w:rPr>
                <w:webHidden/>
              </w:rPr>
            </w:r>
            <w:r w:rsidR="006910CA">
              <w:rPr>
                <w:webHidden/>
              </w:rPr>
              <w:fldChar w:fldCharType="separate"/>
            </w:r>
            <w:r w:rsidR="00404D8F">
              <w:rPr>
                <w:webHidden/>
              </w:rPr>
              <w:t>23</w:t>
            </w:r>
            <w:r w:rsidR="006910CA">
              <w:rPr>
                <w:webHidden/>
              </w:rPr>
              <w:fldChar w:fldCharType="end"/>
            </w:r>
          </w:hyperlink>
        </w:p>
        <w:p w:rsidR="006910CA" w:rsidRDefault="004648EC" w:rsidP="00547F06">
          <w:pPr>
            <w:pStyle w:val="TOC2"/>
            <w:rPr>
              <w:rFonts w:asciiTheme="minorHAnsi" w:eastAsiaTheme="minorEastAsia" w:hAnsiTheme="minorHAnsi" w:cstheme="minorBidi"/>
              <w:sz w:val="22"/>
              <w:szCs w:val="22"/>
              <w:lang w:eastAsia="lv-LV"/>
            </w:rPr>
          </w:pPr>
          <w:hyperlink w:anchor="_Toc387911146" w:history="1">
            <w:r w:rsidR="006910CA" w:rsidRPr="003C2AC0">
              <w:rPr>
                <w:rStyle w:val="Hyperlink"/>
                <w:rFonts w:eastAsia="Times New Roman"/>
              </w:rPr>
              <w:t>1.8. Valsts parāds</w:t>
            </w:r>
            <w:r w:rsidR="006910CA">
              <w:rPr>
                <w:webHidden/>
              </w:rPr>
              <w:tab/>
            </w:r>
            <w:r w:rsidR="006910CA">
              <w:rPr>
                <w:webHidden/>
              </w:rPr>
              <w:fldChar w:fldCharType="begin"/>
            </w:r>
            <w:r w:rsidR="006910CA">
              <w:rPr>
                <w:webHidden/>
              </w:rPr>
              <w:instrText xml:space="preserve"> PAGEREF _Toc387911146 \h </w:instrText>
            </w:r>
            <w:r w:rsidR="006910CA">
              <w:rPr>
                <w:webHidden/>
              </w:rPr>
            </w:r>
            <w:r w:rsidR="006910CA">
              <w:rPr>
                <w:webHidden/>
              </w:rPr>
              <w:fldChar w:fldCharType="separate"/>
            </w:r>
            <w:r w:rsidR="00404D8F">
              <w:rPr>
                <w:webHidden/>
              </w:rPr>
              <w:t>25</w:t>
            </w:r>
            <w:r w:rsidR="006910CA">
              <w:rPr>
                <w:webHidden/>
              </w:rPr>
              <w:fldChar w:fldCharType="end"/>
            </w:r>
          </w:hyperlink>
        </w:p>
        <w:p w:rsidR="006910CA" w:rsidRDefault="004648EC">
          <w:pPr>
            <w:pStyle w:val="TOC1"/>
            <w:tabs>
              <w:tab w:val="left" w:pos="840"/>
            </w:tabs>
            <w:rPr>
              <w:rFonts w:asciiTheme="minorHAnsi" w:eastAsiaTheme="minorEastAsia" w:hAnsiTheme="minorHAnsi"/>
              <w:kern w:val="0"/>
              <w:sz w:val="22"/>
              <w:szCs w:val="22"/>
              <w:lang w:eastAsia="lv-LV"/>
            </w:rPr>
          </w:pPr>
          <w:hyperlink w:anchor="_Toc387911147" w:history="1">
            <w:r w:rsidR="006910CA" w:rsidRPr="003C2AC0">
              <w:rPr>
                <w:rStyle w:val="Hyperlink"/>
                <w:b/>
              </w:rPr>
              <w:t>2.</w:t>
            </w:r>
            <w:r w:rsidR="006910CA">
              <w:rPr>
                <w:rFonts w:asciiTheme="minorHAnsi" w:eastAsiaTheme="minorEastAsia" w:hAnsiTheme="minorHAnsi"/>
                <w:kern w:val="0"/>
                <w:sz w:val="22"/>
                <w:szCs w:val="22"/>
                <w:lang w:eastAsia="lv-LV"/>
              </w:rPr>
              <w:tab/>
            </w:r>
            <w:r w:rsidR="006910CA" w:rsidRPr="003C2AC0">
              <w:rPr>
                <w:rStyle w:val="Hyperlink"/>
                <w:b/>
              </w:rPr>
              <w:t>Kopbudžeta izpilde</w:t>
            </w:r>
            <w:r w:rsidR="006910CA">
              <w:rPr>
                <w:webHidden/>
              </w:rPr>
              <w:tab/>
            </w:r>
            <w:r w:rsidR="006910CA">
              <w:rPr>
                <w:webHidden/>
              </w:rPr>
              <w:fldChar w:fldCharType="begin"/>
            </w:r>
            <w:r w:rsidR="006910CA">
              <w:rPr>
                <w:webHidden/>
              </w:rPr>
              <w:instrText xml:space="preserve"> PAGEREF _Toc387911147 \h </w:instrText>
            </w:r>
            <w:r w:rsidR="006910CA">
              <w:rPr>
                <w:webHidden/>
              </w:rPr>
            </w:r>
            <w:r w:rsidR="006910CA">
              <w:rPr>
                <w:webHidden/>
              </w:rPr>
              <w:fldChar w:fldCharType="separate"/>
            </w:r>
            <w:r w:rsidR="00404D8F">
              <w:rPr>
                <w:webHidden/>
              </w:rPr>
              <w:t>31</w:t>
            </w:r>
            <w:r w:rsidR="006910CA">
              <w:rPr>
                <w:webHidden/>
              </w:rPr>
              <w:fldChar w:fldCharType="end"/>
            </w:r>
          </w:hyperlink>
        </w:p>
        <w:p w:rsidR="006910CA" w:rsidRDefault="004648EC" w:rsidP="00547F06">
          <w:pPr>
            <w:pStyle w:val="TOC2"/>
            <w:rPr>
              <w:rFonts w:asciiTheme="minorHAnsi" w:eastAsiaTheme="minorEastAsia" w:hAnsiTheme="minorHAnsi" w:cstheme="minorBidi"/>
              <w:sz w:val="22"/>
              <w:szCs w:val="22"/>
              <w:lang w:eastAsia="lv-LV"/>
            </w:rPr>
          </w:pPr>
          <w:hyperlink w:anchor="_Toc387911148" w:history="1">
            <w:r w:rsidR="006910CA" w:rsidRPr="003C2AC0">
              <w:rPr>
                <w:rStyle w:val="Hyperlink"/>
              </w:rPr>
              <w:t>2.1. Vispārējs fiskālās situācijas raksturojums</w:t>
            </w:r>
            <w:r w:rsidR="006910CA">
              <w:rPr>
                <w:webHidden/>
              </w:rPr>
              <w:tab/>
            </w:r>
            <w:r w:rsidR="006910CA">
              <w:rPr>
                <w:webHidden/>
              </w:rPr>
              <w:fldChar w:fldCharType="begin"/>
            </w:r>
            <w:r w:rsidR="006910CA">
              <w:rPr>
                <w:webHidden/>
              </w:rPr>
              <w:instrText xml:space="preserve"> PAGEREF _Toc387911148 \h </w:instrText>
            </w:r>
            <w:r w:rsidR="006910CA">
              <w:rPr>
                <w:webHidden/>
              </w:rPr>
            </w:r>
            <w:r w:rsidR="006910CA">
              <w:rPr>
                <w:webHidden/>
              </w:rPr>
              <w:fldChar w:fldCharType="separate"/>
            </w:r>
            <w:r w:rsidR="00404D8F">
              <w:rPr>
                <w:webHidden/>
              </w:rPr>
              <w:t>31</w:t>
            </w:r>
            <w:r w:rsidR="006910CA">
              <w:rPr>
                <w:webHidden/>
              </w:rPr>
              <w:fldChar w:fldCharType="end"/>
            </w:r>
          </w:hyperlink>
        </w:p>
        <w:p w:rsidR="006910CA" w:rsidRDefault="004648EC" w:rsidP="00547F06">
          <w:pPr>
            <w:pStyle w:val="TOC2"/>
            <w:rPr>
              <w:rFonts w:asciiTheme="minorHAnsi" w:eastAsiaTheme="minorEastAsia" w:hAnsiTheme="minorHAnsi" w:cstheme="minorBidi"/>
              <w:sz w:val="22"/>
              <w:szCs w:val="22"/>
              <w:lang w:eastAsia="lv-LV"/>
            </w:rPr>
          </w:pPr>
          <w:hyperlink w:anchor="_Toc387911149" w:history="1">
            <w:r w:rsidR="006910CA" w:rsidRPr="003C2AC0">
              <w:rPr>
                <w:rStyle w:val="Hyperlink"/>
              </w:rPr>
              <w:t>2.2.</w:t>
            </w:r>
            <w:r w:rsidR="00547F06">
              <w:rPr>
                <w:rStyle w:val="Hyperlink"/>
              </w:rPr>
              <w:t xml:space="preserve"> </w:t>
            </w:r>
            <w:r w:rsidR="006910CA" w:rsidRPr="003C2AC0">
              <w:rPr>
                <w:rStyle w:val="Hyperlink"/>
              </w:rPr>
              <w:t>Nodokļu un nenodokļu ieņēmumi</w:t>
            </w:r>
            <w:r w:rsidR="006910CA">
              <w:rPr>
                <w:webHidden/>
              </w:rPr>
              <w:tab/>
            </w:r>
            <w:r w:rsidR="006910CA">
              <w:rPr>
                <w:webHidden/>
              </w:rPr>
              <w:fldChar w:fldCharType="begin"/>
            </w:r>
            <w:r w:rsidR="006910CA">
              <w:rPr>
                <w:webHidden/>
              </w:rPr>
              <w:instrText xml:space="preserve"> PAGEREF _Toc387911149 \h </w:instrText>
            </w:r>
            <w:r w:rsidR="006910CA">
              <w:rPr>
                <w:webHidden/>
              </w:rPr>
            </w:r>
            <w:r w:rsidR="006910CA">
              <w:rPr>
                <w:webHidden/>
              </w:rPr>
              <w:fldChar w:fldCharType="separate"/>
            </w:r>
            <w:r w:rsidR="00404D8F">
              <w:rPr>
                <w:webHidden/>
              </w:rPr>
              <w:t>33</w:t>
            </w:r>
            <w:r w:rsidR="006910CA">
              <w:rPr>
                <w:webHidden/>
              </w:rPr>
              <w:fldChar w:fldCharType="end"/>
            </w:r>
          </w:hyperlink>
        </w:p>
        <w:p w:rsidR="006910CA" w:rsidRDefault="004648EC">
          <w:pPr>
            <w:pStyle w:val="TOC3"/>
            <w:rPr>
              <w:rFonts w:asciiTheme="minorHAnsi" w:eastAsiaTheme="minorEastAsia" w:hAnsiTheme="minorHAnsi"/>
              <w:sz w:val="22"/>
              <w:szCs w:val="22"/>
              <w:lang w:eastAsia="lv-LV"/>
            </w:rPr>
          </w:pPr>
          <w:hyperlink w:anchor="_Toc387911150" w:history="1">
            <w:r w:rsidR="006910CA" w:rsidRPr="003C2AC0">
              <w:rPr>
                <w:rStyle w:val="Hyperlink"/>
                <w:b/>
              </w:rPr>
              <w:t>2.2.1.</w:t>
            </w:r>
            <w:r w:rsidR="006910CA">
              <w:rPr>
                <w:rFonts w:asciiTheme="minorHAnsi" w:eastAsiaTheme="minorEastAsia" w:hAnsiTheme="minorHAnsi"/>
                <w:sz w:val="22"/>
                <w:szCs w:val="22"/>
                <w:lang w:eastAsia="lv-LV"/>
              </w:rPr>
              <w:tab/>
            </w:r>
            <w:r w:rsidR="006910CA" w:rsidRPr="003C2AC0">
              <w:rPr>
                <w:rStyle w:val="Hyperlink"/>
                <w:b/>
              </w:rPr>
              <w:t>Nodokļi ieņēmumu izpilde</w:t>
            </w:r>
            <w:r w:rsidR="006910CA">
              <w:rPr>
                <w:webHidden/>
              </w:rPr>
              <w:tab/>
            </w:r>
            <w:r w:rsidR="006910CA">
              <w:rPr>
                <w:webHidden/>
              </w:rPr>
              <w:fldChar w:fldCharType="begin"/>
            </w:r>
            <w:r w:rsidR="006910CA">
              <w:rPr>
                <w:webHidden/>
              </w:rPr>
              <w:instrText xml:space="preserve"> PAGEREF _Toc387911150 \h </w:instrText>
            </w:r>
            <w:r w:rsidR="006910CA">
              <w:rPr>
                <w:webHidden/>
              </w:rPr>
            </w:r>
            <w:r w:rsidR="006910CA">
              <w:rPr>
                <w:webHidden/>
              </w:rPr>
              <w:fldChar w:fldCharType="separate"/>
            </w:r>
            <w:r w:rsidR="00404D8F">
              <w:rPr>
                <w:webHidden/>
              </w:rPr>
              <w:t>33</w:t>
            </w:r>
            <w:r w:rsidR="006910CA">
              <w:rPr>
                <w:webHidden/>
              </w:rPr>
              <w:fldChar w:fldCharType="end"/>
            </w:r>
          </w:hyperlink>
        </w:p>
        <w:p w:rsidR="006910CA" w:rsidRDefault="004648EC">
          <w:pPr>
            <w:pStyle w:val="TOC3"/>
            <w:rPr>
              <w:rFonts w:asciiTheme="minorHAnsi" w:eastAsiaTheme="minorEastAsia" w:hAnsiTheme="minorHAnsi"/>
              <w:sz w:val="22"/>
              <w:szCs w:val="22"/>
              <w:lang w:eastAsia="lv-LV"/>
            </w:rPr>
          </w:pPr>
          <w:hyperlink w:anchor="_Toc387911151" w:history="1">
            <w:r w:rsidR="006910CA" w:rsidRPr="003C2AC0">
              <w:rPr>
                <w:rStyle w:val="Hyperlink"/>
                <w:b/>
              </w:rPr>
              <w:t>2.2.2.</w:t>
            </w:r>
            <w:r w:rsidR="006910CA">
              <w:rPr>
                <w:rFonts w:asciiTheme="minorHAnsi" w:eastAsiaTheme="minorEastAsia" w:hAnsiTheme="minorHAnsi"/>
                <w:sz w:val="22"/>
                <w:szCs w:val="22"/>
                <w:lang w:eastAsia="lv-LV"/>
              </w:rPr>
              <w:tab/>
            </w:r>
            <w:r w:rsidR="006910CA" w:rsidRPr="003C2AC0">
              <w:rPr>
                <w:rStyle w:val="Hyperlink"/>
                <w:b/>
              </w:rPr>
              <w:t>Valsts pamatbudžeta nenodokļu ieņēmumu izpilde</w:t>
            </w:r>
            <w:r w:rsidR="006910CA">
              <w:rPr>
                <w:webHidden/>
              </w:rPr>
              <w:tab/>
            </w:r>
            <w:r w:rsidR="006910CA">
              <w:rPr>
                <w:webHidden/>
              </w:rPr>
              <w:fldChar w:fldCharType="begin"/>
            </w:r>
            <w:r w:rsidR="006910CA">
              <w:rPr>
                <w:webHidden/>
              </w:rPr>
              <w:instrText xml:space="preserve"> PAGEREF _Toc387911151 \h </w:instrText>
            </w:r>
            <w:r w:rsidR="006910CA">
              <w:rPr>
                <w:webHidden/>
              </w:rPr>
            </w:r>
            <w:r w:rsidR="006910CA">
              <w:rPr>
                <w:webHidden/>
              </w:rPr>
              <w:fldChar w:fldCharType="separate"/>
            </w:r>
            <w:r w:rsidR="00404D8F">
              <w:rPr>
                <w:webHidden/>
              </w:rPr>
              <w:t>45</w:t>
            </w:r>
            <w:r w:rsidR="006910CA">
              <w:rPr>
                <w:webHidden/>
              </w:rPr>
              <w:fldChar w:fldCharType="end"/>
            </w:r>
          </w:hyperlink>
        </w:p>
        <w:p w:rsidR="006910CA" w:rsidRDefault="004648EC" w:rsidP="00547F06">
          <w:pPr>
            <w:pStyle w:val="TOC2"/>
            <w:rPr>
              <w:rFonts w:asciiTheme="minorHAnsi" w:eastAsiaTheme="minorEastAsia" w:hAnsiTheme="minorHAnsi" w:cstheme="minorBidi"/>
              <w:sz w:val="22"/>
              <w:szCs w:val="22"/>
              <w:lang w:eastAsia="lv-LV"/>
            </w:rPr>
          </w:pPr>
          <w:hyperlink w:anchor="_Toc387911152" w:history="1">
            <w:r w:rsidR="006910CA" w:rsidRPr="003C2AC0">
              <w:rPr>
                <w:rStyle w:val="Hyperlink"/>
              </w:rPr>
              <w:t>2.3. Valsts konsolidētā budžeta izpilde</w:t>
            </w:r>
            <w:r w:rsidR="006910CA">
              <w:rPr>
                <w:webHidden/>
              </w:rPr>
              <w:tab/>
            </w:r>
            <w:r w:rsidR="006910CA">
              <w:rPr>
                <w:webHidden/>
              </w:rPr>
              <w:fldChar w:fldCharType="begin"/>
            </w:r>
            <w:r w:rsidR="006910CA">
              <w:rPr>
                <w:webHidden/>
              </w:rPr>
              <w:instrText xml:space="preserve"> PAGEREF _Toc387911152 \h </w:instrText>
            </w:r>
            <w:r w:rsidR="006910CA">
              <w:rPr>
                <w:webHidden/>
              </w:rPr>
            </w:r>
            <w:r w:rsidR="006910CA">
              <w:rPr>
                <w:webHidden/>
              </w:rPr>
              <w:fldChar w:fldCharType="separate"/>
            </w:r>
            <w:r w:rsidR="00404D8F">
              <w:rPr>
                <w:webHidden/>
              </w:rPr>
              <w:t>46</w:t>
            </w:r>
            <w:r w:rsidR="006910CA">
              <w:rPr>
                <w:webHidden/>
              </w:rPr>
              <w:fldChar w:fldCharType="end"/>
            </w:r>
          </w:hyperlink>
        </w:p>
        <w:p w:rsidR="006910CA" w:rsidRDefault="004648EC" w:rsidP="00547F06">
          <w:pPr>
            <w:pStyle w:val="TOC2"/>
            <w:rPr>
              <w:rFonts w:asciiTheme="minorHAnsi" w:eastAsiaTheme="minorEastAsia" w:hAnsiTheme="minorHAnsi" w:cstheme="minorBidi"/>
              <w:sz w:val="22"/>
              <w:szCs w:val="22"/>
              <w:lang w:eastAsia="lv-LV"/>
            </w:rPr>
          </w:pPr>
          <w:hyperlink w:anchor="_Toc387911153" w:history="1">
            <w:r w:rsidR="006910CA" w:rsidRPr="003C2AC0">
              <w:rPr>
                <w:rStyle w:val="Hyperlink"/>
              </w:rPr>
              <w:t>2.4.</w:t>
            </w:r>
            <w:r w:rsidR="006910CA">
              <w:rPr>
                <w:rFonts w:asciiTheme="minorHAnsi" w:eastAsiaTheme="minorEastAsia" w:hAnsiTheme="minorHAnsi" w:cstheme="minorBidi"/>
                <w:sz w:val="22"/>
                <w:szCs w:val="22"/>
                <w:lang w:eastAsia="lv-LV"/>
              </w:rPr>
              <w:tab/>
            </w:r>
            <w:r w:rsidR="006910CA" w:rsidRPr="003C2AC0">
              <w:rPr>
                <w:rStyle w:val="Hyperlink"/>
              </w:rPr>
              <w:t>Pašvaldību budžeta izpilde</w:t>
            </w:r>
            <w:r w:rsidR="006910CA">
              <w:rPr>
                <w:webHidden/>
              </w:rPr>
              <w:tab/>
            </w:r>
            <w:r w:rsidR="006910CA">
              <w:rPr>
                <w:webHidden/>
              </w:rPr>
              <w:fldChar w:fldCharType="begin"/>
            </w:r>
            <w:r w:rsidR="006910CA">
              <w:rPr>
                <w:webHidden/>
              </w:rPr>
              <w:instrText xml:space="preserve"> PAGEREF _Toc387911153 \h </w:instrText>
            </w:r>
            <w:r w:rsidR="006910CA">
              <w:rPr>
                <w:webHidden/>
              </w:rPr>
            </w:r>
            <w:r w:rsidR="006910CA">
              <w:rPr>
                <w:webHidden/>
              </w:rPr>
              <w:fldChar w:fldCharType="separate"/>
            </w:r>
            <w:r w:rsidR="00404D8F">
              <w:rPr>
                <w:webHidden/>
              </w:rPr>
              <w:t>58</w:t>
            </w:r>
            <w:r w:rsidR="006910CA">
              <w:rPr>
                <w:webHidden/>
              </w:rPr>
              <w:fldChar w:fldCharType="end"/>
            </w:r>
          </w:hyperlink>
        </w:p>
        <w:p w:rsidR="006910CA" w:rsidRDefault="004648EC" w:rsidP="00547F06">
          <w:pPr>
            <w:pStyle w:val="TOC2"/>
            <w:rPr>
              <w:rFonts w:asciiTheme="minorHAnsi" w:eastAsiaTheme="minorEastAsia" w:hAnsiTheme="minorHAnsi" w:cstheme="minorBidi"/>
              <w:sz w:val="22"/>
              <w:szCs w:val="22"/>
              <w:lang w:eastAsia="lv-LV"/>
            </w:rPr>
          </w:pPr>
          <w:hyperlink w:anchor="_Toc387911154" w:history="1">
            <w:r w:rsidR="006910CA" w:rsidRPr="003C2AC0">
              <w:rPr>
                <w:rStyle w:val="Hyperlink"/>
                <w:rFonts w:eastAsiaTheme="majorEastAsia"/>
                <w:bCs/>
              </w:rPr>
              <w:t>2.5.</w:t>
            </w:r>
            <w:r w:rsidR="006910CA">
              <w:rPr>
                <w:rFonts w:asciiTheme="minorHAnsi" w:eastAsiaTheme="minorEastAsia" w:hAnsiTheme="minorHAnsi" w:cstheme="minorBidi"/>
                <w:sz w:val="22"/>
                <w:szCs w:val="22"/>
                <w:lang w:eastAsia="lv-LV"/>
              </w:rPr>
              <w:tab/>
            </w:r>
            <w:r w:rsidR="006910CA" w:rsidRPr="003C2AC0">
              <w:rPr>
                <w:rStyle w:val="Hyperlink"/>
                <w:rFonts w:eastAsiaTheme="majorEastAsia"/>
                <w:bCs/>
              </w:rPr>
              <w:t>Valsts aizdevumu kopsavilkums</w:t>
            </w:r>
            <w:r w:rsidR="006910CA">
              <w:rPr>
                <w:webHidden/>
              </w:rPr>
              <w:tab/>
            </w:r>
            <w:r w:rsidR="006910CA">
              <w:rPr>
                <w:webHidden/>
              </w:rPr>
              <w:fldChar w:fldCharType="begin"/>
            </w:r>
            <w:r w:rsidR="006910CA">
              <w:rPr>
                <w:webHidden/>
              </w:rPr>
              <w:instrText xml:space="preserve"> PAGEREF _Toc387911154 \h </w:instrText>
            </w:r>
            <w:r w:rsidR="006910CA">
              <w:rPr>
                <w:webHidden/>
              </w:rPr>
            </w:r>
            <w:r w:rsidR="006910CA">
              <w:rPr>
                <w:webHidden/>
              </w:rPr>
              <w:fldChar w:fldCharType="separate"/>
            </w:r>
            <w:r w:rsidR="00404D8F">
              <w:rPr>
                <w:webHidden/>
              </w:rPr>
              <w:t>60</w:t>
            </w:r>
            <w:r w:rsidR="006910CA">
              <w:rPr>
                <w:webHidden/>
              </w:rPr>
              <w:fldChar w:fldCharType="end"/>
            </w:r>
          </w:hyperlink>
        </w:p>
        <w:p w:rsidR="005C7D14" w:rsidRDefault="005C7D14">
          <w:r w:rsidRPr="005C7D14">
            <w:rPr>
              <w:bCs/>
              <w:noProof/>
            </w:rPr>
            <w:fldChar w:fldCharType="end"/>
          </w:r>
        </w:p>
      </w:sdtContent>
    </w:sdt>
    <w:p w:rsidR="005C7D14" w:rsidRDefault="005C7D14">
      <w:pPr>
        <w:spacing w:after="0"/>
        <w:ind w:firstLine="0"/>
        <w:jc w:val="left"/>
        <w:rPr>
          <w:rFonts w:cs="Times New Roman"/>
          <w:b/>
          <w:kern w:val="28"/>
          <w:sz w:val="44"/>
          <w:szCs w:val="44"/>
        </w:rPr>
      </w:pPr>
      <w:r>
        <w:rPr>
          <w:rFonts w:cs="Times New Roman"/>
          <w:b/>
          <w:kern w:val="28"/>
          <w:sz w:val="44"/>
          <w:szCs w:val="44"/>
        </w:rPr>
        <w:br w:type="page"/>
      </w:r>
    </w:p>
    <w:p w:rsidR="00062774" w:rsidRDefault="00062774" w:rsidP="00494C2B">
      <w:pPr>
        <w:keepNext/>
        <w:spacing w:before="240" w:after="60"/>
        <w:ind w:left="851" w:hanging="851"/>
        <w:jc w:val="center"/>
        <w:outlineLvl w:val="0"/>
        <w:rPr>
          <w:rFonts w:cs="Times New Roman"/>
          <w:b/>
          <w:kern w:val="28"/>
          <w:sz w:val="44"/>
          <w:szCs w:val="44"/>
        </w:rPr>
      </w:pPr>
      <w:bookmarkStart w:id="5" w:name="_Toc387845613"/>
      <w:bookmarkStart w:id="6" w:name="_Toc387911137"/>
      <w:r w:rsidRPr="00062774">
        <w:rPr>
          <w:rFonts w:cs="Times New Roman"/>
          <w:b/>
          <w:kern w:val="28"/>
          <w:sz w:val="44"/>
          <w:szCs w:val="44"/>
        </w:rPr>
        <w:lastRenderedPageBreak/>
        <w:t>Kopsavilkums</w:t>
      </w:r>
      <w:bookmarkEnd w:id="5"/>
      <w:bookmarkEnd w:id="6"/>
    </w:p>
    <w:p w:rsidR="0079557A" w:rsidRPr="0079557A" w:rsidRDefault="0079557A" w:rsidP="00062774">
      <w:pPr>
        <w:keepNext/>
        <w:spacing w:before="240" w:after="60"/>
        <w:jc w:val="center"/>
        <w:outlineLvl w:val="0"/>
        <w:rPr>
          <w:rFonts w:cs="Times New Roman"/>
          <w:b/>
          <w:kern w:val="28"/>
          <w:sz w:val="8"/>
          <w:szCs w:val="44"/>
        </w:rPr>
      </w:pPr>
    </w:p>
    <w:p w:rsidR="00062774" w:rsidRPr="00062774" w:rsidRDefault="00062774" w:rsidP="005C7D14">
      <w:r w:rsidRPr="00062774">
        <w:t>Iekšzemes kopprodukta ātrais novērtējums uzrāda, ka 2014. gada 1. ceturksnī salīdzinājumā ar 2013.  gada attiecīgo ceturksni ekonomika ir pieaugusi par 2,8%. Lai gan gada griezumā izaugsme ir samazinājusies, IKP joprojām uzrāda pozitīvus pieauguma tempus un salīdzinājumā ar iepriekšējo ceturksni sezonāli izlīdzinātais IKP ir pieaudzis par 0,7%. Ātrajā novērtējumā tiek sniegts tikai ierobežots IKP pievienotās vērtības sadalījums, taču, balstoties uz rīcībā esošo informāciju, šobrīd ir zināms, ka IKP apjomu kāpumu nodrošināja pieaugumi būvniecībā, mazumtirdzniecībā un pārējās pakalpojumu nozarēs.</w:t>
      </w:r>
    </w:p>
    <w:p w:rsidR="00062774" w:rsidRPr="00062774" w:rsidRDefault="00062774" w:rsidP="005C7D14">
      <w:r w:rsidRPr="00062774">
        <w:t xml:space="preserve"> Atšķirībā no iepriekšējiem gadiem, kad noteicošais ekonomiskās izaugsmes dzinējspēks bija eksports, 2013.gadā spēcīgo ekonomikas izaugsmi nodrošināja iekšējais pieprasījums. Lielāko ieguldījumu izaugsmē deva būvniecības un tirdzniecības nozares, kā arī darījumi ar nekustamo īpašumu, kas kopā veidoja vairāk nekā trešdaļu no IKP pieauguma. </w:t>
      </w:r>
    </w:p>
    <w:p w:rsidR="00062774" w:rsidRPr="00062774" w:rsidRDefault="00062774" w:rsidP="005C7D14">
      <w:r w:rsidRPr="00062774">
        <w:t>Salīdzinoši zemā inflācija un uzlabojumi darba tirgū, t.sk. darba algas pieaugums, noteiks to, ka arī 2014. gadā salīdzinoši liela nozīme ekonomikas izaugsmē būs tieši vietējam patēriņam. Lai arī tika izteiktas bažas par Ukrainas un Krievijas krīzes ietekmi uz Latvijas ārējo tirdzniecību, detalizētie dati par š.g. 1. ceturksni neapstiprina, ka pašreizējā ģeopolitiskā situācija Austrumeiropā būtu negatīvi ietekmējusi eksporta apjomus un ekonomikas kopējo ceturkšņa izaugsmi. Turklāt, augošie uzņēmēju konfidenču rādītāji Eiropas Savienībā norāda uz potenciālo eksporta apjomu pieaugumu ES tirgos un investīciju vides uzlabojumiem, tādējādi dodot pamatu sabalansētai ekonomikas izaugsmei.</w:t>
      </w:r>
    </w:p>
    <w:p w:rsidR="00062774" w:rsidRPr="00062774" w:rsidRDefault="00062774" w:rsidP="005C7D14">
      <w:pPr>
        <w:rPr>
          <w:lang w:eastAsia="lv-LV"/>
        </w:rPr>
      </w:pPr>
      <w:r w:rsidRPr="00062774">
        <w:t xml:space="preserve">Oficiāli reģistrētā bezdarba līmenis 2014. gada 1. ceturkšņa beigās bija 9,8% no ekonomiski aktīvajiem iedzīvotājiem – par 1,0 procentpunktu zemāks nekā 2013. gada 1. ceturkšņa beigās. Kopējais valstī reģistrēto bezdarbnieku skaits </w:t>
      </w:r>
      <w:r w:rsidRPr="00062774">
        <w:rPr>
          <w:lang w:eastAsia="lv-LV"/>
        </w:rPr>
        <w:t>pēdējā gada laikā ir sarucis par 10,6 tūkstošiem cilvēku jeb 9,9% un 2013.gada marta beigās bija 96,5 tūkstotis cilvēku.</w:t>
      </w:r>
    </w:p>
    <w:p w:rsidR="00062774" w:rsidRPr="00062774" w:rsidRDefault="00062774" w:rsidP="005C7D14">
      <w:r w:rsidRPr="00062774">
        <w:t xml:space="preserve">Turpinoties ekonomikas izaugsmei, kopējos nodokļu ieņēmumos šā gada pirmajā ceturksnī bija vērojams kāpums salīdzinājumā ar iepriekšējā gada atbilstošo periodu un kopumā tie bija atbilstoši plānotajam līmenim. Vislielāko pieaugumu nodrošināja pievienotās vērtības nodokļa un nekustamā īpašuma nodokļa ieņēmumu kāpums, un šo nodokļu ieņēmumi pārsniedza plānoto apjomu. Tāpat nedaudz palielinājās arī sociālās apdrošināšanas iemaksu apjoms.  Neskatoties uz sarežģīto ģeopolitisko situāciju kaimiņu reģionos, pēc pirmā ceturkšņa budžeta datiem tās negatīvā ietekme uz valsts finansēm nav novērojama. Taču, ņemot vērā neskaidro situācijas attīstību, Finanšu ministrija ir samazinājusi ekonomikas izaugsmes prognozi 2014.gadam no 4,3% uz 4,0%. Atbilstoši pēdējām prognozēm, kas ir iekļautas Latvijas Stabilitātes programmā 2014-2017, vispārējās valdības budžeta deficīts 2014.gadā tiek </w:t>
      </w:r>
      <w:r w:rsidRPr="00062774">
        <w:lastRenderedPageBreak/>
        <w:t>prognozēts 1,0% no IKP apmērā, savukārt vispārējās valdības bruto parāda prognoze ir 38,8% no IKP.</w:t>
      </w:r>
    </w:p>
    <w:p w:rsidR="00FC7C07" w:rsidRDefault="00062774" w:rsidP="005C7D14">
      <w:pPr>
        <w:rPr>
          <w:rFonts w:eastAsia="Times New Roman"/>
          <w:szCs w:val="24"/>
          <w:lang w:eastAsia="lv-LV"/>
        </w:rPr>
      </w:pPr>
      <w:r w:rsidRPr="00062774">
        <w:t>Kopumā šā gada pirmajā ceturksnī konsolidētajā kopbudžetā bija finansiālais pārpalikums 27,0 milj. eiro, kas salīdzinājumā ar 2013. gada pirmo ceturksnī samazinājās par 18,3 milj. </w:t>
      </w:r>
      <w:proofErr w:type="spellStart"/>
      <w:r w:rsidR="00404D8F" w:rsidRPr="00404D8F">
        <w:rPr>
          <w:i/>
        </w:rPr>
        <w:t>euro</w:t>
      </w:r>
      <w:proofErr w:type="spellEnd"/>
      <w:r w:rsidRPr="00062774">
        <w:t xml:space="preserve">. </w:t>
      </w:r>
      <w:r w:rsidRPr="00062774">
        <w:rPr>
          <w:rFonts w:eastAsia="Times New Roman"/>
          <w:szCs w:val="24"/>
          <w:lang w:eastAsia="lv-LV"/>
        </w:rPr>
        <w:t>Kopbudžeta izpildē bija vērojama iepriekšējo gadu sākumam raksturīga situācija un pārpalikumu galvenokārt nodrošināja pārpalikums pašvaldību budžetā 78,</w:t>
      </w:r>
      <w:r w:rsidRPr="00062774">
        <w:t>2 milj</w:t>
      </w:r>
      <w:r w:rsidRPr="00062774">
        <w:rPr>
          <w:rFonts w:eastAsia="Times New Roman"/>
          <w:szCs w:val="24"/>
          <w:lang w:eastAsia="lv-LV"/>
        </w:rPr>
        <w:t>. </w:t>
      </w:r>
      <w:proofErr w:type="spellStart"/>
      <w:r w:rsidR="00404D8F" w:rsidRPr="00404D8F">
        <w:rPr>
          <w:rFonts w:eastAsia="Times New Roman"/>
          <w:i/>
          <w:szCs w:val="24"/>
          <w:lang w:eastAsia="lv-LV"/>
        </w:rPr>
        <w:t>euro</w:t>
      </w:r>
      <w:proofErr w:type="spellEnd"/>
      <w:r w:rsidRPr="00062774">
        <w:rPr>
          <w:rFonts w:eastAsia="Times New Roman"/>
          <w:szCs w:val="24"/>
          <w:lang w:eastAsia="lv-LV"/>
        </w:rPr>
        <w:t xml:space="preserve"> apmērā, kas salīdzinājumā ar iepriekšējā gada pirmo ceturksni ir pieaudzis par 16,3 milj. </w:t>
      </w:r>
      <w:proofErr w:type="spellStart"/>
      <w:r w:rsidR="00404D8F" w:rsidRPr="00404D8F">
        <w:rPr>
          <w:rFonts w:eastAsia="Times New Roman"/>
          <w:i/>
          <w:szCs w:val="24"/>
          <w:lang w:eastAsia="lv-LV"/>
        </w:rPr>
        <w:t>euro</w:t>
      </w:r>
      <w:proofErr w:type="spellEnd"/>
      <w:r w:rsidRPr="00062774">
        <w:rPr>
          <w:rFonts w:eastAsia="Times New Roman"/>
          <w:szCs w:val="24"/>
          <w:lang w:eastAsia="lv-LV"/>
        </w:rPr>
        <w:t>. Šā gada sākumā ievērojami (par 34,6 milj. </w:t>
      </w:r>
      <w:proofErr w:type="spellStart"/>
      <w:r w:rsidR="00404D8F" w:rsidRPr="00404D8F">
        <w:rPr>
          <w:rFonts w:eastAsia="Times New Roman"/>
          <w:i/>
          <w:szCs w:val="24"/>
          <w:lang w:eastAsia="lv-LV"/>
        </w:rPr>
        <w:t>euro</w:t>
      </w:r>
      <w:proofErr w:type="spellEnd"/>
      <w:r w:rsidRPr="00062774">
        <w:rPr>
          <w:rFonts w:eastAsia="Times New Roman"/>
          <w:szCs w:val="24"/>
          <w:lang w:eastAsia="lv-LV"/>
        </w:rPr>
        <w:t>) palielinājās valsts budžeta deficīts, sasniedzot 51,3 milj. </w:t>
      </w:r>
      <w:proofErr w:type="spellStart"/>
      <w:r w:rsidR="00404D8F" w:rsidRPr="00404D8F">
        <w:rPr>
          <w:rFonts w:eastAsia="Times New Roman"/>
          <w:i/>
          <w:szCs w:val="24"/>
          <w:lang w:eastAsia="lv-LV"/>
        </w:rPr>
        <w:t>euro</w:t>
      </w:r>
      <w:proofErr w:type="spellEnd"/>
      <w:r w:rsidRPr="00062774">
        <w:rPr>
          <w:rFonts w:eastAsia="Times New Roman"/>
          <w:szCs w:val="24"/>
          <w:lang w:eastAsia="lv-LV"/>
        </w:rPr>
        <w:t xml:space="preserve">. Ja analizē valsts budžetu pa līmeņiem, tad redzams, ka valsts pamatbudžetā pirmajā ceturksnī bija deficīts 80,3 milj. </w:t>
      </w:r>
      <w:proofErr w:type="spellStart"/>
      <w:r w:rsidR="00404D8F" w:rsidRPr="00404D8F">
        <w:rPr>
          <w:rFonts w:eastAsia="Times New Roman"/>
          <w:i/>
          <w:szCs w:val="24"/>
          <w:lang w:eastAsia="lv-LV"/>
        </w:rPr>
        <w:t>euro</w:t>
      </w:r>
      <w:proofErr w:type="spellEnd"/>
      <w:r w:rsidRPr="00062774">
        <w:rPr>
          <w:rFonts w:eastAsia="Times New Roman"/>
          <w:szCs w:val="24"/>
          <w:lang w:eastAsia="lv-LV"/>
        </w:rPr>
        <w:t xml:space="preserve"> (2013.gada pirmajā ceturksnī bija pārpalikums 8,5 milj. </w:t>
      </w:r>
      <w:proofErr w:type="spellStart"/>
      <w:r w:rsidR="00404D8F" w:rsidRPr="00404D8F">
        <w:rPr>
          <w:rFonts w:eastAsia="Times New Roman"/>
          <w:i/>
          <w:szCs w:val="24"/>
          <w:lang w:eastAsia="lv-LV"/>
        </w:rPr>
        <w:t>euro</w:t>
      </w:r>
      <w:proofErr w:type="spellEnd"/>
      <w:r w:rsidRPr="00062774">
        <w:rPr>
          <w:rFonts w:eastAsia="Times New Roman"/>
          <w:szCs w:val="24"/>
          <w:lang w:eastAsia="lv-LV"/>
        </w:rPr>
        <w:t xml:space="preserve">), savukārt valsts speciālajā budžetā bija pārpalikums 23,8 milj. </w:t>
      </w:r>
      <w:proofErr w:type="spellStart"/>
      <w:r w:rsidR="00404D8F" w:rsidRPr="00404D8F">
        <w:rPr>
          <w:rFonts w:eastAsia="Times New Roman"/>
          <w:i/>
          <w:szCs w:val="24"/>
          <w:lang w:eastAsia="lv-LV"/>
        </w:rPr>
        <w:t>euro</w:t>
      </w:r>
      <w:proofErr w:type="spellEnd"/>
      <w:r w:rsidRPr="00062774">
        <w:rPr>
          <w:rFonts w:eastAsia="Times New Roman"/>
          <w:szCs w:val="24"/>
          <w:lang w:eastAsia="lv-LV"/>
        </w:rPr>
        <w:t xml:space="preserve"> (2013.gada pirmajā ceturksnī bija deficīts 25,3 milj. </w:t>
      </w:r>
      <w:proofErr w:type="spellStart"/>
      <w:r w:rsidR="00404D8F" w:rsidRPr="00404D8F">
        <w:rPr>
          <w:rFonts w:eastAsia="Times New Roman"/>
          <w:i/>
          <w:szCs w:val="24"/>
          <w:lang w:eastAsia="lv-LV"/>
        </w:rPr>
        <w:t>euro</w:t>
      </w:r>
      <w:proofErr w:type="spellEnd"/>
      <w:r w:rsidRPr="00062774">
        <w:rPr>
          <w:rFonts w:eastAsia="Times New Roman"/>
          <w:szCs w:val="24"/>
          <w:lang w:eastAsia="lv-LV"/>
        </w:rPr>
        <w:t xml:space="preserve">). Tas skaidrojams ar to, ka sākot ar 2014. gadu ir ieviests valsts pamatbudžeta </w:t>
      </w:r>
      <w:proofErr w:type="spellStart"/>
      <w:r w:rsidRPr="00062774">
        <w:rPr>
          <w:rFonts w:eastAsia="Times New Roman"/>
          <w:szCs w:val="24"/>
          <w:lang w:eastAsia="lv-LV"/>
        </w:rPr>
        <w:t>transferts</w:t>
      </w:r>
      <w:proofErr w:type="spellEnd"/>
      <w:r w:rsidRPr="00062774">
        <w:rPr>
          <w:rFonts w:eastAsia="Times New Roman"/>
          <w:szCs w:val="24"/>
          <w:lang w:eastAsia="lv-LV"/>
        </w:rPr>
        <w:t xml:space="preserve"> uz valsts speciālo budžetu pensiju piemaksu izmaksai, kā rezultātā sociālās apdrošināšanas budžetā palielinājās ieņēmumi un tādējādi uzlabojās bilance.</w:t>
      </w:r>
    </w:p>
    <w:p w:rsidR="00FC7C07" w:rsidRDefault="00FC7C07">
      <w:pPr>
        <w:spacing w:after="0"/>
        <w:ind w:firstLine="0"/>
        <w:jc w:val="left"/>
        <w:rPr>
          <w:rFonts w:eastAsia="Times New Roman"/>
          <w:szCs w:val="24"/>
          <w:lang w:eastAsia="lv-LV"/>
        </w:rPr>
      </w:pPr>
      <w:r>
        <w:rPr>
          <w:rFonts w:eastAsia="Times New Roman"/>
          <w:szCs w:val="24"/>
          <w:lang w:eastAsia="lv-LV"/>
        </w:rPr>
        <w:br w:type="page"/>
      </w:r>
    </w:p>
    <w:p w:rsidR="00FC7C07" w:rsidRDefault="00FC7C07" w:rsidP="00494C2B">
      <w:pPr>
        <w:pStyle w:val="ListParagraph"/>
        <w:keepNext/>
        <w:numPr>
          <w:ilvl w:val="0"/>
          <w:numId w:val="27"/>
        </w:numPr>
        <w:spacing w:after="100" w:afterAutospacing="1"/>
        <w:ind w:left="851" w:hanging="862"/>
        <w:jc w:val="center"/>
        <w:outlineLvl w:val="0"/>
        <w:rPr>
          <w:b/>
          <w:kern w:val="28"/>
          <w:sz w:val="44"/>
        </w:rPr>
      </w:pPr>
      <w:bookmarkStart w:id="7" w:name="_Toc387911138"/>
      <w:bookmarkStart w:id="8" w:name="_Toc325101912"/>
      <w:bookmarkStart w:id="9" w:name="_Toc387845615"/>
      <w:bookmarkEnd w:id="4"/>
      <w:bookmarkEnd w:id="3"/>
      <w:bookmarkEnd w:id="2"/>
      <w:r w:rsidRPr="006E5EF0">
        <w:rPr>
          <w:b/>
          <w:kern w:val="28"/>
          <w:sz w:val="44"/>
        </w:rPr>
        <w:lastRenderedPageBreak/>
        <w:t>Tautsaimniecības attīstība</w:t>
      </w:r>
      <w:bookmarkEnd w:id="7"/>
    </w:p>
    <w:p w:rsidR="00062774" w:rsidRPr="00062774" w:rsidRDefault="00062774" w:rsidP="00FC7C07">
      <w:pPr>
        <w:spacing w:after="100" w:afterAutospacing="1"/>
        <w:ind w:firstLine="0"/>
        <w:jc w:val="center"/>
        <w:outlineLvl w:val="1"/>
        <w:rPr>
          <w:rFonts w:eastAsia="Calibri" w:cs="Times New Roman"/>
          <w:b/>
          <w:sz w:val="36"/>
          <w:szCs w:val="20"/>
        </w:rPr>
      </w:pPr>
      <w:bookmarkStart w:id="10" w:name="_Toc387911139"/>
      <w:r w:rsidRPr="00062774">
        <w:rPr>
          <w:rFonts w:eastAsia="Calibri" w:cs="Times New Roman"/>
          <w:b/>
          <w:sz w:val="36"/>
          <w:szCs w:val="20"/>
        </w:rPr>
        <w:t>1.1. Ārējā ekonomiskā vide</w:t>
      </w:r>
      <w:bookmarkEnd w:id="8"/>
      <w:bookmarkEnd w:id="9"/>
      <w:bookmarkEnd w:id="10"/>
    </w:p>
    <w:p w:rsidR="00062774" w:rsidRPr="00062774" w:rsidRDefault="00062774" w:rsidP="00062774">
      <w:pPr>
        <w:ind w:firstLine="720"/>
        <w:rPr>
          <w:rFonts w:cs="Times New Roman"/>
        </w:rPr>
      </w:pPr>
      <w:bookmarkStart w:id="11" w:name="_Toc262026540"/>
      <w:bookmarkStart w:id="12" w:name="_Toc262026541"/>
      <w:r w:rsidRPr="00062774">
        <w:rPr>
          <w:rFonts w:cs="Times New Roman"/>
        </w:rPr>
        <w:t xml:space="preserve">Kopš 2013.gada vidus ir vērojama pakāpeniska globālās ekonomiskās situācijas uzlabošanās. Sagaidāms, ka šāda tendence turpināsies arī 2014. un 2015.gadā. Šobrīd par galveno izaugsmes virzītāju ir kļuvis kopējā pieprasījuma pieaugums attīstītajās valstīs, īpaši Amerikas Savienotajās valstīs, kur mazinājusies nenoteiktība par fiskālo politiku un uzlabojumi darba tirgū sekmē privātā patēriņa izaugsmi, kas šobrīd ir galvenais izaugsmi virzošais faktors. Pozitīvas tendences vērojamas arī </w:t>
      </w:r>
      <w:proofErr w:type="spellStart"/>
      <w:r w:rsidRPr="00404D8F">
        <w:rPr>
          <w:rFonts w:cs="Times New Roman"/>
          <w:i/>
        </w:rPr>
        <w:t>e</w:t>
      </w:r>
      <w:r w:rsidR="00404D8F" w:rsidRPr="00404D8F">
        <w:rPr>
          <w:rFonts w:cs="Times New Roman"/>
          <w:i/>
        </w:rPr>
        <w:t>u</w:t>
      </w:r>
      <w:r w:rsidRPr="00404D8F">
        <w:rPr>
          <w:rFonts w:cs="Times New Roman"/>
          <w:i/>
        </w:rPr>
        <w:t>ro</w:t>
      </w:r>
      <w:proofErr w:type="spellEnd"/>
      <w:r w:rsidR="00404D8F">
        <w:rPr>
          <w:rFonts w:cs="Times New Roman"/>
        </w:rPr>
        <w:t xml:space="preserve"> </w:t>
      </w:r>
      <w:r w:rsidRPr="00062774">
        <w:rPr>
          <w:rFonts w:cs="Times New Roman"/>
        </w:rPr>
        <w:t>zonā, kas 2013.gada pēdējā ceturksnī atgriezās pie pozitīvas izaugsmes, kas ir kļuvusi sabalansētāka gan starp valstīm, gan izaugsmi virzošajiem faktoriem.</w:t>
      </w:r>
    </w:p>
    <w:p w:rsidR="00062774" w:rsidRDefault="00062774" w:rsidP="00062774">
      <w:pPr>
        <w:ind w:firstLine="720"/>
        <w:rPr>
          <w:rFonts w:cs="Times New Roman"/>
        </w:rPr>
      </w:pPr>
      <w:r w:rsidRPr="00062774">
        <w:rPr>
          <w:rFonts w:cs="Times New Roman"/>
        </w:rPr>
        <w:t xml:space="preserve">Tikmēr attīstības valstu ekonomiskās izaugsmes perspektīvas kļuvušas neskaidrākas un ar šīm valstīm saistītie riski pasaules izaugsmei ir pieauguši. No vienas puses, attīstības valstis ir ekonomiski atkarīgas no eksporta iespējām, kas ir tieši saistīts ar norisēm attīstītajās valstīs, kur pēdējā laikā ir vērojamas pozitīvas tendences un tiek prognozēts, ka turpmāk to izaugsme kļūs spēcīgāka. Savukārt no otras puses, izaugsmi attīstības valstīs ierobežos gaidāmās izmaiņas attīstīto valstu monetārajā politikā, kas, uzlabojoties ekonomiskajai situācijai, varētu kļūt mazāk stimulējoša un vidējā termiņā ir sagaidāms arī procentu likmju pieaugums. Šādas izmaiņas veicinās izmaiņas globālajās kapitāla plūsmās, kas kopumā bremzēs kreditēšanu un mazinās iekšējo pieprasījumu attīstības valstīs, ko pastiprinās atsevišķu valstu ārējās nesabalansētības. </w:t>
      </w:r>
    </w:p>
    <w:p w:rsidR="00566CD3" w:rsidRPr="00062774" w:rsidRDefault="00566CD3" w:rsidP="00062774">
      <w:pPr>
        <w:ind w:firstLine="720"/>
        <w:rPr>
          <w:rFonts w:cs="Times New Roman"/>
        </w:rPr>
      </w:pPr>
    </w:p>
    <w:p w:rsidR="00062774" w:rsidRPr="005C00B2" w:rsidRDefault="00062774" w:rsidP="00062774">
      <w:pPr>
        <w:rPr>
          <w:rFonts w:cs="Times New Roman"/>
          <w:b/>
          <w:i/>
          <w:sz w:val="24"/>
        </w:rPr>
      </w:pPr>
      <w:r w:rsidRPr="005C00B2">
        <w:rPr>
          <w:rFonts w:cs="Times New Roman"/>
          <w:b/>
          <w:i/>
          <w:sz w:val="24"/>
        </w:rPr>
        <w:t>1.tabula Galvenie makroekonomiskie rādītāji, gada pieaugumi, %</w:t>
      </w:r>
      <w:r w:rsidRPr="004C654B">
        <w:rPr>
          <w:rFonts w:cs="Times New Roman"/>
          <w:b/>
          <w:i/>
          <w:sz w:val="24"/>
          <w:vertAlign w:val="superscript"/>
        </w:rPr>
        <w:footnoteReference w:id="1"/>
      </w:r>
    </w:p>
    <w:tbl>
      <w:tblPr>
        <w:tblStyle w:val="TableGrid1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8"/>
        <w:gridCol w:w="1012"/>
        <w:gridCol w:w="1012"/>
        <w:gridCol w:w="1012"/>
        <w:gridCol w:w="1012"/>
      </w:tblGrid>
      <w:tr w:rsidR="00062774" w:rsidRPr="00062774" w:rsidTr="00565B8A">
        <w:trPr>
          <w:trHeight w:val="324"/>
          <w:jc w:val="center"/>
        </w:trPr>
        <w:tc>
          <w:tcPr>
            <w:tcW w:w="4248" w:type="dxa"/>
            <w:tcBorders>
              <w:top w:val="single" w:sz="4" w:space="0" w:color="auto"/>
              <w:bottom w:val="single" w:sz="4" w:space="0" w:color="auto"/>
            </w:tcBorders>
          </w:tcPr>
          <w:p w:rsidR="00062774" w:rsidRPr="00062774" w:rsidRDefault="00062774" w:rsidP="00062774">
            <w:pPr>
              <w:spacing w:after="0"/>
              <w:ind w:firstLine="0"/>
              <w:rPr>
                <w:rFonts w:eastAsia="Calibri" w:cs="Times New Roman"/>
              </w:rPr>
            </w:pPr>
          </w:p>
        </w:tc>
        <w:tc>
          <w:tcPr>
            <w:tcW w:w="1012" w:type="dxa"/>
            <w:tcBorders>
              <w:top w:val="single" w:sz="4" w:space="0" w:color="auto"/>
              <w:bottom w:val="single" w:sz="4" w:space="0" w:color="auto"/>
            </w:tcBorders>
            <w:shd w:val="clear" w:color="auto" w:fill="F2F2F2"/>
          </w:tcPr>
          <w:p w:rsidR="00062774" w:rsidRPr="00062774" w:rsidRDefault="00062774" w:rsidP="00062774">
            <w:pPr>
              <w:spacing w:after="0"/>
              <w:ind w:firstLine="0"/>
              <w:rPr>
                <w:rFonts w:eastAsia="Calibri" w:cs="Times New Roman"/>
              </w:rPr>
            </w:pPr>
            <w:r w:rsidRPr="00062774">
              <w:rPr>
                <w:rFonts w:eastAsia="Calibri" w:cs="Times New Roman"/>
              </w:rPr>
              <w:t>2012</w:t>
            </w:r>
          </w:p>
        </w:tc>
        <w:tc>
          <w:tcPr>
            <w:tcW w:w="1012" w:type="dxa"/>
            <w:tcBorders>
              <w:top w:val="single" w:sz="4" w:space="0" w:color="auto"/>
              <w:bottom w:val="single" w:sz="4" w:space="0" w:color="auto"/>
            </w:tcBorders>
          </w:tcPr>
          <w:p w:rsidR="00062774" w:rsidRPr="00062774" w:rsidRDefault="00062774" w:rsidP="00062774">
            <w:pPr>
              <w:spacing w:after="0"/>
              <w:ind w:firstLine="0"/>
              <w:rPr>
                <w:rFonts w:eastAsia="Calibri" w:cs="Times New Roman"/>
              </w:rPr>
            </w:pPr>
            <w:r w:rsidRPr="00062774">
              <w:rPr>
                <w:rFonts w:eastAsia="Calibri" w:cs="Times New Roman"/>
              </w:rPr>
              <w:t>2013</w:t>
            </w:r>
          </w:p>
        </w:tc>
        <w:tc>
          <w:tcPr>
            <w:tcW w:w="1012" w:type="dxa"/>
            <w:tcBorders>
              <w:top w:val="single" w:sz="4" w:space="0" w:color="auto"/>
              <w:bottom w:val="single" w:sz="4" w:space="0" w:color="auto"/>
            </w:tcBorders>
            <w:shd w:val="clear" w:color="auto" w:fill="F2F2F2"/>
          </w:tcPr>
          <w:p w:rsidR="00062774" w:rsidRPr="00062774" w:rsidRDefault="00062774" w:rsidP="00062774">
            <w:pPr>
              <w:spacing w:after="0"/>
              <w:ind w:firstLine="0"/>
              <w:rPr>
                <w:rFonts w:eastAsia="Calibri" w:cs="Times New Roman"/>
              </w:rPr>
            </w:pPr>
            <w:r w:rsidRPr="00062774">
              <w:rPr>
                <w:rFonts w:eastAsia="Calibri" w:cs="Times New Roman"/>
              </w:rPr>
              <w:t>2014p</w:t>
            </w:r>
          </w:p>
        </w:tc>
        <w:tc>
          <w:tcPr>
            <w:tcW w:w="1012" w:type="dxa"/>
            <w:tcBorders>
              <w:top w:val="single" w:sz="4" w:space="0" w:color="auto"/>
              <w:bottom w:val="single" w:sz="4" w:space="0" w:color="auto"/>
            </w:tcBorders>
          </w:tcPr>
          <w:p w:rsidR="00062774" w:rsidRPr="00062774" w:rsidRDefault="00062774" w:rsidP="00062774">
            <w:pPr>
              <w:spacing w:after="0"/>
              <w:ind w:firstLine="0"/>
              <w:rPr>
                <w:rFonts w:eastAsia="Calibri" w:cs="Times New Roman"/>
              </w:rPr>
            </w:pPr>
            <w:r w:rsidRPr="00062774">
              <w:rPr>
                <w:rFonts w:eastAsia="Calibri" w:cs="Times New Roman"/>
              </w:rPr>
              <w:t>2015p</w:t>
            </w:r>
          </w:p>
        </w:tc>
      </w:tr>
      <w:tr w:rsidR="00062774" w:rsidRPr="00062774" w:rsidTr="00565B8A">
        <w:trPr>
          <w:trHeight w:val="324"/>
          <w:jc w:val="center"/>
        </w:trPr>
        <w:tc>
          <w:tcPr>
            <w:tcW w:w="4248" w:type="dxa"/>
            <w:tcBorders>
              <w:top w:val="single" w:sz="4" w:space="0" w:color="auto"/>
            </w:tcBorders>
          </w:tcPr>
          <w:p w:rsidR="00062774" w:rsidRPr="00062774" w:rsidRDefault="00062774" w:rsidP="00062774">
            <w:pPr>
              <w:spacing w:after="0"/>
              <w:ind w:firstLine="0"/>
              <w:rPr>
                <w:rFonts w:eastAsia="Calibri" w:cs="Times New Roman"/>
              </w:rPr>
            </w:pPr>
            <w:r w:rsidRPr="00062774">
              <w:rPr>
                <w:rFonts w:eastAsia="Calibri" w:cs="Times New Roman"/>
              </w:rPr>
              <w:t>Globālās ekonomikas IKP pieaugums, %</w:t>
            </w:r>
          </w:p>
        </w:tc>
        <w:tc>
          <w:tcPr>
            <w:tcW w:w="1012" w:type="dxa"/>
            <w:tcBorders>
              <w:top w:val="single" w:sz="4" w:space="0" w:color="auto"/>
            </w:tcBorders>
            <w:shd w:val="clear" w:color="auto" w:fill="F2F2F2"/>
          </w:tcPr>
          <w:p w:rsidR="00062774" w:rsidRPr="00062774" w:rsidRDefault="00062774" w:rsidP="00062774">
            <w:pPr>
              <w:spacing w:after="0"/>
              <w:ind w:firstLine="0"/>
              <w:jc w:val="center"/>
              <w:rPr>
                <w:rFonts w:eastAsia="Calibri" w:cs="Times New Roman"/>
              </w:rPr>
            </w:pPr>
            <w:r w:rsidRPr="00062774">
              <w:rPr>
                <w:rFonts w:eastAsia="Calibri" w:cs="Times New Roman"/>
              </w:rPr>
              <w:t>3,2</w:t>
            </w:r>
          </w:p>
        </w:tc>
        <w:tc>
          <w:tcPr>
            <w:tcW w:w="1012" w:type="dxa"/>
            <w:tcBorders>
              <w:top w:val="single" w:sz="4" w:space="0" w:color="auto"/>
            </w:tcBorders>
          </w:tcPr>
          <w:p w:rsidR="00062774" w:rsidRPr="00062774" w:rsidRDefault="00062774" w:rsidP="00062774">
            <w:pPr>
              <w:spacing w:after="0"/>
              <w:ind w:firstLine="0"/>
              <w:jc w:val="center"/>
              <w:rPr>
                <w:rFonts w:eastAsia="Calibri" w:cs="Times New Roman"/>
              </w:rPr>
            </w:pPr>
            <w:r w:rsidRPr="00062774">
              <w:rPr>
                <w:rFonts w:eastAsia="Calibri" w:cs="Times New Roman"/>
              </w:rPr>
              <w:t>3,0</w:t>
            </w:r>
          </w:p>
        </w:tc>
        <w:tc>
          <w:tcPr>
            <w:tcW w:w="1012" w:type="dxa"/>
            <w:tcBorders>
              <w:top w:val="single" w:sz="4" w:space="0" w:color="auto"/>
            </w:tcBorders>
            <w:shd w:val="clear" w:color="auto" w:fill="F2F2F2"/>
          </w:tcPr>
          <w:p w:rsidR="00062774" w:rsidRPr="00062774" w:rsidRDefault="00062774" w:rsidP="00062774">
            <w:pPr>
              <w:spacing w:after="0"/>
              <w:ind w:firstLine="0"/>
              <w:jc w:val="center"/>
              <w:rPr>
                <w:rFonts w:eastAsia="Calibri" w:cs="Times New Roman"/>
              </w:rPr>
            </w:pPr>
            <w:r w:rsidRPr="00062774">
              <w:rPr>
                <w:rFonts w:eastAsia="Calibri" w:cs="Times New Roman"/>
              </w:rPr>
              <w:t>3,6</w:t>
            </w:r>
          </w:p>
        </w:tc>
        <w:tc>
          <w:tcPr>
            <w:tcW w:w="1012" w:type="dxa"/>
            <w:tcBorders>
              <w:top w:val="single" w:sz="4" w:space="0" w:color="auto"/>
            </w:tcBorders>
          </w:tcPr>
          <w:p w:rsidR="00062774" w:rsidRPr="00062774" w:rsidRDefault="00062774" w:rsidP="00062774">
            <w:pPr>
              <w:spacing w:after="0"/>
              <w:ind w:firstLine="0"/>
              <w:jc w:val="center"/>
              <w:rPr>
                <w:rFonts w:eastAsia="Calibri" w:cs="Times New Roman"/>
              </w:rPr>
            </w:pPr>
            <w:r w:rsidRPr="00062774">
              <w:rPr>
                <w:rFonts w:eastAsia="Calibri" w:cs="Times New Roman"/>
              </w:rPr>
              <w:t>3,9</w:t>
            </w:r>
          </w:p>
        </w:tc>
      </w:tr>
      <w:tr w:rsidR="00062774" w:rsidRPr="00062774" w:rsidTr="00565B8A">
        <w:trPr>
          <w:trHeight w:val="324"/>
          <w:jc w:val="center"/>
        </w:trPr>
        <w:tc>
          <w:tcPr>
            <w:tcW w:w="4248" w:type="dxa"/>
          </w:tcPr>
          <w:p w:rsidR="00062774" w:rsidRPr="00062774" w:rsidRDefault="00062774" w:rsidP="00062774">
            <w:pPr>
              <w:spacing w:after="0"/>
              <w:ind w:firstLine="0"/>
              <w:rPr>
                <w:rFonts w:eastAsia="Calibri" w:cs="Times New Roman"/>
              </w:rPr>
            </w:pPr>
            <w:r w:rsidRPr="00062774">
              <w:rPr>
                <w:rFonts w:eastAsia="Calibri" w:cs="Times New Roman"/>
              </w:rPr>
              <w:t>Attīstīto valstu IKP pieaugums, %</w:t>
            </w:r>
          </w:p>
        </w:tc>
        <w:tc>
          <w:tcPr>
            <w:tcW w:w="1012" w:type="dxa"/>
            <w:shd w:val="clear" w:color="auto" w:fill="F2F2F2"/>
          </w:tcPr>
          <w:p w:rsidR="00062774" w:rsidRPr="00062774" w:rsidRDefault="00062774" w:rsidP="00062774">
            <w:pPr>
              <w:spacing w:after="0"/>
              <w:ind w:firstLine="0"/>
              <w:jc w:val="center"/>
              <w:rPr>
                <w:rFonts w:eastAsia="Calibri" w:cs="Times New Roman"/>
              </w:rPr>
            </w:pPr>
            <w:r w:rsidRPr="00062774">
              <w:rPr>
                <w:rFonts w:eastAsia="Calibri" w:cs="Times New Roman"/>
              </w:rPr>
              <w:t>1,4</w:t>
            </w:r>
          </w:p>
        </w:tc>
        <w:tc>
          <w:tcPr>
            <w:tcW w:w="1012" w:type="dxa"/>
          </w:tcPr>
          <w:p w:rsidR="00062774" w:rsidRPr="00062774" w:rsidRDefault="00062774" w:rsidP="00062774">
            <w:pPr>
              <w:spacing w:after="0"/>
              <w:ind w:firstLine="0"/>
              <w:jc w:val="center"/>
              <w:rPr>
                <w:rFonts w:eastAsia="Calibri" w:cs="Times New Roman"/>
              </w:rPr>
            </w:pPr>
            <w:r w:rsidRPr="00062774">
              <w:rPr>
                <w:rFonts w:eastAsia="Calibri" w:cs="Times New Roman"/>
              </w:rPr>
              <w:t>1,3</w:t>
            </w:r>
          </w:p>
        </w:tc>
        <w:tc>
          <w:tcPr>
            <w:tcW w:w="1012" w:type="dxa"/>
            <w:shd w:val="clear" w:color="auto" w:fill="F2F2F2"/>
          </w:tcPr>
          <w:p w:rsidR="00062774" w:rsidRPr="00062774" w:rsidRDefault="00062774" w:rsidP="00062774">
            <w:pPr>
              <w:spacing w:after="0"/>
              <w:ind w:firstLine="0"/>
              <w:jc w:val="center"/>
              <w:rPr>
                <w:rFonts w:eastAsia="Calibri" w:cs="Times New Roman"/>
              </w:rPr>
            </w:pPr>
            <w:r w:rsidRPr="00062774">
              <w:rPr>
                <w:rFonts w:eastAsia="Calibri" w:cs="Times New Roman"/>
              </w:rPr>
              <w:t>2,2</w:t>
            </w:r>
          </w:p>
        </w:tc>
        <w:tc>
          <w:tcPr>
            <w:tcW w:w="1012" w:type="dxa"/>
          </w:tcPr>
          <w:p w:rsidR="00062774" w:rsidRPr="00062774" w:rsidRDefault="00062774" w:rsidP="00062774">
            <w:pPr>
              <w:spacing w:after="0"/>
              <w:ind w:firstLine="0"/>
              <w:jc w:val="center"/>
              <w:rPr>
                <w:rFonts w:eastAsia="Calibri" w:cs="Times New Roman"/>
              </w:rPr>
            </w:pPr>
            <w:r w:rsidRPr="00062774">
              <w:rPr>
                <w:rFonts w:eastAsia="Calibri" w:cs="Times New Roman"/>
              </w:rPr>
              <w:t>2,3</w:t>
            </w:r>
          </w:p>
        </w:tc>
      </w:tr>
      <w:tr w:rsidR="00062774" w:rsidRPr="00062774" w:rsidTr="00565B8A">
        <w:trPr>
          <w:trHeight w:val="324"/>
          <w:jc w:val="center"/>
        </w:trPr>
        <w:tc>
          <w:tcPr>
            <w:tcW w:w="4248" w:type="dxa"/>
          </w:tcPr>
          <w:p w:rsidR="00062774" w:rsidRPr="00062774" w:rsidRDefault="00062774" w:rsidP="00062774">
            <w:pPr>
              <w:spacing w:after="0"/>
              <w:ind w:firstLine="0"/>
              <w:rPr>
                <w:rFonts w:eastAsia="Calibri" w:cs="Times New Roman"/>
              </w:rPr>
            </w:pPr>
            <w:r w:rsidRPr="00062774">
              <w:rPr>
                <w:rFonts w:eastAsia="Calibri" w:cs="Times New Roman"/>
              </w:rPr>
              <w:t>Attīstības valstu IKP pieaugums, %</w:t>
            </w:r>
          </w:p>
        </w:tc>
        <w:tc>
          <w:tcPr>
            <w:tcW w:w="1012" w:type="dxa"/>
            <w:shd w:val="clear" w:color="auto" w:fill="F2F2F2"/>
          </w:tcPr>
          <w:p w:rsidR="00062774" w:rsidRPr="00062774" w:rsidRDefault="00062774" w:rsidP="00062774">
            <w:pPr>
              <w:spacing w:after="0"/>
              <w:ind w:firstLine="0"/>
              <w:jc w:val="center"/>
              <w:rPr>
                <w:rFonts w:eastAsia="Calibri" w:cs="Times New Roman"/>
              </w:rPr>
            </w:pPr>
            <w:r w:rsidRPr="00062774">
              <w:rPr>
                <w:rFonts w:eastAsia="Calibri" w:cs="Times New Roman"/>
              </w:rPr>
              <w:t>5,0</w:t>
            </w:r>
          </w:p>
        </w:tc>
        <w:tc>
          <w:tcPr>
            <w:tcW w:w="1012" w:type="dxa"/>
          </w:tcPr>
          <w:p w:rsidR="00062774" w:rsidRPr="00062774" w:rsidRDefault="00062774" w:rsidP="00062774">
            <w:pPr>
              <w:spacing w:after="0"/>
              <w:ind w:firstLine="0"/>
              <w:jc w:val="center"/>
              <w:rPr>
                <w:rFonts w:eastAsia="Calibri" w:cs="Times New Roman"/>
              </w:rPr>
            </w:pPr>
            <w:r w:rsidRPr="00062774">
              <w:rPr>
                <w:rFonts w:eastAsia="Calibri" w:cs="Times New Roman"/>
              </w:rPr>
              <w:t>4,7</w:t>
            </w:r>
          </w:p>
        </w:tc>
        <w:tc>
          <w:tcPr>
            <w:tcW w:w="1012" w:type="dxa"/>
            <w:shd w:val="clear" w:color="auto" w:fill="F2F2F2"/>
          </w:tcPr>
          <w:p w:rsidR="00062774" w:rsidRPr="00062774" w:rsidRDefault="00062774" w:rsidP="00062774">
            <w:pPr>
              <w:spacing w:after="0"/>
              <w:ind w:firstLine="0"/>
              <w:jc w:val="center"/>
              <w:rPr>
                <w:rFonts w:eastAsia="Calibri" w:cs="Times New Roman"/>
              </w:rPr>
            </w:pPr>
            <w:r w:rsidRPr="00062774">
              <w:rPr>
                <w:rFonts w:eastAsia="Calibri" w:cs="Times New Roman"/>
              </w:rPr>
              <w:t>4,9</w:t>
            </w:r>
          </w:p>
        </w:tc>
        <w:tc>
          <w:tcPr>
            <w:tcW w:w="1012" w:type="dxa"/>
          </w:tcPr>
          <w:p w:rsidR="00062774" w:rsidRPr="00062774" w:rsidRDefault="00062774" w:rsidP="00062774">
            <w:pPr>
              <w:spacing w:after="0"/>
              <w:ind w:firstLine="0"/>
              <w:jc w:val="center"/>
              <w:rPr>
                <w:rFonts w:eastAsia="Calibri" w:cs="Times New Roman"/>
              </w:rPr>
            </w:pPr>
            <w:r w:rsidRPr="00062774">
              <w:rPr>
                <w:rFonts w:eastAsia="Calibri" w:cs="Times New Roman"/>
              </w:rPr>
              <w:t>5,3</w:t>
            </w:r>
          </w:p>
        </w:tc>
      </w:tr>
      <w:tr w:rsidR="00062774" w:rsidRPr="00062774" w:rsidTr="00565B8A">
        <w:trPr>
          <w:trHeight w:val="324"/>
          <w:jc w:val="center"/>
        </w:trPr>
        <w:tc>
          <w:tcPr>
            <w:tcW w:w="4248" w:type="dxa"/>
          </w:tcPr>
          <w:p w:rsidR="00062774" w:rsidRPr="00062774" w:rsidRDefault="00062774" w:rsidP="00062774">
            <w:pPr>
              <w:spacing w:after="0"/>
              <w:ind w:firstLine="0"/>
              <w:rPr>
                <w:rFonts w:eastAsia="Calibri" w:cs="Times New Roman"/>
              </w:rPr>
            </w:pPr>
            <w:r w:rsidRPr="00062774">
              <w:rPr>
                <w:rFonts w:eastAsia="Calibri" w:cs="Times New Roman"/>
              </w:rPr>
              <w:t>Starptautiskā tirdzniecība, %</w:t>
            </w:r>
          </w:p>
        </w:tc>
        <w:tc>
          <w:tcPr>
            <w:tcW w:w="1012" w:type="dxa"/>
            <w:shd w:val="clear" w:color="auto" w:fill="F2F2F2"/>
          </w:tcPr>
          <w:p w:rsidR="00062774" w:rsidRPr="00062774" w:rsidRDefault="00062774" w:rsidP="00062774">
            <w:pPr>
              <w:spacing w:after="0"/>
              <w:ind w:firstLine="0"/>
              <w:jc w:val="center"/>
              <w:rPr>
                <w:rFonts w:eastAsia="Calibri" w:cs="Times New Roman"/>
              </w:rPr>
            </w:pPr>
            <w:r w:rsidRPr="00062774">
              <w:rPr>
                <w:rFonts w:eastAsia="Calibri" w:cs="Times New Roman"/>
              </w:rPr>
              <w:t>2,8</w:t>
            </w:r>
          </w:p>
        </w:tc>
        <w:tc>
          <w:tcPr>
            <w:tcW w:w="1012" w:type="dxa"/>
          </w:tcPr>
          <w:p w:rsidR="00062774" w:rsidRPr="00062774" w:rsidRDefault="00062774" w:rsidP="00062774">
            <w:pPr>
              <w:spacing w:after="0"/>
              <w:ind w:firstLine="0"/>
              <w:jc w:val="center"/>
              <w:rPr>
                <w:rFonts w:eastAsia="Calibri" w:cs="Times New Roman"/>
              </w:rPr>
            </w:pPr>
            <w:r w:rsidRPr="00062774">
              <w:rPr>
                <w:rFonts w:eastAsia="Calibri" w:cs="Times New Roman"/>
              </w:rPr>
              <w:t>3,0</w:t>
            </w:r>
          </w:p>
        </w:tc>
        <w:tc>
          <w:tcPr>
            <w:tcW w:w="1012" w:type="dxa"/>
            <w:shd w:val="clear" w:color="auto" w:fill="F2F2F2"/>
          </w:tcPr>
          <w:p w:rsidR="00062774" w:rsidRPr="00062774" w:rsidRDefault="00062774" w:rsidP="00062774">
            <w:pPr>
              <w:spacing w:after="0"/>
              <w:ind w:firstLine="0"/>
              <w:jc w:val="center"/>
              <w:rPr>
                <w:rFonts w:eastAsia="Calibri" w:cs="Times New Roman"/>
              </w:rPr>
            </w:pPr>
            <w:r w:rsidRPr="00062774">
              <w:rPr>
                <w:rFonts w:eastAsia="Calibri" w:cs="Times New Roman"/>
              </w:rPr>
              <w:t>4,3</w:t>
            </w:r>
          </w:p>
        </w:tc>
        <w:tc>
          <w:tcPr>
            <w:tcW w:w="1012" w:type="dxa"/>
          </w:tcPr>
          <w:p w:rsidR="00062774" w:rsidRPr="00062774" w:rsidRDefault="00062774" w:rsidP="00062774">
            <w:pPr>
              <w:spacing w:after="0"/>
              <w:ind w:firstLine="0"/>
              <w:jc w:val="center"/>
              <w:rPr>
                <w:rFonts w:eastAsia="Calibri" w:cs="Times New Roman"/>
              </w:rPr>
            </w:pPr>
            <w:r w:rsidRPr="00062774">
              <w:rPr>
                <w:rFonts w:eastAsia="Calibri" w:cs="Times New Roman"/>
              </w:rPr>
              <w:t>5,3</w:t>
            </w:r>
          </w:p>
        </w:tc>
      </w:tr>
      <w:tr w:rsidR="00062774" w:rsidRPr="00062774" w:rsidTr="00565B8A">
        <w:trPr>
          <w:trHeight w:val="324"/>
          <w:jc w:val="center"/>
        </w:trPr>
        <w:tc>
          <w:tcPr>
            <w:tcW w:w="4248" w:type="dxa"/>
          </w:tcPr>
          <w:p w:rsidR="00062774" w:rsidRPr="00062774" w:rsidRDefault="00062774" w:rsidP="00062774">
            <w:pPr>
              <w:spacing w:after="0"/>
              <w:ind w:firstLine="0"/>
              <w:rPr>
                <w:rFonts w:eastAsia="Calibri" w:cs="Times New Roman"/>
              </w:rPr>
            </w:pPr>
            <w:r w:rsidRPr="00062774">
              <w:rPr>
                <w:rFonts w:eastAsia="Calibri" w:cs="Times New Roman"/>
              </w:rPr>
              <w:t>Inflācija attīstītajās valstīs, %</w:t>
            </w:r>
          </w:p>
        </w:tc>
        <w:tc>
          <w:tcPr>
            <w:tcW w:w="1012" w:type="dxa"/>
            <w:shd w:val="clear" w:color="auto" w:fill="F2F2F2"/>
          </w:tcPr>
          <w:p w:rsidR="00062774" w:rsidRPr="00062774" w:rsidRDefault="00062774" w:rsidP="00062774">
            <w:pPr>
              <w:spacing w:after="0"/>
              <w:ind w:firstLine="0"/>
              <w:jc w:val="center"/>
              <w:rPr>
                <w:rFonts w:eastAsia="Calibri" w:cs="Times New Roman"/>
              </w:rPr>
            </w:pPr>
            <w:r w:rsidRPr="00062774">
              <w:rPr>
                <w:rFonts w:eastAsia="Calibri" w:cs="Times New Roman"/>
              </w:rPr>
              <w:t>2,0</w:t>
            </w:r>
          </w:p>
        </w:tc>
        <w:tc>
          <w:tcPr>
            <w:tcW w:w="1012" w:type="dxa"/>
          </w:tcPr>
          <w:p w:rsidR="00062774" w:rsidRPr="00062774" w:rsidRDefault="00062774" w:rsidP="00062774">
            <w:pPr>
              <w:spacing w:after="0"/>
              <w:ind w:firstLine="0"/>
              <w:jc w:val="center"/>
              <w:rPr>
                <w:rFonts w:eastAsia="Calibri" w:cs="Times New Roman"/>
              </w:rPr>
            </w:pPr>
            <w:r w:rsidRPr="00062774">
              <w:rPr>
                <w:rFonts w:eastAsia="Calibri" w:cs="Times New Roman"/>
              </w:rPr>
              <w:t>1,4</w:t>
            </w:r>
          </w:p>
        </w:tc>
        <w:tc>
          <w:tcPr>
            <w:tcW w:w="1012" w:type="dxa"/>
            <w:shd w:val="clear" w:color="auto" w:fill="F2F2F2"/>
          </w:tcPr>
          <w:p w:rsidR="00062774" w:rsidRPr="00062774" w:rsidRDefault="00062774" w:rsidP="00062774">
            <w:pPr>
              <w:spacing w:after="0"/>
              <w:ind w:firstLine="0"/>
              <w:jc w:val="center"/>
              <w:rPr>
                <w:rFonts w:eastAsia="Calibri" w:cs="Times New Roman"/>
              </w:rPr>
            </w:pPr>
            <w:r w:rsidRPr="00062774">
              <w:rPr>
                <w:rFonts w:eastAsia="Calibri" w:cs="Times New Roman"/>
              </w:rPr>
              <w:t>1,5</w:t>
            </w:r>
          </w:p>
        </w:tc>
        <w:tc>
          <w:tcPr>
            <w:tcW w:w="1012" w:type="dxa"/>
          </w:tcPr>
          <w:p w:rsidR="00062774" w:rsidRPr="00062774" w:rsidRDefault="00062774" w:rsidP="00062774">
            <w:pPr>
              <w:spacing w:after="0"/>
              <w:ind w:firstLine="0"/>
              <w:jc w:val="center"/>
              <w:rPr>
                <w:rFonts w:eastAsia="Calibri" w:cs="Times New Roman"/>
              </w:rPr>
            </w:pPr>
            <w:r w:rsidRPr="00062774">
              <w:rPr>
                <w:rFonts w:eastAsia="Calibri" w:cs="Times New Roman"/>
              </w:rPr>
              <w:t>1,6</w:t>
            </w:r>
          </w:p>
        </w:tc>
      </w:tr>
      <w:tr w:rsidR="00062774" w:rsidRPr="00062774" w:rsidTr="00565B8A">
        <w:trPr>
          <w:trHeight w:val="324"/>
          <w:jc w:val="center"/>
        </w:trPr>
        <w:tc>
          <w:tcPr>
            <w:tcW w:w="4248" w:type="dxa"/>
            <w:tcBorders>
              <w:bottom w:val="single" w:sz="4" w:space="0" w:color="auto"/>
            </w:tcBorders>
          </w:tcPr>
          <w:p w:rsidR="00062774" w:rsidRPr="00062774" w:rsidRDefault="00062774" w:rsidP="00062774">
            <w:pPr>
              <w:spacing w:after="0"/>
              <w:ind w:firstLine="0"/>
              <w:rPr>
                <w:rFonts w:eastAsia="Calibri" w:cs="Times New Roman"/>
              </w:rPr>
            </w:pPr>
            <w:r w:rsidRPr="00062774">
              <w:rPr>
                <w:rFonts w:eastAsia="Calibri" w:cs="Times New Roman"/>
              </w:rPr>
              <w:t>Inflācija attīstības valstīs, %</w:t>
            </w:r>
          </w:p>
        </w:tc>
        <w:tc>
          <w:tcPr>
            <w:tcW w:w="1012" w:type="dxa"/>
            <w:tcBorders>
              <w:bottom w:val="single" w:sz="4" w:space="0" w:color="auto"/>
            </w:tcBorders>
            <w:shd w:val="clear" w:color="auto" w:fill="F2F2F2"/>
          </w:tcPr>
          <w:p w:rsidR="00062774" w:rsidRPr="00062774" w:rsidRDefault="00062774" w:rsidP="00062774">
            <w:pPr>
              <w:spacing w:after="0"/>
              <w:ind w:firstLine="0"/>
              <w:jc w:val="center"/>
              <w:rPr>
                <w:rFonts w:eastAsia="Calibri" w:cs="Times New Roman"/>
              </w:rPr>
            </w:pPr>
            <w:r w:rsidRPr="00062774">
              <w:rPr>
                <w:rFonts w:eastAsia="Calibri" w:cs="Times New Roman"/>
              </w:rPr>
              <w:t>6,0</w:t>
            </w:r>
          </w:p>
        </w:tc>
        <w:tc>
          <w:tcPr>
            <w:tcW w:w="1012" w:type="dxa"/>
            <w:tcBorders>
              <w:bottom w:val="single" w:sz="4" w:space="0" w:color="auto"/>
            </w:tcBorders>
          </w:tcPr>
          <w:p w:rsidR="00062774" w:rsidRPr="00062774" w:rsidRDefault="00062774" w:rsidP="00062774">
            <w:pPr>
              <w:spacing w:after="0"/>
              <w:ind w:firstLine="0"/>
              <w:jc w:val="center"/>
              <w:rPr>
                <w:rFonts w:eastAsia="Calibri" w:cs="Times New Roman"/>
              </w:rPr>
            </w:pPr>
            <w:r w:rsidRPr="00062774">
              <w:rPr>
                <w:rFonts w:eastAsia="Calibri" w:cs="Times New Roman"/>
              </w:rPr>
              <w:t>5,8</w:t>
            </w:r>
          </w:p>
        </w:tc>
        <w:tc>
          <w:tcPr>
            <w:tcW w:w="1012" w:type="dxa"/>
            <w:tcBorders>
              <w:bottom w:val="single" w:sz="4" w:space="0" w:color="auto"/>
            </w:tcBorders>
            <w:shd w:val="clear" w:color="auto" w:fill="F2F2F2"/>
          </w:tcPr>
          <w:p w:rsidR="00062774" w:rsidRPr="00062774" w:rsidRDefault="00062774" w:rsidP="00062774">
            <w:pPr>
              <w:spacing w:after="0"/>
              <w:ind w:firstLine="0"/>
              <w:jc w:val="center"/>
              <w:rPr>
                <w:rFonts w:eastAsia="Calibri" w:cs="Times New Roman"/>
              </w:rPr>
            </w:pPr>
            <w:r w:rsidRPr="00062774">
              <w:rPr>
                <w:rFonts w:eastAsia="Calibri" w:cs="Times New Roman"/>
              </w:rPr>
              <w:t>5,5</w:t>
            </w:r>
          </w:p>
        </w:tc>
        <w:tc>
          <w:tcPr>
            <w:tcW w:w="1012" w:type="dxa"/>
            <w:tcBorders>
              <w:bottom w:val="single" w:sz="4" w:space="0" w:color="auto"/>
            </w:tcBorders>
          </w:tcPr>
          <w:p w:rsidR="00062774" w:rsidRPr="00062774" w:rsidRDefault="00062774" w:rsidP="00062774">
            <w:pPr>
              <w:spacing w:after="0"/>
              <w:ind w:firstLine="0"/>
              <w:jc w:val="center"/>
              <w:rPr>
                <w:rFonts w:eastAsia="Calibri" w:cs="Times New Roman"/>
              </w:rPr>
            </w:pPr>
            <w:r w:rsidRPr="00062774">
              <w:rPr>
                <w:rFonts w:eastAsia="Calibri" w:cs="Times New Roman"/>
              </w:rPr>
              <w:t>5,2</w:t>
            </w:r>
          </w:p>
        </w:tc>
      </w:tr>
    </w:tbl>
    <w:p w:rsidR="00547F06" w:rsidRDefault="00547F06" w:rsidP="00062774">
      <w:pPr>
        <w:ind w:firstLine="720"/>
        <w:rPr>
          <w:rFonts w:cs="Times New Roman"/>
        </w:rPr>
      </w:pPr>
    </w:p>
    <w:p w:rsidR="00062774" w:rsidRPr="00062774" w:rsidRDefault="00062774" w:rsidP="00062774">
      <w:pPr>
        <w:ind w:firstLine="720"/>
        <w:rPr>
          <w:rFonts w:cs="Times New Roman"/>
        </w:rPr>
      </w:pPr>
      <w:r w:rsidRPr="00062774">
        <w:rPr>
          <w:rFonts w:cs="Times New Roman"/>
        </w:rPr>
        <w:t xml:space="preserve">Ņemot vērā, ka visciešākās ekonomiskās attiecības Latvijai ir ar </w:t>
      </w:r>
      <w:r w:rsidR="00404D8F">
        <w:rPr>
          <w:rFonts w:cs="Times New Roman"/>
        </w:rPr>
        <w:t>Eiro</w:t>
      </w:r>
      <w:r w:rsidRPr="00062774">
        <w:rPr>
          <w:rFonts w:cs="Times New Roman"/>
        </w:rPr>
        <w:t>pas Savienības (turpmāk ES) valstīm, ekonomiskā attīstība Eiropā tieši ietekmē Latvijas izaugsmes perspektīvas. 2013.gada trešajā ceturksnī ES ekonomika pēc piecus ceturkšņu ilgas recesijas atgriezās pie pozitīvas izaugsmes. Lai arī izaugsmes tempi starp Eiropas valstīm saglabājas atšķirīgi, tiek prognozēts, ka atšķirības starp Eiropas valstīm turpmākajos gados turpinās samazināties, līdz ar to kopumā ES ekonomikas attīstība kopumā kļūs sabalansētāka.</w:t>
      </w:r>
    </w:p>
    <w:p w:rsidR="00062774" w:rsidRPr="00062774" w:rsidRDefault="00062774" w:rsidP="00062774">
      <w:pPr>
        <w:ind w:firstLine="720"/>
        <w:rPr>
          <w:rFonts w:cs="Times New Roman"/>
        </w:rPr>
      </w:pPr>
      <w:r w:rsidRPr="00062774">
        <w:rPr>
          <w:rFonts w:cs="Times New Roman"/>
        </w:rPr>
        <w:lastRenderedPageBreak/>
        <w:t xml:space="preserve">Ziņas par pozitīvu ES izaugsmi lielā mērā ir rezultāts veiksmīgai ekonomisko korekciju ieviešanai valstīs, kurās iepriekš bija novērojamas lielas nesabalansētības un tika veikti būtiski fiskālās konsolidācijas pasākumi un sāktas strukturālās reformas. Valstis, kurās iepriekš bija novērojams ļoti augsts tekošā konta deficīta līmenis, kas raksturo šo valstu ekonomikas nesabalansētību, ir panākušas būtisku progresu attiecībā uz strukturālo reformu realizāciju un resursu novirzīšanu uz tirgojamo sektoru. Šāda tendence ir labi novērojama Spānijā un Portugālē, kur spēcīga eksporta izaugsme šobrīd ir kļuvusi par izaugsmes virzītāju. Tomēr sagaidāms, ka līdz ar pakāpenisku situācijas uzlabošanos darba tirgū un reālo ienākumu pieaugumu, ko noteiks zemā inflācija, privātā patēriņa pieaugums kļūs straujāks un līdz ar to izaugsme kļūs sabalansētāka starp iekšējo un ārējo pieprasījumu. Vienlaikus valstīs, kurās ir notikušas straujas ekonomikas korekcijas, bezdarba līmenis joprojām saglabāsies augsts. Ilgstoši saglabājoties augstam bezdarba līmenim, tam ir tendence kļūt par strukturālu, kas savukārt var ietekmēt valstu izaugsmes perspektīvas ilgtermiņā. Šī jautājuma risināšanā izšķiroša nozīme būs valstu spējai turpināt reformu īstenošanu, tādējādi palīdzot novērst augstu bezdarba līmeni, pirms tas kļūst strukturāls. </w:t>
      </w:r>
    </w:p>
    <w:p w:rsidR="00062774" w:rsidRPr="00062774" w:rsidRDefault="00062774" w:rsidP="00565B8A">
      <w:pPr>
        <w:ind w:firstLine="0"/>
        <w:jc w:val="center"/>
        <w:rPr>
          <w:rFonts w:cs="Times New Roman"/>
        </w:rPr>
      </w:pPr>
      <w:r w:rsidRPr="00062774">
        <w:rPr>
          <w:noProof/>
          <w:lang w:eastAsia="lv-LV"/>
        </w:rPr>
        <w:drawing>
          <wp:inline distT="0" distB="0" distL="0" distR="0" wp14:anchorId="76F22942" wp14:editId="4325B088">
            <wp:extent cx="6048375" cy="2733675"/>
            <wp:effectExtent l="0" t="0" r="9525"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62774" w:rsidRPr="00D24FBD" w:rsidRDefault="00062774" w:rsidP="00D24FBD">
      <w:pPr>
        <w:pStyle w:val="ListParagraph"/>
        <w:numPr>
          <w:ilvl w:val="0"/>
          <w:numId w:val="28"/>
        </w:numPr>
        <w:ind w:left="426" w:hanging="284"/>
        <w:jc w:val="center"/>
        <w:rPr>
          <w:rFonts w:cs="Times New Roman"/>
          <w:b/>
          <w:i/>
          <w:sz w:val="24"/>
        </w:rPr>
      </w:pPr>
      <w:r w:rsidRPr="00566CD3">
        <w:rPr>
          <w:rFonts w:cs="Times New Roman"/>
          <w:b/>
          <w:i/>
          <w:sz w:val="24"/>
        </w:rPr>
        <w:t>att. IKP pieaugums pret iepriekšējā</w:t>
      </w:r>
      <w:r w:rsidR="00D24FBD">
        <w:rPr>
          <w:rFonts w:cs="Times New Roman"/>
          <w:b/>
          <w:i/>
          <w:sz w:val="24"/>
        </w:rPr>
        <w:t xml:space="preserve"> </w:t>
      </w:r>
      <w:r w:rsidRPr="00566CD3">
        <w:rPr>
          <w:rFonts w:cs="Times New Roman"/>
          <w:b/>
          <w:i/>
          <w:sz w:val="24"/>
        </w:rPr>
        <w:t xml:space="preserve"> gada </w:t>
      </w:r>
      <w:r w:rsidR="00D24FBD">
        <w:rPr>
          <w:rFonts w:cs="Times New Roman"/>
          <w:b/>
          <w:i/>
          <w:sz w:val="24"/>
        </w:rPr>
        <w:t xml:space="preserve"> </w:t>
      </w:r>
      <w:r w:rsidRPr="00566CD3">
        <w:rPr>
          <w:rFonts w:cs="Times New Roman"/>
          <w:b/>
          <w:i/>
          <w:sz w:val="24"/>
        </w:rPr>
        <w:t xml:space="preserve">atbilstošo </w:t>
      </w:r>
      <w:r w:rsidR="00D24FBD">
        <w:rPr>
          <w:rFonts w:cs="Times New Roman"/>
          <w:b/>
          <w:i/>
          <w:sz w:val="24"/>
        </w:rPr>
        <w:t xml:space="preserve"> </w:t>
      </w:r>
      <w:r w:rsidRPr="00566CD3">
        <w:rPr>
          <w:rFonts w:cs="Times New Roman"/>
          <w:b/>
          <w:i/>
          <w:sz w:val="24"/>
        </w:rPr>
        <w:t xml:space="preserve">ceturksni; </w:t>
      </w:r>
      <w:r w:rsidR="00D24FBD">
        <w:rPr>
          <w:rFonts w:cs="Times New Roman"/>
          <w:b/>
          <w:i/>
          <w:sz w:val="24"/>
        </w:rPr>
        <w:t xml:space="preserve"> </w:t>
      </w:r>
      <w:r w:rsidRPr="00566CD3">
        <w:rPr>
          <w:rFonts w:cs="Times New Roman"/>
          <w:b/>
          <w:i/>
          <w:sz w:val="24"/>
        </w:rPr>
        <w:t xml:space="preserve">prognozētie gada </w:t>
      </w:r>
      <w:r w:rsidRPr="00D24FBD">
        <w:rPr>
          <w:rFonts w:cs="Times New Roman"/>
          <w:b/>
          <w:i/>
          <w:sz w:val="24"/>
        </w:rPr>
        <w:t>pieaugumi, %</w:t>
      </w:r>
      <w:r w:rsidRPr="00547F06">
        <w:rPr>
          <w:vertAlign w:val="superscript"/>
        </w:rPr>
        <w:footnoteReference w:id="2"/>
      </w:r>
    </w:p>
    <w:p w:rsidR="00062774" w:rsidRPr="00062774" w:rsidRDefault="00062774" w:rsidP="00062774">
      <w:pPr>
        <w:ind w:firstLine="720"/>
        <w:rPr>
          <w:rFonts w:cs="Times New Roman"/>
        </w:rPr>
      </w:pPr>
      <w:r w:rsidRPr="00062774">
        <w:rPr>
          <w:rFonts w:cs="Times New Roman"/>
        </w:rPr>
        <w:t>Iepriekšējos gados straujo Latvijas eksporta izaugsmi lielā mērā noteica labvēlīga eksporta tirgu struktūra – to izaugsmes tempi bija būtiski augstāki nekā vidēji ES, kas nodrošināja stabilu pieprasījuma pieaugumu pēc Latvijas eksporta, izskaidrojot Latvijas noturību pret ārējās vides pasliktināšanos. Tomēr pakāpeniski partnervalstu izaugsmes tempi samazinās. Lai arī to izaugsmes tempi saglabājas augstāki nekā vidēji ES, starpība starp Latvijas tirdzniecības partnervalstu un ES vidējo izaugsmi ir samazinājusies. Tādēļ eksporta izaugsmes nodrošināšanai un tirgus daļas palielināšanai aizvien lielāka nozīme ir Latvijas konkurētspējas attīstībai.</w:t>
      </w:r>
    </w:p>
    <w:p w:rsidR="00062774" w:rsidRPr="00062774" w:rsidRDefault="00062774" w:rsidP="00062774">
      <w:pPr>
        <w:ind w:firstLine="720"/>
        <w:rPr>
          <w:rFonts w:cs="Times New Roman"/>
        </w:rPr>
      </w:pPr>
      <w:r w:rsidRPr="00062774">
        <w:rPr>
          <w:rFonts w:cs="Times New Roman"/>
        </w:rPr>
        <w:lastRenderedPageBreak/>
        <w:t xml:space="preserve">Kā liels risks Latvijas izaugsmei ir ģeopolitiskās situācijas attīstība Ukrainā - Krievijā, kas var būtiski ietekmēt Latvijas eksporta izaugsmi.  Lai arī Latvijas eksports uz Ukrainu veido vien 0,9% no kopējā preču eksporta, lielākus riskus rada nenoteiktība attiecībā uz sankciju noteikšanu Krievijai, jo 11,5% no Latvijas kopējā preču eksporta tika novirzīti uz Krieviju. Ievērojot, ka Krievija ir būtisks tirdzniecības partneris daudzām ES valstīm, šī situācija var būtiski pasliktināt gan Latvijas, gan visas Eiropas attīstības perspektīvas. </w:t>
      </w:r>
    </w:p>
    <w:p w:rsidR="00062774" w:rsidRPr="00062774" w:rsidRDefault="00062774" w:rsidP="00062774"/>
    <w:p w:rsidR="00062774" w:rsidRPr="00062774" w:rsidRDefault="00062774" w:rsidP="005C7D14">
      <w:pPr>
        <w:keepNext/>
        <w:spacing w:before="240"/>
        <w:ind w:firstLine="0"/>
        <w:jc w:val="center"/>
        <w:outlineLvl w:val="1"/>
        <w:rPr>
          <w:rFonts w:cs="Times New Roman"/>
          <w:b/>
          <w:color w:val="000000" w:themeColor="text1"/>
          <w:sz w:val="36"/>
          <w:szCs w:val="36"/>
        </w:rPr>
      </w:pPr>
      <w:bookmarkStart w:id="13" w:name="_Toc356399249"/>
      <w:bookmarkStart w:id="14" w:name="_Toc387845616"/>
      <w:bookmarkStart w:id="15" w:name="_Toc387911140"/>
      <w:bookmarkStart w:id="16" w:name="_Toc104093072"/>
      <w:bookmarkStart w:id="17" w:name="_Toc167254134"/>
      <w:bookmarkStart w:id="18" w:name="_Toc262026544"/>
      <w:bookmarkEnd w:id="11"/>
      <w:bookmarkEnd w:id="12"/>
      <w:r w:rsidRPr="00062774">
        <w:rPr>
          <w:rFonts w:cs="Times New Roman"/>
          <w:b/>
          <w:color w:val="000000" w:themeColor="text1"/>
          <w:sz w:val="36"/>
          <w:szCs w:val="36"/>
        </w:rPr>
        <w:t>1.2. Iekšzemes kopprodukts, ekonomiskā aktivitāte</w:t>
      </w:r>
      <w:bookmarkEnd w:id="13"/>
      <w:bookmarkEnd w:id="14"/>
      <w:bookmarkEnd w:id="15"/>
    </w:p>
    <w:p w:rsidR="00062774" w:rsidRPr="00062774" w:rsidRDefault="00062774" w:rsidP="00062774">
      <w:r w:rsidRPr="00062774">
        <w:t>Pēc strukturālo reformu un plašo taupības pasākumu īstenošanas globālās ekonomiskās un finanšu krīzes seku noregulēšanai Latvijā, valsts ekonomika uzrādīja izaugsmi jau trīs gadus pēc kārtas, sasniedzot 5,3% un 5,2% izaugsmi attiecīgi 2011. un 2012. gadā. Pērn ekonomiskās izaugsmes tempi stabilizējās 4,1% līmenī, kas ir tuvu potenciālajam IKP. Ar šādiem ekonomiskās izaugsmes rādītājiem Latvija ir uzrādījusi straujāko kāpumu ES dalībvalstu vidū.</w:t>
      </w:r>
    </w:p>
    <w:p w:rsidR="00062774" w:rsidRPr="00062774" w:rsidRDefault="00062774" w:rsidP="00062774">
      <w:r w:rsidRPr="00062774">
        <w:t>Tomēr 2014. gada 1. ceturksnī, saskaņā ar IKP ātro novērtējumu, ekonomikas gada izaugsmes tempi ir noslīdējuši līdz 2,8%, kas ir lēnākais ekonomikas pieaugums kopš 2011. gada sākuma, kad Latvija pirmo reizi atgriezās pie pozitīviem izaugsmes rādītājiem pēc finanšu krīzes pārvarēšanas. Taču jāatzīst, ka 1. ceturkšņa ekonomikas izaugsmes temps arvien ierindo Latviju starp straujāk augošajām ekonomikām ES</w:t>
      </w:r>
      <w:r w:rsidRPr="00062774">
        <w:rPr>
          <w:sz w:val="24"/>
          <w:szCs w:val="24"/>
        </w:rPr>
        <w:t xml:space="preserve">. </w:t>
      </w:r>
      <w:r w:rsidRPr="00062774">
        <w:t xml:space="preserve">Savukārt, salīdzinot ar iepriekšējo ceturksni, IKP ir pieaudzis par 0,7%. </w:t>
      </w:r>
    </w:p>
    <w:p w:rsidR="00062774" w:rsidRPr="00062774" w:rsidRDefault="00062774" w:rsidP="00062774">
      <w:pPr>
        <w:ind w:firstLine="0"/>
        <w:jc w:val="center"/>
      </w:pPr>
      <w:r w:rsidRPr="00062774">
        <w:rPr>
          <w:noProof/>
          <w:lang w:eastAsia="lv-LV"/>
        </w:rPr>
        <w:drawing>
          <wp:inline distT="0" distB="0" distL="0" distR="0" wp14:anchorId="17F21D03" wp14:editId="3E4FBA22">
            <wp:extent cx="6026785" cy="3143250"/>
            <wp:effectExtent l="0" t="0" r="12065"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62774" w:rsidRPr="00566CD3" w:rsidRDefault="00062774" w:rsidP="00D24FBD">
      <w:pPr>
        <w:pStyle w:val="ListParagraph"/>
        <w:numPr>
          <w:ilvl w:val="0"/>
          <w:numId w:val="28"/>
        </w:numPr>
        <w:ind w:left="426" w:hanging="284"/>
        <w:jc w:val="center"/>
        <w:rPr>
          <w:rFonts w:cs="Times New Roman"/>
          <w:b/>
          <w:i/>
          <w:sz w:val="24"/>
        </w:rPr>
      </w:pPr>
      <w:r w:rsidRPr="00566CD3">
        <w:rPr>
          <w:rFonts w:cs="Times New Roman"/>
          <w:b/>
          <w:i/>
          <w:sz w:val="24"/>
        </w:rPr>
        <w:t>att. IKP apjoma izmaiņas salīdzināmajās cenās, %</w:t>
      </w:r>
    </w:p>
    <w:p w:rsidR="00062774" w:rsidRPr="00062774" w:rsidRDefault="00062774" w:rsidP="00062774">
      <w:r w:rsidRPr="00062774">
        <w:t xml:space="preserve">2011.-2012. gada izaugsme lielā mērā balstījās uz panākumiem ārējā tirdzniecībā, jo krīzes novārdzinātās ekonomiskās vides uzlabošanās pasaulē veicināja pieprasījuma pieaugumu arī galvenajās Latvijas partnervalstīs, neskatoties uz krīzi </w:t>
      </w:r>
      <w:proofErr w:type="spellStart"/>
      <w:r w:rsidR="00404D8F" w:rsidRPr="00B87469">
        <w:rPr>
          <w:i/>
        </w:rPr>
        <w:lastRenderedPageBreak/>
        <w:t>eu</w:t>
      </w:r>
      <w:r w:rsidRPr="00B87469">
        <w:rPr>
          <w:i/>
        </w:rPr>
        <w:t>ro</w:t>
      </w:r>
      <w:proofErr w:type="spellEnd"/>
      <w:r w:rsidR="00404D8F">
        <w:t xml:space="preserve"> </w:t>
      </w:r>
      <w:r w:rsidRPr="00062774">
        <w:t>zonā. Toties 2013. gadā galvenais ekonomiskās izaugsmes dzinējspēks bija privātais patēriņš. Tieši tāpēc vietējo tirgu apkalpojošajās nozares - būvniecība, tirdzniecība un darījumi ar nekustamo īpašumu – sniedza lielāko ieguldījumu izaugsmē un veidoja 40% no IKP.</w:t>
      </w:r>
    </w:p>
    <w:p w:rsidR="00062774" w:rsidRPr="00062774" w:rsidRDefault="00062774" w:rsidP="00062774">
      <w:r w:rsidRPr="00062774">
        <w:t>Taču 2014. gada 1. ceturkšņa lēnāku izaugsmi noteica privātā patēriņa sabremzēšanās, mazumtirdzniecības pieaugumam sasniedzot vien 2,6%. Tomēr pakāpeniski uzlabojas eksporta – importa attiecība valsts IKP struktūrā, jo 2014. gada 1. ceturksnī salīdzinājumā ar pērnā gada attiecīgo ceturksni eksports ir kāpis, savukārt imports ir krities par 2,6%. Turklāt, neskatoties uz ārējās vides nestabilitāti saistībā ar ģeopolitisko krīzi austrumu reģionā, tieši martā ir bijis lielākais eksporta gada pieaugums.</w:t>
      </w:r>
    </w:p>
    <w:p w:rsidR="00062774" w:rsidRPr="00062774" w:rsidRDefault="00062774" w:rsidP="00062774">
      <w:r w:rsidRPr="00062774">
        <w:t>Būtisku devumu IKP pieaugumā š.g. 1. ceturksnī sniedza apjomu kāpums būvniecībā – gada izaugsme par 25%, kas saistāms ar gada pirmajai pusei neraksturīgi labvēlīgajiem laikapstākļiem. IKP labvēlīgi ietekmēja arī 3% pieaugums pārējās pakalpojumu nozarēs, tādējādi aizvien norādot uz privātā patēriņa nozīmi ekonomikas kopējā izaugsmē. Iekšējo patēriņu veicina uzlabojumi darba tirgū, jo samazinās bezdarba līmenis un ir kāpušas algas. Turklāt, reālās darba algas pieaugumu līdzīgi kā visu iepriekšējo gadu arī 2014. gada 1. ceturksnī noteica zemā inflācija, kas, pēc FM prognozēm, arī turpmākajos mēnešos saglabāsies zemā līmenī. Neskatoties uz to, ir sagaidāms, ka ekonomika pakāpeniski pārorientēsies no privātā patēriņa uz sabalansētu izaugsmi, kur arvien lielāku lomu izaugsmē sniegs eksports un investīciju aktivitātes pieaugums.</w:t>
      </w:r>
    </w:p>
    <w:p w:rsidR="00062774" w:rsidRPr="00062774" w:rsidRDefault="00062774" w:rsidP="00062774">
      <w:r w:rsidRPr="00062774">
        <w:t>Apstrādes rūpniecība, kas 2013. gadā veidoja 13% no kopējā IKP apjoma un eksportē vairāk kā 60% no tās apgrozījuma, 2014. gada 1. ceturksnī augusi par 1%, salīdzinot ar iepriekšējā gada pirmajiem trīs mēnešiem. Pieaugums nav bijis spēcīgāks, jo vēl aizvien bija jūtama AS “Liepājas metalurgs” darbības pārtraukšanas ietekme, taču daudzās citās apstrādes rūpniecības nozarēs bija fiksēti samērā strauji izaugsmes tempi.</w:t>
      </w:r>
    </w:p>
    <w:p w:rsidR="00062774" w:rsidRPr="00062774" w:rsidRDefault="00062774" w:rsidP="00062774">
      <w:r w:rsidRPr="00062774">
        <w:t>Jāatzīmē, ka, neskatoties uz šī brīža ģeopolitiskajiem riskiem, kas potenciāli varētu ietekmēt arī Latvijas ekonomikas perspektīvas, Ukrainas – Krievijas saspīlētās attiecības š.g. 1. ceturkšņa IKP izaugsmi nav ietekmējušas, savukārt lēnāku IKP pieaugumu, galvenokārt, noteica iekšējie faktori. Sagaidāms, ka šo iekšējo faktoru ietekme uz ekonomiku būs īstermiņa, tomēr ģeopolitiskā situācija reģionā arvien saglabājas ļoti nestabila un šobrīd ir būtiskākais risks  Latvijas ekonomikas attīstībai.</w:t>
      </w:r>
      <w:r w:rsidRPr="00062774">
        <w:rPr>
          <w:rFonts w:cs="Times New Roman"/>
          <w:sz w:val="24"/>
          <w:szCs w:val="24"/>
        </w:rPr>
        <w:t xml:space="preserve"> </w:t>
      </w:r>
      <w:r w:rsidRPr="00062774">
        <w:t xml:space="preserve"> Arī fakts, ka Krievijas ekonomika šobrīd ir nonākusi recesijā, nelabvēlīgi ietekmēs tos Latvijas ražotājus, kuri lielu daļu saražotās produkcijas realizē tieši šajā tirgū, tādējādi radot negatīvu efektu uz kopējo ekonomikas izaugsmi.</w:t>
      </w:r>
    </w:p>
    <w:p w:rsidR="00062774" w:rsidRPr="00062774" w:rsidRDefault="00062774" w:rsidP="00062774">
      <w:pPr>
        <w:ind w:firstLine="720"/>
        <w:rPr>
          <w:sz w:val="24"/>
          <w:szCs w:val="24"/>
        </w:rPr>
      </w:pPr>
      <w:r w:rsidRPr="00062774">
        <w:t>Apzinoties augstākminēto risku iespējamo ietekmi uz Latvijas ekonomiku, FM aprīlī samazināja ekonomikas izaugsmes prognozi 2014. gadam uz 4%, taču IKP ātrā novērtējuma dati par š.g. 1. ceturksni liecina, ka šī prognoze varētu tikt pārskatīta un vēlreiz samazināta. Tajā pašā laikā valsts ekonomiku pozitīvi ietekmēs ekonomiskās situā</w:t>
      </w:r>
      <w:r w:rsidR="00404D8F">
        <w:t xml:space="preserve">cijas uzlabošanas </w:t>
      </w:r>
      <w:proofErr w:type="spellStart"/>
      <w:r w:rsidR="00404D8F" w:rsidRPr="00B87469">
        <w:rPr>
          <w:i/>
        </w:rPr>
        <w:t>eu</w:t>
      </w:r>
      <w:r w:rsidRPr="00B87469">
        <w:rPr>
          <w:i/>
        </w:rPr>
        <w:t>ro</w:t>
      </w:r>
      <w:proofErr w:type="spellEnd"/>
      <w:r w:rsidR="00404D8F">
        <w:t xml:space="preserve"> </w:t>
      </w:r>
      <w:r w:rsidRPr="00062774">
        <w:t xml:space="preserve">zonā, īpaši Latvijas galvenajās partnervalstīs, tādējādi </w:t>
      </w:r>
      <w:r w:rsidRPr="00062774">
        <w:lastRenderedPageBreak/>
        <w:t>stimulējot vietējo preču un pakalpojumu eksporta apjomus. Arī Eiropas Komisijas (EK) apkopotie konfidences rādītāji liecina par uzņēmēju noskaņojuma uzlabojumiem Eiropas Savienības valstīs. Tādējādi FM prognozē, ka, ja nenotiks tālāka ģeopolitisko risku eskalācija, ekonomikas izaugsme šogad varētu būt nedaudz zem šobrīd prognozētā līmeņa, tomēr tas neietekmēs Latvijas izaugsmes perspektīvas vidējā termiņā.</w:t>
      </w:r>
      <w:r w:rsidRPr="00062774">
        <w:rPr>
          <w:sz w:val="24"/>
          <w:szCs w:val="24"/>
        </w:rPr>
        <w:t xml:space="preserve"> </w:t>
      </w:r>
    </w:p>
    <w:p w:rsidR="00062774" w:rsidRPr="00062774" w:rsidRDefault="00062774" w:rsidP="00062774">
      <w:pPr>
        <w:ind w:firstLine="0"/>
        <w:jc w:val="center"/>
        <w:outlineLvl w:val="1"/>
        <w:rPr>
          <w:rFonts w:eastAsia="Times New Roman" w:cs="Times New Roman"/>
          <w:b/>
          <w:sz w:val="36"/>
          <w:szCs w:val="20"/>
        </w:rPr>
      </w:pPr>
      <w:bookmarkStart w:id="19" w:name="_Toc325101914"/>
      <w:bookmarkStart w:id="20" w:name="_Toc387845617"/>
      <w:bookmarkStart w:id="21" w:name="_Toc387911141"/>
      <w:r w:rsidRPr="00062774">
        <w:rPr>
          <w:rFonts w:eastAsia="Times New Roman" w:cs="Times New Roman"/>
          <w:b/>
          <w:sz w:val="36"/>
          <w:szCs w:val="20"/>
        </w:rPr>
        <w:t>1.3. Tautsaimniecības nozaru attīstība</w:t>
      </w:r>
      <w:bookmarkEnd w:id="19"/>
      <w:bookmarkEnd w:id="20"/>
      <w:bookmarkEnd w:id="21"/>
    </w:p>
    <w:p w:rsidR="00062774" w:rsidRPr="00062774" w:rsidRDefault="00062774" w:rsidP="00062774">
      <w:pPr>
        <w:jc w:val="center"/>
        <w:rPr>
          <w:b/>
        </w:rPr>
      </w:pPr>
      <w:bookmarkStart w:id="22" w:name="_Toc262026542"/>
      <w:r w:rsidRPr="00062774">
        <w:rPr>
          <w:b/>
        </w:rPr>
        <w:t>Rūpniecība</w:t>
      </w:r>
      <w:bookmarkEnd w:id="22"/>
    </w:p>
    <w:p w:rsidR="00062774" w:rsidRPr="00062774" w:rsidRDefault="00062774" w:rsidP="00062774">
      <w:r w:rsidRPr="00062774">
        <w:t xml:space="preserve">2013. gads Latvijas rūpniecībā izcēlies ar nozares lielākā uzņēmuma AS “Liepājas metalurgs” darbības pārtraukšanu, kas samazināja nozares kopējo izaugsmi. Negatīvi rūpniecības pieauguma tempi saglabājās arī 2014. gada 1. ceturksnī, ko līdzīgi kā pērn ietekmēja AS “Liepājas metalurgs” slēgšana, kā arī straujais pieprasījuma kritums pēc elektroenerģijas un gāzes apgādes. Tādējādi š.g. 1. ceturksnī kopumā rūpniecības produkcijas izlaides apjoms bija par 2,8% zemāks nekā gadu iepriekš (salīdzināmās cenās, kalendāri izlīdzināti dati). </w:t>
      </w:r>
    </w:p>
    <w:p w:rsidR="00062774" w:rsidRPr="000161A4" w:rsidRDefault="00062774" w:rsidP="00D24FBD">
      <w:pPr>
        <w:ind w:firstLine="0"/>
        <w:jc w:val="center"/>
        <w:rPr>
          <w:rFonts w:cs="Times New Roman"/>
          <w:b/>
          <w:i/>
          <w:sz w:val="24"/>
        </w:rPr>
      </w:pPr>
      <w:r w:rsidRPr="00062774">
        <w:rPr>
          <w:noProof/>
          <w:lang w:eastAsia="lv-LV"/>
        </w:rPr>
        <w:drawing>
          <wp:inline distT="0" distB="0" distL="0" distR="0" wp14:anchorId="74BAFDAD" wp14:editId="44A2D201">
            <wp:extent cx="5972175" cy="3526171"/>
            <wp:effectExtent l="0" t="0" r="9525" b="1714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566CD3">
        <w:rPr>
          <w:rFonts w:cs="Times New Roman"/>
          <w:b/>
          <w:i/>
          <w:sz w:val="24"/>
        </w:rPr>
        <w:t>3. att. Rūpniecības produkcijas apjoma indekss un tā gada pieauguma tempi pret</w:t>
      </w:r>
      <w:r w:rsidRPr="000161A4">
        <w:rPr>
          <w:rFonts w:cs="Times New Roman"/>
          <w:b/>
          <w:i/>
          <w:sz w:val="24"/>
        </w:rPr>
        <w:t xml:space="preserve"> iepriekšējā gada attiecīgo mēnesi</w:t>
      </w:r>
    </w:p>
    <w:p w:rsidR="00062774" w:rsidRPr="00062774" w:rsidRDefault="00062774" w:rsidP="00062774">
      <w:r w:rsidRPr="00062774">
        <w:t xml:space="preserve">2013. gadā ražošanas izlaide, salīdzinot ar 2012. gadu, samazinājās par 0,4%, ko noteica samazinājums elektroenerģijas un gāzes apgādes nozarē par 4,3%, savukārt ieguves rūpniecībā bija kāpums 3,9% apjomā, taču apstrādes rūpniecības izlaide pieauga vien par 0,6%. Izaugsmi apstrādes rūpniecībā 2013. gadā veicināja trīs tautsaimniecībā nozīmīgākās nozares – pārtikas produktu ražošanā pieaugums par 6,4%, kokapstrādē - par 3,3%, gatavo metālizstrādājumu ražošanā – par 2,3%. Labus izaugsmes rādītājus ir uzrādījušas citas nozares ar salīdzinoši mazāku īpatsvaru </w:t>
      </w:r>
      <w:r w:rsidRPr="00062774">
        <w:lastRenderedPageBreak/>
        <w:t xml:space="preserve">iekšzemes kopprodukta struktūrā, kā piemēram, poligrāfija, datoru, elektronisko un elektrisko iekārtu ražošana, mēbeļu ražošana. Taču kritums 55,8% apmērā salīdzinājumā ar 2012. gadu fiksēts metālu ražošanā. Samazinājās arī izlaides apjomi farmācijā par 13,5% un iekārtu remonta un uzstādīšanas nozarē par 20,5%. </w:t>
      </w:r>
    </w:p>
    <w:p w:rsidR="00062774" w:rsidRPr="00062774" w:rsidRDefault="00062774" w:rsidP="00062774">
      <w:r w:rsidRPr="00062774">
        <w:t xml:space="preserve">Izaugsme rūpniecības produkcijas ražošanas apjomos pagājušajā gadā, salīdzinot ar 2012. gada attiecīgo periodu, tika novērota tikai 3. ceturksnī, sasniedzot vien 0,2%, taču citus ceturkšņus rūpniecības negatīvie pieauguma tempi svārstījās -0,1% līdz -1% amplitūdā. Vēl spēcīgāks rūpniecības izlaides apjomu kritums reģistrēts š.g. 1. ceturksnī, uzrādot 2,8% samazinājumu, salīdzinot ar 2013. gada 1. ceturksni. Šo samazinājumu noteica kritums elektroenerģijas un gāzes apgādē par 11,9%, bet ražošanas apjomi apstrādes rūpniecībā pieauga par 0,3% un par 8,4% ieguves rūpniecībā. Ja š.g. 1. ceturkšņa rūpniecības produkcijas izlaides apjomus salīdzina ar iepriekšējo ceturksni, samazinājums sasniedz 3,4%, t.sk., apstrādes rūpniecībā par 5,6% un elektroenerģijā un gāzes apgādē par 3,4%. </w:t>
      </w:r>
    </w:p>
    <w:p w:rsidR="00062774" w:rsidRPr="00062774" w:rsidRDefault="00062774" w:rsidP="00062774">
      <w:r w:rsidRPr="00062774">
        <w:t xml:space="preserve">Vislielākais rūpniecības apjomu kritums bija janvārī, taču tam sekojošajos mēnešos situācija uzlabojās, lai arī pieauguma tempi joprojām saglabājās negatīvi. Tajā pašā laikā apstrādes rūpniecība, kas sastāda aptuveni 70% no kopējās rūpniecībā saražotās produkcijas vērtības, š.g. martā uzrādīja pieaugumu, neskatoties uz joprojām būtisko samazinājumu metālu ražošanas nozarē, ko galvenokārt noteica AS “Liepājas metalurgs” darbības pārtraukšana pērnā gada pavasarī. Atsevišķu nozaru attīstību zināmā mērā ietekmē saspīlētā ģeopolitiskā situācija austrumu reģionā un negatīvās ekonomiskas attīstības tendences valūtas kursa svārstību dēļ vienā no svarīgākajiem Latvijas ražotāju eksporta tirgiem – Krievijā. Saskaņā ar 1. ceturkšņa datiem par rūpniecības produkcijas izlaidi, visspēcīgāk šī ietekme varētu būt vērojama apģērbu ražošanas nozarē, taču to pašu nevarētu attiecināt uz pārtikas produktu ražotājiem, jo nozare, līdzīgi kā pērn, ir bijusi starp vadošajām apstrādes rūpniecības nozarēm. </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103"/>
        <w:gridCol w:w="284"/>
      </w:tblGrid>
      <w:tr w:rsidR="00062774" w:rsidRPr="00062774" w:rsidTr="0079557A">
        <w:tc>
          <w:tcPr>
            <w:tcW w:w="4536" w:type="dxa"/>
          </w:tcPr>
          <w:p w:rsidR="00062774" w:rsidRPr="00062774" w:rsidRDefault="00062774" w:rsidP="00062774">
            <w:pPr>
              <w:ind w:right="-533" w:firstLine="0"/>
              <w:rPr>
                <w:b/>
                <w:i/>
              </w:rPr>
            </w:pPr>
            <w:r w:rsidRPr="00062774">
              <w:rPr>
                <w:noProof/>
              </w:rPr>
              <w:drawing>
                <wp:inline distT="0" distB="0" distL="0" distR="0" wp14:anchorId="20701E06" wp14:editId="083C9A1C">
                  <wp:extent cx="2762250" cy="2727297"/>
                  <wp:effectExtent l="0" t="0" r="0" b="1651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5387" w:type="dxa"/>
            <w:gridSpan w:val="2"/>
          </w:tcPr>
          <w:p w:rsidR="00062774" w:rsidRPr="00062774" w:rsidRDefault="00062774" w:rsidP="00062774">
            <w:pPr>
              <w:ind w:left="-108" w:right="-391" w:firstLine="0"/>
              <w:rPr>
                <w:b/>
                <w:i/>
              </w:rPr>
            </w:pPr>
            <w:r w:rsidRPr="00062774">
              <w:rPr>
                <w:noProof/>
              </w:rPr>
              <w:drawing>
                <wp:inline distT="0" distB="0" distL="0" distR="0" wp14:anchorId="17F0D40E" wp14:editId="0D03D330">
                  <wp:extent cx="3219450" cy="2695575"/>
                  <wp:effectExtent l="0" t="0" r="0" b="952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062774" w:rsidRPr="00062774" w:rsidTr="0079557A">
        <w:trPr>
          <w:gridAfter w:val="1"/>
          <w:wAfter w:w="284" w:type="dxa"/>
          <w:trHeight w:val="80"/>
        </w:trPr>
        <w:tc>
          <w:tcPr>
            <w:tcW w:w="4536" w:type="dxa"/>
          </w:tcPr>
          <w:p w:rsidR="00062774" w:rsidRPr="00062774" w:rsidRDefault="00062774" w:rsidP="00565B8A">
            <w:pPr>
              <w:spacing w:after="0"/>
              <w:ind w:firstLine="0"/>
              <w:rPr>
                <w:rFonts w:eastAsiaTheme="minorHAnsi"/>
                <w:b/>
                <w:i/>
              </w:rPr>
            </w:pPr>
            <w:r w:rsidRPr="00062774">
              <w:rPr>
                <w:rFonts w:eastAsiaTheme="minorHAnsi"/>
                <w:b/>
                <w:i/>
              </w:rPr>
              <w:t>4.att. Apstrādes rūpniecības apgrozījuma struktūra 2013. gadā(faktiskajās cenās, %)</w:t>
            </w:r>
          </w:p>
          <w:p w:rsidR="00062774" w:rsidRPr="00062774" w:rsidRDefault="00062774" w:rsidP="00062774">
            <w:pPr>
              <w:rPr>
                <w:b/>
                <w:i/>
              </w:rPr>
            </w:pPr>
          </w:p>
        </w:tc>
        <w:tc>
          <w:tcPr>
            <w:tcW w:w="5103" w:type="dxa"/>
          </w:tcPr>
          <w:p w:rsidR="00062774" w:rsidRPr="00062774" w:rsidRDefault="00062774" w:rsidP="0079557A">
            <w:pPr>
              <w:ind w:firstLine="0"/>
              <w:rPr>
                <w:b/>
                <w:i/>
                <w:sz w:val="12"/>
              </w:rPr>
            </w:pPr>
            <w:r w:rsidRPr="00B458A2">
              <w:rPr>
                <w:rFonts w:eastAsiaTheme="minorHAnsi"/>
                <w:b/>
                <w:i/>
                <w:sz w:val="18"/>
              </w:rPr>
              <w:t>5. att. Apstrādes rūpniecības nozaru izlaides apjoma izmaiņas 2014.g. pirmajā ceturksnī, salīdzinot ar attiecīgo laika periodu 2013.gadā (salīdzināmajās cenās, kalendāri izlīdzināti dati, %)</w:t>
            </w:r>
          </w:p>
        </w:tc>
      </w:tr>
    </w:tbl>
    <w:p w:rsidR="00062774" w:rsidRPr="00062774" w:rsidRDefault="00062774" w:rsidP="00062774">
      <w:r w:rsidRPr="00062774">
        <w:lastRenderedPageBreak/>
        <w:t>Mazāks kā gadu iepriekš ražošanas apjoms šā gada 1. ceturksnī tika reģistrēts septiņās apstrādes rūpniecības nozarēs. Lielāko negatīvo ietekmi uz kopējām rūpniecības apjomu izmaiņām 1. ceturksnī radīja ražošanas apjomu samazināšanās metālu nozarē – par 81,0%, apģērbu ražošanā  - par 16,4%, iekārtu remonta un uzstādīšanas nozarē – par 13,6%, kā arī 1% kritums vienā no nozīmīgākajām apstrādes rūpniecības nozarēm – gatavo metālizstrādājumu ražošanā. Ražošanas apjomi samazinājās arī dzērienu un papīra izstrādājumu ražošanā – par 5,8% un 4% attiecīgi.</w:t>
      </w:r>
    </w:p>
    <w:p w:rsidR="00062774" w:rsidRPr="00062774" w:rsidRDefault="00062774" w:rsidP="00062774">
      <w:r w:rsidRPr="00062774">
        <w:t xml:space="preserve">Kritumu augstākminēto nozaru ražošanas apjomos kompensēja spēcīga  izaugsmes turpināšanās pārtikas produktu ražošanā, kas š.g. 1. ceturksnī, salīdzinot ar 2013.gada 1. ceturksni, sasniedza 6,8%, un kokapstrādes nozarē – pieaugums 6,7% apmērā. Atzinīgi vērtējami uzrādītie pieauguma tempi ķīmisko vielu (+16,0%), nemetālisko minerālu izstrādājumu (+5,2%), mēbeļu (9,6%), elektrisko iekārtu (+10,4%), mehānismu un darba mašīnu (+11,0%) ražošanas nozarēs. Izaugsme datoru, elektronisko un optisko iekārtu ražošanā gada greizumā bija visaugstākā – 48,1% pieaugums. </w:t>
      </w:r>
    </w:p>
    <w:p w:rsidR="00062774" w:rsidRPr="00062774" w:rsidRDefault="00062774" w:rsidP="00062774">
      <w:r w:rsidRPr="00062774">
        <w:rPr>
          <w:szCs w:val="24"/>
        </w:rPr>
        <w:t>Ražotāju cenas 2014. gada 1. ceturksnī salīdzinājumā ar 2013. gada attiecīgo periodu augušas vien par 0,7%. Vērojamas būtiskas atšķirības cenu dinamikā starp ražotāju cenām eksportētajai produkcijai un vietējā tirgū realizētajiem produktiem. Eksporta produkcijas</w:t>
      </w:r>
      <w:r w:rsidRPr="00062774">
        <w:rPr>
          <w:color w:val="FF0000"/>
          <w:szCs w:val="24"/>
        </w:rPr>
        <w:t xml:space="preserve"> </w:t>
      </w:r>
      <w:r w:rsidRPr="00062774">
        <w:rPr>
          <w:szCs w:val="24"/>
        </w:rPr>
        <w:t>cenas 2014.gada 1. ceturksnī sasniedza 1,2% pieaugumu pret 2013.gada 1. ceturksni. Savukārt vietējā tirgū realizētās produkcijas cenu pieaugums šā gada 1. ceturksnī ir sasniedzis vien 0,3%. Šādu cenu dinamiku galvenokārt noteica cenu samazinājums energoresursiem, kas galvenokārt darbojas iekšējā tirgū. Tomēr nākotnē sagaidāms, ka spiedienu uz ražotāju cenām varētu radīt darbaspēka izmaksas, kuras pakāpeniski pieaug jau tagad.</w:t>
      </w:r>
    </w:p>
    <w:p w:rsidR="00062774" w:rsidRPr="00062774" w:rsidRDefault="00062774" w:rsidP="00062774">
      <w:pPr>
        <w:ind w:firstLine="0"/>
        <w:jc w:val="center"/>
      </w:pPr>
      <w:r w:rsidRPr="00062774">
        <w:rPr>
          <w:noProof/>
          <w:lang w:eastAsia="lv-LV"/>
        </w:rPr>
        <w:drawing>
          <wp:inline distT="0" distB="0" distL="0" distR="0" wp14:anchorId="271D5D27" wp14:editId="2C8B68E0">
            <wp:extent cx="6007395" cy="3094074"/>
            <wp:effectExtent l="0" t="0" r="12700" b="1143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62774" w:rsidRPr="000161A4" w:rsidRDefault="00062774" w:rsidP="00D24FBD">
      <w:pPr>
        <w:ind w:firstLine="0"/>
        <w:jc w:val="center"/>
        <w:rPr>
          <w:rFonts w:cs="Times New Roman"/>
          <w:b/>
          <w:i/>
          <w:sz w:val="24"/>
        </w:rPr>
      </w:pPr>
      <w:r w:rsidRPr="000161A4">
        <w:rPr>
          <w:rFonts w:cs="Times New Roman"/>
          <w:b/>
          <w:i/>
          <w:sz w:val="24"/>
        </w:rPr>
        <w:t>6. att. Ražotāju cenu izmaiņas, % salīdzinājumā ar iepriekšējā gada atbilstošo periodu</w:t>
      </w:r>
    </w:p>
    <w:p w:rsidR="00062774" w:rsidRPr="00062774" w:rsidRDefault="00062774" w:rsidP="00062774">
      <w:r w:rsidRPr="00062774">
        <w:lastRenderedPageBreak/>
        <w:t>Uzņēmēju vērtējumā būtiskākais Latvijas ražošanu ierobežojošais faktors</w:t>
      </w:r>
      <w:r w:rsidRPr="00062774">
        <w:rPr>
          <w:rFonts w:ascii="Garamond" w:hAnsi="Garamond"/>
          <w:vertAlign w:val="superscript"/>
        </w:rPr>
        <w:footnoteReference w:id="3"/>
      </w:r>
      <w:r w:rsidRPr="00062774">
        <w:t xml:space="preserve"> 2014. gada 1. ceturksnī līdzīgi kā pērn ir bijis pieprasījuma trūkums. Lai arī uzņēmēju īpatsvars, kas zemo pieprasījumu atzīmē kā galveno šķērsli to darbības attīstīšanai, pakāpeniski samazinās, aptaujās šis ražošanu ierobežojošais faktors dominē jau kopš 2008. gada. Š.g. aprīlī Eiropas Komisijas (EK) aptaujas dati atklāj, ka gada laikā to Latvijas uzņēmēju īpatsvars, kas pieprasījuma trūkumu atzīst kā būtisko šķērsli ražošanas attīstībai, samazinājies par 10% un uz šo brīdi ir noslīdējis līdz 39%. Citi ražošanu ierobežojošie faktori ir mazāk izplatīti un svārstās 5-12% robežās. Turklāt ievērojama daļa uzņēmēju, t.i., 37%, pašlaik nesaskata nekādus šķēršļus ražošanas attīstībai.</w:t>
      </w:r>
    </w:p>
    <w:p w:rsidR="00062774" w:rsidRPr="00062774" w:rsidRDefault="00062774" w:rsidP="00062774">
      <w:r w:rsidRPr="00062774">
        <w:t>Jāatzīmē, ka turpmāku ražošanas pieaugumu kavē arī jaudu trūkums. Jau kopš 2012. gada 2. ceturkšņa jaudu noslodze apstrādes rūpniecībā pārsniedz 70% robežu, š.g. 1. ceturksnī uzrādot 72,1%. Š.g. aprīļa uzņēmēju aptaujas uzrāda vien nelielu ražošanas jaudu noslodzes līmeņa samazinājumu uz 72,0%. Tas nozīmē, ka bez investīcijām ražošanā būs ierobežotas iespējas būtiski palielināt izlaides apjomus.</w:t>
      </w:r>
    </w:p>
    <w:p w:rsidR="00062774" w:rsidRPr="00062774" w:rsidRDefault="00062774" w:rsidP="00062774">
      <w:pPr>
        <w:ind w:firstLine="0"/>
        <w:jc w:val="center"/>
      </w:pPr>
      <w:r w:rsidRPr="00062774">
        <w:rPr>
          <w:noProof/>
          <w:lang w:eastAsia="lv-LV"/>
        </w:rPr>
        <w:drawing>
          <wp:inline distT="0" distB="0" distL="0" distR="0" wp14:anchorId="2C4FC583" wp14:editId="0B58F62E">
            <wp:extent cx="6084570" cy="3904740"/>
            <wp:effectExtent l="19050" t="19050" r="11430" b="196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7421" cy="3912987"/>
                    </a:xfrm>
                    <a:prstGeom prst="rect">
                      <a:avLst/>
                    </a:prstGeom>
                    <a:noFill/>
                    <a:ln>
                      <a:solidFill>
                        <a:srgbClr val="EEECE1">
                          <a:lumMod val="90000"/>
                        </a:srgbClr>
                      </a:solidFill>
                    </a:ln>
                  </pic:spPr>
                </pic:pic>
              </a:graphicData>
            </a:graphic>
          </wp:inline>
        </w:drawing>
      </w:r>
    </w:p>
    <w:p w:rsidR="00062774" w:rsidRPr="000161A4" w:rsidRDefault="00062774" w:rsidP="00D24FBD">
      <w:pPr>
        <w:ind w:firstLine="0"/>
        <w:jc w:val="center"/>
        <w:rPr>
          <w:rFonts w:cs="Times New Roman"/>
          <w:b/>
          <w:i/>
          <w:sz w:val="24"/>
        </w:rPr>
      </w:pPr>
      <w:r w:rsidRPr="000161A4">
        <w:rPr>
          <w:rFonts w:cs="Times New Roman"/>
          <w:b/>
          <w:i/>
          <w:sz w:val="24"/>
        </w:rPr>
        <w:t>7. att. Jaudu noslodzes līmenis apstrādes rūpniecības nozarēs, %</w:t>
      </w:r>
      <w:r w:rsidRPr="004C654B">
        <w:rPr>
          <w:rFonts w:cs="Times New Roman"/>
          <w:b/>
          <w:i/>
          <w:sz w:val="24"/>
          <w:vertAlign w:val="superscript"/>
        </w:rPr>
        <w:footnoteReference w:id="4"/>
      </w:r>
    </w:p>
    <w:p w:rsidR="00062774" w:rsidRPr="00062774" w:rsidRDefault="00062774" w:rsidP="00062774">
      <w:r w:rsidRPr="00062774">
        <w:t xml:space="preserve">Tuvu iepriekš novērotajam maksimumam jaudas izmanto divas lielās apstrādes rūpniecības nozares – kokapstrādes un gatavo metālizstrādājumu ražošana, augsts jaudu noslodzes līmenis vērojams arī apģērbu ražošanas, poligrāfijas, ķīmijas un farmācijas nozarēs.  Toties problēmu ar jaudu trūkumu šobrīd nav dzērienu, mēbeļu, gumijas un plastmasas izstrādājumu ražošanas nozarēs. Gada laikā būtiski uzlabojumi </w:t>
      </w:r>
      <w:r w:rsidRPr="00062774">
        <w:lastRenderedPageBreak/>
        <w:t>jaudu pietiekamības ziņā ir veikti pārtikas un elektrisko iekārtu ražošanas nozarēs, savukārt strauji palielinājusies jaudu noslodze nemetālisko minerālu ražošanā.</w:t>
      </w:r>
    </w:p>
    <w:p w:rsidR="00062774" w:rsidRPr="00062774" w:rsidRDefault="00062774" w:rsidP="00062774">
      <w:r w:rsidRPr="00062774">
        <w:t xml:space="preserve">Latvijas rūpniecības attīstība ir tieši atkarīga no eksporta pieprasījuma. Eksporta īpatsvars rūpniecības apgrozījumā salīdzinājumā ar iepriekšējā gada 1. ceturksni ir nedaudz samazinājies, bet joprojām ir augstā līmeni - 62,7% no apstrādes rūpniecības kopējā apgrozījuma tika eksportēti. Atsevišķās apstrādes rūpniecības nozarēs eksporta īpatsvars ir tuvu vai pat nedaudz pārsniedz 90% no kopējās izlaides (datoru, elektronisko un optisko iekārtu ražošanā, automobiļu un piekabju ražošanā, elektrisko iekārtu, apģērbu ražošanā). Lielākās Latvijas apstrādes rūpniecības nozares, kas kopā sastāda 55% no kopējās apstrādes rūpniecības izlaides, arī eksportē nozīmīgu saražotās produkcijas apjomu – pārtika 37%, koksne – 73% un gatavie metālizstrādājumi – 65%, tādēļ ārējā vide, rūpniecības attīstība reģionā, kā arī ekonomiskā situācija Latvijas galvenajās tirdzniecības partnervalstīs ir svarīgi indikatori, vērtējot rūpniecības un ekonomikas attīstības perspektīvas kopumā. </w:t>
      </w:r>
    </w:p>
    <w:p w:rsidR="00062774" w:rsidRPr="00062774" w:rsidRDefault="00062774" w:rsidP="00062774">
      <w:r w:rsidRPr="00062774">
        <w:t xml:space="preserve">Visu 2012.gadu un arī 2013. gada pirmajos trīs ceturkšņos kopējie rūpniecības izlaides gada pieaugumu tempi Eiropas Savienībā (ES-28) ir bijuši negatīvi, savukārt ar 2013. gada pēdējo ceturksni tiek atkal kļuvuši pozitīvi. 2014. gada 1. ceturksnī salīdzinājumā ar iepriekšējā gada attiecīgo ceturksni rūpniecības izaugsme ES arī bija pozitīva un sasniedza 1,7%, tomēr atšķirības dalībvalstu vidū ir būtiskas. Atšķirīga situācija vērojama arī Latvijas eksporta svarīgākajos tirgos. Tā piemēram, Polijas rūpniecības apjomu gada pieaugumi tempi palielinās jau veselu gadu un šobrīd uzrāda vienu no spēcīgākajiem pieaugumiem ES, savukārt Vācija atgriezusies pie pozitīvas izaugsmes tikai pērnā gada nogalē. Toties Lietuvas ražošanas gada pieauguma tempi </w:t>
      </w:r>
      <w:proofErr w:type="spellStart"/>
      <w:r w:rsidRPr="00062774">
        <w:t>š.g</w:t>
      </w:r>
      <w:proofErr w:type="spellEnd"/>
      <w:r w:rsidRPr="00062774">
        <w:t xml:space="preserve"> 1. ceturksnī, salīdzinot ar pērnā gada 1. ceturksni, ir strauji kritušies, Zviedrijā tie saglabājas negatīvi jau kopš 2011. gada 4. ceturkšņa, savukārt Igaunijā rūpniecības izlaides apjomi pēc 4 gadu izaugsmes ir noslīdējuši zem nulles. Latvija, ņemot vērā rūpniecības izaugsmi ierobežojošos faktorus pagājušajā gadā, uz ES fona izskatās salīdzinoši vāji. Tajā pašā laikā tas dod pamatu apgalvot, ka Latvijas ražotājiem ir potenciāls kāpināt produkcijas izlaides apjomus, jo kopējā ES dinamika norāda uz uzlabojumiem šajā nozarē. </w:t>
      </w:r>
    </w:p>
    <w:p w:rsidR="00062774" w:rsidRPr="00062774" w:rsidRDefault="00062774" w:rsidP="00062774">
      <w:pPr>
        <w:rPr>
          <w:rFonts w:ascii="Franklin Gothic Book" w:hAnsi="Franklin Gothic Book"/>
          <w:sz w:val="20"/>
          <w:szCs w:val="20"/>
          <w:lang w:eastAsia="lv-LV"/>
        </w:rPr>
      </w:pPr>
    </w:p>
    <w:p w:rsidR="00062774" w:rsidRPr="00062774" w:rsidRDefault="00062774" w:rsidP="00062774">
      <w:pPr>
        <w:ind w:firstLine="0"/>
      </w:pPr>
      <w:r w:rsidRPr="00062774">
        <w:rPr>
          <w:noProof/>
          <w:lang w:eastAsia="lv-LV"/>
        </w:rPr>
        <w:lastRenderedPageBreak/>
        <w:drawing>
          <wp:inline distT="0" distB="0" distL="0" distR="0" wp14:anchorId="6EE8F00A" wp14:editId="794DABB6">
            <wp:extent cx="5991367" cy="3385305"/>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3694" cy="3403571"/>
                    </a:xfrm>
                    <a:prstGeom prst="rect">
                      <a:avLst/>
                    </a:prstGeom>
                    <a:noFill/>
                  </pic:spPr>
                </pic:pic>
              </a:graphicData>
            </a:graphic>
          </wp:inline>
        </w:drawing>
      </w:r>
    </w:p>
    <w:p w:rsidR="00062774" w:rsidRPr="000161A4" w:rsidRDefault="00062774" w:rsidP="00062774">
      <w:pPr>
        <w:ind w:firstLine="0"/>
        <w:jc w:val="center"/>
        <w:rPr>
          <w:rFonts w:cs="Times New Roman"/>
          <w:b/>
          <w:i/>
          <w:sz w:val="24"/>
        </w:rPr>
      </w:pPr>
      <w:r w:rsidRPr="000161A4">
        <w:rPr>
          <w:rFonts w:cs="Times New Roman"/>
          <w:b/>
          <w:i/>
          <w:sz w:val="24"/>
        </w:rPr>
        <w:t>8. att. Rūpniecības produkcijas apjoma gada pieauguma temps Latvijas galvenajās</w:t>
      </w:r>
      <w:r w:rsidRPr="00062774">
        <w:rPr>
          <w:b/>
          <w:i/>
        </w:rPr>
        <w:t xml:space="preserve"> </w:t>
      </w:r>
      <w:r w:rsidRPr="000161A4">
        <w:rPr>
          <w:rFonts w:cs="Times New Roman"/>
          <w:b/>
          <w:i/>
          <w:sz w:val="24"/>
        </w:rPr>
        <w:t>tirdzniecības partnervalstīs 2014. gada 1.ceturksnī (kalendāri izlīdzināti dati, %)</w:t>
      </w:r>
    </w:p>
    <w:p w:rsidR="00062774" w:rsidRPr="00062774" w:rsidRDefault="00062774" w:rsidP="00062774">
      <w:r w:rsidRPr="00062774">
        <w:t>Ražošanas attīstības perspektīvas2014. gada turpmākajos mēnešos lielā mērā noteiks notikumu attīstība Ukrainā un austrumu reģionā kopumā. Tajā pašā laikā ekono</w:t>
      </w:r>
      <w:r w:rsidR="00404D8F">
        <w:t xml:space="preserve">miskās situācijas uzlabošanās </w:t>
      </w:r>
      <w:proofErr w:type="spellStart"/>
      <w:r w:rsidR="00404D8F" w:rsidRPr="00B87469">
        <w:rPr>
          <w:i/>
        </w:rPr>
        <w:t>eu</w:t>
      </w:r>
      <w:r w:rsidRPr="00B87469">
        <w:rPr>
          <w:i/>
        </w:rPr>
        <w:t>ro</w:t>
      </w:r>
      <w:proofErr w:type="spellEnd"/>
      <w:r w:rsidR="00404D8F">
        <w:t xml:space="preserve"> </w:t>
      </w:r>
      <w:r w:rsidRPr="00062774">
        <w:t>zonā, kā arī jaunākie EK publicēto uzņēmēju aptauju dati, kas liecina par uzņēmēju noskaņojuma uzlabošanos Eiropas Savienībā, norāda uz potenciālo ārējā pieprasījuma pieaugumu pēc Latvijā ražotām precēm, tādējādi sekmējot rūpniecības izaugsmes tempus valstī.</w:t>
      </w:r>
    </w:p>
    <w:p w:rsidR="00062774" w:rsidRPr="00062774" w:rsidRDefault="00062774" w:rsidP="00062774">
      <w:r w:rsidRPr="00062774">
        <w:t>FM sagatavotais makroekonomiskās attīstības scenārijs paredz rūpniecības apjomu pieaugumu 4-5% apjomā. Pēc 2013. gada rūpniecības izlaides apjomu samazinājuma, kā arī tempiem piebremzējoties š.g. 1. ceturksnī, gada otrajā pusē ir gaidāma situācijas uzlabošanās un Latvijas rūpniecības ražošanas apjomi atgriezīsies pie straujākiem izaugsmes tempiem.</w:t>
      </w:r>
    </w:p>
    <w:p w:rsidR="00062774" w:rsidRPr="00062774" w:rsidRDefault="00062774" w:rsidP="00062774">
      <w:pPr>
        <w:jc w:val="center"/>
        <w:rPr>
          <w:b/>
        </w:rPr>
      </w:pPr>
    </w:p>
    <w:p w:rsidR="00062774" w:rsidRPr="00062774" w:rsidRDefault="00062774" w:rsidP="00062774">
      <w:pPr>
        <w:jc w:val="center"/>
        <w:rPr>
          <w:b/>
        </w:rPr>
      </w:pPr>
      <w:r w:rsidRPr="00062774">
        <w:rPr>
          <w:b/>
        </w:rPr>
        <w:t>Mazumtirdzniecība</w:t>
      </w:r>
    </w:p>
    <w:p w:rsidR="00062774" w:rsidRPr="00062774" w:rsidRDefault="00062774" w:rsidP="00062774">
      <w:pPr>
        <w:spacing w:after="0"/>
      </w:pPr>
      <w:r w:rsidRPr="00062774">
        <w:t xml:space="preserve">Mazumtirdzniecības apgrozījums š.g. pirmajā ceturksnī, salīdzinot ar iepriekšējā gada atbilstošo periodu, pieauga par 2,2%, kas ir uzskatāms par samērā vāju veikumu. Tomēr ir jāņem vērā, ka martā šis rādītājs jau uzrādīja 3,8 procentu pieaugumu, kas ir būtisks uzlabojums, ja salīdzina ar gada pirmajiem diviem mēnešiem. Kā arī bija gaidāms, gada sākumā patērētāju piesardzība attiecībā uz </w:t>
      </w:r>
      <w:proofErr w:type="spellStart"/>
      <w:r w:rsidR="00404D8F" w:rsidRPr="00B87469">
        <w:rPr>
          <w:i/>
        </w:rPr>
        <w:t>euro</w:t>
      </w:r>
      <w:proofErr w:type="spellEnd"/>
      <w:r w:rsidRPr="00062774">
        <w:t xml:space="preserve"> ieviešanu radīja nelielas svārstības mazumtirdzniecības apgrozījuma datos. Šo piesardzību veicināja šķietamā inflācija, ko radīja lata un </w:t>
      </w:r>
      <w:proofErr w:type="spellStart"/>
      <w:r w:rsidR="00404D8F" w:rsidRPr="00B87469">
        <w:rPr>
          <w:i/>
        </w:rPr>
        <w:t>euro</w:t>
      </w:r>
      <w:proofErr w:type="spellEnd"/>
      <w:r w:rsidRPr="00062774">
        <w:t xml:space="preserve"> valūtas vērtības atšķirības. Statistika gan liecina, ka pārsvarā visu ikdienas preču cenas ir palikušas nemainīgas, ja izslēdz tipiskās sezonālās cenu svārstības atsevišķām precēm vai pakalpojumiem. Patērētājiem pielāgojoties jaunās valūtas vērtībai, šis īstermiņa efekts ir mazinās un gaidāms, ka turpmākais </w:t>
      </w:r>
      <w:r w:rsidRPr="00062774">
        <w:lastRenderedPageBreak/>
        <w:t>mazumtirdzniecības apgrozījuma kāpums būs samērāms ar algu un nodarbinātības kāpumu, kas arī šogad sola būtisku privātā patēriņa ieguldījumu ekonomikas izaugsmē.</w:t>
      </w:r>
    </w:p>
    <w:p w:rsidR="00062774" w:rsidRPr="0079557A" w:rsidRDefault="00062774" w:rsidP="0079557A">
      <w:pPr>
        <w:ind w:firstLine="0"/>
        <w:rPr>
          <w:noProof/>
          <w:lang w:eastAsia="lv-LV"/>
        </w:rPr>
      </w:pPr>
      <w:r w:rsidRPr="00062774">
        <w:rPr>
          <w:noProof/>
          <w:lang w:eastAsia="lv-LV"/>
        </w:rPr>
        <w:drawing>
          <wp:inline distT="0" distB="0" distL="0" distR="0" wp14:anchorId="33C15D87" wp14:editId="1C2DD9FD">
            <wp:extent cx="6076950" cy="3162300"/>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62774" w:rsidRPr="00062774" w:rsidRDefault="00062774" w:rsidP="00D24FBD">
      <w:pPr>
        <w:jc w:val="center"/>
        <w:rPr>
          <w:b/>
          <w:i/>
        </w:rPr>
      </w:pPr>
      <w:r w:rsidRPr="000161A4">
        <w:rPr>
          <w:rFonts w:cs="Times New Roman"/>
          <w:b/>
          <w:i/>
          <w:sz w:val="24"/>
        </w:rPr>
        <w:t>9.att. Mazumtirdzniecības apgrozījums, gada pieaugumi, pēc preču grupas,</w:t>
      </w:r>
      <w:r w:rsidRPr="00062774">
        <w:rPr>
          <w:b/>
          <w:i/>
        </w:rPr>
        <w:t xml:space="preserve"> %</w:t>
      </w:r>
    </w:p>
    <w:p w:rsidR="00062774" w:rsidRPr="00062774" w:rsidRDefault="00062774" w:rsidP="00062774">
      <w:r w:rsidRPr="00062774">
        <w:t>Statistika par marta mēnesi sevī jau iekļauj periodu, kad Ukrainā sākās nemieri. Tādēļ uzlabojums mazumtirdzniecības datos var šķist mulsinošs, taču jāņem vērā, ka privātais patēriņš nav tik ļoti jūtīgs pret politisko fonu ārvalstīs un pagaidām vēl nav novērojami indikatori, kas liecinātu par vērā ņemamu ietekmi.</w:t>
      </w:r>
    </w:p>
    <w:p w:rsidR="00062774" w:rsidRPr="00062774" w:rsidRDefault="00062774" w:rsidP="00062774">
      <w:pPr>
        <w:jc w:val="center"/>
        <w:rPr>
          <w:b/>
        </w:rPr>
      </w:pPr>
    </w:p>
    <w:p w:rsidR="00062774" w:rsidRPr="00062774" w:rsidRDefault="00062774" w:rsidP="00062774">
      <w:pPr>
        <w:jc w:val="center"/>
        <w:rPr>
          <w:b/>
        </w:rPr>
      </w:pPr>
      <w:r w:rsidRPr="00062774">
        <w:rPr>
          <w:b/>
        </w:rPr>
        <w:t>Transports</w:t>
      </w:r>
      <w:bookmarkEnd w:id="16"/>
      <w:bookmarkEnd w:id="17"/>
      <w:bookmarkEnd w:id="18"/>
    </w:p>
    <w:p w:rsidR="00062774" w:rsidRPr="00062774" w:rsidRDefault="00062774" w:rsidP="00062774">
      <w:pPr>
        <w:spacing w:after="0"/>
      </w:pPr>
      <w:r w:rsidRPr="00062774">
        <w:t>Transporta nozare, kas izdevīgā ģeogrāfiskā stāvokļa dēļ ieņem salīdzinoši augstu īpatsvaru Latvijas ekonomikā un bija viena no stabilākajām tautsaimniecības nozarēm krīzes laikā, 2013.gadā, samazinoties Krievijas tranzīta plūsmām, piedzīvoja jūtamu izaugsmes tempu samazinājumu. Tomēr šā gada pirmajā ceturksnī situācija ir uzlabojusies, kravu apgrozījums Latvijas ostās sasniedzis rekordu un turpina palielināties arī kravu pārvadājumi ar autotransportu un pasažieru pārvadājumi. Tajā pašā laikā nozares attīstības perspektīvas turpina negatīvi ietekmēt Krievijas ilgtermiņa plāni pārorientēt kravu plūsmu uz savām Baltijas jūras ostām, savukārt tuvāko mēnešu laikā nozares situāciju var pasliktināt Krievijas - Ukrainas konflikts. Tāpat jāatzīmē, ka pirmajā ceturksnī vērojamo kravu apgrozījuma pieaugumu ostās nodrošināja galvenokārt Krievijas tranzīta plūsmas pārdale starp Baltijas ostām, nevis spēcīgs kopējā</w:t>
      </w:r>
      <w:r w:rsidRPr="00062774">
        <w:rPr>
          <w:i/>
        </w:rPr>
        <w:t>s</w:t>
      </w:r>
      <w:r w:rsidRPr="00062774">
        <w:t xml:space="preserve"> kravu plūsmas pieaugums un ilgākā termiņā nav pamata rēķināties ar šādas situācijas saglabāšanos.</w:t>
      </w:r>
    </w:p>
    <w:p w:rsidR="00062774" w:rsidRPr="00062774" w:rsidRDefault="00062774" w:rsidP="00062774">
      <w:pPr>
        <w:spacing w:after="0"/>
      </w:pPr>
      <w:r w:rsidRPr="00062774">
        <w:t xml:space="preserve">Kopumā 2013.gadā transporta un uzglabāšanas nozarē tika sasniegts 1,3% pieaugums, kas ir būtiski mazāk, nekā nozare tika palielinājusies iepriekšējos gados – attiecīgi par 8,1 procentu 2012.gadā un 3,6 procentiem 2013.gadā. Lēnākos nozares kopējās izaugsmes tempus noteica kravu apjomu samazinājums ostās un dzelzceļā, </w:t>
      </w:r>
      <w:r w:rsidRPr="00062774">
        <w:lastRenderedPageBreak/>
        <w:t>kamēr kravu autopārvadājumi atšķirībā no iepriekšējā gada uzrādīja strauju kāpumu un neliels pieaugums bija vērojams arī pasažieru pārvadājumu jomā.</w:t>
      </w:r>
    </w:p>
    <w:p w:rsidR="00062774" w:rsidRPr="00062774" w:rsidRDefault="00062774" w:rsidP="00062774">
      <w:r w:rsidRPr="00062774">
        <w:t xml:space="preserve">Latvijas ostās 2013.gadā tika pārkrauti 70,5 milj. tonnu kravu, kas bija par 6,3% mazāk nekā 2012.gadā. Kopējo kravu apgrozījuma samazinājumu noteica kritums visās lielākajās kravu grupās, tajā skaitā naftas produktu pārkraušana (īpatsvars 32,4%) samazinājās par 4,8% un ogļu pārkraušana (30,6%) – par 6,4%. Kā pozitīvo tajā pašā laikā var pieminēt augstākas vērtības kravu – konteineru - pārkraušanas apjomu pieaugumu par 8,9%. Kopējo kravu apjomu samazināšanos noteica gan iepriekšējā gadā sasniegtais augstais pārkraušanas apjoms pašas Latvijas ostās, gan strauji augošais kravu apgrozījums Krievijas jaunajā </w:t>
      </w:r>
      <w:proofErr w:type="spellStart"/>
      <w:r w:rsidRPr="00062774">
        <w:t>Ustjlugas</w:t>
      </w:r>
      <w:proofErr w:type="spellEnd"/>
      <w:r w:rsidRPr="00062774">
        <w:t xml:space="preserve"> ostā.</w:t>
      </w:r>
    </w:p>
    <w:p w:rsidR="00062774" w:rsidRPr="00062774" w:rsidRDefault="00062774" w:rsidP="00062774">
      <w:r w:rsidRPr="00062774">
        <w:t>Savukārt 2014.gada pirmajā ceturksnī kravu apgrozījums Latvijas ostās sasniedza 20,7 milj. tonnu, kas bija par 9,4% vairāk nekā pagājušā gada attiecīgajā ceturksnī, un bija visu laiku lielākais vienā ceturksnī Latvijas ostās pārkrauto kravu apjoms. Rīgas ostā kravu apgrozījums pirmajā ceturksnī audzis par 21,7%, Liepājas ostā – par 4,8%, bet Ventspils ostā tas samazinājies par 1,5%. Kopējo kravu apgrozījuma pieaugumu noteica galvenokārt strauji pieaugušie naftas produktu, ogļu un labības pārkraušanas apjomi – attiecīgi par 10,0% jeb 0,7 milj. tonnu, 4,4% jeb 0,3 milj. tonnu un 80,9% jeb 0,5 milj. tonnu.</w:t>
      </w:r>
    </w:p>
    <w:p w:rsidR="00062774" w:rsidRPr="00062774" w:rsidRDefault="00062774" w:rsidP="00062774">
      <w:pPr>
        <w:ind w:firstLine="0"/>
      </w:pPr>
      <w:r w:rsidRPr="00062774">
        <w:rPr>
          <w:noProof/>
          <w:lang w:eastAsia="lv-LV"/>
        </w:rPr>
        <w:drawing>
          <wp:inline distT="0" distB="0" distL="0" distR="0" wp14:anchorId="26107F80" wp14:editId="61F81B01">
            <wp:extent cx="6067425" cy="2962275"/>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62774" w:rsidRPr="00062774" w:rsidRDefault="00062774" w:rsidP="00D24FBD">
      <w:pPr>
        <w:jc w:val="center"/>
      </w:pPr>
      <w:r w:rsidRPr="000161A4">
        <w:rPr>
          <w:rFonts w:cs="Times New Roman"/>
          <w:b/>
          <w:i/>
          <w:sz w:val="24"/>
        </w:rPr>
        <w:t>10. att. Kravu apgrozījums Latvijas ostās gada pirmajā ceturksnī, tūkst. tonnu</w:t>
      </w:r>
    </w:p>
    <w:p w:rsidR="00062774" w:rsidRDefault="00062774" w:rsidP="000161A4">
      <w:pPr>
        <w:jc w:val="left"/>
        <w:rPr>
          <w:color w:val="000000" w:themeColor="text1"/>
        </w:rPr>
      </w:pPr>
      <w:r w:rsidRPr="00062774">
        <w:rPr>
          <w:color w:val="000000" w:themeColor="text1"/>
        </w:rPr>
        <w:t xml:space="preserve">Starp Baltijas jūras </w:t>
      </w:r>
      <w:proofErr w:type="spellStart"/>
      <w:r w:rsidRPr="00062774">
        <w:rPr>
          <w:color w:val="000000" w:themeColor="text1"/>
        </w:rPr>
        <w:t>austrumkrasta</w:t>
      </w:r>
      <w:proofErr w:type="spellEnd"/>
      <w:r w:rsidRPr="00062774">
        <w:rPr>
          <w:color w:val="000000" w:themeColor="text1"/>
        </w:rPr>
        <w:t xml:space="preserve"> ostām būtisks kravu apgrozījuma pieaugums šogad bijis Krievijas jaunajā </w:t>
      </w:r>
      <w:proofErr w:type="spellStart"/>
      <w:r w:rsidRPr="00062774">
        <w:rPr>
          <w:color w:val="000000" w:themeColor="text1"/>
        </w:rPr>
        <w:t>Ustjlugas</w:t>
      </w:r>
      <w:proofErr w:type="spellEnd"/>
      <w:r w:rsidRPr="00062774">
        <w:rPr>
          <w:color w:val="000000" w:themeColor="text1"/>
        </w:rPr>
        <w:t xml:space="preserve"> ostā, pēc pagājušā gadā piedzīvotā spēcīgā krituma kravu apgrozījums sācis palielināties arī Tallinas ostās, savukārt Krievijas tranzīta kravu plūsma caur Klaipēdas ostu ir būtiski sarukusi.</w:t>
      </w:r>
    </w:p>
    <w:p w:rsidR="000161A4" w:rsidRDefault="000161A4" w:rsidP="000161A4">
      <w:pPr>
        <w:jc w:val="left"/>
        <w:rPr>
          <w:color w:val="000000" w:themeColor="text1"/>
        </w:rPr>
      </w:pPr>
    </w:p>
    <w:p w:rsidR="000161A4" w:rsidRPr="00062774" w:rsidRDefault="000161A4" w:rsidP="000161A4">
      <w:pPr>
        <w:jc w:val="left"/>
        <w:rPr>
          <w:color w:val="000000" w:themeColor="text1"/>
        </w:rPr>
      </w:pPr>
    </w:p>
    <w:p w:rsidR="00062774" w:rsidRPr="005C00B2" w:rsidRDefault="00062774" w:rsidP="005C00B2">
      <w:pPr>
        <w:rPr>
          <w:rFonts w:cs="Times New Roman"/>
          <w:b/>
          <w:i/>
          <w:sz w:val="24"/>
        </w:rPr>
      </w:pPr>
      <w:r w:rsidRPr="005C00B2">
        <w:rPr>
          <w:rFonts w:cs="Times New Roman"/>
          <w:b/>
          <w:i/>
          <w:sz w:val="24"/>
        </w:rPr>
        <w:lastRenderedPageBreak/>
        <w:t xml:space="preserve">2. tabula. Kravu apgrozījums Baltijas jūras </w:t>
      </w:r>
      <w:proofErr w:type="spellStart"/>
      <w:r w:rsidRPr="005C00B2">
        <w:rPr>
          <w:rFonts w:cs="Times New Roman"/>
          <w:b/>
          <w:i/>
          <w:sz w:val="24"/>
        </w:rPr>
        <w:t>austrumkrasta</w:t>
      </w:r>
      <w:proofErr w:type="spellEnd"/>
      <w:r w:rsidRPr="005C00B2">
        <w:rPr>
          <w:rFonts w:cs="Times New Roman"/>
          <w:b/>
          <w:i/>
          <w:sz w:val="24"/>
        </w:rPr>
        <w:t xml:space="preserve"> ostās, tūkst. t</w:t>
      </w:r>
      <w:r w:rsidRPr="004C654B">
        <w:rPr>
          <w:rFonts w:cs="Times New Roman"/>
          <w:b/>
          <w:i/>
          <w:sz w:val="24"/>
          <w:vertAlign w:val="superscript"/>
        </w:rPr>
        <w:footnoteReference w:id="5"/>
      </w:r>
    </w:p>
    <w:tbl>
      <w:tblPr>
        <w:tblW w:w="9491" w:type="dxa"/>
        <w:tblInd w:w="108" w:type="dxa"/>
        <w:tblCellMar>
          <w:left w:w="0" w:type="dxa"/>
          <w:right w:w="0" w:type="dxa"/>
        </w:tblCellMar>
        <w:tblLook w:val="04A0" w:firstRow="1" w:lastRow="0" w:firstColumn="1" w:lastColumn="0" w:noHBand="0" w:noVBand="1"/>
      </w:tblPr>
      <w:tblGrid>
        <w:gridCol w:w="2408"/>
        <w:gridCol w:w="2190"/>
        <w:gridCol w:w="2373"/>
        <w:gridCol w:w="2520"/>
      </w:tblGrid>
      <w:tr w:rsidR="00062774" w:rsidRPr="00062774" w:rsidTr="0079557A">
        <w:trPr>
          <w:cantSplit/>
          <w:trHeight w:val="282"/>
        </w:trPr>
        <w:tc>
          <w:tcPr>
            <w:tcW w:w="2408" w:type="dxa"/>
            <w:tcBorders>
              <w:bottom w:val="single" w:sz="4" w:space="0" w:color="auto"/>
              <w:right w:val="single" w:sz="4" w:space="0" w:color="auto"/>
            </w:tcBorders>
            <w:shd w:val="clear" w:color="auto" w:fill="auto"/>
            <w:tcMar>
              <w:top w:w="0" w:type="dxa"/>
              <w:left w:w="108" w:type="dxa"/>
              <w:bottom w:w="0" w:type="dxa"/>
              <w:right w:w="108" w:type="dxa"/>
            </w:tcMar>
            <w:hideMark/>
          </w:tcPr>
          <w:p w:rsidR="00062774" w:rsidRPr="00062774" w:rsidRDefault="00062774" w:rsidP="00062774">
            <w:pPr>
              <w:rPr>
                <w:b/>
                <w:bCs/>
                <w:sz w:val="24"/>
              </w:rPr>
            </w:pPr>
            <w:r w:rsidRPr="00062774">
              <w:rPr>
                <w:b/>
                <w:bCs/>
                <w:sz w:val="24"/>
              </w:rPr>
              <w:t>Osta</w:t>
            </w:r>
          </w:p>
        </w:tc>
        <w:tc>
          <w:tcPr>
            <w:tcW w:w="2190" w:type="dxa"/>
            <w:tcBorders>
              <w:left w:val="single" w:sz="4" w:space="0" w:color="auto"/>
              <w:bottom w:val="single" w:sz="4" w:space="0" w:color="auto"/>
            </w:tcBorders>
            <w:shd w:val="clear" w:color="auto" w:fill="auto"/>
            <w:tcMar>
              <w:top w:w="0" w:type="dxa"/>
              <w:left w:w="108" w:type="dxa"/>
              <w:bottom w:w="0" w:type="dxa"/>
              <w:right w:w="108" w:type="dxa"/>
            </w:tcMar>
          </w:tcPr>
          <w:p w:rsidR="00062774" w:rsidRPr="00062774" w:rsidRDefault="00062774" w:rsidP="00062774">
            <w:pPr>
              <w:spacing w:after="0"/>
              <w:rPr>
                <w:b/>
                <w:bCs/>
                <w:sz w:val="24"/>
              </w:rPr>
            </w:pPr>
            <w:r w:rsidRPr="00062774">
              <w:rPr>
                <w:b/>
                <w:bCs/>
                <w:sz w:val="24"/>
              </w:rPr>
              <w:t xml:space="preserve">2013.gada </w:t>
            </w:r>
          </w:p>
          <w:p w:rsidR="00062774" w:rsidRPr="00062774" w:rsidRDefault="00062774" w:rsidP="00062774">
            <w:pPr>
              <w:spacing w:after="0"/>
              <w:rPr>
                <w:b/>
                <w:bCs/>
                <w:sz w:val="24"/>
              </w:rPr>
            </w:pPr>
            <w:r w:rsidRPr="00062774">
              <w:rPr>
                <w:b/>
                <w:bCs/>
                <w:sz w:val="24"/>
              </w:rPr>
              <w:t>3 mēneši</w:t>
            </w:r>
          </w:p>
        </w:tc>
        <w:tc>
          <w:tcPr>
            <w:tcW w:w="2373" w:type="dxa"/>
            <w:tcBorders>
              <w:bottom w:val="single" w:sz="4" w:space="0" w:color="auto"/>
            </w:tcBorders>
            <w:shd w:val="clear" w:color="auto" w:fill="auto"/>
            <w:vAlign w:val="center"/>
          </w:tcPr>
          <w:p w:rsidR="00062774" w:rsidRPr="00062774" w:rsidRDefault="00062774" w:rsidP="00062774">
            <w:pPr>
              <w:spacing w:after="0"/>
              <w:rPr>
                <w:b/>
                <w:bCs/>
                <w:sz w:val="24"/>
              </w:rPr>
            </w:pPr>
            <w:r w:rsidRPr="00062774">
              <w:rPr>
                <w:b/>
                <w:bCs/>
                <w:sz w:val="24"/>
              </w:rPr>
              <w:t xml:space="preserve">2014. gada </w:t>
            </w:r>
          </w:p>
          <w:p w:rsidR="00062774" w:rsidRPr="00062774" w:rsidRDefault="00062774" w:rsidP="00062774">
            <w:pPr>
              <w:spacing w:after="0"/>
              <w:rPr>
                <w:b/>
                <w:bCs/>
                <w:sz w:val="24"/>
              </w:rPr>
            </w:pPr>
            <w:r w:rsidRPr="00062774">
              <w:rPr>
                <w:b/>
                <w:bCs/>
                <w:sz w:val="24"/>
              </w:rPr>
              <w:t>3 mēneši</w:t>
            </w:r>
          </w:p>
        </w:tc>
        <w:tc>
          <w:tcPr>
            <w:tcW w:w="2520" w:type="dxa"/>
            <w:tcBorders>
              <w:bottom w:val="single" w:sz="4" w:space="0" w:color="auto"/>
            </w:tcBorders>
            <w:shd w:val="clear" w:color="auto" w:fill="auto"/>
            <w:tcMar>
              <w:top w:w="0" w:type="dxa"/>
              <w:left w:w="108" w:type="dxa"/>
              <w:bottom w:w="0" w:type="dxa"/>
              <w:right w:w="108" w:type="dxa"/>
            </w:tcMar>
            <w:vAlign w:val="center"/>
            <w:hideMark/>
          </w:tcPr>
          <w:p w:rsidR="00062774" w:rsidRPr="00062774" w:rsidRDefault="00062774" w:rsidP="00062774">
            <w:pPr>
              <w:rPr>
                <w:b/>
                <w:bCs/>
                <w:sz w:val="24"/>
              </w:rPr>
            </w:pPr>
            <w:r w:rsidRPr="00062774">
              <w:rPr>
                <w:b/>
                <w:bCs/>
                <w:sz w:val="24"/>
              </w:rPr>
              <w:t>Izmaiņas, %</w:t>
            </w:r>
          </w:p>
        </w:tc>
      </w:tr>
      <w:tr w:rsidR="00062774" w:rsidRPr="00062774" w:rsidTr="0079557A">
        <w:trPr>
          <w:trHeight w:val="281"/>
        </w:trPr>
        <w:tc>
          <w:tcPr>
            <w:tcW w:w="2408" w:type="dxa"/>
            <w:tcBorders>
              <w:top w:val="single" w:sz="4" w:space="0" w:color="auto"/>
              <w:right w:val="single" w:sz="4" w:space="0" w:color="auto"/>
            </w:tcBorders>
            <w:shd w:val="clear" w:color="auto" w:fill="auto"/>
            <w:tcMar>
              <w:top w:w="0" w:type="dxa"/>
              <w:left w:w="108" w:type="dxa"/>
              <w:bottom w:w="0" w:type="dxa"/>
              <w:right w:w="108" w:type="dxa"/>
            </w:tcMar>
            <w:hideMark/>
          </w:tcPr>
          <w:p w:rsidR="00062774" w:rsidRPr="00062774" w:rsidRDefault="00062774" w:rsidP="00062774">
            <w:pPr>
              <w:spacing w:after="0"/>
              <w:ind w:firstLine="0"/>
              <w:jc w:val="left"/>
              <w:rPr>
                <w:bCs/>
                <w:sz w:val="24"/>
              </w:rPr>
            </w:pPr>
            <w:proofErr w:type="spellStart"/>
            <w:r w:rsidRPr="00062774">
              <w:rPr>
                <w:bCs/>
                <w:sz w:val="24"/>
              </w:rPr>
              <w:t>Ustjluga</w:t>
            </w:r>
            <w:proofErr w:type="spellEnd"/>
          </w:p>
        </w:tc>
        <w:tc>
          <w:tcPr>
            <w:tcW w:w="2190" w:type="dxa"/>
            <w:tcBorders>
              <w:top w:val="single" w:sz="4" w:space="0" w:color="auto"/>
              <w:left w:val="single" w:sz="4" w:space="0" w:color="auto"/>
            </w:tcBorders>
            <w:shd w:val="clear" w:color="auto" w:fill="auto"/>
            <w:tcMar>
              <w:top w:w="0" w:type="dxa"/>
              <w:left w:w="108" w:type="dxa"/>
              <w:bottom w:w="0" w:type="dxa"/>
              <w:right w:w="108" w:type="dxa"/>
            </w:tcMar>
            <w:hideMark/>
          </w:tcPr>
          <w:p w:rsidR="00062774" w:rsidRPr="00062774" w:rsidRDefault="00062774" w:rsidP="00062774">
            <w:pPr>
              <w:spacing w:after="0"/>
              <w:rPr>
                <w:bCs/>
                <w:color w:val="000000"/>
                <w:sz w:val="24"/>
              </w:rPr>
            </w:pPr>
            <w:r w:rsidRPr="00062774">
              <w:rPr>
                <w:bCs/>
                <w:color w:val="000000"/>
                <w:sz w:val="24"/>
              </w:rPr>
              <w:t>13 259,3</w:t>
            </w:r>
          </w:p>
        </w:tc>
        <w:tc>
          <w:tcPr>
            <w:tcW w:w="2373" w:type="dxa"/>
            <w:tcBorders>
              <w:top w:val="single" w:sz="4" w:space="0" w:color="auto"/>
            </w:tcBorders>
            <w:shd w:val="clear" w:color="auto" w:fill="auto"/>
            <w:tcMar>
              <w:top w:w="0" w:type="dxa"/>
              <w:left w:w="108" w:type="dxa"/>
              <w:bottom w:w="0" w:type="dxa"/>
              <w:right w:w="108" w:type="dxa"/>
            </w:tcMar>
          </w:tcPr>
          <w:p w:rsidR="00062774" w:rsidRPr="00062774" w:rsidRDefault="00062774" w:rsidP="00062774">
            <w:pPr>
              <w:spacing w:after="0"/>
              <w:rPr>
                <w:bCs/>
                <w:color w:val="000000"/>
                <w:sz w:val="24"/>
              </w:rPr>
            </w:pPr>
            <w:r w:rsidRPr="00062774">
              <w:rPr>
                <w:bCs/>
                <w:color w:val="000000"/>
                <w:sz w:val="24"/>
              </w:rPr>
              <w:t>16 561,0</w:t>
            </w:r>
          </w:p>
        </w:tc>
        <w:tc>
          <w:tcPr>
            <w:tcW w:w="2520" w:type="dxa"/>
            <w:tcBorders>
              <w:top w:val="single" w:sz="4" w:space="0" w:color="auto"/>
            </w:tcBorders>
            <w:shd w:val="clear" w:color="auto" w:fill="auto"/>
            <w:tcMar>
              <w:top w:w="0" w:type="dxa"/>
              <w:left w:w="108" w:type="dxa"/>
              <w:bottom w:w="0" w:type="dxa"/>
              <w:right w:w="108" w:type="dxa"/>
            </w:tcMar>
          </w:tcPr>
          <w:p w:rsidR="00062774" w:rsidRPr="00062774" w:rsidRDefault="00062774" w:rsidP="00062774">
            <w:pPr>
              <w:spacing w:after="0"/>
              <w:rPr>
                <w:bCs/>
                <w:color w:val="000000"/>
                <w:sz w:val="24"/>
              </w:rPr>
            </w:pPr>
            <w:r w:rsidRPr="00062774">
              <w:rPr>
                <w:bCs/>
                <w:color w:val="000000"/>
                <w:sz w:val="24"/>
              </w:rPr>
              <w:t>+24,9</w:t>
            </w:r>
          </w:p>
        </w:tc>
      </w:tr>
      <w:tr w:rsidR="00062774" w:rsidRPr="00062774" w:rsidTr="0079557A">
        <w:trPr>
          <w:trHeight w:val="281"/>
        </w:trPr>
        <w:tc>
          <w:tcPr>
            <w:tcW w:w="2408" w:type="dxa"/>
            <w:tcBorders>
              <w:right w:val="single" w:sz="4" w:space="0" w:color="auto"/>
            </w:tcBorders>
            <w:shd w:val="clear" w:color="auto" w:fill="auto"/>
            <w:tcMar>
              <w:top w:w="0" w:type="dxa"/>
              <w:left w:w="108" w:type="dxa"/>
              <w:bottom w:w="0" w:type="dxa"/>
              <w:right w:w="108" w:type="dxa"/>
            </w:tcMar>
            <w:hideMark/>
          </w:tcPr>
          <w:p w:rsidR="00062774" w:rsidRPr="00062774" w:rsidRDefault="00062774" w:rsidP="00062774">
            <w:pPr>
              <w:spacing w:after="0"/>
              <w:ind w:firstLine="0"/>
              <w:jc w:val="left"/>
              <w:rPr>
                <w:bCs/>
                <w:sz w:val="24"/>
              </w:rPr>
            </w:pPr>
            <w:r w:rsidRPr="00062774">
              <w:rPr>
                <w:bCs/>
                <w:sz w:val="24"/>
              </w:rPr>
              <w:t>Sanktpēterburga</w:t>
            </w:r>
          </w:p>
        </w:tc>
        <w:tc>
          <w:tcPr>
            <w:tcW w:w="2190" w:type="dxa"/>
            <w:tcBorders>
              <w:left w:val="single" w:sz="4" w:space="0" w:color="auto"/>
            </w:tcBorders>
            <w:shd w:val="clear" w:color="auto" w:fill="auto"/>
            <w:tcMar>
              <w:top w:w="0" w:type="dxa"/>
              <w:left w:w="108" w:type="dxa"/>
              <w:bottom w:w="0" w:type="dxa"/>
              <w:right w:w="108" w:type="dxa"/>
            </w:tcMar>
          </w:tcPr>
          <w:p w:rsidR="00062774" w:rsidRPr="00062774" w:rsidRDefault="00062774" w:rsidP="00062774">
            <w:pPr>
              <w:spacing w:after="0"/>
              <w:rPr>
                <w:bCs/>
                <w:color w:val="000000"/>
                <w:sz w:val="24"/>
              </w:rPr>
            </w:pPr>
            <w:r w:rsidRPr="00062774">
              <w:rPr>
                <w:bCs/>
                <w:color w:val="000000"/>
                <w:sz w:val="24"/>
              </w:rPr>
              <w:t>12 377,4</w:t>
            </w:r>
          </w:p>
        </w:tc>
        <w:tc>
          <w:tcPr>
            <w:tcW w:w="2373" w:type="dxa"/>
            <w:shd w:val="clear" w:color="auto" w:fill="auto"/>
            <w:tcMar>
              <w:top w:w="0" w:type="dxa"/>
              <w:left w:w="108" w:type="dxa"/>
              <w:bottom w:w="0" w:type="dxa"/>
              <w:right w:w="108" w:type="dxa"/>
            </w:tcMar>
          </w:tcPr>
          <w:p w:rsidR="00062774" w:rsidRPr="00062774" w:rsidRDefault="00062774" w:rsidP="00062774">
            <w:pPr>
              <w:spacing w:after="0"/>
              <w:rPr>
                <w:bCs/>
                <w:color w:val="000000"/>
                <w:sz w:val="24"/>
              </w:rPr>
            </w:pPr>
            <w:r w:rsidRPr="00062774">
              <w:rPr>
                <w:bCs/>
                <w:color w:val="000000"/>
                <w:sz w:val="24"/>
              </w:rPr>
              <w:t>14 000,3</w:t>
            </w:r>
          </w:p>
        </w:tc>
        <w:tc>
          <w:tcPr>
            <w:tcW w:w="2520" w:type="dxa"/>
            <w:shd w:val="clear" w:color="auto" w:fill="auto"/>
            <w:tcMar>
              <w:top w:w="0" w:type="dxa"/>
              <w:left w:w="108" w:type="dxa"/>
              <w:bottom w:w="0" w:type="dxa"/>
              <w:right w:w="108" w:type="dxa"/>
            </w:tcMar>
            <w:vAlign w:val="bottom"/>
          </w:tcPr>
          <w:p w:rsidR="00062774" w:rsidRPr="00062774" w:rsidRDefault="00062774" w:rsidP="00062774">
            <w:pPr>
              <w:spacing w:after="0"/>
              <w:rPr>
                <w:bCs/>
                <w:color w:val="000000"/>
                <w:sz w:val="24"/>
              </w:rPr>
            </w:pPr>
            <w:r w:rsidRPr="00062774">
              <w:rPr>
                <w:bCs/>
                <w:color w:val="000000"/>
                <w:sz w:val="24"/>
              </w:rPr>
              <w:t>+13,1</w:t>
            </w:r>
          </w:p>
        </w:tc>
      </w:tr>
      <w:tr w:rsidR="00062774" w:rsidRPr="00062774" w:rsidTr="0079557A">
        <w:trPr>
          <w:trHeight w:val="296"/>
        </w:trPr>
        <w:tc>
          <w:tcPr>
            <w:tcW w:w="2408" w:type="dxa"/>
            <w:tcBorders>
              <w:right w:val="single" w:sz="4" w:space="0" w:color="auto"/>
            </w:tcBorders>
            <w:shd w:val="clear" w:color="auto" w:fill="auto"/>
            <w:tcMar>
              <w:top w:w="0" w:type="dxa"/>
              <w:left w:w="108" w:type="dxa"/>
              <w:bottom w:w="0" w:type="dxa"/>
              <w:right w:w="108" w:type="dxa"/>
            </w:tcMar>
            <w:hideMark/>
          </w:tcPr>
          <w:p w:rsidR="00062774" w:rsidRPr="00062774" w:rsidRDefault="00062774" w:rsidP="00062774">
            <w:pPr>
              <w:spacing w:after="0"/>
              <w:ind w:firstLine="0"/>
              <w:jc w:val="left"/>
              <w:rPr>
                <w:bCs/>
                <w:sz w:val="24"/>
              </w:rPr>
            </w:pPr>
            <w:proofErr w:type="spellStart"/>
            <w:r w:rsidRPr="00062774">
              <w:rPr>
                <w:bCs/>
                <w:sz w:val="24"/>
              </w:rPr>
              <w:t>Primorska</w:t>
            </w:r>
            <w:proofErr w:type="spellEnd"/>
          </w:p>
        </w:tc>
        <w:tc>
          <w:tcPr>
            <w:tcW w:w="2190" w:type="dxa"/>
            <w:tcBorders>
              <w:left w:val="single" w:sz="4" w:space="0" w:color="auto"/>
            </w:tcBorders>
            <w:shd w:val="clear" w:color="auto" w:fill="auto"/>
            <w:tcMar>
              <w:top w:w="0" w:type="dxa"/>
              <w:left w:w="108" w:type="dxa"/>
              <w:bottom w:w="0" w:type="dxa"/>
              <w:right w:w="108" w:type="dxa"/>
            </w:tcMar>
          </w:tcPr>
          <w:p w:rsidR="00062774" w:rsidRPr="00062774" w:rsidRDefault="00062774" w:rsidP="00062774">
            <w:pPr>
              <w:spacing w:after="0"/>
              <w:rPr>
                <w:bCs/>
                <w:color w:val="000000"/>
                <w:sz w:val="24"/>
              </w:rPr>
            </w:pPr>
            <w:r w:rsidRPr="00062774">
              <w:rPr>
                <w:bCs/>
                <w:color w:val="000000"/>
                <w:sz w:val="24"/>
              </w:rPr>
              <w:t>16 767,0</w:t>
            </w:r>
          </w:p>
        </w:tc>
        <w:tc>
          <w:tcPr>
            <w:tcW w:w="2373" w:type="dxa"/>
            <w:shd w:val="clear" w:color="auto" w:fill="auto"/>
            <w:tcMar>
              <w:top w:w="0" w:type="dxa"/>
              <w:left w:w="108" w:type="dxa"/>
              <w:bottom w:w="0" w:type="dxa"/>
              <w:right w:w="108" w:type="dxa"/>
            </w:tcMar>
          </w:tcPr>
          <w:p w:rsidR="00062774" w:rsidRPr="00062774" w:rsidRDefault="00062774" w:rsidP="00062774">
            <w:pPr>
              <w:spacing w:after="0"/>
              <w:rPr>
                <w:bCs/>
                <w:color w:val="000000"/>
                <w:sz w:val="24"/>
              </w:rPr>
            </w:pPr>
            <w:r w:rsidRPr="00062774">
              <w:rPr>
                <w:bCs/>
                <w:color w:val="000000"/>
                <w:sz w:val="24"/>
              </w:rPr>
              <w:t>13 897,8</w:t>
            </w:r>
          </w:p>
        </w:tc>
        <w:tc>
          <w:tcPr>
            <w:tcW w:w="2520" w:type="dxa"/>
            <w:shd w:val="clear" w:color="auto" w:fill="auto"/>
            <w:tcMar>
              <w:top w:w="0" w:type="dxa"/>
              <w:left w:w="108" w:type="dxa"/>
              <w:bottom w:w="0" w:type="dxa"/>
              <w:right w:w="108" w:type="dxa"/>
            </w:tcMar>
            <w:vAlign w:val="bottom"/>
          </w:tcPr>
          <w:p w:rsidR="00062774" w:rsidRPr="00062774" w:rsidRDefault="00062774" w:rsidP="00062774">
            <w:pPr>
              <w:spacing w:after="0"/>
              <w:rPr>
                <w:bCs/>
                <w:color w:val="000000"/>
                <w:sz w:val="24"/>
              </w:rPr>
            </w:pPr>
            <w:r w:rsidRPr="00062774">
              <w:rPr>
                <w:bCs/>
                <w:color w:val="000000"/>
                <w:sz w:val="24"/>
              </w:rPr>
              <w:t>-17,1</w:t>
            </w:r>
          </w:p>
        </w:tc>
      </w:tr>
      <w:tr w:rsidR="00062774" w:rsidRPr="00062774" w:rsidTr="0079557A">
        <w:trPr>
          <w:trHeight w:val="281"/>
        </w:trPr>
        <w:tc>
          <w:tcPr>
            <w:tcW w:w="2408" w:type="dxa"/>
            <w:tcBorders>
              <w:right w:val="single" w:sz="4" w:space="0" w:color="auto"/>
            </w:tcBorders>
            <w:shd w:val="clear" w:color="auto" w:fill="auto"/>
            <w:tcMar>
              <w:top w:w="0" w:type="dxa"/>
              <w:left w:w="108" w:type="dxa"/>
              <w:bottom w:w="0" w:type="dxa"/>
              <w:right w:w="108" w:type="dxa"/>
            </w:tcMar>
          </w:tcPr>
          <w:p w:rsidR="00062774" w:rsidRPr="00062774" w:rsidRDefault="00062774" w:rsidP="00062774">
            <w:pPr>
              <w:spacing w:after="0"/>
              <w:ind w:firstLine="0"/>
              <w:jc w:val="left"/>
              <w:rPr>
                <w:bCs/>
                <w:sz w:val="24"/>
              </w:rPr>
            </w:pPr>
            <w:r w:rsidRPr="00062774">
              <w:rPr>
                <w:bCs/>
                <w:sz w:val="24"/>
              </w:rPr>
              <w:t>Klaipēda un Būtiņģe</w:t>
            </w:r>
          </w:p>
        </w:tc>
        <w:tc>
          <w:tcPr>
            <w:tcW w:w="2190" w:type="dxa"/>
            <w:tcBorders>
              <w:left w:val="single" w:sz="4" w:space="0" w:color="auto"/>
            </w:tcBorders>
            <w:shd w:val="clear" w:color="auto" w:fill="auto"/>
            <w:tcMar>
              <w:top w:w="0" w:type="dxa"/>
              <w:left w:w="108" w:type="dxa"/>
              <w:bottom w:w="0" w:type="dxa"/>
              <w:right w:w="108" w:type="dxa"/>
            </w:tcMar>
          </w:tcPr>
          <w:p w:rsidR="00062774" w:rsidRPr="00062774" w:rsidRDefault="00062774" w:rsidP="00062774">
            <w:pPr>
              <w:spacing w:after="0"/>
              <w:rPr>
                <w:bCs/>
                <w:color w:val="000000"/>
                <w:sz w:val="24"/>
              </w:rPr>
            </w:pPr>
            <w:r w:rsidRPr="00062774">
              <w:rPr>
                <w:bCs/>
                <w:color w:val="000000"/>
                <w:sz w:val="24"/>
              </w:rPr>
              <w:t>11 802,7</w:t>
            </w:r>
          </w:p>
        </w:tc>
        <w:tc>
          <w:tcPr>
            <w:tcW w:w="2373" w:type="dxa"/>
            <w:shd w:val="clear" w:color="auto" w:fill="auto"/>
            <w:tcMar>
              <w:top w:w="0" w:type="dxa"/>
              <w:left w:w="108" w:type="dxa"/>
              <w:bottom w:w="0" w:type="dxa"/>
              <w:right w:w="108" w:type="dxa"/>
            </w:tcMar>
          </w:tcPr>
          <w:p w:rsidR="00062774" w:rsidRPr="00062774" w:rsidRDefault="00062774" w:rsidP="00062774">
            <w:pPr>
              <w:spacing w:after="0"/>
              <w:rPr>
                <w:bCs/>
                <w:color w:val="000000"/>
                <w:sz w:val="24"/>
              </w:rPr>
            </w:pPr>
            <w:r w:rsidRPr="00062774">
              <w:rPr>
                <w:bCs/>
                <w:color w:val="000000"/>
                <w:sz w:val="24"/>
              </w:rPr>
              <w:t>10 221,9</w:t>
            </w:r>
          </w:p>
        </w:tc>
        <w:tc>
          <w:tcPr>
            <w:tcW w:w="2520" w:type="dxa"/>
            <w:shd w:val="clear" w:color="auto" w:fill="auto"/>
            <w:tcMar>
              <w:top w:w="0" w:type="dxa"/>
              <w:left w:w="108" w:type="dxa"/>
              <w:bottom w:w="0" w:type="dxa"/>
              <w:right w:w="108" w:type="dxa"/>
            </w:tcMar>
            <w:vAlign w:val="bottom"/>
          </w:tcPr>
          <w:p w:rsidR="00062774" w:rsidRPr="00062774" w:rsidRDefault="00062774" w:rsidP="00062774">
            <w:pPr>
              <w:spacing w:after="0"/>
              <w:rPr>
                <w:bCs/>
                <w:color w:val="000000"/>
                <w:sz w:val="24"/>
              </w:rPr>
            </w:pPr>
            <w:r w:rsidRPr="00062774">
              <w:rPr>
                <w:bCs/>
                <w:color w:val="000000"/>
                <w:sz w:val="24"/>
              </w:rPr>
              <w:t>-13,4</w:t>
            </w:r>
          </w:p>
        </w:tc>
      </w:tr>
      <w:tr w:rsidR="00062774" w:rsidRPr="00062774" w:rsidTr="0079557A">
        <w:trPr>
          <w:trHeight w:val="281"/>
        </w:trPr>
        <w:tc>
          <w:tcPr>
            <w:tcW w:w="2408" w:type="dxa"/>
            <w:tcBorders>
              <w:right w:val="single" w:sz="4" w:space="0" w:color="auto"/>
            </w:tcBorders>
            <w:shd w:val="clear" w:color="auto" w:fill="auto"/>
            <w:tcMar>
              <w:top w:w="0" w:type="dxa"/>
              <w:left w:w="108" w:type="dxa"/>
              <w:bottom w:w="0" w:type="dxa"/>
              <w:right w:w="108" w:type="dxa"/>
            </w:tcMar>
            <w:hideMark/>
          </w:tcPr>
          <w:p w:rsidR="00062774" w:rsidRPr="00062774" w:rsidRDefault="00062774" w:rsidP="00062774">
            <w:pPr>
              <w:spacing w:after="0"/>
              <w:ind w:firstLine="0"/>
              <w:jc w:val="left"/>
              <w:rPr>
                <w:b/>
                <w:bCs/>
                <w:color w:val="000000"/>
                <w:szCs w:val="20"/>
              </w:rPr>
            </w:pPr>
            <w:r w:rsidRPr="00062774">
              <w:rPr>
                <w:b/>
                <w:bCs/>
                <w:color w:val="000000"/>
                <w:sz w:val="24"/>
                <w:szCs w:val="20"/>
              </w:rPr>
              <w:t>Rīga</w:t>
            </w:r>
          </w:p>
        </w:tc>
        <w:tc>
          <w:tcPr>
            <w:tcW w:w="2190" w:type="dxa"/>
            <w:tcBorders>
              <w:left w:val="single" w:sz="4" w:space="0" w:color="auto"/>
            </w:tcBorders>
            <w:shd w:val="clear" w:color="auto" w:fill="auto"/>
            <w:tcMar>
              <w:top w:w="0" w:type="dxa"/>
              <w:left w:w="108" w:type="dxa"/>
              <w:bottom w:w="0" w:type="dxa"/>
              <w:right w:w="108" w:type="dxa"/>
            </w:tcMar>
          </w:tcPr>
          <w:p w:rsidR="00062774" w:rsidRPr="00062774" w:rsidRDefault="00062774" w:rsidP="00062774">
            <w:pPr>
              <w:spacing w:after="0"/>
              <w:rPr>
                <w:b/>
                <w:bCs/>
                <w:color w:val="000000"/>
                <w:sz w:val="24"/>
              </w:rPr>
            </w:pPr>
            <w:r w:rsidRPr="00062774">
              <w:rPr>
                <w:b/>
                <w:bCs/>
                <w:color w:val="000000"/>
                <w:sz w:val="24"/>
              </w:rPr>
              <w:t>8 149,8</w:t>
            </w:r>
          </w:p>
        </w:tc>
        <w:tc>
          <w:tcPr>
            <w:tcW w:w="2373" w:type="dxa"/>
            <w:shd w:val="clear" w:color="auto" w:fill="auto"/>
            <w:tcMar>
              <w:top w:w="0" w:type="dxa"/>
              <w:left w:w="108" w:type="dxa"/>
              <w:bottom w:w="0" w:type="dxa"/>
              <w:right w:w="108" w:type="dxa"/>
            </w:tcMar>
          </w:tcPr>
          <w:p w:rsidR="00062774" w:rsidRPr="00062774" w:rsidRDefault="00062774" w:rsidP="00062774">
            <w:pPr>
              <w:spacing w:after="0"/>
              <w:rPr>
                <w:b/>
                <w:bCs/>
                <w:color w:val="000000"/>
                <w:sz w:val="24"/>
              </w:rPr>
            </w:pPr>
            <w:r w:rsidRPr="00062774">
              <w:rPr>
                <w:b/>
                <w:bCs/>
                <w:color w:val="000000"/>
                <w:sz w:val="24"/>
              </w:rPr>
              <w:t>9 920,4</w:t>
            </w:r>
          </w:p>
        </w:tc>
        <w:tc>
          <w:tcPr>
            <w:tcW w:w="2520" w:type="dxa"/>
            <w:shd w:val="clear" w:color="auto" w:fill="auto"/>
            <w:tcMar>
              <w:top w:w="0" w:type="dxa"/>
              <w:left w:w="108" w:type="dxa"/>
              <w:bottom w:w="0" w:type="dxa"/>
              <w:right w:w="108" w:type="dxa"/>
            </w:tcMar>
            <w:vAlign w:val="bottom"/>
          </w:tcPr>
          <w:p w:rsidR="00062774" w:rsidRPr="00062774" w:rsidRDefault="00062774" w:rsidP="00062774">
            <w:pPr>
              <w:spacing w:after="0"/>
              <w:rPr>
                <w:b/>
                <w:bCs/>
                <w:color w:val="000000"/>
                <w:sz w:val="24"/>
              </w:rPr>
            </w:pPr>
            <w:r w:rsidRPr="00062774">
              <w:rPr>
                <w:b/>
                <w:bCs/>
                <w:color w:val="000000"/>
                <w:sz w:val="24"/>
              </w:rPr>
              <w:t>+21,7</w:t>
            </w:r>
          </w:p>
        </w:tc>
      </w:tr>
      <w:tr w:rsidR="00062774" w:rsidRPr="00062774" w:rsidTr="0079557A">
        <w:trPr>
          <w:trHeight w:val="296"/>
        </w:trPr>
        <w:tc>
          <w:tcPr>
            <w:tcW w:w="2408" w:type="dxa"/>
            <w:tcBorders>
              <w:right w:val="single" w:sz="4" w:space="0" w:color="auto"/>
            </w:tcBorders>
            <w:shd w:val="clear" w:color="auto" w:fill="auto"/>
            <w:tcMar>
              <w:top w:w="0" w:type="dxa"/>
              <w:left w:w="108" w:type="dxa"/>
              <w:bottom w:w="0" w:type="dxa"/>
              <w:right w:w="108" w:type="dxa"/>
            </w:tcMar>
            <w:hideMark/>
          </w:tcPr>
          <w:p w:rsidR="00062774" w:rsidRPr="00062774" w:rsidRDefault="00062774" w:rsidP="00062774">
            <w:pPr>
              <w:spacing w:after="0"/>
              <w:ind w:firstLine="0"/>
              <w:jc w:val="left"/>
              <w:rPr>
                <w:b/>
                <w:bCs/>
                <w:sz w:val="24"/>
              </w:rPr>
            </w:pPr>
            <w:r w:rsidRPr="00062774">
              <w:rPr>
                <w:b/>
                <w:bCs/>
                <w:sz w:val="24"/>
              </w:rPr>
              <w:t>Ventspils</w:t>
            </w:r>
          </w:p>
        </w:tc>
        <w:tc>
          <w:tcPr>
            <w:tcW w:w="2190" w:type="dxa"/>
            <w:tcBorders>
              <w:left w:val="single" w:sz="4" w:space="0" w:color="auto"/>
            </w:tcBorders>
            <w:shd w:val="clear" w:color="auto" w:fill="auto"/>
            <w:tcMar>
              <w:top w:w="0" w:type="dxa"/>
              <w:left w:w="108" w:type="dxa"/>
              <w:bottom w:w="0" w:type="dxa"/>
              <w:right w:w="108" w:type="dxa"/>
            </w:tcMar>
          </w:tcPr>
          <w:p w:rsidR="00062774" w:rsidRPr="00062774" w:rsidRDefault="00062774" w:rsidP="00062774">
            <w:pPr>
              <w:spacing w:after="0"/>
              <w:rPr>
                <w:b/>
                <w:bCs/>
                <w:color w:val="000000"/>
                <w:sz w:val="24"/>
              </w:rPr>
            </w:pPr>
            <w:r w:rsidRPr="00062774">
              <w:rPr>
                <w:b/>
                <w:bCs/>
                <w:color w:val="000000"/>
                <w:sz w:val="24"/>
              </w:rPr>
              <w:t>9 122,0</w:t>
            </w:r>
          </w:p>
        </w:tc>
        <w:tc>
          <w:tcPr>
            <w:tcW w:w="2373" w:type="dxa"/>
            <w:shd w:val="clear" w:color="auto" w:fill="auto"/>
            <w:tcMar>
              <w:top w:w="0" w:type="dxa"/>
              <w:left w:w="108" w:type="dxa"/>
              <w:bottom w:w="0" w:type="dxa"/>
              <w:right w:w="108" w:type="dxa"/>
            </w:tcMar>
          </w:tcPr>
          <w:p w:rsidR="00062774" w:rsidRPr="00062774" w:rsidRDefault="00062774" w:rsidP="00062774">
            <w:pPr>
              <w:spacing w:after="0"/>
              <w:rPr>
                <w:b/>
                <w:bCs/>
                <w:color w:val="000000"/>
                <w:sz w:val="24"/>
              </w:rPr>
            </w:pPr>
            <w:r w:rsidRPr="00062774">
              <w:rPr>
                <w:b/>
                <w:bCs/>
                <w:color w:val="000000"/>
                <w:sz w:val="24"/>
              </w:rPr>
              <w:t>8 989,0</w:t>
            </w:r>
          </w:p>
        </w:tc>
        <w:tc>
          <w:tcPr>
            <w:tcW w:w="2520" w:type="dxa"/>
            <w:shd w:val="clear" w:color="auto" w:fill="auto"/>
            <w:tcMar>
              <w:top w:w="0" w:type="dxa"/>
              <w:left w:w="108" w:type="dxa"/>
              <w:bottom w:w="0" w:type="dxa"/>
              <w:right w:w="108" w:type="dxa"/>
            </w:tcMar>
            <w:vAlign w:val="bottom"/>
          </w:tcPr>
          <w:p w:rsidR="00062774" w:rsidRPr="00062774" w:rsidRDefault="00062774" w:rsidP="00062774">
            <w:pPr>
              <w:spacing w:after="0"/>
              <w:rPr>
                <w:b/>
                <w:bCs/>
                <w:color w:val="000000"/>
                <w:sz w:val="24"/>
              </w:rPr>
            </w:pPr>
            <w:r w:rsidRPr="00062774">
              <w:rPr>
                <w:b/>
                <w:bCs/>
                <w:color w:val="000000"/>
                <w:sz w:val="24"/>
              </w:rPr>
              <w:t>-1,5</w:t>
            </w:r>
          </w:p>
        </w:tc>
      </w:tr>
      <w:tr w:rsidR="00062774" w:rsidRPr="00062774" w:rsidTr="0079557A">
        <w:trPr>
          <w:trHeight w:val="281"/>
        </w:trPr>
        <w:tc>
          <w:tcPr>
            <w:tcW w:w="2408" w:type="dxa"/>
            <w:tcBorders>
              <w:right w:val="single" w:sz="4" w:space="0" w:color="auto"/>
            </w:tcBorders>
            <w:shd w:val="clear" w:color="auto" w:fill="auto"/>
            <w:tcMar>
              <w:top w:w="0" w:type="dxa"/>
              <w:left w:w="108" w:type="dxa"/>
              <w:bottom w:w="0" w:type="dxa"/>
              <w:right w:w="108" w:type="dxa"/>
            </w:tcMar>
            <w:hideMark/>
          </w:tcPr>
          <w:p w:rsidR="00062774" w:rsidRPr="00062774" w:rsidRDefault="00062774" w:rsidP="00062774">
            <w:pPr>
              <w:spacing w:after="0"/>
              <w:ind w:firstLine="0"/>
              <w:jc w:val="left"/>
              <w:rPr>
                <w:bCs/>
                <w:sz w:val="24"/>
              </w:rPr>
            </w:pPr>
            <w:r w:rsidRPr="00062774">
              <w:rPr>
                <w:bCs/>
                <w:sz w:val="24"/>
              </w:rPr>
              <w:t>Tallina</w:t>
            </w:r>
          </w:p>
        </w:tc>
        <w:tc>
          <w:tcPr>
            <w:tcW w:w="2190" w:type="dxa"/>
            <w:tcBorders>
              <w:left w:val="single" w:sz="4" w:space="0" w:color="auto"/>
            </w:tcBorders>
            <w:shd w:val="clear" w:color="auto" w:fill="auto"/>
            <w:tcMar>
              <w:top w:w="0" w:type="dxa"/>
              <w:left w:w="108" w:type="dxa"/>
              <w:bottom w:w="0" w:type="dxa"/>
              <w:right w:w="108" w:type="dxa"/>
            </w:tcMar>
          </w:tcPr>
          <w:p w:rsidR="00062774" w:rsidRPr="00062774" w:rsidRDefault="00062774" w:rsidP="00062774">
            <w:pPr>
              <w:spacing w:after="0"/>
              <w:rPr>
                <w:bCs/>
                <w:color w:val="000000"/>
                <w:sz w:val="24"/>
              </w:rPr>
            </w:pPr>
            <w:r w:rsidRPr="00062774">
              <w:rPr>
                <w:bCs/>
                <w:color w:val="000000"/>
                <w:sz w:val="24"/>
              </w:rPr>
              <w:t>7 719,4</w:t>
            </w:r>
          </w:p>
        </w:tc>
        <w:tc>
          <w:tcPr>
            <w:tcW w:w="2373" w:type="dxa"/>
            <w:shd w:val="clear" w:color="auto" w:fill="auto"/>
            <w:tcMar>
              <w:top w:w="0" w:type="dxa"/>
              <w:left w:w="108" w:type="dxa"/>
              <w:bottom w:w="0" w:type="dxa"/>
              <w:right w:w="108" w:type="dxa"/>
            </w:tcMar>
          </w:tcPr>
          <w:p w:rsidR="00062774" w:rsidRPr="00062774" w:rsidRDefault="00062774" w:rsidP="00062774">
            <w:pPr>
              <w:spacing w:after="0"/>
              <w:rPr>
                <w:bCs/>
                <w:color w:val="000000"/>
                <w:sz w:val="24"/>
              </w:rPr>
            </w:pPr>
            <w:r w:rsidRPr="00062774">
              <w:rPr>
                <w:bCs/>
                <w:color w:val="000000"/>
                <w:sz w:val="24"/>
              </w:rPr>
              <w:t>8 283,0</w:t>
            </w:r>
          </w:p>
        </w:tc>
        <w:tc>
          <w:tcPr>
            <w:tcW w:w="2520" w:type="dxa"/>
            <w:shd w:val="clear" w:color="auto" w:fill="auto"/>
            <w:tcMar>
              <w:top w:w="0" w:type="dxa"/>
              <w:left w:w="108" w:type="dxa"/>
              <w:bottom w:w="0" w:type="dxa"/>
              <w:right w:w="108" w:type="dxa"/>
            </w:tcMar>
            <w:vAlign w:val="bottom"/>
          </w:tcPr>
          <w:p w:rsidR="00062774" w:rsidRPr="00062774" w:rsidRDefault="00062774" w:rsidP="00062774">
            <w:pPr>
              <w:spacing w:after="0"/>
              <w:rPr>
                <w:bCs/>
                <w:color w:val="000000"/>
                <w:sz w:val="24"/>
              </w:rPr>
            </w:pPr>
            <w:r w:rsidRPr="00062774">
              <w:rPr>
                <w:bCs/>
                <w:color w:val="000000"/>
                <w:sz w:val="24"/>
              </w:rPr>
              <w:t>+7,3</w:t>
            </w:r>
          </w:p>
        </w:tc>
      </w:tr>
      <w:tr w:rsidR="00062774" w:rsidRPr="00062774" w:rsidTr="0079557A">
        <w:trPr>
          <w:trHeight w:val="296"/>
        </w:trPr>
        <w:tc>
          <w:tcPr>
            <w:tcW w:w="2408" w:type="dxa"/>
            <w:tcBorders>
              <w:right w:val="single" w:sz="4" w:space="0" w:color="auto"/>
            </w:tcBorders>
            <w:shd w:val="clear" w:color="auto" w:fill="auto"/>
            <w:tcMar>
              <w:top w:w="0" w:type="dxa"/>
              <w:left w:w="108" w:type="dxa"/>
              <w:bottom w:w="0" w:type="dxa"/>
              <w:right w:w="108" w:type="dxa"/>
            </w:tcMar>
            <w:hideMark/>
          </w:tcPr>
          <w:p w:rsidR="00062774" w:rsidRPr="00062774" w:rsidRDefault="00062774" w:rsidP="00062774">
            <w:pPr>
              <w:spacing w:after="0"/>
              <w:ind w:firstLine="0"/>
              <w:jc w:val="left"/>
              <w:rPr>
                <w:bCs/>
                <w:sz w:val="24"/>
              </w:rPr>
            </w:pPr>
            <w:r w:rsidRPr="00062774">
              <w:rPr>
                <w:bCs/>
                <w:sz w:val="24"/>
              </w:rPr>
              <w:t>Visocka</w:t>
            </w:r>
          </w:p>
        </w:tc>
        <w:tc>
          <w:tcPr>
            <w:tcW w:w="2190" w:type="dxa"/>
            <w:tcBorders>
              <w:left w:val="single" w:sz="4" w:space="0" w:color="auto"/>
            </w:tcBorders>
            <w:shd w:val="clear" w:color="auto" w:fill="auto"/>
            <w:tcMar>
              <w:top w:w="0" w:type="dxa"/>
              <w:left w:w="108" w:type="dxa"/>
              <w:bottom w:w="0" w:type="dxa"/>
              <w:right w:w="108" w:type="dxa"/>
            </w:tcMar>
          </w:tcPr>
          <w:p w:rsidR="00062774" w:rsidRPr="00062774" w:rsidRDefault="00062774" w:rsidP="00062774">
            <w:pPr>
              <w:spacing w:after="0"/>
              <w:rPr>
                <w:bCs/>
                <w:color w:val="000000"/>
                <w:sz w:val="24"/>
              </w:rPr>
            </w:pPr>
            <w:r w:rsidRPr="00062774">
              <w:rPr>
                <w:bCs/>
                <w:color w:val="000000"/>
                <w:sz w:val="24"/>
              </w:rPr>
              <w:t>3 723,1</w:t>
            </w:r>
          </w:p>
        </w:tc>
        <w:tc>
          <w:tcPr>
            <w:tcW w:w="2373" w:type="dxa"/>
            <w:shd w:val="clear" w:color="auto" w:fill="auto"/>
            <w:tcMar>
              <w:top w:w="0" w:type="dxa"/>
              <w:left w:w="108" w:type="dxa"/>
              <w:bottom w:w="0" w:type="dxa"/>
              <w:right w:w="108" w:type="dxa"/>
            </w:tcMar>
          </w:tcPr>
          <w:p w:rsidR="00062774" w:rsidRPr="00062774" w:rsidRDefault="00062774" w:rsidP="00062774">
            <w:pPr>
              <w:spacing w:after="0"/>
              <w:rPr>
                <w:bCs/>
                <w:color w:val="000000"/>
                <w:sz w:val="24"/>
              </w:rPr>
            </w:pPr>
            <w:r w:rsidRPr="00062774">
              <w:rPr>
                <w:bCs/>
                <w:color w:val="000000"/>
                <w:sz w:val="24"/>
              </w:rPr>
              <w:t>3 900,5</w:t>
            </w:r>
          </w:p>
        </w:tc>
        <w:tc>
          <w:tcPr>
            <w:tcW w:w="2520" w:type="dxa"/>
            <w:shd w:val="clear" w:color="auto" w:fill="auto"/>
            <w:tcMar>
              <w:top w:w="0" w:type="dxa"/>
              <w:left w:w="108" w:type="dxa"/>
              <w:bottom w:w="0" w:type="dxa"/>
              <w:right w:w="108" w:type="dxa"/>
            </w:tcMar>
            <w:vAlign w:val="bottom"/>
          </w:tcPr>
          <w:p w:rsidR="00062774" w:rsidRPr="00062774" w:rsidRDefault="00062774" w:rsidP="00062774">
            <w:pPr>
              <w:spacing w:after="0"/>
              <w:rPr>
                <w:bCs/>
                <w:color w:val="000000"/>
                <w:sz w:val="24"/>
              </w:rPr>
            </w:pPr>
            <w:r w:rsidRPr="00062774">
              <w:rPr>
                <w:bCs/>
                <w:color w:val="000000"/>
                <w:sz w:val="24"/>
              </w:rPr>
              <w:t>+4,8</w:t>
            </w:r>
          </w:p>
        </w:tc>
      </w:tr>
      <w:tr w:rsidR="00062774" w:rsidRPr="00062774" w:rsidTr="0079557A">
        <w:trPr>
          <w:trHeight w:val="281"/>
        </w:trPr>
        <w:tc>
          <w:tcPr>
            <w:tcW w:w="2408" w:type="dxa"/>
            <w:tcBorders>
              <w:right w:val="single" w:sz="4" w:space="0" w:color="auto"/>
            </w:tcBorders>
            <w:shd w:val="clear" w:color="auto" w:fill="auto"/>
            <w:tcMar>
              <w:top w:w="0" w:type="dxa"/>
              <w:left w:w="108" w:type="dxa"/>
              <w:bottom w:w="0" w:type="dxa"/>
              <w:right w:w="108" w:type="dxa"/>
            </w:tcMar>
            <w:hideMark/>
          </w:tcPr>
          <w:p w:rsidR="00062774" w:rsidRPr="00062774" w:rsidRDefault="00062774" w:rsidP="00062774">
            <w:pPr>
              <w:spacing w:after="0"/>
              <w:ind w:firstLine="0"/>
              <w:jc w:val="left"/>
              <w:rPr>
                <w:bCs/>
                <w:sz w:val="24"/>
              </w:rPr>
            </w:pPr>
            <w:r w:rsidRPr="00062774">
              <w:rPr>
                <w:bCs/>
                <w:sz w:val="24"/>
              </w:rPr>
              <w:t>Kaļiņingrada</w:t>
            </w:r>
          </w:p>
        </w:tc>
        <w:tc>
          <w:tcPr>
            <w:tcW w:w="2190" w:type="dxa"/>
            <w:tcBorders>
              <w:left w:val="single" w:sz="4" w:space="0" w:color="auto"/>
            </w:tcBorders>
            <w:shd w:val="clear" w:color="auto" w:fill="auto"/>
            <w:tcMar>
              <w:top w:w="0" w:type="dxa"/>
              <w:left w:w="108" w:type="dxa"/>
              <w:bottom w:w="0" w:type="dxa"/>
              <w:right w:w="108" w:type="dxa"/>
            </w:tcMar>
          </w:tcPr>
          <w:p w:rsidR="00062774" w:rsidRPr="00062774" w:rsidRDefault="00062774" w:rsidP="00062774">
            <w:pPr>
              <w:spacing w:after="0"/>
              <w:rPr>
                <w:bCs/>
                <w:color w:val="000000"/>
                <w:sz w:val="24"/>
              </w:rPr>
            </w:pPr>
            <w:r w:rsidRPr="00062774">
              <w:rPr>
                <w:bCs/>
                <w:color w:val="000000"/>
                <w:sz w:val="24"/>
              </w:rPr>
              <w:t>3 730,5</w:t>
            </w:r>
          </w:p>
        </w:tc>
        <w:tc>
          <w:tcPr>
            <w:tcW w:w="2373" w:type="dxa"/>
            <w:shd w:val="clear" w:color="auto" w:fill="auto"/>
            <w:tcMar>
              <w:top w:w="0" w:type="dxa"/>
              <w:left w:w="108" w:type="dxa"/>
              <w:bottom w:w="0" w:type="dxa"/>
              <w:right w:w="108" w:type="dxa"/>
            </w:tcMar>
          </w:tcPr>
          <w:p w:rsidR="00062774" w:rsidRPr="00062774" w:rsidRDefault="00062774" w:rsidP="00062774">
            <w:pPr>
              <w:spacing w:after="0"/>
              <w:rPr>
                <w:bCs/>
                <w:color w:val="000000"/>
                <w:sz w:val="24"/>
              </w:rPr>
            </w:pPr>
            <w:r w:rsidRPr="00062774">
              <w:rPr>
                <w:bCs/>
                <w:color w:val="000000"/>
                <w:sz w:val="24"/>
              </w:rPr>
              <w:t>3 261,1</w:t>
            </w:r>
          </w:p>
        </w:tc>
        <w:tc>
          <w:tcPr>
            <w:tcW w:w="2520" w:type="dxa"/>
            <w:shd w:val="clear" w:color="auto" w:fill="auto"/>
            <w:tcMar>
              <w:top w:w="0" w:type="dxa"/>
              <w:left w:w="108" w:type="dxa"/>
              <w:bottom w:w="0" w:type="dxa"/>
              <w:right w:w="108" w:type="dxa"/>
            </w:tcMar>
            <w:vAlign w:val="bottom"/>
          </w:tcPr>
          <w:p w:rsidR="00062774" w:rsidRPr="00062774" w:rsidRDefault="00062774" w:rsidP="00062774">
            <w:pPr>
              <w:spacing w:after="0"/>
              <w:rPr>
                <w:bCs/>
                <w:color w:val="000000"/>
                <w:sz w:val="24"/>
              </w:rPr>
            </w:pPr>
            <w:r w:rsidRPr="00062774">
              <w:rPr>
                <w:bCs/>
                <w:color w:val="000000"/>
                <w:sz w:val="24"/>
              </w:rPr>
              <w:t>-12,6</w:t>
            </w:r>
          </w:p>
        </w:tc>
      </w:tr>
      <w:tr w:rsidR="00062774" w:rsidRPr="00062774" w:rsidTr="0079557A">
        <w:trPr>
          <w:trHeight w:val="281"/>
        </w:trPr>
        <w:tc>
          <w:tcPr>
            <w:tcW w:w="2408" w:type="dxa"/>
            <w:tcBorders>
              <w:right w:val="single" w:sz="4" w:space="0" w:color="auto"/>
            </w:tcBorders>
            <w:shd w:val="clear" w:color="auto" w:fill="auto"/>
            <w:tcMar>
              <w:top w:w="0" w:type="dxa"/>
              <w:left w:w="108" w:type="dxa"/>
              <w:bottom w:w="0" w:type="dxa"/>
              <w:right w:w="108" w:type="dxa"/>
            </w:tcMar>
            <w:hideMark/>
          </w:tcPr>
          <w:p w:rsidR="00062774" w:rsidRPr="00062774" w:rsidRDefault="00062774" w:rsidP="00062774">
            <w:pPr>
              <w:spacing w:after="0"/>
              <w:ind w:firstLine="0"/>
              <w:jc w:val="left"/>
              <w:rPr>
                <w:b/>
                <w:bCs/>
                <w:sz w:val="24"/>
              </w:rPr>
            </w:pPr>
            <w:r w:rsidRPr="00062774">
              <w:rPr>
                <w:b/>
                <w:bCs/>
                <w:sz w:val="24"/>
              </w:rPr>
              <w:t>Liepāja</w:t>
            </w:r>
          </w:p>
        </w:tc>
        <w:tc>
          <w:tcPr>
            <w:tcW w:w="2190" w:type="dxa"/>
            <w:tcBorders>
              <w:left w:val="single" w:sz="4" w:space="0" w:color="auto"/>
            </w:tcBorders>
            <w:shd w:val="clear" w:color="auto" w:fill="auto"/>
            <w:tcMar>
              <w:top w:w="0" w:type="dxa"/>
              <w:left w:w="108" w:type="dxa"/>
              <w:bottom w:w="0" w:type="dxa"/>
              <w:right w:w="108" w:type="dxa"/>
            </w:tcMar>
          </w:tcPr>
          <w:p w:rsidR="00062774" w:rsidRPr="00062774" w:rsidRDefault="00062774" w:rsidP="00062774">
            <w:pPr>
              <w:spacing w:after="0"/>
              <w:rPr>
                <w:b/>
                <w:bCs/>
                <w:color w:val="000000"/>
                <w:sz w:val="24"/>
              </w:rPr>
            </w:pPr>
            <w:r w:rsidRPr="00062774">
              <w:rPr>
                <w:b/>
                <w:bCs/>
                <w:color w:val="000000"/>
                <w:sz w:val="24"/>
              </w:rPr>
              <w:t>1 351,5</w:t>
            </w:r>
          </w:p>
        </w:tc>
        <w:tc>
          <w:tcPr>
            <w:tcW w:w="2373" w:type="dxa"/>
            <w:shd w:val="clear" w:color="auto" w:fill="auto"/>
            <w:tcMar>
              <w:top w:w="0" w:type="dxa"/>
              <w:left w:w="108" w:type="dxa"/>
              <w:bottom w:w="0" w:type="dxa"/>
              <w:right w:w="108" w:type="dxa"/>
            </w:tcMar>
          </w:tcPr>
          <w:p w:rsidR="00062774" w:rsidRPr="00062774" w:rsidRDefault="00062774" w:rsidP="00062774">
            <w:pPr>
              <w:spacing w:after="0"/>
              <w:rPr>
                <w:b/>
                <w:bCs/>
                <w:color w:val="000000"/>
                <w:sz w:val="24"/>
              </w:rPr>
            </w:pPr>
            <w:r w:rsidRPr="00062774">
              <w:rPr>
                <w:b/>
                <w:bCs/>
                <w:color w:val="000000"/>
                <w:sz w:val="24"/>
              </w:rPr>
              <w:t>1 416,7</w:t>
            </w:r>
          </w:p>
        </w:tc>
        <w:tc>
          <w:tcPr>
            <w:tcW w:w="2520" w:type="dxa"/>
            <w:shd w:val="clear" w:color="auto" w:fill="auto"/>
            <w:tcMar>
              <w:top w:w="0" w:type="dxa"/>
              <w:left w:w="108" w:type="dxa"/>
              <w:bottom w:w="0" w:type="dxa"/>
              <w:right w:w="108" w:type="dxa"/>
            </w:tcMar>
            <w:vAlign w:val="bottom"/>
          </w:tcPr>
          <w:p w:rsidR="00062774" w:rsidRPr="00062774" w:rsidRDefault="00062774" w:rsidP="00062774">
            <w:pPr>
              <w:spacing w:after="0"/>
              <w:rPr>
                <w:b/>
                <w:bCs/>
                <w:color w:val="000000"/>
                <w:sz w:val="24"/>
              </w:rPr>
            </w:pPr>
            <w:r w:rsidRPr="00062774">
              <w:rPr>
                <w:b/>
                <w:bCs/>
                <w:color w:val="000000"/>
                <w:sz w:val="24"/>
              </w:rPr>
              <w:t>+4,8</w:t>
            </w:r>
          </w:p>
        </w:tc>
      </w:tr>
    </w:tbl>
    <w:p w:rsidR="00062774" w:rsidRPr="00062774" w:rsidRDefault="00062774" w:rsidP="00062774"/>
    <w:p w:rsidR="00062774" w:rsidRPr="00062774" w:rsidRDefault="00062774" w:rsidP="00062774">
      <w:r w:rsidRPr="00062774">
        <w:t>Līdzīgi kā Latvijas ostās, 2014.gada pirmajā ceturksnī būtiski palielinājies arī dzelzceļa pārvadāto kravu apjoms. Pa dzelzceļu transportēti 17,0 milj. tonnu kravu, kas ir par 7,6% vairāk nekā 2013.gada atbilstošajā laika periodā.</w:t>
      </w:r>
    </w:p>
    <w:p w:rsidR="00062774" w:rsidRPr="00062774" w:rsidRDefault="00062774" w:rsidP="00062774">
      <w:r w:rsidRPr="00062774">
        <w:t>Spēcīgs pieaugums 2013.gadā bija vērojams kravu pārvadājumos ar autotransportu, kas arī pagājušajā gadā transporta nozarei ļāva saglabāt kopējo pieaugumu. 2013.gadā ar autotransportu pārvadāti pavisam 60,6 milj. tonnu kravu, kas ir par 15,2% vairāk nekā 2012.gadā. Lielāko autopārvadājumu daļu veido iekšzemes pārvadājumi, kuru apjoms audzis par 17,2%, bet starptautiskajos autopārvadājumos pērn sasniegts 5,9% pieaugums.</w:t>
      </w:r>
    </w:p>
    <w:p w:rsidR="00062774" w:rsidRPr="00062774" w:rsidRDefault="00062774" w:rsidP="00062774">
      <w:r w:rsidRPr="00062774">
        <w:t>2013.gadā pēc stabilās lejupslīdes iepriekšējos gados nedaudz palielinājies pasažieru pārvadājumu apjoms. Ar autobusiem 2013.gadā pārvadāti 147,5 miljoni pasažieru, kas ir par 0,6% vairāk nekā 2012.gadā. Dzelzceļa pasažieru skaits praktiski nav mainījies, kamēr būtisks pieaugums bijis pilsētas elektrotransportā – tramvaju pasažieru skaits audzis par 8,9% līdz 44,2 miljoniem, bet trolejbusu pasažieru skaits - par 3,7% līdz 47,9 miljoniem.</w:t>
      </w:r>
    </w:p>
    <w:p w:rsidR="00062774" w:rsidRPr="00062774" w:rsidRDefault="00062774" w:rsidP="00062774">
      <w:r w:rsidRPr="00062774">
        <w:t xml:space="preserve">Pasažieru skaits lidostā „Rīga” 2013.gadā bija palielinājies par 0,6% līdz 4,8 miljoniem, bet 2014.gada pirmajā ceturksnī, salīdzinot ar attiecīgo ceturksni pirms gada, piedzīvots kritums par 3,3% līdz 917 tūkstošiem. </w:t>
      </w:r>
    </w:p>
    <w:p w:rsidR="00062774" w:rsidRPr="00062774" w:rsidRDefault="00062774" w:rsidP="00062774">
      <w:r w:rsidRPr="00062774">
        <w:t>Pasažieru skaits Rīgas jūras ostā 2013.gadā palielinājās par 2,8% līdz 838 tūkstošiem un 2014.gadā turpināja augt, pirmajā ceturksnī salīdzinājumā ar iepriekšējā gada attiecīgo periodu palielinoties par 3,5% līdz 162,9 tūkstošiem.</w:t>
      </w:r>
    </w:p>
    <w:p w:rsidR="00062774" w:rsidRPr="00062774" w:rsidRDefault="00062774" w:rsidP="00062774">
      <w:pPr>
        <w:jc w:val="center"/>
        <w:rPr>
          <w:b/>
        </w:rPr>
      </w:pPr>
    </w:p>
    <w:p w:rsidR="00062774" w:rsidRPr="00062774" w:rsidRDefault="00062774" w:rsidP="00062774">
      <w:pPr>
        <w:ind w:firstLine="0"/>
        <w:jc w:val="center"/>
        <w:outlineLvl w:val="1"/>
        <w:rPr>
          <w:rFonts w:eastAsia="Times New Roman" w:cs="Times New Roman"/>
          <w:b/>
          <w:sz w:val="36"/>
          <w:szCs w:val="20"/>
        </w:rPr>
      </w:pPr>
      <w:bookmarkStart w:id="23" w:name="_Toc262026545"/>
      <w:bookmarkStart w:id="24" w:name="_Toc325101915"/>
      <w:bookmarkStart w:id="25" w:name="_Toc387845618"/>
      <w:bookmarkStart w:id="26" w:name="_Toc387911142"/>
      <w:r w:rsidRPr="00062774">
        <w:rPr>
          <w:rFonts w:eastAsia="Times New Roman" w:cs="Times New Roman"/>
          <w:b/>
          <w:sz w:val="36"/>
          <w:szCs w:val="20"/>
        </w:rPr>
        <w:t>1.4. Inflācija</w:t>
      </w:r>
      <w:bookmarkEnd w:id="23"/>
      <w:bookmarkEnd w:id="24"/>
      <w:bookmarkEnd w:id="25"/>
      <w:bookmarkEnd w:id="26"/>
    </w:p>
    <w:p w:rsidR="00062774" w:rsidRPr="00062774" w:rsidRDefault="00062774" w:rsidP="00062774">
      <w:pPr>
        <w:rPr>
          <w:rFonts w:cs="Times New Roman"/>
          <w:sz w:val="24"/>
        </w:rPr>
      </w:pPr>
      <w:bookmarkStart w:id="27" w:name="_Toc262026546"/>
      <w:bookmarkStart w:id="28" w:name="_Toc325101916"/>
      <w:r w:rsidRPr="00062774">
        <w:t xml:space="preserve">Patēriņa cenas 2014. gada pirmajā ceturksnī pieauga par 0,4%, salīdzinot ar iepriekšējā gada atbilstošo ceturksni. Pārsvarā cenu izmaiņas gada pirmajos mēnešos noteica sezonālie faktori un kā ierasts, nelielas svārstības cenu datos ieviesa arī </w:t>
      </w:r>
      <w:r w:rsidRPr="00062774">
        <w:lastRenderedPageBreak/>
        <w:t xml:space="preserve">izpārdošanas akcijas. Pirmā ceturkšņa patēriņa cenu dati pārsteigumus neradīja – kā arī gaidīts, </w:t>
      </w:r>
      <w:proofErr w:type="spellStart"/>
      <w:r w:rsidR="00404D8F" w:rsidRPr="00B87469">
        <w:rPr>
          <w:i/>
        </w:rPr>
        <w:t>euro</w:t>
      </w:r>
      <w:proofErr w:type="spellEnd"/>
      <w:r w:rsidRPr="00062774">
        <w:t xml:space="preserve"> ieviešana nav radījusi acīm redzamas izmaiņas cenu dinamikā un tā ietekme uz šo brīdi visticamāk nepārsniedz 0,2 </w:t>
      </w:r>
      <w:proofErr w:type="spellStart"/>
      <w:r w:rsidRPr="00062774">
        <w:t>p.p</w:t>
      </w:r>
      <w:proofErr w:type="spellEnd"/>
      <w:r w:rsidRPr="00062774">
        <w:t>. Pārsvarā šī ietekme ir vērojama pakalpojumu cenās.</w:t>
      </w:r>
    </w:p>
    <w:p w:rsidR="00062774" w:rsidRPr="00062774" w:rsidRDefault="00062774" w:rsidP="00062774">
      <w:pPr>
        <w:spacing w:before="120"/>
        <w:ind w:firstLine="0"/>
        <w:jc w:val="center"/>
        <w:rPr>
          <w:rFonts w:cs="Times New Roman"/>
          <w:sz w:val="24"/>
        </w:rPr>
      </w:pPr>
      <w:r w:rsidRPr="00062774">
        <w:rPr>
          <w:noProof/>
          <w:lang w:eastAsia="lv-LV"/>
        </w:rPr>
        <w:drawing>
          <wp:inline distT="0" distB="0" distL="0" distR="0" wp14:anchorId="1D1C7F79" wp14:editId="695317C0">
            <wp:extent cx="6064885" cy="3190875"/>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62774" w:rsidRPr="000161A4" w:rsidRDefault="00062774" w:rsidP="00D24FBD">
      <w:pPr>
        <w:jc w:val="center"/>
        <w:rPr>
          <w:rFonts w:cs="Times New Roman"/>
          <w:b/>
          <w:i/>
          <w:sz w:val="24"/>
        </w:rPr>
      </w:pPr>
      <w:r w:rsidRPr="000161A4">
        <w:rPr>
          <w:rFonts w:cs="Times New Roman"/>
          <w:b/>
          <w:i/>
          <w:sz w:val="24"/>
        </w:rPr>
        <w:t>11.att. Patēriņa cenas, gada pieaugumi, pēc izcelsmes avota, %</w:t>
      </w:r>
    </w:p>
    <w:p w:rsidR="00062774" w:rsidRPr="00062774" w:rsidRDefault="00062774" w:rsidP="00062774">
      <w:r w:rsidRPr="00062774">
        <w:t>Fundamentālie iekšējie faktori, kas nosaka patēriņa cenu dinamiku, vēl arvien ir samērā vāji. Pamatinflācija nav atguvusies, jo iekšējā tirgus spiediens uz cenām ir lielā mērā atkarīgs no darbaspēka izmaksām. Kamēr bezdarbs vēl ir relatīvi augsts, spiediens uz algu kāpumu nav pietiekami spēcīgs, lai būtiski ietekmētu uzņēmumu izmaksu attiecību pret uzņēmumu gūto peļņu. Tādēļ arī turpmāk 2014. gada vidējo inflāciju pārsvarā noteiks ārējās vides faktori, kas, ņemot vērā kopējo cenu dinamiku ES, šogad vēl neradīs papildu pozitīvu spiedienu uz cenām Latvijā. Gaidāms, ka turpmāks bezdarba līmeņa kritums un darba algu pieaugums pakāpeniski sāks ietekmēt inflāciju, pieaugot pakalpojumu cenām</w:t>
      </w:r>
      <w:r w:rsidRPr="00062774">
        <w:rPr>
          <w:sz w:val="24"/>
        </w:rPr>
        <w:t>.</w:t>
      </w:r>
      <w:r w:rsidRPr="00062774">
        <w:t xml:space="preserve"> Manāms efekts uz gada vidēju inflāciju gan būs vērojams tikai 2015. gadā.</w:t>
      </w:r>
    </w:p>
    <w:p w:rsidR="00062774" w:rsidRDefault="00062774" w:rsidP="00062774">
      <w:r w:rsidRPr="00062774">
        <w:t xml:space="preserve">Spriežot pēc šī  gada pirmo trīs mēnešu patēriņa cenu datiem, FM prognoze par zemu inflāciju pagaidām sevi apstiprina. Pēc elektroenerģijas tirgus liberalizācijas pārcelšanas uz 2015. gada sākumu, gada vidējās inflācijas prognoze 2014. gadam tika pārskatīta uz leju līdz 1,1% (no 1,6%), bet gada vidējās inflācijas prognoze 2015. gadam tika paaugstināta uz 3% (no 2,5%). </w:t>
      </w:r>
    </w:p>
    <w:p w:rsidR="00565B8A" w:rsidRPr="00062774" w:rsidRDefault="00565B8A" w:rsidP="00062774"/>
    <w:p w:rsidR="00062774" w:rsidRPr="00062774" w:rsidRDefault="00062774" w:rsidP="00062774">
      <w:pPr>
        <w:ind w:firstLine="0"/>
        <w:jc w:val="center"/>
        <w:outlineLvl w:val="1"/>
        <w:rPr>
          <w:rFonts w:eastAsia="Times New Roman" w:cs="Times New Roman"/>
          <w:b/>
          <w:sz w:val="36"/>
          <w:szCs w:val="20"/>
        </w:rPr>
      </w:pPr>
      <w:bookmarkStart w:id="29" w:name="_Toc387845619"/>
      <w:bookmarkStart w:id="30" w:name="_Toc387911143"/>
      <w:r w:rsidRPr="00062774">
        <w:rPr>
          <w:rFonts w:eastAsia="Times New Roman" w:cs="Times New Roman"/>
          <w:b/>
          <w:sz w:val="36"/>
          <w:szCs w:val="20"/>
        </w:rPr>
        <w:t>1.5. Nodarbinātība un bezdarbs</w:t>
      </w:r>
      <w:bookmarkEnd w:id="27"/>
      <w:bookmarkEnd w:id="28"/>
      <w:bookmarkEnd w:id="29"/>
      <w:bookmarkEnd w:id="30"/>
    </w:p>
    <w:p w:rsidR="00062774" w:rsidRPr="00062774" w:rsidRDefault="00062774" w:rsidP="00062774">
      <w:bookmarkStart w:id="31" w:name="_Toc262026548"/>
      <w:r w:rsidRPr="00062774">
        <w:t xml:space="preserve">Latvijas ekonomikai pārvarot krīzi un atgriežoties spēcīgas izaugsmes periodā, arvien </w:t>
      </w:r>
      <w:proofErr w:type="spellStart"/>
      <w:r w:rsidRPr="00062774">
        <w:t>jūtamāk</w:t>
      </w:r>
      <w:proofErr w:type="spellEnd"/>
      <w:r w:rsidRPr="00062774">
        <w:t xml:space="preserve"> uzlabojas situācija darba tirgū. Tautsaimniecībā nodarbināto iedzīvotāju skaits 2013.gadā ir palielinājies jau trešo gadu pēc kārtas - par 2,1%, </w:t>
      </w:r>
      <w:r w:rsidRPr="00062774">
        <w:lastRenderedPageBreak/>
        <w:t xml:space="preserve">sasniedzot 893,9 tūkstošus un situācija turpina uzlaboties arī 2014.gada pirmajā ceturksnī. </w:t>
      </w:r>
    </w:p>
    <w:p w:rsidR="00062774" w:rsidRPr="00062774" w:rsidRDefault="00062774" w:rsidP="00062774">
      <w:r w:rsidRPr="00062774">
        <w:t>Jaunas darba vietas pēdējo gadu laikā veidojušās galvenokārt privātajā sektorā, kur aizņemto darba vietu skaits 2013.gadā bijis par 4,4% lielāks nekā gadu iepriekš, kamēr sabiedriskajā sektorā aizņemto darba vietu skaits gada laikā audzis tikai par 0,5%, tajā skaitā valsts struktūrās pat ir samazinājies par 0,9%. Atšķirīgā strādājošo skaita dinamika pa sektoriem izriet no krīzes laikā piedzīvotajām izmaiņām, kad privātā sektora uzņēmēji deva priekšroku darba vietu skaita, nevis darba samaksas samazināšanai, kamēr sabiedriskajā sektorā vairāk tika samazināts strādājošo skaits. Pašlaik notiek atgriešanās pie iepriekšējo gadu nodarbinātības struktūras ar lielāku privātā sektora īpatsvaru, kuru stimulē arī zemākais darba samaksas līmenis vispārējās valdības sektorā.</w:t>
      </w:r>
    </w:p>
    <w:p w:rsidR="00062774" w:rsidRPr="00062774" w:rsidRDefault="00062774" w:rsidP="00062774">
      <w:r w:rsidRPr="00062774">
        <w:t>Nozaru griezumā nodarbināto iedzīvotāju skaits 2013.gadā visstraujāk ir audzis mākslas, izklaides un atpūtas nozarē un būvniecībā, kur aizņemto darba vietu skaits bijis attiecīgi par 10,9% un 8,9% lielāks nekā iepriekšējā gadā. Savukārt finanšu pakalpojumu nozarē kā vienīgajā aizņemto darba vietu skaits ir samazinājies par 2,0%. Vislielākās jaunu darba vietu radītājas pagājušajā gadā bijušas būvniecības, apstrādes rūpniecības un transporta nozares, kur vidējais aizņemto darba vietu skaits, salīdzinot ar 2012.gadu, palielinājies attiecīgi par 4,9 tūkstošiem, 2,7 tūkstošiem un 2,5 tūkstošiem.</w:t>
      </w:r>
    </w:p>
    <w:p w:rsidR="00062774" w:rsidRPr="00062774" w:rsidRDefault="00062774" w:rsidP="00062774">
      <w:r w:rsidRPr="00062774">
        <w:t>Palielinoties nodarbinātībai, darba meklētāju īpatsvars 2013.gadā ir samazinājies līdz 11,9% no ekonomiski aktīvajiem iedzīvotājiem, kas ir par 3,1 procentpunktu mazāk nekā 2012.gadā. Darba meklētāju īpatsvara samazināšanās bijusi nedaudz straujāka nekā iepriekšējā gadā, un papildus pozitīvi vērtējams arī tas, ka audzis ekonomiski aktīvo iedzīvotāju skaits, kas no vienas puses, bremzēja vēl straujāku bezdarba līmeņa samazināšanos, bet no otras puses, parāda kopējās situācijas uzlabošanos darba tirgū, kad pieaugot izredzēm atrast darbu un palielinoties piedāvātajai samaksai, darba meklējumus atsāk cilvēki, kas iepriekš no tiem bija atteikušies.</w:t>
      </w:r>
    </w:p>
    <w:p w:rsidR="00062774" w:rsidRPr="00062774" w:rsidRDefault="00062774" w:rsidP="00062774">
      <w:pPr>
        <w:rPr>
          <w:lang w:eastAsia="lv-LV"/>
        </w:rPr>
      </w:pPr>
      <w:r w:rsidRPr="00062774">
        <w:t>Situācija darba tirgu turpina uzlaboties arī 2014.gadā un r</w:t>
      </w:r>
      <w:r w:rsidRPr="00062774">
        <w:rPr>
          <w:lang w:eastAsia="lv-LV"/>
        </w:rPr>
        <w:t>eģistrētā bezdarba līmenis, pēc Nodarbinātības valsts aģentūras datiem, 2014.gada pirmā ceturkšņa beigās bija samazinājies līdz 9,8% no ekonomiski aktīvajiem iedzīvotājiem. No visaugstākā bezdarba līmeņa, kas bija sasniegts 2010.gada martā un bija 17,3%, tas ir samazinājums par 7,5 procentpunktiem. Pēdējā gada laikā - no 2013.gada marta līdz 2014.gada martam – reģistrētā bezdarba līmenis ir samazinājies par 1,0 procentpunktu. Reģistrēto bezdarbnieku skaits šajā laikā ir krities par 10,6 tūkstošiem cilvēku jeb 9,9% un 2014.gada marta beigās bija 96,5 tūkstoši cilvēku. Bezdarba tālāku samazināšanos šogad ir nedaudz bremzējusi AS “Liepājas metalurgs” darbības pārtraukšana, darbu zaudējot ap diviem tūkstošiem uzņēmuma darbinieku, no kuriem 1336 reģistrējās Nodarbinātības valsts aģentūrā.</w:t>
      </w:r>
    </w:p>
    <w:p w:rsidR="00062774" w:rsidRPr="000161A4" w:rsidRDefault="00062774" w:rsidP="000161A4">
      <w:pPr>
        <w:spacing w:before="120"/>
        <w:ind w:firstLine="0"/>
        <w:jc w:val="center"/>
        <w:rPr>
          <w:noProof/>
          <w:lang w:eastAsia="lv-LV"/>
        </w:rPr>
      </w:pPr>
      <w:r w:rsidRPr="000161A4">
        <w:rPr>
          <w:noProof/>
          <w:lang w:eastAsia="lv-LV"/>
        </w:rPr>
        <w:lastRenderedPageBreak/>
        <w:drawing>
          <wp:inline distT="0" distB="0" distL="0" distR="0" wp14:anchorId="510E9635" wp14:editId="37A557C8">
            <wp:extent cx="6001385" cy="3133725"/>
            <wp:effectExtent l="0" t="0" r="18415" b="9525"/>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62774" w:rsidRPr="000161A4" w:rsidRDefault="00062774" w:rsidP="00D24FBD">
      <w:pPr>
        <w:jc w:val="center"/>
        <w:rPr>
          <w:rFonts w:cs="Times New Roman"/>
          <w:b/>
          <w:i/>
          <w:sz w:val="24"/>
        </w:rPr>
      </w:pPr>
      <w:r w:rsidRPr="000161A4">
        <w:rPr>
          <w:rFonts w:cs="Times New Roman"/>
          <w:b/>
          <w:i/>
          <w:sz w:val="24"/>
        </w:rPr>
        <w:t>12. att. Reģistrētā bezdarba līmenis un darba meklētāju īpatsvars (% no ekonomiski aktīvajiem iedzīvotājiem)</w:t>
      </w:r>
    </w:p>
    <w:p w:rsidR="00062774" w:rsidRPr="00062774" w:rsidRDefault="00062774" w:rsidP="00062774">
      <w:pPr>
        <w:rPr>
          <w:lang w:eastAsia="lv-LV"/>
        </w:rPr>
      </w:pPr>
      <w:r w:rsidRPr="00062774">
        <w:rPr>
          <w:lang w:eastAsia="lv-LV"/>
        </w:rPr>
        <w:t>Neskatoties uz kopējā bezdarbnieku skaita samazināšanos un jauno bezdarbnieku skaita pieaugumu pēdējos mēnešos, joprojām salīdzinoši augsts saglabājas ilgstošo bezdarbnieku īpatsvars – 2014.gada marta beigās ilgstošie bezdarbnieki veidoja 34,4% no visiem bezdarbniekiem. Pēdējā gada laikā ilgstošo bezdarbnieku skaits ir krities par 24,8% un marta beigās tas bija 33,2 tūkstoši cilvēku.</w:t>
      </w:r>
    </w:p>
    <w:p w:rsidR="00062774" w:rsidRDefault="00062774" w:rsidP="00062774">
      <w:pPr>
        <w:rPr>
          <w:bCs/>
          <w:iCs/>
        </w:rPr>
      </w:pPr>
      <w:r w:rsidRPr="00062774">
        <w:rPr>
          <w:lang w:eastAsia="lv-LV"/>
        </w:rPr>
        <w:t>Jauniešu īpatsvars</w:t>
      </w:r>
      <w:r w:rsidRPr="00062774">
        <w:rPr>
          <w:bCs/>
          <w:iCs/>
        </w:rPr>
        <w:t xml:space="preserve"> kopējā reģistrēto bezdarbnieku skaitā marta beigās bija 9,6% un bez darba bija 9,3 tūkstoši jauniešu vecumā no 15 līdz 24 gadiem. Jauniešu bezdarbnieku skaitam pēdējā gada laikā sarūkot par 15,7%, jauniešu bezdarbnieku īpatsvars starp visiem reģistrētajiem bezdarbniekiem ir samazinājies par 0,7 procentpunktiem. Tajā pašā laikā </w:t>
      </w:r>
      <w:proofErr w:type="spellStart"/>
      <w:r w:rsidRPr="00062774">
        <w:rPr>
          <w:bCs/>
          <w:iCs/>
        </w:rPr>
        <w:t>pirmspensijas</w:t>
      </w:r>
      <w:proofErr w:type="spellEnd"/>
      <w:r w:rsidRPr="00062774">
        <w:rPr>
          <w:bCs/>
          <w:iCs/>
        </w:rPr>
        <w:t xml:space="preserve"> vecuma (virs 55 gadiem) bezdarbnieku īpatsvars ir gada laikā ir audzis par 1,2 procentpunktiem līdz 20,7%.</w:t>
      </w:r>
    </w:p>
    <w:p w:rsidR="0067074C" w:rsidRPr="00062774" w:rsidRDefault="0067074C" w:rsidP="00062774">
      <w:pPr>
        <w:rPr>
          <w:bCs/>
          <w:iCs/>
        </w:rPr>
      </w:pPr>
      <w:r w:rsidRPr="00586D04">
        <w:rPr>
          <w:bCs/>
          <w:iCs/>
        </w:rPr>
        <w:t xml:space="preserve">Līdzīgi kā pēc Nodarbinātības valsts aģentūras reģistrētā bezdarba datiem, arī pēc darbaspēka </w:t>
      </w:r>
      <w:proofErr w:type="spellStart"/>
      <w:r w:rsidRPr="00586D04">
        <w:rPr>
          <w:bCs/>
          <w:iCs/>
        </w:rPr>
        <w:t>apsekojuma</w:t>
      </w:r>
      <w:proofErr w:type="spellEnd"/>
      <w:r w:rsidRPr="00586D04">
        <w:rPr>
          <w:bCs/>
          <w:iCs/>
        </w:rPr>
        <w:t xml:space="preserve"> datiem darba meklētāju īpatsvars šā gada pirmajā ceturksnī ir samazinājies līdz 11,9%, salīdzinot ar 13% pagājušā gada pirmajā ceturksnī, bet tautsaimniecībā nodarbināto iedzīvotāju skaits gada laikā audzis par 0,2%, līdz 881,7 tūkstotim.</w:t>
      </w:r>
    </w:p>
    <w:p w:rsidR="00062774" w:rsidRDefault="00062774" w:rsidP="00062774">
      <w:r w:rsidRPr="00062774">
        <w:rPr>
          <w:lang w:eastAsia="lv-LV"/>
        </w:rPr>
        <w:t xml:space="preserve">Saglabājoties ekonomikas izaugsmei, nodarbinātības pieaugums un bezdarba līmeņa samazināšanās turpināsies visa 2014.gada laikā, tomēr īstermiņā to var vājināt Krievijas-Ukrainas konflikta sekas, kamēr </w:t>
      </w:r>
      <w:r w:rsidRPr="00062774">
        <w:t xml:space="preserve">vidējā termiņā situāciju </w:t>
      </w:r>
      <w:proofErr w:type="spellStart"/>
      <w:r w:rsidRPr="00062774">
        <w:t>jūtamāk</w:t>
      </w:r>
      <w:proofErr w:type="spellEnd"/>
      <w:r w:rsidRPr="00062774">
        <w:t xml:space="preserve"> sāks ietekmēt darbspējas vecuma iedzīvotāju skaita samazināšanās, kā arī tas, ka ekonomikas izaugsmes iespējas uz nodarbinātības pieauguma rēķina kļūst arvien mazākas.</w:t>
      </w:r>
    </w:p>
    <w:p w:rsidR="00565B8A" w:rsidRDefault="00565B8A" w:rsidP="00062774">
      <w:pPr>
        <w:rPr>
          <w:lang w:eastAsia="lv-LV"/>
        </w:rPr>
      </w:pPr>
    </w:p>
    <w:p w:rsidR="00117DEE" w:rsidRPr="00062774" w:rsidRDefault="00117DEE" w:rsidP="00062774">
      <w:pPr>
        <w:rPr>
          <w:lang w:eastAsia="lv-LV"/>
        </w:rPr>
      </w:pPr>
    </w:p>
    <w:p w:rsidR="00062774" w:rsidRPr="00062774" w:rsidRDefault="00062774" w:rsidP="00062774">
      <w:pPr>
        <w:ind w:firstLine="0"/>
        <w:jc w:val="center"/>
        <w:outlineLvl w:val="1"/>
        <w:rPr>
          <w:rFonts w:eastAsia="Times New Roman" w:cs="Times New Roman"/>
          <w:b/>
          <w:sz w:val="36"/>
          <w:szCs w:val="20"/>
        </w:rPr>
      </w:pPr>
      <w:bookmarkStart w:id="32" w:name="_Toc325101917"/>
      <w:bookmarkStart w:id="33" w:name="_Toc387845620"/>
      <w:bookmarkStart w:id="34" w:name="_Toc387911144"/>
      <w:r w:rsidRPr="00062774">
        <w:rPr>
          <w:rFonts w:eastAsia="Times New Roman" w:cs="Times New Roman"/>
          <w:b/>
          <w:sz w:val="36"/>
          <w:szCs w:val="20"/>
        </w:rPr>
        <w:lastRenderedPageBreak/>
        <w:t>1.6. Iedzīvotāju ienākumi</w:t>
      </w:r>
      <w:bookmarkEnd w:id="32"/>
      <w:bookmarkEnd w:id="33"/>
      <w:bookmarkEnd w:id="34"/>
    </w:p>
    <w:p w:rsidR="00062774" w:rsidRPr="00062774" w:rsidRDefault="00062774" w:rsidP="00062774">
      <w:bookmarkStart w:id="35" w:name="_Toc279341944"/>
      <w:r w:rsidRPr="00062774">
        <w:t xml:space="preserve">Latvijā atjaunojoties spēcīgai ekonomikas izaugsmei, arvien jūtamāks kļūst arī iedzīvotāju ienākumu pieaugums. Strādājošo vidējā bruto darba samaksa pakāpeniski palielinās jau kopš 2010.gada otrā ceturkšņa un 2013.gadā kopā tā ir pieaugusi par 4,6%, sasniedzot 716 </w:t>
      </w:r>
      <w:proofErr w:type="spellStart"/>
      <w:r w:rsidR="00404D8F" w:rsidRPr="00B87469">
        <w:rPr>
          <w:i/>
        </w:rPr>
        <w:t>euro</w:t>
      </w:r>
      <w:proofErr w:type="spellEnd"/>
      <w:r w:rsidRPr="00062774">
        <w:t>. Vidējās algas kāpums pērn bijis nedaudz straujāks nekā divos iepriekšējos gados, kad vidējā darba samaksa attiecīgi palielinājās par 4,4 procentiem 2011.gadā un 3,7 procentiem 2012.gadā.</w:t>
      </w:r>
    </w:p>
    <w:p w:rsidR="00062774" w:rsidRPr="00062774" w:rsidRDefault="00062774" w:rsidP="00062774">
      <w:r w:rsidRPr="00062774">
        <w:t xml:space="preserve">Augstāka darba samaksa Latvijā tradicionāli ir sabiedriskajā sektorā, kur vidējā bruto darba samaksa 2013.gadā bija 766 </w:t>
      </w:r>
      <w:proofErr w:type="spellStart"/>
      <w:r w:rsidR="00404D8F" w:rsidRPr="00B87469">
        <w:rPr>
          <w:i/>
        </w:rPr>
        <w:t>euro</w:t>
      </w:r>
      <w:proofErr w:type="spellEnd"/>
      <w:r w:rsidRPr="00062774">
        <w:t xml:space="preserve"> – par 4,8% lielāka nekā 2012.gadā. Privātajā sektorā vidējā bruto darba samaksa gada laikā palielinājusies par 4,7% un 2013.gadā tā bija 689 </w:t>
      </w:r>
      <w:proofErr w:type="spellStart"/>
      <w:r w:rsidR="00404D8F" w:rsidRPr="00B87469">
        <w:rPr>
          <w:i/>
        </w:rPr>
        <w:t>euro</w:t>
      </w:r>
      <w:proofErr w:type="spellEnd"/>
      <w:r w:rsidRPr="00062774">
        <w:t xml:space="preserve">. </w:t>
      </w:r>
    </w:p>
    <w:p w:rsidR="00062774" w:rsidRPr="00062774" w:rsidRDefault="00062774" w:rsidP="00062774">
      <w:r w:rsidRPr="00062774">
        <w:t xml:space="preserve">Augstāko darba samaksas līmeni sabiedriskajā sektorā nosaka augstais samaksas līmenis valsts un pašvaldību kapitālsabiedrībās, kur mēneša vidējā bruto darba samaksa 2013.gadā bija 915 </w:t>
      </w:r>
      <w:proofErr w:type="spellStart"/>
      <w:r w:rsidR="00404D8F" w:rsidRPr="00B87469">
        <w:rPr>
          <w:i/>
        </w:rPr>
        <w:t>euro</w:t>
      </w:r>
      <w:proofErr w:type="spellEnd"/>
      <w:r w:rsidRPr="00062774">
        <w:t xml:space="preserve">, un gada laikā tā palielinājusies par 2,2%. Savukārt vispārējās valdības sektorā, kas ietver valsts un pašvaldību budžeta iestādes, mēneša vidējā bruto darba samaksa tikai nedaudz pārsniedza privātā sektora līmeni un bija 701 </w:t>
      </w:r>
      <w:proofErr w:type="spellStart"/>
      <w:r w:rsidR="00404D8F" w:rsidRPr="00B87469">
        <w:rPr>
          <w:i/>
        </w:rPr>
        <w:t>euro</w:t>
      </w:r>
      <w:proofErr w:type="spellEnd"/>
      <w:r w:rsidRPr="00062774">
        <w:t>, gada laikā palielinoties par 5,9%.</w:t>
      </w:r>
    </w:p>
    <w:p w:rsidR="00062774" w:rsidRPr="00062774" w:rsidRDefault="00062774" w:rsidP="00062774">
      <w:pPr>
        <w:ind w:firstLine="0"/>
        <w:jc w:val="center"/>
      </w:pPr>
      <w:r w:rsidRPr="00062774">
        <w:rPr>
          <w:rFonts w:asciiTheme="minorHAnsi" w:hAnsiTheme="minorHAnsi"/>
          <w:noProof/>
          <w:sz w:val="18"/>
          <w:szCs w:val="18"/>
          <w:lang w:eastAsia="lv-LV"/>
        </w:rPr>
        <w:drawing>
          <wp:inline distT="0" distB="0" distL="0" distR="0" wp14:anchorId="5D25560B" wp14:editId="7C62BB49">
            <wp:extent cx="6107748" cy="3592793"/>
            <wp:effectExtent l="0" t="0" r="762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935" b="2888"/>
                    <a:stretch/>
                  </pic:blipFill>
                  <pic:spPr bwMode="auto">
                    <a:xfrm>
                      <a:off x="0" y="0"/>
                      <a:ext cx="6126977" cy="3604104"/>
                    </a:xfrm>
                    <a:prstGeom prst="rect">
                      <a:avLst/>
                    </a:prstGeom>
                    <a:noFill/>
                    <a:ln>
                      <a:noFill/>
                    </a:ln>
                    <a:extLst>
                      <a:ext uri="{53640926-AAD7-44D8-BBD7-CCE9431645EC}">
                        <a14:shadowObscured xmlns:a14="http://schemas.microsoft.com/office/drawing/2010/main"/>
                      </a:ext>
                    </a:extLst>
                  </pic:spPr>
                </pic:pic>
              </a:graphicData>
            </a:graphic>
          </wp:inline>
        </w:drawing>
      </w:r>
    </w:p>
    <w:p w:rsidR="00062774" w:rsidRPr="00062774" w:rsidRDefault="00062774" w:rsidP="00D24FBD">
      <w:pPr>
        <w:jc w:val="center"/>
        <w:rPr>
          <w:b/>
          <w:i/>
        </w:rPr>
      </w:pPr>
      <w:r w:rsidRPr="000161A4">
        <w:rPr>
          <w:rFonts w:cs="Times New Roman"/>
          <w:b/>
          <w:i/>
          <w:sz w:val="24"/>
        </w:rPr>
        <w:t xml:space="preserve">13. att. Strādājošo mēneša vidējā bruto darba samaksa valstī, pa sektoriem, </w:t>
      </w:r>
      <w:proofErr w:type="spellStart"/>
      <w:r w:rsidR="00404D8F">
        <w:rPr>
          <w:rFonts w:cs="Times New Roman"/>
          <w:b/>
          <w:i/>
          <w:sz w:val="24"/>
        </w:rPr>
        <w:t>euro</w:t>
      </w:r>
      <w:proofErr w:type="spellEnd"/>
    </w:p>
    <w:p w:rsidR="00062774" w:rsidRPr="00062774" w:rsidRDefault="00062774" w:rsidP="00062774">
      <w:pPr>
        <w:spacing w:after="0"/>
        <w:ind w:firstLine="0"/>
      </w:pPr>
      <w:r w:rsidRPr="00062774">
        <w:tab/>
        <w:t xml:space="preserve">Darba samaksas pieaugumam pēdējā gada laikā kļūstot straujākam, vidējā bruto darba samaksa jau ir pārsniegusi </w:t>
      </w:r>
      <w:proofErr w:type="spellStart"/>
      <w:r w:rsidRPr="00062774">
        <w:t>pirmskrīzes</w:t>
      </w:r>
      <w:proofErr w:type="spellEnd"/>
      <w:r w:rsidRPr="00062774">
        <w:t xml:space="preserve"> augstāko līmeni – 2013.gada ceturtajā ceturksnī tā bija par 3,5% augstāka nekā 2008.gada ceturtajā ceturksnī, kad vidējā alga Latvijā bija sasniegusi iepriekš augstāko rādītāju. Tajā pašā laikā darba samaksas dinamika privātajā un sabiedriskajā sektorā būtiski atšķiras – krīzes laikā ievērojami lielāks algu samazinājums bija sabiedriskajā sektorā, kamēr privātā sektora uzņēmēji </w:t>
      </w:r>
      <w:r w:rsidRPr="00062774">
        <w:lastRenderedPageBreak/>
        <w:t>vairāk samazinājuši strādājošo skaitu, būtiski nemainot atalgojuma līmeni. Ja sabiedriskajā sektorā ekonomiskās krīzes un valsts budžeta konsolidācijas pasākumu rezultātā mēneša vidējā bruto darba samaksa joprojām ir par 7,8% zemāka nekā 2008.gada ceturtajā ceturksnī, privātajā sektorā vidējās darba samaksa 2013.gada ceturtajā ceturksnī jau par 11,2% pārsniedz pirms krīzes sasniegto augstāko līmeni.</w:t>
      </w:r>
    </w:p>
    <w:p w:rsidR="00062774" w:rsidRPr="00062774" w:rsidRDefault="00062774" w:rsidP="00062774">
      <w:pPr>
        <w:spacing w:after="0"/>
        <w:ind w:firstLine="0"/>
      </w:pPr>
      <w:r w:rsidRPr="00062774">
        <w:tab/>
        <w:t xml:space="preserve">No atsevišķām ekonomikas nozarēm augstākā mēneša vidējā bruto darba samaksa Latvijā ir finanšu un apdrošināšanas nozarē, kur tā 2013.gadā sasniedza 1531 </w:t>
      </w:r>
      <w:proofErr w:type="spellStart"/>
      <w:r w:rsidR="00404D8F" w:rsidRPr="00B87469">
        <w:rPr>
          <w:i/>
        </w:rPr>
        <w:t>euro</w:t>
      </w:r>
      <w:proofErr w:type="spellEnd"/>
      <w:r w:rsidRPr="00062774">
        <w:t>, salīdzinājumā ar 2012.gadu palielinoties par 7,1%. Savukārt zemākā bruto darba samaksa ir izmitināšanas un ēdināšanas pakalpojumu nozarē – 455</w:t>
      </w:r>
      <w:r w:rsidRPr="00062774">
        <w:rPr>
          <w:rFonts w:eastAsia="Times New Roman" w:cs="Times New Roman"/>
          <w:color w:val="000000"/>
          <w:sz w:val="24"/>
          <w:szCs w:val="24"/>
          <w:lang w:eastAsia="lv-LV"/>
        </w:rPr>
        <w:t xml:space="preserve"> </w:t>
      </w:r>
      <w:proofErr w:type="spellStart"/>
      <w:r w:rsidR="00404D8F" w:rsidRPr="00B87469">
        <w:rPr>
          <w:i/>
        </w:rPr>
        <w:t>euro</w:t>
      </w:r>
      <w:proofErr w:type="spellEnd"/>
      <w:r w:rsidRPr="00062774">
        <w:t xml:space="preserve">, un šajā nozarē darba samaksa gada laikā palielinājusies tikai par 2,5%. Visvairāk darba samaksa 2013.gadā pieaugusi ieguves rūpniecībā un karjeru izstrādē – par 13,3%, kā arī mākslas un izklaides nozarē – par 12,7%. Vismazākais darba samaksas pieaugums pērn bijis ūdens apgādē – par 0,3%, bet profesionālo, zinātnisko un tehnisko pakalpojumu nozarē darba samaksa samazinājusies par 0,1%. </w:t>
      </w:r>
    </w:p>
    <w:p w:rsidR="00062774" w:rsidRPr="00062774" w:rsidRDefault="00062774" w:rsidP="00062774">
      <w:pPr>
        <w:ind w:firstLine="0"/>
      </w:pPr>
      <w:r w:rsidRPr="00062774">
        <w:tab/>
        <w:t>Ja kopumā valstī mēneša vidējā bruto darba samaksa pakāpeniski palielinās jau no 2010. gada otrā ceturkšņa, reālā darba samaksa, kurā ņemtas vērā patēriņa cenu izmaiņas, vērā ņemamu kāpumu sākusi uzrādīt ievērojami vēlāk – sākot no 2012.gada otrās puses. Kopumā 2013.gadā reālā darba samaksa Latvijā augusi par 5,6%, kamēr 2012.gadā tā bija augusi tikai par 1,6%. Reālās algas būtisko pieaugumu pagājušajā gadā noteica gan zemā inflācija, kad patēriņa cenas salīdzinājumā ar iepriekšējo gadu netika pieaugušas, gan algas nodokļu samazinājums.</w:t>
      </w:r>
    </w:p>
    <w:p w:rsidR="00062774" w:rsidRPr="00062774" w:rsidRDefault="00062774" w:rsidP="00062774">
      <w:pPr>
        <w:ind w:firstLine="0"/>
        <w:jc w:val="center"/>
      </w:pPr>
      <w:r w:rsidRPr="00062774">
        <w:rPr>
          <w:noProof/>
          <w:lang w:eastAsia="lv-LV"/>
        </w:rPr>
        <w:drawing>
          <wp:inline distT="0" distB="0" distL="0" distR="0" wp14:anchorId="72B7D0CF" wp14:editId="10D2879E">
            <wp:extent cx="6106160" cy="3219450"/>
            <wp:effectExtent l="0" t="0" r="8890"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62774" w:rsidRPr="00062774" w:rsidRDefault="00062774" w:rsidP="00D24FBD">
      <w:pPr>
        <w:jc w:val="center"/>
        <w:rPr>
          <w:b/>
          <w:i/>
        </w:rPr>
      </w:pPr>
      <w:r w:rsidRPr="000161A4">
        <w:rPr>
          <w:rFonts w:cs="Times New Roman"/>
          <w:b/>
          <w:i/>
          <w:sz w:val="24"/>
        </w:rPr>
        <w:t>14. att. Strādājošo reālās un bruto darba samaksas izmaiņas pa ceturkšņiem, %</w:t>
      </w:r>
    </w:p>
    <w:p w:rsidR="00062774" w:rsidRPr="00062774" w:rsidRDefault="00062774" w:rsidP="00062774">
      <w:pPr>
        <w:spacing w:after="0"/>
      </w:pPr>
      <w:r w:rsidRPr="00062774">
        <w:t xml:space="preserve">Līdzās darba samaksai nozīmīgai iedzīvotāju daļai Latvijā lielāko ienākumu daļu veido pensija. 2014.gada pirmajā ceturksnī valstī bija 575,2 tūkstoši pensionāru, un, salīdzinot ar 2013.gada pirmo ceturksni, pensionāru skaits ir samazinājies par 1,1%. Vidējais vecuma pensijas apmērs šā gada pirmajā ceturksnī bija 264,84 </w:t>
      </w:r>
      <w:proofErr w:type="spellStart"/>
      <w:r w:rsidR="00404D8F" w:rsidRPr="00B87469">
        <w:rPr>
          <w:i/>
        </w:rPr>
        <w:t>euro</w:t>
      </w:r>
      <w:proofErr w:type="spellEnd"/>
      <w:r w:rsidRPr="00062774">
        <w:t>, un gada laikā tas ir palielinājies par 3,1%, nedaudz atpaliekot no darba samaksas pieauguma.</w:t>
      </w:r>
    </w:p>
    <w:p w:rsidR="00062774" w:rsidRPr="00062774" w:rsidRDefault="00062774" w:rsidP="00062774">
      <w:r w:rsidRPr="00062774">
        <w:lastRenderedPageBreak/>
        <w:t>Bezdarbnieka pabalstus 2014.gada pirmajā ceturksnī saņēma 38,3 tūkstoši cilvēku un salīdzinājumā ar 2013.gada pirmo ceturksni bezdarbnieka pabalstu saņēmēju skaits ir palielinājies par 30,3%. Šāds pieaugums saistīts ar lielāku no jauna reģistrēto bezdarbnieku skaitu, tajā skaitā AS “Liepājas metalurgs” darbības pārtraukšanas ietekmē. Pabalstu saņ</w:t>
      </w:r>
      <w:r w:rsidR="00547F06">
        <w:t>ēmēju īpatsvars starp visiem re</w:t>
      </w:r>
      <w:r w:rsidRPr="00062774">
        <w:t>ģistrētajiem bezdarbniekiem 2013.gada pirmajā ceturksnī bija 39,5%, kas ir par 12,1 procentpunktu vairāk nekā 2013.gada pirmajā ceturksnī un liecina, ka, krītoties kopējam bezdarbnieku skaitam, no jauna reģistrēto bezdarbnieku īpatsvars tajā pieaug.</w:t>
      </w:r>
    </w:p>
    <w:p w:rsidR="00062774" w:rsidRDefault="00062774" w:rsidP="00062774">
      <w:r w:rsidRPr="00062774">
        <w:t xml:space="preserve">Vidējais bezdarbnieka pabalsta apmērs 2014.gada pirmajā ceturksnī bija 200 </w:t>
      </w:r>
      <w:proofErr w:type="spellStart"/>
      <w:r w:rsidR="00404D8F" w:rsidRPr="00B87469">
        <w:rPr>
          <w:i/>
        </w:rPr>
        <w:t>euro</w:t>
      </w:r>
      <w:proofErr w:type="spellEnd"/>
      <w:r w:rsidRPr="00062774">
        <w:t xml:space="preserve"> – par 5,9% lielāks nekā attiecīgajā ceturksnī pirms gada.</w:t>
      </w:r>
    </w:p>
    <w:p w:rsidR="00396ED7" w:rsidRPr="00062774" w:rsidRDefault="00396ED7" w:rsidP="00062774"/>
    <w:p w:rsidR="00062774" w:rsidRPr="00062774" w:rsidRDefault="00062774" w:rsidP="00062774">
      <w:pPr>
        <w:ind w:firstLine="0"/>
        <w:jc w:val="center"/>
        <w:outlineLvl w:val="1"/>
        <w:rPr>
          <w:rFonts w:eastAsia="Times New Roman" w:cs="Times New Roman"/>
          <w:b/>
          <w:sz w:val="36"/>
          <w:szCs w:val="20"/>
        </w:rPr>
      </w:pPr>
      <w:bookmarkStart w:id="36" w:name="_Toc325101918"/>
      <w:bookmarkStart w:id="37" w:name="_Toc387845621"/>
      <w:bookmarkStart w:id="38" w:name="_Toc387911145"/>
      <w:bookmarkEnd w:id="35"/>
      <w:r w:rsidRPr="00062774">
        <w:rPr>
          <w:rFonts w:eastAsia="Times New Roman" w:cs="Times New Roman"/>
          <w:b/>
          <w:sz w:val="36"/>
          <w:szCs w:val="20"/>
        </w:rPr>
        <w:t>1.7. Ārējā tirdzniecība</w:t>
      </w:r>
      <w:bookmarkEnd w:id="31"/>
      <w:bookmarkEnd w:id="36"/>
      <w:bookmarkEnd w:id="37"/>
      <w:bookmarkEnd w:id="38"/>
    </w:p>
    <w:p w:rsidR="00062774" w:rsidRPr="00062774" w:rsidRDefault="00062774" w:rsidP="00062774">
      <w:pPr>
        <w:widowControl w:val="0"/>
        <w:autoSpaceDE w:val="0"/>
        <w:autoSpaceDN w:val="0"/>
        <w:adjustRightInd w:val="0"/>
        <w:ind w:firstLine="720"/>
        <w:rPr>
          <w:rFonts w:cs="Times New Roman"/>
          <w:color w:val="000000" w:themeColor="text1"/>
          <w:szCs w:val="20"/>
        </w:rPr>
      </w:pPr>
      <w:r w:rsidRPr="00062774">
        <w:rPr>
          <w:rFonts w:cs="Times New Roman"/>
          <w:color w:val="000000" w:themeColor="text1"/>
          <w:szCs w:val="20"/>
        </w:rPr>
        <w:t xml:space="preserve">2013.gadā augstās bāzes, vāja ārējā pieprasījuma un metāla nozares sarežģījumu dēļ eksporta apjomu pieauguma bija ievērojami zemāki nekā iepriekšējos gados. 2013.gadā kopumā preču eksporta vērtība kopumā palielinājās par 1,6%, kas, ņemot vērā visus minētos faktorus, vērtējams kā labs sniegums. Turklāt jāatzīmē, ka izslēdzot metalurģijas nozares problēmu un augu valsts produktu bāzes efekta ietekmi, eksporta vērtības pieaugums būtu tuvu 6,5%. </w:t>
      </w:r>
    </w:p>
    <w:p w:rsidR="00062774" w:rsidRPr="00062774" w:rsidRDefault="00062774" w:rsidP="00062774">
      <w:pPr>
        <w:widowControl w:val="0"/>
        <w:autoSpaceDE w:val="0"/>
        <w:autoSpaceDN w:val="0"/>
        <w:adjustRightInd w:val="0"/>
        <w:ind w:firstLine="0"/>
        <w:jc w:val="center"/>
        <w:rPr>
          <w:rFonts w:eastAsia="Calibri"/>
        </w:rPr>
      </w:pPr>
      <w:r w:rsidRPr="00062774">
        <w:rPr>
          <w:noProof/>
          <w:lang w:eastAsia="lv-LV"/>
        </w:rPr>
        <w:drawing>
          <wp:inline distT="0" distB="0" distL="0" distR="0" wp14:anchorId="11D80685" wp14:editId="277EDB2F">
            <wp:extent cx="6143522" cy="360872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56358" cy="3616261"/>
                    </a:xfrm>
                    <a:prstGeom prst="rect">
                      <a:avLst/>
                    </a:prstGeom>
                    <a:noFill/>
                    <a:ln>
                      <a:noFill/>
                    </a:ln>
                  </pic:spPr>
                </pic:pic>
              </a:graphicData>
            </a:graphic>
          </wp:inline>
        </w:drawing>
      </w:r>
    </w:p>
    <w:p w:rsidR="00062774" w:rsidRPr="000161A4" w:rsidRDefault="000161A4" w:rsidP="00D24FBD">
      <w:pPr>
        <w:jc w:val="center"/>
        <w:rPr>
          <w:rFonts w:cs="Times New Roman"/>
          <w:b/>
          <w:i/>
          <w:sz w:val="24"/>
        </w:rPr>
      </w:pPr>
      <w:r w:rsidRPr="000161A4">
        <w:rPr>
          <w:rFonts w:cs="Times New Roman"/>
          <w:b/>
          <w:i/>
          <w:sz w:val="24"/>
        </w:rPr>
        <w:t>15</w:t>
      </w:r>
      <w:r w:rsidR="00062774" w:rsidRPr="000161A4">
        <w:rPr>
          <w:rFonts w:cs="Times New Roman"/>
          <w:b/>
          <w:i/>
          <w:sz w:val="24"/>
        </w:rPr>
        <w:t xml:space="preserve">. att. Preču eksports pa ceturkšņiem faktiskajās cenās, milj. </w:t>
      </w:r>
      <w:proofErr w:type="spellStart"/>
      <w:r w:rsidR="00404D8F">
        <w:rPr>
          <w:rFonts w:cs="Times New Roman"/>
          <w:b/>
          <w:i/>
          <w:sz w:val="24"/>
        </w:rPr>
        <w:t>euro</w:t>
      </w:r>
      <w:proofErr w:type="spellEnd"/>
    </w:p>
    <w:p w:rsidR="00062774" w:rsidRPr="00062774" w:rsidRDefault="00062774" w:rsidP="00062774">
      <w:pPr>
        <w:spacing w:after="0"/>
        <w:ind w:firstLine="720"/>
        <w:rPr>
          <w:color w:val="000000" w:themeColor="text1"/>
        </w:rPr>
      </w:pPr>
    </w:p>
    <w:p w:rsidR="00062774" w:rsidRPr="00062774" w:rsidRDefault="00062774" w:rsidP="00062774">
      <w:pPr>
        <w:spacing w:after="0"/>
        <w:ind w:firstLine="720"/>
        <w:rPr>
          <w:color w:val="000000" w:themeColor="text1"/>
        </w:rPr>
      </w:pPr>
      <w:r w:rsidRPr="00062774">
        <w:rPr>
          <w:color w:val="000000" w:themeColor="text1"/>
        </w:rPr>
        <w:t xml:space="preserve">Neskatoties uz iepriekš prognozēto izaugsmes tempu samazināšanos, 2013.gadā spēcīga izaugsme saglabājās kokapstrādes nozarē. Tās eksporta vērtība 2013.gadā palielinājās par 9,0%. Jāatzīmē, ka 2013.gadā strauji audzis arī kokmateriālu imports </w:t>
      </w:r>
      <w:r w:rsidRPr="00062774">
        <w:rPr>
          <w:color w:val="000000" w:themeColor="text1"/>
        </w:rPr>
        <w:lastRenderedPageBreak/>
        <w:t xml:space="preserve">(+24,8%), liecinot, ka joprojām aktuāla ir izejmateriālu pieejamības problēma un trūkstošais izejmateriālu daudzums aizvien vairāk ir ticis kompensēts ar ievestiem izejmateriāliem. Vienlaikus dati par rūpniecības izlaidi liecina, ka izlaides apjomu pieaugums 2013. gadā ir bijis lēnāks nekā apgrozījuma un eksporta vērtības pieaugums. </w:t>
      </w:r>
    </w:p>
    <w:p w:rsidR="00062774" w:rsidRPr="00062774" w:rsidRDefault="00062774" w:rsidP="00062774">
      <w:pPr>
        <w:spacing w:after="0"/>
        <w:ind w:firstLine="720"/>
        <w:rPr>
          <w:color w:val="000000" w:themeColor="text1"/>
        </w:rPr>
      </w:pPr>
      <w:r w:rsidRPr="00062774">
        <w:rPr>
          <w:color w:val="000000" w:themeColor="text1"/>
        </w:rPr>
        <w:t>Savukārt lielākā negatīvā ietekme bija 2013.gadā bija metāla un tā izstrādājumu, kā arī satiksmes līdzekļu eksportam. To eksports bija attiecīgi par 23,8% un 14,4% mazāks nekā 2012.gadā. Metālu eksporta samazināšanos noteica AS „Liepājas metalurgs” darbības pārtraukšana, savukārt satiksmes līdzekļu eksporta kritumu, visticamāk, noteica reeksporta samazināšanās, par ko liecina būtiskais satiksmes līdzekļu importa samazinājums. Vienlaikus labus izaugsmes rādītājus uzrādīja salīdzinoši mazākas nozares, kā piemēram, papīra un poligrāfijas izstrādājumu, mehānismu un elektroiekārtu, tekstilizstrādājumu, būvniecības izstrādājumu, kuru eksports 2013.gada ir audzis par aptuveni 10%, daļēji kompensējot kritumu metāla un satiksmes līdzekļu eksportā, vienlaikus veicinot eksporta portfeļa diversifikāciju.</w:t>
      </w:r>
    </w:p>
    <w:p w:rsidR="00062774" w:rsidRPr="00062774" w:rsidRDefault="00062774" w:rsidP="00062774">
      <w:pPr>
        <w:spacing w:after="0"/>
        <w:ind w:firstLine="720"/>
        <w:rPr>
          <w:color w:val="000000" w:themeColor="text1"/>
        </w:rPr>
      </w:pPr>
      <w:r w:rsidRPr="00062774">
        <w:rPr>
          <w:color w:val="000000" w:themeColor="text1"/>
        </w:rPr>
        <w:t xml:space="preserve">Šā gada pirmajā ceturksnī ārējās tirdzniecības aktivitāte saglabājās salīdzinoši zema. Ārējās tirdzniecības apgrozījums 2014.gada pirmajā ceturksnī veidoja 5330,6 milj. </w:t>
      </w:r>
      <w:proofErr w:type="spellStart"/>
      <w:r w:rsidR="00404D8F" w:rsidRPr="00B87469">
        <w:rPr>
          <w:i/>
          <w:color w:val="000000" w:themeColor="text1"/>
        </w:rPr>
        <w:t>euro</w:t>
      </w:r>
      <w:proofErr w:type="spellEnd"/>
      <w:r w:rsidRPr="00062774">
        <w:rPr>
          <w:color w:val="000000" w:themeColor="text1"/>
        </w:rPr>
        <w:t xml:space="preserve"> – par 0,4% jeb 23,6 milj. </w:t>
      </w:r>
      <w:proofErr w:type="spellStart"/>
      <w:r w:rsidR="00404D8F" w:rsidRPr="00B87469">
        <w:rPr>
          <w:i/>
          <w:color w:val="000000" w:themeColor="text1"/>
        </w:rPr>
        <w:t>euro</w:t>
      </w:r>
      <w:proofErr w:type="spellEnd"/>
      <w:r w:rsidRPr="00062774">
        <w:rPr>
          <w:color w:val="000000" w:themeColor="text1"/>
        </w:rPr>
        <w:t xml:space="preserve"> mazāk nekā iepriekšējā gada atbilstošajā periodā.</w:t>
      </w:r>
    </w:p>
    <w:p w:rsidR="00062774" w:rsidRPr="00062774" w:rsidRDefault="00062774" w:rsidP="00062774">
      <w:pPr>
        <w:spacing w:after="0"/>
        <w:ind w:firstLine="720"/>
        <w:rPr>
          <w:color w:val="000000" w:themeColor="text1"/>
        </w:rPr>
      </w:pPr>
      <w:r w:rsidRPr="00062774">
        <w:rPr>
          <w:color w:val="000000" w:themeColor="text1"/>
        </w:rPr>
        <w:t xml:space="preserve">Preču eksporta vērtība faktiskajās cenās sasniedza 2390,9 milj. </w:t>
      </w:r>
      <w:proofErr w:type="spellStart"/>
      <w:r w:rsidR="00404D8F" w:rsidRPr="00B87469">
        <w:rPr>
          <w:i/>
          <w:color w:val="000000" w:themeColor="text1"/>
        </w:rPr>
        <w:t>euro</w:t>
      </w:r>
      <w:proofErr w:type="spellEnd"/>
      <w:r w:rsidRPr="00062774">
        <w:rPr>
          <w:color w:val="000000" w:themeColor="text1"/>
        </w:rPr>
        <w:t xml:space="preserve"> – par 2,3% jeb 55,3 milj.</w:t>
      </w:r>
      <w:r w:rsidRPr="00B87469">
        <w:rPr>
          <w:i/>
          <w:color w:val="000000" w:themeColor="text1"/>
        </w:rPr>
        <w:t xml:space="preserve"> </w:t>
      </w:r>
      <w:proofErr w:type="spellStart"/>
      <w:r w:rsidR="00404D8F" w:rsidRPr="00B87469">
        <w:rPr>
          <w:i/>
          <w:color w:val="000000" w:themeColor="text1"/>
        </w:rPr>
        <w:t>euro</w:t>
      </w:r>
      <w:proofErr w:type="spellEnd"/>
      <w:r w:rsidRPr="00B87469">
        <w:rPr>
          <w:i/>
          <w:color w:val="000000" w:themeColor="text1"/>
        </w:rPr>
        <w:t xml:space="preserve"> </w:t>
      </w:r>
      <w:r w:rsidRPr="00062774">
        <w:rPr>
          <w:color w:val="000000" w:themeColor="text1"/>
        </w:rPr>
        <w:t xml:space="preserve">vairāk nekā 2013.gada atbilstošajā periodā, savukārt importa vērtība pirmajā ceturksnī salīdzinājumā ar iepriekšējā gada atbilstošo ceturksni samazinājās par 77,0 milj. </w:t>
      </w:r>
      <w:proofErr w:type="spellStart"/>
      <w:r w:rsidR="00404D8F" w:rsidRPr="00B87469">
        <w:rPr>
          <w:i/>
          <w:color w:val="000000" w:themeColor="text1"/>
        </w:rPr>
        <w:t>euro</w:t>
      </w:r>
      <w:proofErr w:type="spellEnd"/>
      <w:r w:rsidRPr="00062774">
        <w:rPr>
          <w:color w:val="000000" w:themeColor="text1"/>
        </w:rPr>
        <w:t xml:space="preserve"> jeb 2,6%. Labvēlīgas eksporta un importa dinamikas rezultātā ārējās tirdzniecības bilances deficīts bija par 19,2%  mazāks nekā 2013. gada pirmajā ceturksnī.</w:t>
      </w:r>
    </w:p>
    <w:p w:rsidR="00062774" w:rsidRPr="00062774" w:rsidRDefault="00062774" w:rsidP="00062774">
      <w:pPr>
        <w:spacing w:after="0"/>
        <w:ind w:firstLine="720"/>
      </w:pPr>
      <w:r w:rsidRPr="00062774">
        <w:t>Nozaru griezumā, 2014.gada pirmajā ceturksnī bija vērojamas 2013.gada tendences. Noteicošā ietekme eksporta vērtības gada pieaugumā bija pārtikas un lauksaimniecības preču eksportam, kā arī koka un koka izstrādājumu eksportam, kas salīdzinājumā ar pagājušā gada pirmo ceturksni palielinājās attiecīgi par 9,5% un 17,5%. Gada pirmajā ceturksnī spēcīga izaugsme turpināja saglabāties arī tekstilizstrādājumu un būvniecības izstrādājumu nozarēs, kuru eksports uzrādīja kāpumu attiecīgi par 15,6% un 17,2% salīdzinājumā ar pagājušā gada attiecīgo periodu.</w:t>
      </w:r>
    </w:p>
    <w:p w:rsidR="00062774" w:rsidRPr="00062774" w:rsidRDefault="00062774" w:rsidP="00062774">
      <w:pPr>
        <w:spacing w:after="0"/>
        <w:ind w:firstLine="720"/>
        <w:rPr>
          <w:rFonts w:eastAsia="Calibri"/>
        </w:rPr>
      </w:pPr>
      <w:r w:rsidRPr="00062774">
        <w:rPr>
          <w:rFonts w:eastAsia="Calibri"/>
        </w:rPr>
        <w:t xml:space="preserve">Savukārt lielākais samazinājums arī šā gada pirmajā ceturksnī bija metālu un metālu izstrādājumu eksportā (-27,3%) un satiksmes līdzekļu eksportā (-13,8%). Tomēr jāatzīmē, ka metālu eksporta samazinājuma negatīvā ietekme, ko izraisījusi AS “Liepājas Metalurgs” darbības pārtraukšana pakāpeniski samazinās. Prognozējams, ka gada otrajā ceturksnī, ņemot vērā pagājušā gada augsto bāzi, šīs nozares eksporta kritums saglabāsies liels, bet, sākot ar gada trešo ceturksni, ietekmē būs būtiski mazāka. </w:t>
      </w:r>
    </w:p>
    <w:p w:rsidR="00062774" w:rsidRPr="00062774" w:rsidRDefault="00062774" w:rsidP="00062774">
      <w:pPr>
        <w:spacing w:after="0"/>
        <w:ind w:firstLine="720"/>
      </w:pPr>
      <w:r w:rsidRPr="00062774">
        <w:t xml:space="preserve">Pieaugot nenoteiktībai ārējā vidē, 2013.gadā uzņēmēji ieņēma nogaidošu pozīciju investīciju projektu realizēšanā, kas vienlaikus ar vairāku lielu valsts investīciju projektu pabeigšanu noteica negatīvu investīciju apjomu dinamiku. Savukārt vājāks ārējais pieprasījums un lielākā metalurģijas uzņēmuma AS “Liepājas metalurgs” darbības pārtraukšana noteica mazāku nepieciešamību pēc starppatēriņa preču importa. Tā rezultātā importa vērtība 2013.gadā importa palielinājās vien par </w:t>
      </w:r>
      <w:r w:rsidRPr="00062774">
        <w:lastRenderedPageBreak/>
        <w:t xml:space="preserve">1,0%. Arī 2014.gada pirmajā ceturksnī importa apjomi turpināja samazināties. Importa vērtība gada pirmajā ceturksnī bija par 10,2% mazāka nekā iepriekšējā ceturksnī un par 2,6% mazāka nekā pagājušā gada attiecīgajā periodā. Preču grupu griezumā lielākais kritums līdzīgi kā iepriekšējos ceturkšņos saglabājās satiksmes līdzekļu un metāla izstrādājumu importā, kuru imports bija attiecīgi par 26,2% un 9,7% mazāks nekā pagājušā gada attiecīgajā periodā. </w:t>
      </w:r>
    </w:p>
    <w:p w:rsidR="00062774" w:rsidRPr="00062774" w:rsidRDefault="00062774" w:rsidP="00062774">
      <w:r w:rsidRPr="00062774">
        <w:t xml:space="preserve">2014.gadā eksporta izaugsme būs atkarīga no ārējā pieprasījuma, kā arī ar Latvijas ražotāju konkurētspējas attīstības. Eksporta izaugsmi vairs neietekmēs 2012.gada graudaugu raža un apjomu kritums metāla nozarē, kas līdz ar ārējā pieprasījuma pieaugumu noteiks straujākus eksporta pieauguma tempus. </w:t>
      </w:r>
      <w:r w:rsidR="00404D8F">
        <w:t>Eiro</w:t>
      </w:r>
      <w:r w:rsidRPr="00062774">
        <w:t xml:space="preserve">pas komisijas publicētās prognozes liecina, ka ekonomiskā attīstība Eiropas Savienības valstīs ir kļuvusi stabilāka, un lielākajā daļā Eiropas valstu ekonomiskās izaugsmes prognozes ir paaugstinātas. Vienlaikus jāatzīmē, ka līdz šim eksporta izaugsmi nodrošināja tirdzniecības labvēlīga tirdzniecības partnervalstu struktūra, jo to izaugsmes tempi bija augstāki nekā vidēji Eiropas Savienībā. Tomēr pakāpeniski Latvijas tirdzniecības partnervalstu izaugsmes tempi samazinās, un arī jaunākajās Eiropas Komisijas prognozēs Latvijas galvenajām tirdzniecības partnervalstīm, izņemot Poliju, izaugsmes tempu prognozes ir nedaudz samazinātas. Lai arī to izaugsmes tempi būs vidēji augstāki nekā ES vidēji, starpība starp Latvijas tirdzniecības partnervalstu un ES vidējo izaugsmi ir samazinājusies. Tādēļ eksporta izaugsmes nodrošināšanai un tirgus daļu palielināšanā aizvien lielāka nozīme būs gan </w:t>
      </w:r>
      <w:proofErr w:type="spellStart"/>
      <w:r w:rsidRPr="00062774">
        <w:t>ārpuscenas</w:t>
      </w:r>
      <w:proofErr w:type="spellEnd"/>
      <w:r w:rsidRPr="00062774">
        <w:t xml:space="preserve"> konkurētspējas faktoru (eksporta kvalitāte, komplicētība u.c.) faktoru attīstībai, gan produktivitātes celšanai, kas nepieciešams izmaksu konkurētspējas saglabāšanai. Tas savukārt noteiks nepieciešamību pēc jaunām investīcijām. </w:t>
      </w:r>
    </w:p>
    <w:p w:rsidR="00CC6873" w:rsidRDefault="00062774" w:rsidP="000C2E3B">
      <w:pPr>
        <w:rPr>
          <w:sz w:val="24"/>
          <w:szCs w:val="24"/>
        </w:rPr>
      </w:pPr>
      <w:r w:rsidRPr="00062774">
        <w:t xml:space="preserve">Kā būtisks risks ir parādījies arī situācijas eskalācija Ukrainā, kas var būtiski ietekmēt Latvijas eksporta izaugsmi.  Lai arī Latvijas eksports uz Ukrainu veido vien 0,9% no kopējā preču eksporta, lielākus riskus rada nenoteiktība attiecībā uz sankciju noteikšanu Krievijai, kas ir viens no trīs lielākajiem eksporta tirgiem. </w:t>
      </w:r>
    </w:p>
    <w:p w:rsidR="00975F8C" w:rsidRDefault="00975F8C" w:rsidP="00E9770D">
      <w:pPr>
        <w:spacing w:after="0"/>
        <w:ind w:firstLine="0"/>
        <w:rPr>
          <w:sz w:val="24"/>
          <w:szCs w:val="24"/>
        </w:rPr>
      </w:pPr>
    </w:p>
    <w:p w:rsidR="00396ED7" w:rsidRPr="00396ED7" w:rsidRDefault="00975F8C" w:rsidP="00396ED7">
      <w:pPr>
        <w:ind w:firstLine="0"/>
        <w:jc w:val="center"/>
        <w:outlineLvl w:val="1"/>
        <w:rPr>
          <w:rFonts w:eastAsia="Times New Roman" w:cs="Times New Roman"/>
          <w:b/>
          <w:sz w:val="36"/>
          <w:szCs w:val="20"/>
        </w:rPr>
      </w:pPr>
      <w:bookmarkStart w:id="39" w:name="_Toc262026550"/>
      <w:bookmarkStart w:id="40" w:name="_Toc356399255"/>
      <w:bookmarkStart w:id="41" w:name="_Toc387845622"/>
      <w:bookmarkStart w:id="42" w:name="_Toc387911146"/>
      <w:r w:rsidRPr="00396ED7">
        <w:rPr>
          <w:rFonts w:eastAsia="Times New Roman" w:cs="Times New Roman"/>
          <w:b/>
          <w:sz w:val="36"/>
          <w:szCs w:val="20"/>
        </w:rPr>
        <w:t xml:space="preserve">1.8. </w:t>
      </w:r>
      <w:bookmarkStart w:id="43" w:name="_Toc356399756"/>
      <w:bookmarkStart w:id="44" w:name="_Toc262026552"/>
      <w:bookmarkEnd w:id="39"/>
      <w:bookmarkEnd w:id="40"/>
      <w:bookmarkEnd w:id="41"/>
      <w:r w:rsidR="00396ED7" w:rsidRPr="00396ED7">
        <w:rPr>
          <w:rFonts w:eastAsia="Times New Roman" w:cs="Times New Roman"/>
          <w:b/>
          <w:sz w:val="36"/>
          <w:szCs w:val="20"/>
        </w:rPr>
        <w:t>Valsts parāds</w:t>
      </w:r>
      <w:bookmarkEnd w:id="43"/>
      <w:bookmarkEnd w:id="42"/>
    </w:p>
    <w:p w:rsidR="00396ED7" w:rsidRPr="00396ED7" w:rsidRDefault="00396ED7" w:rsidP="00396ED7">
      <w:r w:rsidRPr="00396ED7">
        <w:t xml:space="preserve">Aizņemšanās apjomu un valsts parāda līmeni kopumā ietekmē kopējās finansēšanas nepieciešamības apjoms, kuru veido valsts budžeta izpildes nodrošināšanai, kā arī valsts parāda saistību finansēšanai un likviditātes rezerves uzturēšanai nepieciešamā finansējuma apjoms. Saskaņā ar likumu „Par valsts budžetu 2014.gadam” maksimāli pieļaujamais valsts parāda apjoms pēc nomināla 2014.gada beigās ir noteikts 9,5 </w:t>
      </w:r>
      <w:proofErr w:type="spellStart"/>
      <w:r w:rsidRPr="00396ED7">
        <w:t>mljrd.</w:t>
      </w:r>
      <w:r w:rsidRPr="00B87469">
        <w:rPr>
          <w:i/>
        </w:rPr>
        <w:t>euro</w:t>
      </w:r>
      <w:proofErr w:type="spellEnd"/>
      <w:r w:rsidRPr="00396ED7">
        <w:t xml:space="preserve"> apmērā. </w:t>
      </w:r>
    </w:p>
    <w:p w:rsidR="00396ED7" w:rsidRPr="00396ED7" w:rsidRDefault="00396ED7" w:rsidP="00396ED7">
      <w:r w:rsidRPr="00396ED7">
        <w:t>Valsts parāds 2014.gada pirmā ceturkšņa beigās veidoja 8,1 </w:t>
      </w:r>
      <w:proofErr w:type="spellStart"/>
      <w:r w:rsidRPr="00396ED7">
        <w:t>mljrd.</w:t>
      </w:r>
      <w:r w:rsidRPr="00B87469">
        <w:rPr>
          <w:i/>
        </w:rPr>
        <w:t>euro</w:t>
      </w:r>
      <w:proofErr w:type="spellEnd"/>
      <w:r w:rsidRPr="00396ED7">
        <w:t xml:space="preserve"> jeb ~33% no IKP, kas ir par 2,6 </w:t>
      </w:r>
      <w:proofErr w:type="spellStart"/>
      <w:r w:rsidRPr="00396ED7">
        <w:t>milj.</w:t>
      </w:r>
      <w:r w:rsidRPr="00B87469">
        <w:rPr>
          <w:i/>
        </w:rPr>
        <w:t>euro</w:t>
      </w:r>
      <w:proofErr w:type="spellEnd"/>
      <w:r w:rsidRPr="00396ED7">
        <w:t xml:space="preserve"> lielāks salīdzinājumā ar 2013.gada beigām </w:t>
      </w:r>
      <w:r w:rsidR="002455AD">
        <w:t xml:space="preserve">                  </w:t>
      </w:r>
      <w:r w:rsidRPr="00396ED7">
        <w:t>(skat. 1</w:t>
      </w:r>
      <w:r w:rsidR="002455AD">
        <w:t>6</w:t>
      </w:r>
      <w:r w:rsidRPr="00396ED7">
        <w:t xml:space="preserve">.att.). </w:t>
      </w:r>
    </w:p>
    <w:p w:rsidR="00EC5E4C" w:rsidRDefault="00EC5E4C" w:rsidP="0079557A">
      <w:pPr>
        <w:widowControl w:val="0"/>
        <w:autoSpaceDE w:val="0"/>
        <w:autoSpaceDN w:val="0"/>
        <w:adjustRightInd w:val="0"/>
        <w:ind w:firstLine="0"/>
        <w:jc w:val="center"/>
        <w:rPr>
          <w:noProof/>
          <w:lang w:eastAsia="lv-LV"/>
        </w:rPr>
      </w:pPr>
    </w:p>
    <w:p w:rsidR="00EC5E4C" w:rsidRDefault="00EC5E4C" w:rsidP="0079557A">
      <w:pPr>
        <w:widowControl w:val="0"/>
        <w:autoSpaceDE w:val="0"/>
        <w:autoSpaceDN w:val="0"/>
        <w:adjustRightInd w:val="0"/>
        <w:ind w:firstLine="0"/>
        <w:jc w:val="center"/>
        <w:rPr>
          <w:noProof/>
          <w:lang w:eastAsia="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4671"/>
      </w:tblGrid>
      <w:tr w:rsidR="00EC5E4C" w:rsidTr="007436BF">
        <w:tc>
          <w:tcPr>
            <w:tcW w:w="4957" w:type="dxa"/>
          </w:tcPr>
          <w:p w:rsidR="00EC5E4C" w:rsidRDefault="00EC5E4C" w:rsidP="0079557A">
            <w:pPr>
              <w:widowControl w:val="0"/>
              <w:autoSpaceDE w:val="0"/>
              <w:autoSpaceDN w:val="0"/>
              <w:adjustRightInd w:val="0"/>
              <w:ind w:firstLine="0"/>
              <w:jc w:val="center"/>
              <w:rPr>
                <w:noProof/>
              </w:rPr>
            </w:pPr>
            <w:r w:rsidRPr="00396ED7">
              <w:rPr>
                <w:noProof/>
              </w:rPr>
              <w:lastRenderedPageBreak/>
              <w:drawing>
                <wp:inline distT="0" distB="0" distL="0" distR="0" wp14:anchorId="1E87F827" wp14:editId="6147B972">
                  <wp:extent cx="2991885" cy="19373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31390" cy="1962967"/>
                          </a:xfrm>
                          <a:prstGeom prst="rect">
                            <a:avLst/>
                          </a:prstGeom>
                          <a:noFill/>
                        </pic:spPr>
                      </pic:pic>
                    </a:graphicData>
                  </a:graphic>
                </wp:inline>
              </w:drawing>
            </w:r>
          </w:p>
        </w:tc>
        <w:tc>
          <w:tcPr>
            <w:tcW w:w="4671" w:type="dxa"/>
          </w:tcPr>
          <w:p w:rsidR="00EC5E4C" w:rsidRDefault="00EC5E4C" w:rsidP="0079557A">
            <w:pPr>
              <w:widowControl w:val="0"/>
              <w:autoSpaceDE w:val="0"/>
              <w:autoSpaceDN w:val="0"/>
              <w:adjustRightInd w:val="0"/>
              <w:ind w:firstLine="0"/>
              <w:jc w:val="center"/>
              <w:rPr>
                <w:noProof/>
              </w:rPr>
            </w:pPr>
            <w:r w:rsidRPr="00396ED7">
              <w:rPr>
                <w:noProof/>
              </w:rPr>
              <w:drawing>
                <wp:inline distT="0" distB="0" distL="0" distR="0" wp14:anchorId="27B0215E" wp14:editId="2AFCE75F">
                  <wp:extent cx="3158302" cy="2338704"/>
                  <wp:effectExtent l="0" t="0" r="444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9750" cy="2361991"/>
                          </a:xfrm>
                          <a:prstGeom prst="rect">
                            <a:avLst/>
                          </a:prstGeom>
                          <a:noFill/>
                        </pic:spPr>
                      </pic:pic>
                    </a:graphicData>
                  </a:graphic>
                </wp:inline>
              </w:drawing>
            </w:r>
          </w:p>
        </w:tc>
      </w:tr>
      <w:tr w:rsidR="00EC5E4C" w:rsidTr="007436BF">
        <w:tc>
          <w:tcPr>
            <w:tcW w:w="4957" w:type="dxa"/>
          </w:tcPr>
          <w:p w:rsidR="00EC5E4C" w:rsidRPr="00EC5E4C" w:rsidRDefault="00EC5E4C" w:rsidP="007436BF">
            <w:pPr>
              <w:ind w:firstLine="0"/>
              <w:rPr>
                <w:b/>
                <w:i/>
                <w:sz w:val="24"/>
              </w:rPr>
            </w:pPr>
            <w:r w:rsidRPr="007436BF">
              <w:rPr>
                <w:rFonts w:eastAsiaTheme="minorHAnsi"/>
                <w:b/>
                <w:i/>
              </w:rPr>
              <w:t>16 .att. Valsts parāds 2013.-2014./I cet.</w:t>
            </w:r>
          </w:p>
        </w:tc>
        <w:tc>
          <w:tcPr>
            <w:tcW w:w="4671" w:type="dxa"/>
          </w:tcPr>
          <w:p w:rsidR="00EC5E4C" w:rsidRPr="00EC5E4C" w:rsidRDefault="00EC5E4C" w:rsidP="007436BF">
            <w:pPr>
              <w:spacing w:after="0"/>
              <w:ind w:firstLine="0"/>
              <w:rPr>
                <w:b/>
                <w:i/>
                <w:sz w:val="24"/>
              </w:rPr>
            </w:pPr>
            <w:r w:rsidRPr="007436BF">
              <w:rPr>
                <w:rFonts w:eastAsiaTheme="minorHAnsi"/>
                <w:b/>
                <w:i/>
              </w:rPr>
              <w:t>17 .att. Valsts parāda struktūra 2014.gada I cet. beigās</w:t>
            </w:r>
          </w:p>
        </w:tc>
      </w:tr>
    </w:tbl>
    <w:p w:rsidR="00396ED7" w:rsidRPr="00396ED7" w:rsidRDefault="00396ED7" w:rsidP="0079557A">
      <w:pPr>
        <w:widowControl w:val="0"/>
        <w:autoSpaceDE w:val="0"/>
        <w:autoSpaceDN w:val="0"/>
        <w:adjustRightInd w:val="0"/>
        <w:ind w:firstLine="0"/>
        <w:jc w:val="center"/>
        <w:rPr>
          <w:noProof/>
          <w:lang w:eastAsia="lv-LV"/>
        </w:rPr>
      </w:pPr>
    </w:p>
    <w:p w:rsidR="00396ED7" w:rsidRPr="00396ED7" w:rsidRDefault="00396ED7" w:rsidP="00396ED7">
      <w:r w:rsidRPr="00396ED7">
        <w:t xml:space="preserve">Valsts parāda struktūrā lielāko īpatsvaru veido ārējais parāds, sasniedzot 84% no kopējā valsts parāda uz 2014.gada pirmā ceturkšņa beigām (skat. </w:t>
      </w:r>
      <w:r w:rsidR="00E25B9C">
        <w:t>17</w:t>
      </w:r>
      <w:r w:rsidRPr="00396ED7">
        <w:t>.att.). Lielāko ārē</w:t>
      </w:r>
      <w:r w:rsidR="00404D8F">
        <w:t xml:space="preserve">jā parāda daļu veido emitētās </w:t>
      </w:r>
      <w:proofErr w:type="spellStart"/>
      <w:r w:rsidR="00404D8F" w:rsidRPr="00404D8F">
        <w:rPr>
          <w:i/>
        </w:rPr>
        <w:t>eu</w:t>
      </w:r>
      <w:r w:rsidRPr="00404D8F">
        <w:rPr>
          <w:i/>
        </w:rPr>
        <w:t>ro</w:t>
      </w:r>
      <w:proofErr w:type="spellEnd"/>
      <w:r w:rsidR="00404D8F">
        <w:t xml:space="preserve"> </w:t>
      </w:r>
      <w:r w:rsidRPr="00396ED7">
        <w:t>obligācijas 47% un starptautiskā aizņēmuma programmas ietvaros uzņemto parāda saistību apjoms 28% no valsts parāda kopējā apjoma.</w:t>
      </w:r>
    </w:p>
    <w:p w:rsidR="00396ED7" w:rsidRPr="00396ED7" w:rsidRDefault="00396ED7" w:rsidP="0079557A">
      <w:pPr>
        <w:jc w:val="center"/>
        <w:rPr>
          <w:b/>
          <w:sz w:val="32"/>
        </w:rPr>
      </w:pPr>
      <w:r w:rsidRPr="00396ED7">
        <w:rPr>
          <w:b/>
          <w:sz w:val="32"/>
        </w:rPr>
        <w:t>Valsts iekšējais parāds</w:t>
      </w:r>
    </w:p>
    <w:p w:rsidR="00396ED7" w:rsidRPr="00396ED7" w:rsidRDefault="00396ED7" w:rsidP="00396ED7">
      <w:r w:rsidRPr="00396ED7">
        <w:t xml:space="preserve">Valsts iekšējais parāds nominālvērtībā 2013.gada beigās veidoja 1 287,2 </w:t>
      </w:r>
      <w:proofErr w:type="spellStart"/>
      <w:r w:rsidRPr="00396ED7">
        <w:t>milj.</w:t>
      </w:r>
      <w:r w:rsidRPr="00B87469">
        <w:rPr>
          <w:i/>
        </w:rPr>
        <w:t>euro</w:t>
      </w:r>
      <w:proofErr w:type="spellEnd"/>
      <w:r w:rsidRPr="00396ED7">
        <w:t xml:space="preserve">, 2014.gada pirmā ceturkšņa beigās 1 313,5 </w:t>
      </w:r>
      <w:proofErr w:type="spellStart"/>
      <w:r w:rsidRPr="00396ED7">
        <w:t>milj.</w:t>
      </w:r>
      <w:r w:rsidRPr="00B87469">
        <w:rPr>
          <w:i/>
        </w:rPr>
        <w:t>euro</w:t>
      </w:r>
      <w:proofErr w:type="spellEnd"/>
      <w:r w:rsidRPr="00396ED7">
        <w:t xml:space="preserve">, ceturkšņa laikā pieaugot par 26,3 </w:t>
      </w:r>
      <w:proofErr w:type="spellStart"/>
      <w:r w:rsidRPr="00396ED7">
        <w:t>milj.</w:t>
      </w:r>
      <w:r w:rsidRPr="00B87469">
        <w:rPr>
          <w:i/>
        </w:rPr>
        <w:t>euro</w:t>
      </w:r>
      <w:proofErr w:type="spellEnd"/>
      <w:r w:rsidRPr="00396ED7">
        <w:t>.</w:t>
      </w:r>
    </w:p>
    <w:p w:rsidR="00396ED7" w:rsidRPr="00396ED7" w:rsidRDefault="00396ED7" w:rsidP="00396ED7">
      <w:r w:rsidRPr="00396ED7">
        <w:t>Valsts iekšējo parādu galvenokārt veido emitētās valsts parādzīmes un obligācijas, kuru nominālvērtība 2013.gada 31.decembrī bija 966,6 </w:t>
      </w:r>
      <w:proofErr w:type="spellStart"/>
      <w:r w:rsidRPr="00396ED7">
        <w:t>milj.</w:t>
      </w:r>
      <w:r w:rsidRPr="00B87469">
        <w:rPr>
          <w:i/>
        </w:rPr>
        <w:t>euro</w:t>
      </w:r>
      <w:proofErr w:type="spellEnd"/>
      <w:r w:rsidRPr="00396ED7">
        <w:t>. 2014.gada pirmā ceturkšņa beigās emitēto valsts parādzīmju un obligāciju apjoms bija 973,9 </w:t>
      </w:r>
      <w:proofErr w:type="spellStart"/>
      <w:r w:rsidRPr="00396ED7">
        <w:t>milj.</w:t>
      </w:r>
      <w:r w:rsidRPr="00B87469">
        <w:rPr>
          <w:i/>
        </w:rPr>
        <w:t>euro</w:t>
      </w:r>
      <w:proofErr w:type="spellEnd"/>
      <w:r w:rsidRPr="00396ED7">
        <w:t>, veidojot 12% no kopējā valsts parāda apjoma. Valsts iekšējā aizņēmuma apjomam pārsniedzot valsts iekšējā aizņēmuma atmaksāto apjomu, 2014.gada pirmajā ceturksnī emitēto valsts parādzīmju un obligāciju apjoms</w:t>
      </w:r>
      <w:r w:rsidRPr="00396ED7" w:rsidDel="008043F5">
        <w:t xml:space="preserve"> </w:t>
      </w:r>
      <w:r w:rsidRPr="00396ED7">
        <w:t>ir pieaudzis par 7,3 </w:t>
      </w:r>
      <w:proofErr w:type="spellStart"/>
      <w:r w:rsidRPr="00396ED7">
        <w:t>milj.</w:t>
      </w:r>
      <w:r w:rsidRPr="00B87469">
        <w:rPr>
          <w:i/>
        </w:rPr>
        <w:t>euro</w:t>
      </w:r>
      <w:proofErr w:type="spellEnd"/>
      <w:r w:rsidRPr="00396ED7">
        <w:t xml:space="preserve"> salīdzinot ar 2013.gada beigām.</w:t>
      </w:r>
    </w:p>
    <w:p w:rsidR="00396ED7" w:rsidRPr="00396ED7" w:rsidRDefault="00396ED7" w:rsidP="00396ED7">
      <w:r w:rsidRPr="00396ED7">
        <w:t>Finansējums iekšējā finanšu tirgū pamatā tiek piesaistīts, organizējot regulāras valsts iekšējā aizņēmuma vērtspapīru emisijas. 2014.gada pirmajā ceturksnī Valsts kase turpināja regulāras valsts vērtspapīru izsoles, piedāvājot investoriem gan parādzīmes, gan obligācijas. Sešu un divpadsmit mēnešu parādzīmju izsoles galvenokārt nodrošina relatīvi lētus likviditātes resursus un uztur iekšējā aizņēmuma vērtspapīru tirgu. Savukārt, obligāciju piedāvājums nodrošina institucionālajiem investoriem iespēju ieguldīt valsts vērtspapīros.</w:t>
      </w:r>
    </w:p>
    <w:p w:rsidR="00396ED7" w:rsidRPr="00396ED7" w:rsidRDefault="00396ED7" w:rsidP="0079557A">
      <w:pPr>
        <w:widowControl w:val="0"/>
        <w:autoSpaceDE w:val="0"/>
        <w:autoSpaceDN w:val="0"/>
        <w:adjustRightInd w:val="0"/>
        <w:ind w:firstLine="0"/>
        <w:jc w:val="center"/>
        <w:rPr>
          <w:noProof/>
          <w:lang w:eastAsia="lv-LV"/>
        </w:rPr>
      </w:pPr>
      <w:r w:rsidRPr="00396ED7">
        <w:rPr>
          <w:noProof/>
          <w:lang w:eastAsia="lv-LV"/>
        </w:rPr>
        <w:lastRenderedPageBreak/>
        <w:drawing>
          <wp:inline distT="0" distB="0" distL="0" distR="0" wp14:anchorId="6A7F636D" wp14:editId="34163906">
            <wp:extent cx="5909480" cy="323861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5420" cy="3263796"/>
                    </a:xfrm>
                    <a:prstGeom prst="rect">
                      <a:avLst/>
                    </a:prstGeom>
                    <a:noFill/>
                  </pic:spPr>
                </pic:pic>
              </a:graphicData>
            </a:graphic>
          </wp:inline>
        </w:drawing>
      </w:r>
    </w:p>
    <w:p w:rsidR="00396ED7" w:rsidRPr="000161A4" w:rsidRDefault="000161A4" w:rsidP="00D24FBD">
      <w:pPr>
        <w:jc w:val="center"/>
        <w:rPr>
          <w:rFonts w:cs="Times New Roman"/>
          <w:b/>
          <w:i/>
          <w:sz w:val="24"/>
        </w:rPr>
      </w:pPr>
      <w:r>
        <w:rPr>
          <w:rFonts w:cs="Times New Roman"/>
          <w:b/>
          <w:i/>
          <w:sz w:val="24"/>
        </w:rPr>
        <w:t>18</w:t>
      </w:r>
      <w:r w:rsidR="00396ED7" w:rsidRPr="000161A4">
        <w:rPr>
          <w:rFonts w:cs="Times New Roman"/>
          <w:b/>
          <w:i/>
          <w:sz w:val="24"/>
        </w:rPr>
        <w:t>. att. Apgrozībā esošo valsts iekšējā aizņēmuma vērtspapīru struktūras</w:t>
      </w:r>
      <w:r w:rsidR="00396ED7" w:rsidRPr="00396ED7">
        <w:rPr>
          <w:b/>
          <w:i/>
        </w:rPr>
        <w:t xml:space="preserve"> </w:t>
      </w:r>
      <w:r w:rsidR="00396ED7" w:rsidRPr="000161A4">
        <w:rPr>
          <w:rFonts w:cs="Times New Roman"/>
          <w:b/>
          <w:i/>
          <w:sz w:val="24"/>
        </w:rPr>
        <w:t>attīstība līdz 2014.gada I ceturkšņa beigām</w:t>
      </w:r>
    </w:p>
    <w:p w:rsidR="00396ED7" w:rsidRPr="00FB3DD1" w:rsidRDefault="00396ED7" w:rsidP="00396ED7">
      <w:pPr>
        <w:rPr>
          <w:b/>
          <w:i/>
          <w:sz w:val="2"/>
        </w:rPr>
      </w:pPr>
    </w:p>
    <w:p w:rsidR="00396ED7" w:rsidRPr="00396ED7" w:rsidRDefault="00396ED7" w:rsidP="00396ED7">
      <w:r w:rsidRPr="00396ED7">
        <w:t>2014.gada pirmajā ceturksnī tika veiksmīgi emitētas piecu gadu obligācijas 20,0 </w:t>
      </w:r>
      <w:proofErr w:type="spellStart"/>
      <w:r w:rsidRPr="00396ED7">
        <w:t>milj.</w:t>
      </w:r>
      <w:r w:rsidRPr="00B87469">
        <w:rPr>
          <w:i/>
        </w:rPr>
        <w:t>euro</w:t>
      </w:r>
      <w:proofErr w:type="spellEnd"/>
      <w:r w:rsidRPr="00396ED7">
        <w:t xml:space="preserve"> apjomā. Šis apjoms tika sasniegts vienā konkurējošā un vienā nekonkurējošā izsolē kopā par tobrīd vēsturiski zemāko likmi šāda termiņa vērtspapīriem (1,790%). 2014.gada pirmā ceturkšņa beigās obligāciju īpatsvars iekšējā parāda portfelī sasniedza 79% no kopējā apgrozībā esošā vērtspapīru apjoma (skat. </w:t>
      </w:r>
      <w:r w:rsidR="00E25B9C">
        <w:t>19</w:t>
      </w:r>
      <w:r w:rsidRPr="00396ED7">
        <w:t>.att.), kas apliecina, ka investoru uzticību valsts kredītspējai saglabājas augsta.</w:t>
      </w:r>
    </w:p>
    <w:p w:rsidR="00396ED7" w:rsidRPr="00396ED7" w:rsidRDefault="00396ED7" w:rsidP="00396ED7">
      <w:r w:rsidRPr="00396ED7">
        <w:t>Īstermiņa (sešu un divpadsmit mēnešu) parādzīmes tika emitētas 45 </w:t>
      </w:r>
      <w:proofErr w:type="spellStart"/>
      <w:r w:rsidRPr="00396ED7">
        <w:t>milj.</w:t>
      </w:r>
      <w:r w:rsidRPr="00B87469">
        <w:rPr>
          <w:i/>
        </w:rPr>
        <w:t>euro</w:t>
      </w:r>
      <w:proofErr w:type="spellEnd"/>
      <w:r w:rsidRPr="00396ED7">
        <w:t xml:space="preserve"> apjomā ar vidējo svērto peļņas likmi pēdējā izsolē pārskata periodā 0,219% (sešu mēnešu parādzīmēm) un 0,374% (divpadsmit mēnešu parādzīmēm).</w:t>
      </w:r>
    </w:p>
    <w:p w:rsidR="00396ED7" w:rsidRPr="0079557A" w:rsidRDefault="00396ED7" w:rsidP="0079557A">
      <w:pPr>
        <w:widowControl w:val="0"/>
        <w:autoSpaceDE w:val="0"/>
        <w:autoSpaceDN w:val="0"/>
        <w:adjustRightInd w:val="0"/>
        <w:ind w:firstLine="0"/>
        <w:jc w:val="center"/>
        <w:rPr>
          <w:noProof/>
          <w:lang w:eastAsia="lv-LV"/>
        </w:rPr>
      </w:pPr>
      <w:r w:rsidRPr="0079557A">
        <w:rPr>
          <w:noProof/>
          <w:lang w:eastAsia="lv-LV"/>
        </w:rPr>
        <w:drawing>
          <wp:inline distT="0" distB="0" distL="0" distR="0" wp14:anchorId="53965F4A" wp14:editId="4AD277FE">
            <wp:extent cx="4844956" cy="29005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85750" cy="2924936"/>
                    </a:xfrm>
                    <a:prstGeom prst="rect">
                      <a:avLst/>
                    </a:prstGeom>
                    <a:noFill/>
                  </pic:spPr>
                </pic:pic>
              </a:graphicData>
            </a:graphic>
          </wp:inline>
        </w:drawing>
      </w:r>
    </w:p>
    <w:p w:rsidR="00396ED7" w:rsidRPr="000161A4" w:rsidRDefault="000161A4" w:rsidP="00D24FBD">
      <w:pPr>
        <w:ind w:firstLine="0"/>
        <w:jc w:val="center"/>
        <w:rPr>
          <w:rFonts w:cs="Times New Roman"/>
          <w:b/>
          <w:i/>
          <w:sz w:val="24"/>
        </w:rPr>
      </w:pPr>
      <w:r>
        <w:rPr>
          <w:rFonts w:cs="Times New Roman"/>
          <w:b/>
          <w:i/>
          <w:sz w:val="24"/>
        </w:rPr>
        <w:t>19</w:t>
      </w:r>
      <w:r w:rsidR="00396ED7" w:rsidRPr="000161A4">
        <w:rPr>
          <w:rFonts w:cs="Times New Roman"/>
          <w:b/>
          <w:i/>
          <w:sz w:val="24"/>
        </w:rPr>
        <w:t xml:space="preserve"> .att. Apgrozībā esošo valsts iekšējā aizņēmuma vērtspapīru struktūra 2014.gada I cet. beigās</w:t>
      </w:r>
    </w:p>
    <w:p w:rsidR="00396ED7" w:rsidRPr="00396ED7" w:rsidRDefault="00396ED7" w:rsidP="00396ED7"/>
    <w:p w:rsidR="00396ED7" w:rsidRPr="00396ED7" w:rsidRDefault="00396ED7" w:rsidP="00396ED7">
      <w:r w:rsidRPr="00396ED7">
        <w:t>2014.gada pirmajā ceturksnī, pateicoties zemajiem procentu likmju līmeņiem globālajos finanšu tirgos un sekmīgai primāro dīleru sistēmas darbībai, valsts vērtspapīru procentu likmes saglabājās tuv</w:t>
      </w:r>
      <w:r w:rsidR="00E25B9C">
        <w:t>u rekordzemiem līmeņiem (skat. 20</w:t>
      </w:r>
      <w:r w:rsidRPr="00396ED7">
        <w:t>.att.).</w:t>
      </w:r>
    </w:p>
    <w:p w:rsidR="00396ED7" w:rsidRPr="00396ED7" w:rsidRDefault="00396ED7" w:rsidP="0079557A">
      <w:pPr>
        <w:widowControl w:val="0"/>
        <w:autoSpaceDE w:val="0"/>
        <w:autoSpaceDN w:val="0"/>
        <w:adjustRightInd w:val="0"/>
        <w:ind w:firstLine="0"/>
        <w:jc w:val="center"/>
        <w:rPr>
          <w:noProof/>
          <w:lang w:eastAsia="lv-LV"/>
        </w:rPr>
      </w:pPr>
      <w:r w:rsidRPr="00396ED7">
        <w:rPr>
          <w:noProof/>
          <w:lang w:eastAsia="lv-LV"/>
        </w:rPr>
        <w:drawing>
          <wp:inline distT="0" distB="0" distL="0" distR="0" wp14:anchorId="07522A83" wp14:editId="763591E4">
            <wp:extent cx="4640239" cy="2985015"/>
            <wp:effectExtent l="0" t="0" r="825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76414" cy="3008286"/>
                    </a:xfrm>
                    <a:prstGeom prst="rect">
                      <a:avLst/>
                    </a:prstGeom>
                    <a:noFill/>
                  </pic:spPr>
                </pic:pic>
              </a:graphicData>
            </a:graphic>
          </wp:inline>
        </w:drawing>
      </w:r>
    </w:p>
    <w:p w:rsidR="00396ED7" w:rsidRPr="000161A4" w:rsidRDefault="000161A4" w:rsidP="00D24FBD">
      <w:pPr>
        <w:ind w:firstLine="0"/>
        <w:jc w:val="center"/>
        <w:rPr>
          <w:rFonts w:cs="Times New Roman"/>
          <w:b/>
          <w:i/>
          <w:sz w:val="24"/>
        </w:rPr>
      </w:pPr>
      <w:r>
        <w:rPr>
          <w:rFonts w:cs="Times New Roman"/>
          <w:b/>
          <w:i/>
          <w:sz w:val="24"/>
        </w:rPr>
        <w:t>20</w:t>
      </w:r>
      <w:r w:rsidR="00396ED7" w:rsidRPr="000161A4">
        <w:rPr>
          <w:rFonts w:cs="Times New Roman"/>
          <w:b/>
          <w:i/>
          <w:sz w:val="24"/>
        </w:rPr>
        <w:t xml:space="preserve"> .att. Valsts vērtspapīru konkurējošās </w:t>
      </w:r>
      <w:proofErr w:type="spellStart"/>
      <w:r w:rsidR="00396ED7" w:rsidRPr="000161A4">
        <w:rPr>
          <w:rFonts w:cs="Times New Roman"/>
          <w:b/>
          <w:i/>
          <w:sz w:val="24"/>
        </w:rPr>
        <w:t>daudzcenu</w:t>
      </w:r>
      <w:proofErr w:type="spellEnd"/>
      <w:r w:rsidR="00396ED7" w:rsidRPr="000161A4">
        <w:rPr>
          <w:rFonts w:cs="Times New Roman"/>
          <w:b/>
          <w:i/>
          <w:sz w:val="24"/>
        </w:rPr>
        <w:t xml:space="preserve"> izsolēs noteiktās vidējās svērtās procentu likmes līdz 2014.gada I cet. beigām</w:t>
      </w:r>
    </w:p>
    <w:p w:rsidR="00396ED7" w:rsidRPr="00396ED7" w:rsidRDefault="00396ED7" w:rsidP="00396ED7">
      <w:r w:rsidRPr="00396ED7">
        <w:t>Arī turpmāk, saglabājoties pozitīvām finanšu tirgus un ekonomikas attīstības tendencēm, ir plānots finansējumu iekšējā finanšu tirgū piesaistīt ar dažāda termiņa vērtspapīriem likviditātes vadības un iekšējā finanšu tirgus uzturēšanas ietvaros.</w:t>
      </w:r>
    </w:p>
    <w:p w:rsidR="00396ED7" w:rsidRPr="00396ED7" w:rsidRDefault="00396ED7" w:rsidP="00396ED7">
      <w:r w:rsidRPr="00396ED7">
        <w:t xml:space="preserve">Lai attīstītu Latvijas valsts vērtspapīru tirgu un veicinātu iedzīvotāju uzticību finanšu tirgum, kopš 2013.gada vidus Valsts kase uztur regulāru </w:t>
      </w:r>
      <w:proofErr w:type="spellStart"/>
      <w:r w:rsidRPr="00396ED7">
        <w:t>krājobligāciju</w:t>
      </w:r>
      <w:proofErr w:type="spellEnd"/>
      <w:r w:rsidRPr="00396ED7">
        <w:t xml:space="preserve"> piedāvājumu. Tīmekļa vietnē www.krajobligacijas.lv iedzīvotājiem tiek piedāvātas sešu un divpadsmit mēnešu, kā arī piecu un desmit gadu </w:t>
      </w:r>
      <w:proofErr w:type="spellStart"/>
      <w:r w:rsidRPr="00396ED7">
        <w:t>krājobligācijas</w:t>
      </w:r>
      <w:proofErr w:type="spellEnd"/>
      <w:r w:rsidRPr="00396ED7">
        <w:t xml:space="preserve">. 2014.gada pirmā ceturkšņa beigās apgrozībā esošās </w:t>
      </w:r>
      <w:proofErr w:type="spellStart"/>
      <w:r w:rsidRPr="00396ED7">
        <w:t>krājobligācijas</w:t>
      </w:r>
      <w:proofErr w:type="spellEnd"/>
      <w:r w:rsidRPr="00396ED7">
        <w:t xml:space="preserve"> sasniedza 3,8 </w:t>
      </w:r>
      <w:proofErr w:type="spellStart"/>
      <w:r w:rsidRPr="00396ED7">
        <w:t>milj.</w:t>
      </w:r>
      <w:r w:rsidRPr="00B87469">
        <w:rPr>
          <w:i/>
        </w:rPr>
        <w:t>euro</w:t>
      </w:r>
      <w:proofErr w:type="spellEnd"/>
      <w:r w:rsidRPr="00396ED7">
        <w:t xml:space="preserve"> apjomu, un lielāko daļu veido desmit gadu </w:t>
      </w:r>
      <w:proofErr w:type="spellStart"/>
      <w:r w:rsidRPr="00396ED7">
        <w:t>krājobligācijas</w:t>
      </w:r>
      <w:proofErr w:type="spellEnd"/>
      <w:r w:rsidRPr="00396ED7">
        <w:t xml:space="preserve"> (skat. </w:t>
      </w:r>
      <w:r w:rsidR="00E25B9C">
        <w:t>21</w:t>
      </w:r>
      <w:r w:rsidRPr="00396ED7">
        <w:t>.att).</w:t>
      </w:r>
    </w:p>
    <w:p w:rsidR="00396ED7" w:rsidRPr="00396ED7" w:rsidRDefault="00396ED7" w:rsidP="00396ED7">
      <w:pPr>
        <w:jc w:val="center"/>
        <w:rPr>
          <w:sz w:val="24"/>
        </w:rPr>
      </w:pPr>
      <w:r w:rsidRPr="00396ED7">
        <w:rPr>
          <w:noProof/>
          <w:lang w:eastAsia="lv-LV"/>
        </w:rPr>
        <w:drawing>
          <wp:inline distT="0" distB="0" distL="0" distR="0" wp14:anchorId="35C9F7FB" wp14:editId="203B16D3">
            <wp:extent cx="2238375" cy="2279704"/>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55425" cy="2297068"/>
                    </a:xfrm>
                    <a:prstGeom prst="rect">
                      <a:avLst/>
                    </a:prstGeom>
                    <a:noFill/>
                  </pic:spPr>
                </pic:pic>
              </a:graphicData>
            </a:graphic>
          </wp:inline>
        </w:drawing>
      </w:r>
    </w:p>
    <w:p w:rsidR="00396ED7" w:rsidRPr="000161A4" w:rsidRDefault="000161A4" w:rsidP="00D24FBD">
      <w:pPr>
        <w:ind w:firstLine="0"/>
        <w:jc w:val="center"/>
        <w:rPr>
          <w:rFonts w:cs="Times New Roman"/>
          <w:b/>
          <w:i/>
          <w:sz w:val="24"/>
        </w:rPr>
      </w:pPr>
      <w:r>
        <w:rPr>
          <w:rFonts w:cs="Times New Roman"/>
          <w:b/>
          <w:i/>
          <w:sz w:val="24"/>
        </w:rPr>
        <w:t>21</w:t>
      </w:r>
      <w:r w:rsidR="00396ED7" w:rsidRPr="000161A4">
        <w:rPr>
          <w:rFonts w:cs="Times New Roman"/>
          <w:b/>
          <w:i/>
          <w:sz w:val="24"/>
        </w:rPr>
        <w:t xml:space="preserve">.att. Apgrozībā esošais </w:t>
      </w:r>
      <w:proofErr w:type="spellStart"/>
      <w:r w:rsidR="00396ED7" w:rsidRPr="000161A4">
        <w:rPr>
          <w:rFonts w:cs="Times New Roman"/>
          <w:b/>
          <w:i/>
          <w:sz w:val="24"/>
        </w:rPr>
        <w:t>krājobligāciju</w:t>
      </w:r>
      <w:proofErr w:type="spellEnd"/>
      <w:r w:rsidR="00396ED7" w:rsidRPr="000161A4">
        <w:rPr>
          <w:rFonts w:cs="Times New Roman"/>
          <w:b/>
          <w:i/>
          <w:sz w:val="24"/>
        </w:rPr>
        <w:t xml:space="preserve"> apjoms uz 2014.gada I cet. beigām</w:t>
      </w:r>
    </w:p>
    <w:p w:rsidR="00396ED7" w:rsidRPr="00396ED7" w:rsidRDefault="00396ED7" w:rsidP="00396ED7">
      <w:pPr>
        <w:rPr>
          <w:b/>
          <w:i/>
        </w:rPr>
      </w:pPr>
    </w:p>
    <w:p w:rsidR="00396ED7" w:rsidRPr="00396ED7" w:rsidRDefault="00396ED7" w:rsidP="00396ED7">
      <w:r w:rsidRPr="00396ED7">
        <w:t xml:space="preserve">Valsts iekšējo parādu veido arī Valsts </w:t>
      </w:r>
      <w:r w:rsidR="00E25B9C">
        <w:t>kases klientu kontu atlikumi un</w:t>
      </w:r>
      <w:r w:rsidRPr="00396ED7">
        <w:t xml:space="preserve"> noguldījumi Valsts kasē. 2014.gada pirmā ceturkšņa beigās tie bija 325,6 </w:t>
      </w:r>
      <w:proofErr w:type="spellStart"/>
      <w:r w:rsidRPr="00396ED7">
        <w:t>milj.</w:t>
      </w:r>
      <w:r w:rsidRPr="00B87469">
        <w:rPr>
          <w:i/>
        </w:rPr>
        <w:t>euro</w:t>
      </w:r>
      <w:proofErr w:type="spellEnd"/>
      <w:r w:rsidRPr="00396ED7">
        <w:t xml:space="preserve">,  kas ir par 17,3 </w:t>
      </w:r>
      <w:proofErr w:type="spellStart"/>
      <w:r w:rsidRPr="00396ED7">
        <w:t>milj.</w:t>
      </w:r>
      <w:r w:rsidRPr="00B87469">
        <w:rPr>
          <w:i/>
        </w:rPr>
        <w:t>euro</w:t>
      </w:r>
      <w:proofErr w:type="spellEnd"/>
      <w:r w:rsidRPr="00396ED7">
        <w:t xml:space="preserve"> vairāk salīdzinot ar 2013.gada beigām.</w:t>
      </w:r>
    </w:p>
    <w:p w:rsidR="00396ED7" w:rsidRPr="00396ED7" w:rsidRDefault="00396ED7" w:rsidP="00396ED7">
      <w:pPr>
        <w:rPr>
          <w:sz w:val="24"/>
        </w:rPr>
      </w:pPr>
    </w:p>
    <w:p w:rsidR="00396ED7" w:rsidRPr="00396ED7" w:rsidRDefault="00396ED7" w:rsidP="000C2E3B">
      <w:pPr>
        <w:jc w:val="center"/>
        <w:rPr>
          <w:b/>
          <w:sz w:val="32"/>
        </w:rPr>
      </w:pPr>
      <w:r w:rsidRPr="00396ED7">
        <w:rPr>
          <w:b/>
          <w:sz w:val="32"/>
        </w:rPr>
        <w:t>Valsts ārējais parāds</w:t>
      </w:r>
    </w:p>
    <w:p w:rsidR="00396ED7" w:rsidRPr="00396ED7" w:rsidRDefault="00396ED7" w:rsidP="00396ED7">
      <w:r w:rsidRPr="00396ED7">
        <w:t>Valsts ārējais parāds nominālvērtībā 2013.gada beigās veidoja 6 805,8 </w:t>
      </w:r>
      <w:proofErr w:type="spellStart"/>
      <w:r w:rsidRPr="00396ED7">
        <w:t>milj.</w:t>
      </w:r>
      <w:r w:rsidRPr="00B87469">
        <w:rPr>
          <w:i/>
        </w:rPr>
        <w:t>euro</w:t>
      </w:r>
      <w:proofErr w:type="spellEnd"/>
      <w:r w:rsidRPr="00396ED7">
        <w:t>, 2014.gada pirmā ceturkšņa beigās 6 782,0 </w:t>
      </w:r>
      <w:proofErr w:type="spellStart"/>
      <w:r w:rsidRPr="00396ED7">
        <w:t>milj.</w:t>
      </w:r>
      <w:r w:rsidRPr="00B87469">
        <w:rPr>
          <w:i/>
        </w:rPr>
        <w:t>euro</w:t>
      </w:r>
      <w:proofErr w:type="spellEnd"/>
      <w:r w:rsidRPr="00396ED7">
        <w:t>.</w:t>
      </w:r>
    </w:p>
    <w:p w:rsidR="00396ED7" w:rsidRPr="00396ED7" w:rsidRDefault="00396ED7" w:rsidP="00396ED7">
      <w:r w:rsidRPr="00396ED7">
        <w:t xml:space="preserve">Pēc sešu gadu pārtraukuma un neilgi pēc </w:t>
      </w:r>
      <w:proofErr w:type="spellStart"/>
      <w:r w:rsidR="00404D8F" w:rsidRPr="00B87469">
        <w:rPr>
          <w:i/>
        </w:rPr>
        <w:t>euro</w:t>
      </w:r>
      <w:proofErr w:type="spellEnd"/>
      <w:r w:rsidRPr="00396ED7">
        <w:t xml:space="preserve"> ieviešanas 2014.gada pirmajā ceturksnī (2014.gada 14.janvārī), izmantojot labvēlīgo situāciju starptautiskajos finanšu tirgos, tika sekmīgi emitētas </w:t>
      </w:r>
      <w:proofErr w:type="spellStart"/>
      <w:r w:rsidRPr="00B87469">
        <w:rPr>
          <w:i/>
        </w:rPr>
        <w:t>euro</w:t>
      </w:r>
      <w:proofErr w:type="spellEnd"/>
      <w:r w:rsidRPr="00396ED7">
        <w:t xml:space="preserve"> valūtas septiņu gadu </w:t>
      </w:r>
      <w:proofErr w:type="spellStart"/>
      <w:r w:rsidR="00404D8F" w:rsidRPr="00B87469">
        <w:rPr>
          <w:i/>
        </w:rPr>
        <w:t>euro</w:t>
      </w:r>
      <w:proofErr w:type="spellEnd"/>
      <w:r w:rsidR="00404D8F">
        <w:t xml:space="preserve"> </w:t>
      </w:r>
      <w:r w:rsidRPr="00396ED7">
        <w:t>obligācijas viena miljarda apmērā ar fiksēto procentu (kupona) likmi 2,625% gadā (ienesīgums 2,815%). Pieprasījums pēc Latvijas obligācijām vairāk kā četras reizes pārsniedza piedāvājumu, sasniedzot plašu investoru līdzdalību gan primāri no Eiropas, gan arī no ASV un citiem reģioniem. Aizņemšanās darījums ļāva pārfinansēt saņemto Eiropas Komisijas aizdevuma daļu starptautiskās aizņēmuma programmas ietvaros ar zemāku procentu likmi.</w:t>
      </w:r>
    </w:p>
    <w:p w:rsidR="00396ED7" w:rsidRPr="00396ED7" w:rsidRDefault="00396ED7" w:rsidP="00396ED7">
      <w:r w:rsidRPr="00396ED7">
        <w:t>201</w:t>
      </w:r>
      <w:r w:rsidR="00404D8F">
        <w:t xml:space="preserve">4.gada pirmā ceturksnī veicot </w:t>
      </w:r>
      <w:proofErr w:type="spellStart"/>
      <w:r w:rsidR="00404D8F" w:rsidRPr="00B87469">
        <w:rPr>
          <w:i/>
        </w:rPr>
        <w:t>eu</w:t>
      </w:r>
      <w:r w:rsidRPr="00B87469">
        <w:rPr>
          <w:i/>
        </w:rPr>
        <w:t>ro</w:t>
      </w:r>
      <w:proofErr w:type="spellEnd"/>
      <w:r w:rsidR="00404D8F">
        <w:t xml:space="preserve"> </w:t>
      </w:r>
      <w:r w:rsidRPr="00396ED7">
        <w:t xml:space="preserve">obligāciju emisiju starptautiskajos finanšu tirgos un aizņēmuma atmaksu Eiropas Komisijai starptautiskās aizņēmuma programmas ietvaros, ārējā parāda struktūrā pieaudzis </w:t>
      </w:r>
      <w:proofErr w:type="spellStart"/>
      <w:r w:rsidRPr="00B87469">
        <w:rPr>
          <w:i/>
        </w:rPr>
        <w:t>e</w:t>
      </w:r>
      <w:r w:rsidR="00404D8F" w:rsidRPr="00B87469">
        <w:rPr>
          <w:i/>
        </w:rPr>
        <w:t>u</w:t>
      </w:r>
      <w:r w:rsidRPr="00B87469">
        <w:rPr>
          <w:i/>
        </w:rPr>
        <w:t>ro</w:t>
      </w:r>
      <w:proofErr w:type="spellEnd"/>
      <w:r w:rsidR="00404D8F">
        <w:t xml:space="preserve"> </w:t>
      </w:r>
      <w:r w:rsidRPr="00396ED7">
        <w:t xml:space="preserve">obligāciju īpatsvars no 43% uz 2013.gada pirmā ceturkšņa beigām līdz 56% uz 2014.gada pirmā ceturkšņa beigām un samazinājies starptautiskās aizņēmuma programmas īpatsvars no 48% uz 2013.gada pirmā ceturkšņa beigām līdz 34% uz 2014.gada pirmā ceturkšņa beigām no valsts ārējā parāda apjoma (skat. </w:t>
      </w:r>
      <w:r w:rsidR="00E25B9C">
        <w:t>22</w:t>
      </w:r>
      <w:r w:rsidRPr="00396ED7">
        <w:t xml:space="preserve">., </w:t>
      </w:r>
      <w:r w:rsidR="00E25B9C">
        <w:t>23</w:t>
      </w:r>
      <w:r w:rsidRPr="00396ED7">
        <w:t>.att.).</w:t>
      </w:r>
    </w:p>
    <w:p w:rsidR="00396ED7" w:rsidRPr="0079557A" w:rsidRDefault="00396ED7" w:rsidP="0079557A">
      <w:pPr>
        <w:widowControl w:val="0"/>
        <w:autoSpaceDE w:val="0"/>
        <w:autoSpaceDN w:val="0"/>
        <w:adjustRightInd w:val="0"/>
        <w:ind w:firstLine="0"/>
        <w:jc w:val="center"/>
        <w:rPr>
          <w:noProof/>
          <w:lang w:eastAsia="lv-LV"/>
        </w:rPr>
      </w:pPr>
      <w:r w:rsidRPr="0079557A">
        <w:rPr>
          <w:noProof/>
          <w:lang w:eastAsia="lv-LV"/>
        </w:rPr>
        <w:drawing>
          <wp:inline distT="0" distB="0" distL="0" distR="0" wp14:anchorId="6EB2B8D0" wp14:editId="5968E662">
            <wp:extent cx="4831307" cy="328097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55313" cy="3297273"/>
                    </a:xfrm>
                    <a:prstGeom prst="rect">
                      <a:avLst/>
                    </a:prstGeom>
                    <a:noFill/>
                  </pic:spPr>
                </pic:pic>
              </a:graphicData>
            </a:graphic>
          </wp:inline>
        </w:drawing>
      </w:r>
    </w:p>
    <w:p w:rsidR="00396ED7" w:rsidRPr="000161A4" w:rsidRDefault="000161A4" w:rsidP="00D24FBD">
      <w:pPr>
        <w:ind w:firstLine="0"/>
        <w:jc w:val="center"/>
        <w:rPr>
          <w:rFonts w:cs="Times New Roman"/>
          <w:b/>
          <w:i/>
          <w:sz w:val="24"/>
        </w:rPr>
      </w:pPr>
      <w:r w:rsidRPr="000161A4">
        <w:rPr>
          <w:rFonts w:cs="Times New Roman"/>
          <w:b/>
          <w:i/>
          <w:sz w:val="24"/>
        </w:rPr>
        <w:t>22</w:t>
      </w:r>
      <w:r w:rsidR="00396ED7" w:rsidRPr="000161A4">
        <w:rPr>
          <w:rFonts w:cs="Times New Roman"/>
          <w:b/>
          <w:i/>
          <w:sz w:val="24"/>
        </w:rPr>
        <w:t>. att. Valsts ārējā parāda struktūras attīstība</w:t>
      </w:r>
    </w:p>
    <w:p w:rsidR="00396ED7" w:rsidRPr="00396ED7" w:rsidRDefault="00396ED7" w:rsidP="00396ED7">
      <w:pPr>
        <w:rPr>
          <w:b/>
          <w:i/>
        </w:rPr>
      </w:pPr>
    </w:p>
    <w:p w:rsidR="00396ED7" w:rsidRPr="00396ED7" w:rsidRDefault="00396ED7" w:rsidP="0079557A">
      <w:pPr>
        <w:widowControl w:val="0"/>
        <w:autoSpaceDE w:val="0"/>
        <w:autoSpaceDN w:val="0"/>
        <w:adjustRightInd w:val="0"/>
        <w:ind w:firstLine="0"/>
        <w:jc w:val="center"/>
        <w:rPr>
          <w:noProof/>
          <w:lang w:eastAsia="lv-LV"/>
        </w:rPr>
      </w:pPr>
      <w:r w:rsidRPr="00396ED7">
        <w:rPr>
          <w:noProof/>
          <w:lang w:eastAsia="lv-LV"/>
        </w:rPr>
        <w:drawing>
          <wp:inline distT="0" distB="0" distL="0" distR="0" wp14:anchorId="285B1EA3" wp14:editId="4AB30F4F">
            <wp:extent cx="4329646" cy="314864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32328" cy="3150593"/>
                    </a:xfrm>
                    <a:prstGeom prst="rect">
                      <a:avLst/>
                    </a:prstGeom>
                    <a:noFill/>
                  </pic:spPr>
                </pic:pic>
              </a:graphicData>
            </a:graphic>
          </wp:inline>
        </w:drawing>
      </w:r>
    </w:p>
    <w:p w:rsidR="00396ED7" w:rsidRPr="000161A4" w:rsidRDefault="000161A4" w:rsidP="00D24FBD">
      <w:pPr>
        <w:ind w:firstLine="0"/>
        <w:jc w:val="center"/>
        <w:rPr>
          <w:rFonts w:cs="Times New Roman"/>
          <w:b/>
          <w:i/>
          <w:sz w:val="24"/>
        </w:rPr>
      </w:pPr>
      <w:r w:rsidRPr="000161A4">
        <w:rPr>
          <w:rFonts w:cs="Times New Roman"/>
          <w:b/>
          <w:i/>
          <w:sz w:val="24"/>
        </w:rPr>
        <w:t>23</w:t>
      </w:r>
      <w:r w:rsidR="00396ED7" w:rsidRPr="000161A4">
        <w:rPr>
          <w:rFonts w:cs="Times New Roman"/>
          <w:b/>
          <w:i/>
          <w:sz w:val="24"/>
        </w:rPr>
        <w:t xml:space="preserve"> .att. Ārējā parāda struktūra 2014.gada I cet. beigās</w:t>
      </w:r>
    </w:p>
    <w:p w:rsidR="00396ED7" w:rsidRPr="00396ED7" w:rsidRDefault="00396ED7" w:rsidP="00396ED7">
      <w:pPr>
        <w:rPr>
          <w:b/>
          <w:i/>
        </w:rPr>
      </w:pPr>
    </w:p>
    <w:p w:rsidR="00396ED7" w:rsidRPr="00396ED7" w:rsidRDefault="00396ED7" w:rsidP="00396ED7">
      <w:pPr>
        <w:rPr>
          <w:rFonts w:eastAsia="Times New Roman" w:cs="Times New Roman"/>
        </w:rPr>
      </w:pPr>
      <w:r w:rsidRPr="00396ED7">
        <w:rPr>
          <w:rFonts w:eastAsia="Times New Roman" w:cs="Times New Roman"/>
        </w:rPr>
        <w:t xml:space="preserve">Ārējā parāda atlikušo daļu veido iepriekš noslēgto līgumu ietvaros dažādu projektu finansēšanai saņemtie aizņēmumi no </w:t>
      </w:r>
      <w:r w:rsidR="00404D8F">
        <w:rPr>
          <w:rFonts w:eastAsia="Times New Roman" w:cs="Times New Roman"/>
        </w:rPr>
        <w:t>E</w:t>
      </w:r>
      <w:r w:rsidR="00B87469">
        <w:rPr>
          <w:rFonts w:eastAsia="Times New Roman" w:cs="Times New Roman"/>
        </w:rPr>
        <w:t>i</w:t>
      </w:r>
      <w:r w:rsidR="00404D8F">
        <w:rPr>
          <w:rFonts w:eastAsia="Times New Roman" w:cs="Times New Roman"/>
        </w:rPr>
        <w:t>ro</w:t>
      </w:r>
      <w:r w:rsidRPr="00396ED7">
        <w:rPr>
          <w:rFonts w:eastAsia="Times New Roman" w:cs="Times New Roman"/>
        </w:rPr>
        <w:t>pas Investīciju bankas, Ziemeļu Investīciju bankas un citām finanšu institūcijām.</w:t>
      </w:r>
    </w:p>
    <w:p w:rsidR="00396ED7" w:rsidRPr="00396ED7" w:rsidRDefault="00396ED7" w:rsidP="00396ED7">
      <w:pPr>
        <w:rPr>
          <w:rFonts w:eastAsia="Times New Roman" w:cs="Times New Roman"/>
        </w:rPr>
      </w:pPr>
      <w:r w:rsidRPr="00396ED7">
        <w:rPr>
          <w:rFonts w:eastAsia="Times New Roman" w:cs="Times New Roman"/>
        </w:rPr>
        <w:t>Atbilstoši Latvijas valsts parāda vadības stratēģijai, lai novērstu valsts parāda pārfinansēšanas risku vidējā termiņā un savlaicīgi nodrošinātu priekšnosacījumus valsts ārējā parāda saistību (t.sk. starptautiskā aizņēmuma programmas ietvaros saņemtā finansējuma) atmaksai, tiek turpināta pakāpeniska aizņemšanās starptautiskajos finanšu tirgos, organizējot regulāras publiskas valsts parāda vērtspapīru emisijas un nodrošinot investoru bāzes diversificēšanu, kā arī optimāla aizņemšanās izmaksu līmeņa sasniegšanu.</w:t>
      </w:r>
    </w:p>
    <w:p w:rsidR="006E5EF0" w:rsidRPr="00197086" w:rsidRDefault="006E5EF0" w:rsidP="00396ED7"/>
    <w:p w:rsidR="00975F8C" w:rsidRPr="00062774" w:rsidRDefault="00975F8C" w:rsidP="00301491">
      <w:pPr>
        <w:rPr>
          <w:highlight w:val="yellow"/>
        </w:rPr>
      </w:pPr>
    </w:p>
    <w:p w:rsidR="00FC0227" w:rsidRDefault="00FC0227">
      <w:pPr>
        <w:spacing w:after="0"/>
        <w:ind w:firstLine="0"/>
        <w:jc w:val="left"/>
        <w:rPr>
          <w:b/>
          <w:kern w:val="28"/>
          <w:sz w:val="44"/>
        </w:rPr>
      </w:pPr>
      <w:bookmarkStart w:id="45" w:name="_Toc356399256"/>
      <w:bookmarkStart w:id="46" w:name="_Toc387845623"/>
      <w:bookmarkEnd w:id="44"/>
      <w:r>
        <w:rPr>
          <w:b/>
          <w:kern w:val="28"/>
          <w:sz w:val="44"/>
        </w:rPr>
        <w:br w:type="page"/>
      </w:r>
    </w:p>
    <w:p w:rsidR="00062774" w:rsidRPr="00FC0227" w:rsidRDefault="00062774" w:rsidP="00494C2B">
      <w:pPr>
        <w:pStyle w:val="ListParagraph"/>
        <w:keepNext/>
        <w:numPr>
          <w:ilvl w:val="0"/>
          <w:numId w:val="27"/>
        </w:numPr>
        <w:spacing w:before="240" w:after="60"/>
        <w:ind w:left="426"/>
        <w:jc w:val="center"/>
        <w:outlineLvl w:val="0"/>
        <w:rPr>
          <w:b/>
          <w:kern w:val="28"/>
          <w:sz w:val="44"/>
        </w:rPr>
      </w:pPr>
      <w:bookmarkStart w:id="47" w:name="_Toc387911147"/>
      <w:r w:rsidRPr="00FC0227">
        <w:rPr>
          <w:b/>
          <w:kern w:val="28"/>
          <w:sz w:val="44"/>
        </w:rPr>
        <w:lastRenderedPageBreak/>
        <w:t>Kopbudžeta izpilde</w:t>
      </w:r>
      <w:bookmarkEnd w:id="45"/>
      <w:bookmarkEnd w:id="46"/>
      <w:bookmarkEnd w:id="47"/>
    </w:p>
    <w:p w:rsidR="00062774" w:rsidRPr="00062774" w:rsidRDefault="00062774" w:rsidP="00494C2B">
      <w:pPr>
        <w:keepNext/>
        <w:spacing w:before="240" w:after="60"/>
        <w:ind w:left="851" w:hanging="851"/>
        <w:jc w:val="center"/>
        <w:outlineLvl w:val="1"/>
        <w:rPr>
          <w:rFonts w:cs="Times New Roman"/>
          <w:b/>
          <w:color w:val="000000" w:themeColor="text1"/>
          <w:sz w:val="36"/>
        </w:rPr>
      </w:pPr>
      <w:bookmarkStart w:id="48" w:name="_Toc160359659"/>
      <w:bookmarkStart w:id="49" w:name="_Toc167254144"/>
      <w:bookmarkStart w:id="50" w:name="_Toc226433811"/>
      <w:bookmarkStart w:id="51" w:name="_Toc262026554"/>
      <w:bookmarkStart w:id="52" w:name="_Toc293496369"/>
      <w:bookmarkStart w:id="53" w:name="_Toc293499490"/>
      <w:bookmarkStart w:id="54" w:name="_Toc356399257"/>
      <w:bookmarkStart w:id="55" w:name="_Toc387845624"/>
      <w:bookmarkStart w:id="56" w:name="_Toc387911148"/>
      <w:r w:rsidRPr="00062774">
        <w:rPr>
          <w:rFonts w:cs="Times New Roman"/>
          <w:b/>
          <w:color w:val="000000" w:themeColor="text1"/>
          <w:sz w:val="36"/>
        </w:rPr>
        <w:t>2.1. Vispārējs fiskālās situācijas raksturojums</w:t>
      </w:r>
      <w:bookmarkEnd w:id="48"/>
      <w:bookmarkEnd w:id="49"/>
      <w:bookmarkEnd w:id="50"/>
      <w:bookmarkEnd w:id="51"/>
      <w:bookmarkEnd w:id="52"/>
      <w:bookmarkEnd w:id="53"/>
      <w:bookmarkEnd w:id="54"/>
      <w:bookmarkEnd w:id="55"/>
      <w:bookmarkEnd w:id="56"/>
    </w:p>
    <w:p w:rsidR="00062774" w:rsidRPr="00062774" w:rsidRDefault="00062774" w:rsidP="00062774">
      <w:pPr>
        <w:spacing w:after="0"/>
        <w:ind w:firstLine="720"/>
        <w:rPr>
          <w:rFonts w:cs="Times New Roman"/>
        </w:rPr>
      </w:pPr>
      <w:r w:rsidRPr="00062774">
        <w:rPr>
          <w:rFonts w:cs="Times New Roman"/>
        </w:rPr>
        <w:t>Šā gada pirmajā ceturksnī kopbudžeta izpildē bija vērojama iepriekšējo gadu sākumam raksturīga situācija. Valsts kases oficiālā mēneša pārskata dati par 2014. gada pirmo ceturksni liecina, ka konsolidētajā kopbudžetā, ieņēmumiem pārsniedzot izdevumus, izveidojās finansiālais pārpalikums 27,0 milj. </w:t>
      </w:r>
      <w:proofErr w:type="spellStart"/>
      <w:r w:rsidR="00404D8F" w:rsidRPr="00B87469">
        <w:rPr>
          <w:rFonts w:cs="Times New Roman"/>
          <w:i/>
        </w:rPr>
        <w:t>euro</w:t>
      </w:r>
      <w:proofErr w:type="spellEnd"/>
      <w:r w:rsidRPr="00062774">
        <w:rPr>
          <w:rFonts w:cs="Times New Roman"/>
        </w:rPr>
        <w:t xml:space="preserve"> apmērā un, salīdzinot ar iepriekšējā gada pirmo ceturksni, pārpalikums bija par 18,3 milj. </w:t>
      </w:r>
      <w:proofErr w:type="spellStart"/>
      <w:r w:rsidR="00404D8F" w:rsidRPr="00B87469">
        <w:rPr>
          <w:rFonts w:cs="Times New Roman"/>
          <w:i/>
        </w:rPr>
        <w:t>euro</w:t>
      </w:r>
      <w:proofErr w:type="spellEnd"/>
      <w:r w:rsidRPr="00062774">
        <w:rPr>
          <w:rFonts w:cs="Times New Roman"/>
        </w:rPr>
        <w:t xml:space="preserve"> mazāks. </w:t>
      </w:r>
    </w:p>
    <w:p w:rsidR="00062774" w:rsidRDefault="00062774" w:rsidP="00062774">
      <w:pPr>
        <w:spacing w:after="0"/>
        <w:ind w:firstLine="720"/>
        <w:rPr>
          <w:rFonts w:cs="Times New Roman"/>
        </w:rPr>
      </w:pPr>
      <w:r w:rsidRPr="00062774">
        <w:rPr>
          <w:rFonts w:cs="Times New Roman"/>
        </w:rPr>
        <w:t>Pārpalikumu kopbudžetā pamatā nodrošināja pārpalikums pašvaldību budžetā 78,2 milj. </w:t>
      </w:r>
      <w:proofErr w:type="spellStart"/>
      <w:r w:rsidR="00404D8F" w:rsidRPr="00B87469">
        <w:rPr>
          <w:rFonts w:cs="Times New Roman"/>
          <w:i/>
        </w:rPr>
        <w:t>euro</w:t>
      </w:r>
      <w:proofErr w:type="spellEnd"/>
      <w:r w:rsidRPr="00062774">
        <w:rPr>
          <w:rFonts w:cs="Times New Roman"/>
        </w:rPr>
        <w:t xml:space="preserve"> apmērā, kas salīdzinājumā ar iepriekšējā gada pirmo ceturksni ir pieaudzis par 16,3 milj. </w:t>
      </w:r>
      <w:proofErr w:type="spellStart"/>
      <w:r w:rsidR="00404D8F" w:rsidRPr="00B87469">
        <w:rPr>
          <w:rFonts w:cs="Times New Roman"/>
          <w:i/>
        </w:rPr>
        <w:t>euro</w:t>
      </w:r>
      <w:proofErr w:type="spellEnd"/>
      <w:r w:rsidRPr="00062774">
        <w:rPr>
          <w:rFonts w:cs="Times New Roman"/>
        </w:rPr>
        <w:t>. Šā gada sākumā ievērojami (par 34,6 milj. </w:t>
      </w:r>
      <w:proofErr w:type="spellStart"/>
      <w:r w:rsidR="00404D8F" w:rsidRPr="00B87469">
        <w:rPr>
          <w:rFonts w:cs="Times New Roman"/>
          <w:i/>
        </w:rPr>
        <w:t>euro</w:t>
      </w:r>
      <w:proofErr w:type="spellEnd"/>
      <w:r w:rsidRPr="00062774">
        <w:rPr>
          <w:rFonts w:cs="Times New Roman"/>
        </w:rPr>
        <w:t>) palielinājās valsts budžeta deficīts, sasniedzot 51,3 milj. </w:t>
      </w:r>
      <w:proofErr w:type="spellStart"/>
      <w:r w:rsidR="00404D8F" w:rsidRPr="00B87469">
        <w:rPr>
          <w:rFonts w:cs="Times New Roman"/>
          <w:i/>
        </w:rPr>
        <w:t>euro</w:t>
      </w:r>
      <w:proofErr w:type="spellEnd"/>
      <w:r w:rsidRPr="00062774">
        <w:rPr>
          <w:rFonts w:cs="Times New Roman"/>
        </w:rPr>
        <w:t>. Ja analizē valsts budžetu pa līmeņiem, tad redzams, ka valsts pamatbudžetā pirmajā ceturksnī bija deficīts 80,3 milj. </w:t>
      </w:r>
      <w:proofErr w:type="spellStart"/>
      <w:r w:rsidR="00404D8F" w:rsidRPr="00B87469">
        <w:rPr>
          <w:rFonts w:cs="Times New Roman"/>
          <w:i/>
        </w:rPr>
        <w:t>euro</w:t>
      </w:r>
      <w:proofErr w:type="spellEnd"/>
      <w:r w:rsidRPr="00062774">
        <w:rPr>
          <w:rFonts w:cs="Times New Roman"/>
        </w:rPr>
        <w:t xml:space="preserve"> (2013.gada pirmajā ceturksnī bija pārpalikums 8,5 milj. </w:t>
      </w:r>
      <w:proofErr w:type="spellStart"/>
      <w:r w:rsidR="00404D8F" w:rsidRPr="00B87469">
        <w:rPr>
          <w:rFonts w:cs="Times New Roman"/>
          <w:i/>
        </w:rPr>
        <w:t>euro</w:t>
      </w:r>
      <w:proofErr w:type="spellEnd"/>
      <w:r w:rsidRPr="00062774">
        <w:rPr>
          <w:rFonts w:cs="Times New Roman"/>
        </w:rPr>
        <w:t xml:space="preserve">), savukārt valsts speciālajā budžetā bija pārpalikums 23,8 milj. </w:t>
      </w:r>
      <w:proofErr w:type="spellStart"/>
      <w:r w:rsidR="00404D8F" w:rsidRPr="00B87469">
        <w:rPr>
          <w:rFonts w:cs="Times New Roman"/>
          <w:i/>
        </w:rPr>
        <w:t>euro</w:t>
      </w:r>
      <w:proofErr w:type="spellEnd"/>
      <w:r w:rsidRPr="00062774">
        <w:rPr>
          <w:rFonts w:cs="Times New Roman"/>
        </w:rPr>
        <w:t xml:space="preserve"> (2013.gada pirmajā ceturksnī bija deficīts 25,3 milj. </w:t>
      </w:r>
      <w:proofErr w:type="spellStart"/>
      <w:r w:rsidR="00404D8F" w:rsidRPr="00B87469">
        <w:rPr>
          <w:rFonts w:cs="Times New Roman"/>
          <w:i/>
        </w:rPr>
        <w:t>euro</w:t>
      </w:r>
      <w:proofErr w:type="spellEnd"/>
      <w:r w:rsidRPr="00062774">
        <w:rPr>
          <w:rFonts w:cs="Times New Roman"/>
        </w:rPr>
        <w:t xml:space="preserve">). Tas skaidrojams ar to, ka sākot ar 2014. gadu ir ieviests valsts pamatbudžeta </w:t>
      </w:r>
      <w:proofErr w:type="spellStart"/>
      <w:r w:rsidRPr="00062774">
        <w:rPr>
          <w:rFonts w:cs="Times New Roman"/>
        </w:rPr>
        <w:t>transferts</w:t>
      </w:r>
      <w:proofErr w:type="spellEnd"/>
      <w:r w:rsidRPr="00062774">
        <w:rPr>
          <w:rFonts w:cs="Times New Roman"/>
        </w:rPr>
        <w:t xml:space="preserve"> uz valsts speciālo budžetu pensiju piemaksu izmaksai, kā rezultātā sociālās apdrošināšanas budžetā palielinājās ieņēmumi un tādējādi uzlabojās bilance. </w:t>
      </w:r>
    </w:p>
    <w:p w:rsidR="005C00B2" w:rsidRPr="00062774" w:rsidRDefault="005C00B2" w:rsidP="00062774">
      <w:pPr>
        <w:spacing w:after="0"/>
        <w:ind w:firstLine="720"/>
        <w:rPr>
          <w:rFonts w:cs="Times New Roman"/>
        </w:rPr>
      </w:pPr>
    </w:p>
    <w:p w:rsidR="00062774" w:rsidRPr="005C00B2" w:rsidRDefault="005C00B2" w:rsidP="005C00B2">
      <w:pPr>
        <w:rPr>
          <w:rFonts w:cs="Times New Roman"/>
          <w:b/>
          <w:i/>
          <w:sz w:val="24"/>
        </w:rPr>
      </w:pPr>
      <w:r>
        <w:rPr>
          <w:rFonts w:cs="Times New Roman"/>
          <w:b/>
          <w:i/>
          <w:sz w:val="24"/>
        </w:rPr>
        <w:t>3</w:t>
      </w:r>
      <w:r w:rsidR="00062774" w:rsidRPr="005C00B2">
        <w:rPr>
          <w:rFonts w:cs="Times New Roman"/>
          <w:b/>
          <w:i/>
          <w:sz w:val="24"/>
        </w:rPr>
        <w:t>.tabula. Konsolidētā kopbudžeta ieņēmumi un izdevumi</w:t>
      </w:r>
    </w:p>
    <w:tbl>
      <w:tblPr>
        <w:tblW w:w="9727" w:type="dxa"/>
        <w:tblLook w:val="04A0" w:firstRow="1" w:lastRow="0" w:firstColumn="1" w:lastColumn="0" w:noHBand="0" w:noVBand="1"/>
      </w:tblPr>
      <w:tblGrid>
        <w:gridCol w:w="1048"/>
        <w:gridCol w:w="750"/>
        <w:gridCol w:w="749"/>
        <w:gridCol w:w="774"/>
        <w:gridCol w:w="799"/>
        <w:gridCol w:w="586"/>
        <w:gridCol w:w="583"/>
        <w:gridCol w:w="584"/>
        <w:gridCol w:w="1942"/>
        <w:gridCol w:w="1913"/>
      </w:tblGrid>
      <w:tr w:rsidR="00062774" w:rsidRPr="00062774" w:rsidTr="0079557A">
        <w:trPr>
          <w:trHeight w:val="274"/>
        </w:trPr>
        <w:tc>
          <w:tcPr>
            <w:tcW w:w="1048"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749"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749"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774"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798"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1753" w:type="dxa"/>
            <w:gridSpan w:val="3"/>
            <w:tcBorders>
              <w:top w:val="nil"/>
              <w:left w:val="nil"/>
              <w:bottom w:val="nil"/>
              <w:right w:val="nil"/>
            </w:tcBorders>
            <w:shd w:val="clear" w:color="000000" w:fill="F2F2F2"/>
            <w:vAlign w:val="center"/>
            <w:hideMark/>
          </w:tcPr>
          <w:p w:rsidR="00062774" w:rsidRPr="00062774" w:rsidRDefault="00062774" w:rsidP="00062774">
            <w:pPr>
              <w:spacing w:after="0"/>
              <w:ind w:firstLine="0"/>
              <w:jc w:val="center"/>
              <w:rPr>
                <w:rFonts w:eastAsia="Times New Roman" w:cs="Times New Roman"/>
                <w:b/>
                <w:bCs/>
                <w:color w:val="000000"/>
                <w:sz w:val="16"/>
                <w:szCs w:val="16"/>
                <w:lang w:eastAsia="lv-LV"/>
              </w:rPr>
            </w:pPr>
            <w:r w:rsidRPr="00062774">
              <w:rPr>
                <w:rFonts w:eastAsia="Times New Roman" w:cs="Times New Roman"/>
                <w:b/>
                <w:bCs/>
                <w:color w:val="000000"/>
                <w:sz w:val="16"/>
                <w:szCs w:val="16"/>
                <w:lang w:eastAsia="lv-LV"/>
              </w:rPr>
              <w:t>2013.g. I-III izpilde</w:t>
            </w:r>
          </w:p>
        </w:tc>
        <w:tc>
          <w:tcPr>
            <w:tcW w:w="1942" w:type="dxa"/>
            <w:tcBorders>
              <w:top w:val="nil"/>
              <w:left w:val="nil"/>
              <w:bottom w:val="nil"/>
              <w:right w:val="nil"/>
            </w:tcBorders>
            <w:shd w:val="clear" w:color="000000" w:fill="FFFFFF"/>
            <w:vAlign w:val="center"/>
            <w:hideMark/>
          </w:tcPr>
          <w:p w:rsidR="00062774" w:rsidRPr="00062774" w:rsidRDefault="00062774" w:rsidP="00062774">
            <w:pPr>
              <w:spacing w:after="0"/>
              <w:ind w:firstLine="0"/>
              <w:jc w:val="center"/>
              <w:rPr>
                <w:rFonts w:eastAsia="Times New Roman" w:cs="Times New Roman"/>
                <w:b/>
                <w:bCs/>
                <w:color w:val="000000"/>
                <w:sz w:val="16"/>
                <w:szCs w:val="16"/>
                <w:lang w:eastAsia="lv-LV"/>
              </w:rPr>
            </w:pPr>
            <w:r w:rsidRPr="00062774">
              <w:rPr>
                <w:rFonts w:eastAsia="Times New Roman" w:cs="Times New Roman"/>
                <w:b/>
                <w:bCs/>
                <w:color w:val="000000"/>
                <w:sz w:val="16"/>
                <w:szCs w:val="16"/>
                <w:lang w:eastAsia="lv-LV"/>
              </w:rPr>
              <w:t>2014.g. I-III izpilde</w:t>
            </w:r>
          </w:p>
        </w:tc>
        <w:tc>
          <w:tcPr>
            <w:tcW w:w="1913" w:type="dxa"/>
            <w:vMerge w:val="restart"/>
            <w:tcBorders>
              <w:top w:val="nil"/>
              <w:left w:val="nil"/>
              <w:bottom w:val="single" w:sz="4" w:space="0" w:color="000000"/>
              <w:right w:val="nil"/>
            </w:tcBorders>
            <w:shd w:val="clear" w:color="000000" w:fill="F2F2F2"/>
            <w:vAlign w:val="center"/>
            <w:hideMark/>
          </w:tcPr>
          <w:p w:rsidR="00062774" w:rsidRPr="00062774" w:rsidRDefault="00062774" w:rsidP="00062774">
            <w:pPr>
              <w:spacing w:after="0"/>
              <w:ind w:firstLine="0"/>
              <w:jc w:val="center"/>
              <w:rPr>
                <w:rFonts w:eastAsia="Times New Roman" w:cs="Times New Roman"/>
                <w:b/>
                <w:bCs/>
                <w:sz w:val="16"/>
                <w:szCs w:val="16"/>
                <w:lang w:eastAsia="lv-LV"/>
              </w:rPr>
            </w:pPr>
            <w:r w:rsidRPr="00062774">
              <w:rPr>
                <w:rFonts w:eastAsia="Times New Roman" w:cs="Times New Roman"/>
                <w:b/>
                <w:bCs/>
                <w:sz w:val="16"/>
                <w:szCs w:val="16"/>
                <w:lang w:eastAsia="lv-LV"/>
              </w:rPr>
              <w:t>2014.g./2013.g. I-III izpildes izmaiņas</w:t>
            </w:r>
          </w:p>
        </w:tc>
      </w:tr>
      <w:tr w:rsidR="00062774" w:rsidRPr="00062774" w:rsidTr="0079557A">
        <w:trPr>
          <w:trHeight w:val="274"/>
        </w:trPr>
        <w:tc>
          <w:tcPr>
            <w:tcW w:w="1048" w:type="dxa"/>
            <w:tcBorders>
              <w:top w:val="nil"/>
              <w:left w:val="nil"/>
              <w:bottom w:val="single" w:sz="4" w:space="0" w:color="auto"/>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b/>
                <w:bCs/>
                <w:color w:val="000000"/>
                <w:sz w:val="16"/>
                <w:szCs w:val="16"/>
                <w:lang w:eastAsia="lv-LV"/>
              </w:rPr>
            </w:pPr>
            <w:r w:rsidRPr="00062774">
              <w:rPr>
                <w:rFonts w:eastAsia="Times New Roman" w:cs="Times New Roman"/>
                <w:b/>
                <w:bCs/>
                <w:color w:val="000000"/>
                <w:sz w:val="16"/>
                <w:szCs w:val="16"/>
                <w:lang w:eastAsia="lv-LV"/>
              </w:rPr>
              <w:t> </w:t>
            </w:r>
          </w:p>
        </w:tc>
        <w:tc>
          <w:tcPr>
            <w:tcW w:w="749" w:type="dxa"/>
            <w:tcBorders>
              <w:top w:val="nil"/>
              <w:left w:val="nil"/>
              <w:bottom w:val="single" w:sz="4" w:space="0" w:color="auto"/>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b/>
                <w:bCs/>
                <w:color w:val="000000"/>
                <w:sz w:val="16"/>
                <w:szCs w:val="16"/>
                <w:lang w:eastAsia="lv-LV"/>
              </w:rPr>
            </w:pPr>
            <w:r w:rsidRPr="00062774">
              <w:rPr>
                <w:rFonts w:eastAsia="Times New Roman" w:cs="Times New Roman"/>
                <w:b/>
                <w:bCs/>
                <w:color w:val="000000"/>
                <w:sz w:val="16"/>
                <w:szCs w:val="16"/>
                <w:lang w:eastAsia="lv-LV"/>
              </w:rPr>
              <w:t> </w:t>
            </w:r>
          </w:p>
        </w:tc>
        <w:tc>
          <w:tcPr>
            <w:tcW w:w="749" w:type="dxa"/>
            <w:tcBorders>
              <w:top w:val="nil"/>
              <w:left w:val="nil"/>
              <w:bottom w:val="single" w:sz="4" w:space="0" w:color="auto"/>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b/>
                <w:bCs/>
                <w:color w:val="000000"/>
                <w:sz w:val="16"/>
                <w:szCs w:val="16"/>
                <w:lang w:eastAsia="lv-LV"/>
              </w:rPr>
            </w:pPr>
            <w:r w:rsidRPr="00062774">
              <w:rPr>
                <w:rFonts w:eastAsia="Times New Roman" w:cs="Times New Roman"/>
                <w:b/>
                <w:bCs/>
                <w:color w:val="000000"/>
                <w:sz w:val="16"/>
                <w:szCs w:val="16"/>
                <w:lang w:eastAsia="lv-LV"/>
              </w:rPr>
              <w:t> </w:t>
            </w:r>
          </w:p>
        </w:tc>
        <w:tc>
          <w:tcPr>
            <w:tcW w:w="774" w:type="dxa"/>
            <w:tcBorders>
              <w:top w:val="nil"/>
              <w:left w:val="nil"/>
              <w:bottom w:val="single" w:sz="4" w:space="0" w:color="auto"/>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b/>
                <w:bCs/>
                <w:color w:val="000000"/>
                <w:sz w:val="16"/>
                <w:szCs w:val="16"/>
                <w:lang w:eastAsia="lv-LV"/>
              </w:rPr>
            </w:pPr>
            <w:r w:rsidRPr="00062774">
              <w:rPr>
                <w:rFonts w:eastAsia="Times New Roman" w:cs="Times New Roman"/>
                <w:b/>
                <w:bCs/>
                <w:color w:val="000000"/>
                <w:sz w:val="16"/>
                <w:szCs w:val="16"/>
                <w:lang w:eastAsia="lv-LV"/>
              </w:rPr>
              <w:t> </w:t>
            </w:r>
          </w:p>
        </w:tc>
        <w:tc>
          <w:tcPr>
            <w:tcW w:w="798" w:type="dxa"/>
            <w:tcBorders>
              <w:top w:val="nil"/>
              <w:left w:val="nil"/>
              <w:bottom w:val="single" w:sz="4" w:space="0" w:color="auto"/>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b/>
                <w:bCs/>
                <w:color w:val="000000"/>
                <w:sz w:val="16"/>
                <w:szCs w:val="16"/>
                <w:lang w:eastAsia="lv-LV"/>
              </w:rPr>
            </w:pPr>
            <w:r w:rsidRPr="00062774">
              <w:rPr>
                <w:rFonts w:eastAsia="Times New Roman" w:cs="Times New Roman"/>
                <w:b/>
                <w:bCs/>
                <w:color w:val="000000"/>
                <w:sz w:val="16"/>
                <w:szCs w:val="16"/>
                <w:lang w:eastAsia="lv-LV"/>
              </w:rPr>
              <w:t> </w:t>
            </w:r>
          </w:p>
        </w:tc>
        <w:tc>
          <w:tcPr>
            <w:tcW w:w="1753" w:type="dxa"/>
            <w:gridSpan w:val="3"/>
            <w:tcBorders>
              <w:top w:val="nil"/>
              <w:left w:val="nil"/>
              <w:bottom w:val="single" w:sz="4" w:space="0" w:color="auto"/>
              <w:right w:val="nil"/>
            </w:tcBorders>
            <w:shd w:val="clear" w:color="000000" w:fill="F2F2F2"/>
            <w:vAlign w:val="center"/>
            <w:hideMark/>
          </w:tcPr>
          <w:p w:rsidR="00062774" w:rsidRPr="00062774" w:rsidRDefault="00062774" w:rsidP="00062774">
            <w:pPr>
              <w:spacing w:after="0"/>
              <w:ind w:firstLine="0"/>
              <w:jc w:val="center"/>
              <w:rPr>
                <w:rFonts w:eastAsia="Times New Roman" w:cs="Times New Roman"/>
                <w:b/>
                <w:bCs/>
                <w:color w:val="000000"/>
                <w:sz w:val="16"/>
                <w:szCs w:val="16"/>
                <w:lang w:eastAsia="lv-LV"/>
              </w:rPr>
            </w:pPr>
            <w:r w:rsidRPr="00062774">
              <w:rPr>
                <w:rFonts w:eastAsia="Times New Roman" w:cs="Times New Roman"/>
                <w:b/>
                <w:bCs/>
                <w:color w:val="000000"/>
                <w:sz w:val="16"/>
                <w:szCs w:val="16"/>
                <w:lang w:eastAsia="lv-LV"/>
              </w:rPr>
              <w:t xml:space="preserve"> milj. </w:t>
            </w:r>
            <w:proofErr w:type="spellStart"/>
            <w:r w:rsidR="00404D8F" w:rsidRPr="00B87469">
              <w:rPr>
                <w:rFonts w:eastAsia="Times New Roman" w:cs="Times New Roman"/>
                <w:b/>
                <w:bCs/>
                <w:i/>
                <w:color w:val="000000"/>
                <w:sz w:val="16"/>
                <w:szCs w:val="16"/>
                <w:lang w:eastAsia="lv-LV"/>
              </w:rPr>
              <w:t>euro</w:t>
            </w:r>
            <w:proofErr w:type="spellEnd"/>
          </w:p>
        </w:tc>
        <w:tc>
          <w:tcPr>
            <w:tcW w:w="1942" w:type="dxa"/>
            <w:tcBorders>
              <w:top w:val="nil"/>
              <w:left w:val="nil"/>
              <w:bottom w:val="single" w:sz="4" w:space="0" w:color="auto"/>
              <w:right w:val="nil"/>
            </w:tcBorders>
            <w:shd w:val="clear" w:color="000000" w:fill="FFFFFF"/>
            <w:vAlign w:val="center"/>
            <w:hideMark/>
          </w:tcPr>
          <w:p w:rsidR="00062774" w:rsidRPr="00062774" w:rsidRDefault="00062774" w:rsidP="00062774">
            <w:pPr>
              <w:spacing w:after="0"/>
              <w:ind w:firstLine="0"/>
              <w:jc w:val="center"/>
              <w:rPr>
                <w:rFonts w:eastAsia="Times New Roman" w:cs="Times New Roman"/>
                <w:b/>
                <w:bCs/>
                <w:color w:val="000000"/>
                <w:sz w:val="16"/>
                <w:szCs w:val="16"/>
                <w:lang w:eastAsia="lv-LV"/>
              </w:rPr>
            </w:pPr>
            <w:r w:rsidRPr="00062774">
              <w:rPr>
                <w:rFonts w:eastAsia="Times New Roman" w:cs="Times New Roman"/>
                <w:b/>
                <w:bCs/>
                <w:color w:val="000000"/>
                <w:sz w:val="16"/>
                <w:szCs w:val="16"/>
                <w:lang w:eastAsia="lv-LV"/>
              </w:rPr>
              <w:t xml:space="preserve"> milj. </w:t>
            </w:r>
            <w:proofErr w:type="spellStart"/>
            <w:r w:rsidR="00404D8F" w:rsidRPr="00B87469">
              <w:rPr>
                <w:rFonts w:eastAsia="Times New Roman" w:cs="Times New Roman"/>
                <w:b/>
                <w:bCs/>
                <w:i/>
                <w:color w:val="000000"/>
                <w:sz w:val="16"/>
                <w:szCs w:val="16"/>
                <w:lang w:eastAsia="lv-LV"/>
              </w:rPr>
              <w:t>euro</w:t>
            </w:r>
            <w:proofErr w:type="spellEnd"/>
          </w:p>
        </w:tc>
        <w:tc>
          <w:tcPr>
            <w:tcW w:w="1913" w:type="dxa"/>
            <w:vMerge/>
            <w:tcBorders>
              <w:top w:val="nil"/>
              <w:left w:val="nil"/>
              <w:bottom w:val="single" w:sz="4" w:space="0" w:color="000000"/>
              <w:right w:val="nil"/>
            </w:tcBorders>
            <w:vAlign w:val="center"/>
            <w:hideMark/>
          </w:tcPr>
          <w:p w:rsidR="00062774" w:rsidRPr="00062774" w:rsidRDefault="00062774" w:rsidP="00062774">
            <w:pPr>
              <w:spacing w:after="0"/>
              <w:ind w:firstLine="0"/>
              <w:jc w:val="left"/>
              <w:rPr>
                <w:rFonts w:eastAsia="Times New Roman" w:cs="Times New Roman"/>
                <w:b/>
                <w:bCs/>
                <w:sz w:val="16"/>
                <w:szCs w:val="16"/>
                <w:lang w:eastAsia="lv-LV"/>
              </w:rPr>
            </w:pPr>
          </w:p>
        </w:tc>
      </w:tr>
      <w:tr w:rsidR="00062774" w:rsidRPr="00062774" w:rsidTr="0079557A">
        <w:trPr>
          <w:trHeight w:val="274"/>
        </w:trPr>
        <w:tc>
          <w:tcPr>
            <w:tcW w:w="4120" w:type="dxa"/>
            <w:gridSpan w:val="5"/>
            <w:tcBorders>
              <w:top w:val="single" w:sz="4" w:space="0" w:color="auto"/>
              <w:left w:val="nil"/>
              <w:bottom w:val="nil"/>
              <w:right w:val="nil"/>
            </w:tcBorders>
            <w:shd w:val="clear" w:color="000000" w:fill="FFFFFF"/>
            <w:noWrap/>
            <w:vAlign w:val="bottom"/>
            <w:hideMark/>
          </w:tcPr>
          <w:p w:rsidR="00062774" w:rsidRPr="00062774" w:rsidRDefault="00062774" w:rsidP="00062774">
            <w:pPr>
              <w:spacing w:after="0"/>
              <w:ind w:firstLine="0"/>
              <w:rPr>
                <w:rFonts w:eastAsia="Times New Roman" w:cs="Times New Roman"/>
                <w:b/>
                <w:bCs/>
                <w:color w:val="000000"/>
                <w:sz w:val="16"/>
                <w:szCs w:val="16"/>
                <w:lang w:eastAsia="lv-LV"/>
              </w:rPr>
            </w:pPr>
            <w:r w:rsidRPr="00062774">
              <w:rPr>
                <w:rFonts w:eastAsia="Times New Roman" w:cs="Times New Roman"/>
                <w:b/>
                <w:bCs/>
                <w:color w:val="000000"/>
                <w:sz w:val="16"/>
                <w:szCs w:val="16"/>
                <w:lang w:eastAsia="lv-LV"/>
              </w:rPr>
              <w:t>VALSTS KONSOLIDĒTAIS KOPBUDŽETS</w:t>
            </w:r>
          </w:p>
        </w:tc>
        <w:tc>
          <w:tcPr>
            <w:tcW w:w="586" w:type="dxa"/>
            <w:tcBorders>
              <w:top w:val="nil"/>
              <w:left w:val="nil"/>
              <w:bottom w:val="nil"/>
              <w:right w:val="nil"/>
            </w:tcBorders>
            <w:shd w:val="clear" w:color="000000" w:fill="F2F2F2"/>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583" w:type="dxa"/>
            <w:tcBorders>
              <w:top w:val="nil"/>
              <w:left w:val="nil"/>
              <w:bottom w:val="nil"/>
              <w:right w:val="nil"/>
            </w:tcBorders>
            <w:shd w:val="clear" w:color="000000" w:fill="F2F2F2"/>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582" w:type="dxa"/>
            <w:tcBorders>
              <w:top w:val="nil"/>
              <w:left w:val="nil"/>
              <w:bottom w:val="nil"/>
              <w:right w:val="nil"/>
            </w:tcBorders>
            <w:shd w:val="clear" w:color="000000" w:fill="F2F2F2"/>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1942"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center"/>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1913" w:type="dxa"/>
            <w:tcBorders>
              <w:top w:val="nil"/>
              <w:left w:val="nil"/>
              <w:bottom w:val="nil"/>
              <w:right w:val="nil"/>
            </w:tcBorders>
            <w:shd w:val="clear" w:color="000000" w:fill="F2F2F2"/>
            <w:noWrap/>
            <w:vAlign w:val="bottom"/>
            <w:hideMark/>
          </w:tcPr>
          <w:p w:rsidR="00062774" w:rsidRPr="00062774" w:rsidRDefault="00062774" w:rsidP="00062774">
            <w:pPr>
              <w:spacing w:after="0"/>
              <w:ind w:firstLine="0"/>
              <w:jc w:val="center"/>
              <w:rPr>
                <w:rFonts w:eastAsia="Times New Roman" w:cs="Times New Roman"/>
                <w:sz w:val="16"/>
                <w:szCs w:val="16"/>
                <w:lang w:eastAsia="lv-LV"/>
              </w:rPr>
            </w:pPr>
            <w:r w:rsidRPr="00062774">
              <w:rPr>
                <w:rFonts w:eastAsia="Times New Roman" w:cs="Times New Roman"/>
                <w:sz w:val="16"/>
                <w:szCs w:val="16"/>
                <w:lang w:eastAsia="lv-LV"/>
              </w:rPr>
              <w:t> </w:t>
            </w:r>
          </w:p>
        </w:tc>
      </w:tr>
      <w:tr w:rsidR="00062774" w:rsidRPr="00062774" w:rsidTr="0079557A">
        <w:trPr>
          <w:trHeight w:val="274"/>
        </w:trPr>
        <w:tc>
          <w:tcPr>
            <w:tcW w:w="1048"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Ieņēmumi</w:t>
            </w:r>
          </w:p>
        </w:tc>
        <w:tc>
          <w:tcPr>
            <w:tcW w:w="749"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749"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774"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798"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1753" w:type="dxa"/>
            <w:gridSpan w:val="3"/>
            <w:tcBorders>
              <w:top w:val="nil"/>
              <w:left w:val="nil"/>
              <w:bottom w:val="nil"/>
              <w:right w:val="nil"/>
            </w:tcBorders>
            <w:shd w:val="clear" w:color="000000" w:fill="F2F2F2"/>
            <w:noWrap/>
            <w:vAlign w:val="bottom"/>
            <w:hideMark/>
          </w:tcPr>
          <w:p w:rsidR="00062774" w:rsidRPr="00062774" w:rsidRDefault="00062774" w:rsidP="00062774">
            <w:pPr>
              <w:spacing w:after="0"/>
              <w:ind w:firstLine="0"/>
              <w:jc w:val="center"/>
              <w:rPr>
                <w:rFonts w:eastAsia="Times New Roman" w:cs="Times New Roman"/>
                <w:color w:val="000000"/>
                <w:sz w:val="16"/>
                <w:szCs w:val="16"/>
                <w:lang w:eastAsia="lv-LV"/>
              </w:rPr>
            </w:pPr>
            <w:r w:rsidRPr="00062774">
              <w:rPr>
                <w:rFonts w:eastAsia="Times New Roman" w:cs="Times New Roman"/>
                <w:color w:val="000000"/>
                <w:sz w:val="16"/>
                <w:szCs w:val="16"/>
                <w:lang w:eastAsia="lv-LV"/>
              </w:rPr>
              <w:t>1 995,7</w:t>
            </w:r>
          </w:p>
        </w:tc>
        <w:tc>
          <w:tcPr>
            <w:tcW w:w="1942"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center"/>
              <w:rPr>
                <w:rFonts w:eastAsia="Times New Roman" w:cs="Times New Roman"/>
                <w:color w:val="000000"/>
                <w:sz w:val="16"/>
                <w:szCs w:val="16"/>
                <w:lang w:eastAsia="lv-LV"/>
              </w:rPr>
            </w:pPr>
            <w:r w:rsidRPr="00062774">
              <w:rPr>
                <w:rFonts w:eastAsia="Times New Roman" w:cs="Times New Roman"/>
                <w:color w:val="000000"/>
                <w:sz w:val="16"/>
                <w:szCs w:val="16"/>
                <w:lang w:eastAsia="lv-LV"/>
              </w:rPr>
              <w:t>2 006,0</w:t>
            </w:r>
          </w:p>
        </w:tc>
        <w:tc>
          <w:tcPr>
            <w:tcW w:w="1913" w:type="dxa"/>
            <w:tcBorders>
              <w:top w:val="nil"/>
              <w:left w:val="nil"/>
              <w:bottom w:val="nil"/>
              <w:right w:val="nil"/>
            </w:tcBorders>
            <w:shd w:val="clear" w:color="000000" w:fill="F2F2F2"/>
            <w:noWrap/>
            <w:vAlign w:val="bottom"/>
            <w:hideMark/>
          </w:tcPr>
          <w:p w:rsidR="00062774" w:rsidRPr="00062774" w:rsidRDefault="00062774" w:rsidP="00062774">
            <w:pPr>
              <w:spacing w:after="0"/>
              <w:ind w:firstLine="0"/>
              <w:jc w:val="center"/>
              <w:rPr>
                <w:rFonts w:eastAsia="Times New Roman" w:cs="Times New Roman"/>
                <w:sz w:val="16"/>
                <w:szCs w:val="16"/>
                <w:lang w:eastAsia="lv-LV"/>
              </w:rPr>
            </w:pPr>
            <w:r w:rsidRPr="00062774">
              <w:rPr>
                <w:rFonts w:eastAsia="Times New Roman" w:cs="Times New Roman"/>
                <w:sz w:val="16"/>
                <w:szCs w:val="16"/>
                <w:lang w:eastAsia="lv-LV"/>
              </w:rPr>
              <w:t>0,5%</w:t>
            </w:r>
          </w:p>
        </w:tc>
      </w:tr>
      <w:tr w:rsidR="00062774" w:rsidRPr="00062774" w:rsidTr="0079557A">
        <w:trPr>
          <w:trHeight w:val="274"/>
        </w:trPr>
        <w:tc>
          <w:tcPr>
            <w:tcW w:w="1048"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Izdevumi</w:t>
            </w:r>
          </w:p>
        </w:tc>
        <w:tc>
          <w:tcPr>
            <w:tcW w:w="749"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b/>
                <w:bCs/>
                <w:color w:val="000000"/>
                <w:sz w:val="16"/>
                <w:szCs w:val="16"/>
                <w:lang w:eastAsia="lv-LV"/>
              </w:rPr>
            </w:pPr>
            <w:r w:rsidRPr="00062774">
              <w:rPr>
                <w:rFonts w:eastAsia="Times New Roman" w:cs="Times New Roman"/>
                <w:b/>
                <w:bCs/>
                <w:color w:val="000000"/>
                <w:sz w:val="16"/>
                <w:szCs w:val="16"/>
                <w:lang w:eastAsia="lv-LV"/>
              </w:rPr>
              <w:t> </w:t>
            </w:r>
          </w:p>
        </w:tc>
        <w:tc>
          <w:tcPr>
            <w:tcW w:w="749"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b/>
                <w:bCs/>
                <w:color w:val="000000"/>
                <w:sz w:val="16"/>
                <w:szCs w:val="16"/>
                <w:lang w:eastAsia="lv-LV"/>
              </w:rPr>
            </w:pPr>
            <w:r w:rsidRPr="00062774">
              <w:rPr>
                <w:rFonts w:eastAsia="Times New Roman" w:cs="Times New Roman"/>
                <w:b/>
                <w:bCs/>
                <w:color w:val="000000"/>
                <w:sz w:val="16"/>
                <w:szCs w:val="16"/>
                <w:lang w:eastAsia="lv-LV"/>
              </w:rPr>
              <w:t> </w:t>
            </w:r>
          </w:p>
        </w:tc>
        <w:tc>
          <w:tcPr>
            <w:tcW w:w="774"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b/>
                <w:bCs/>
                <w:color w:val="000000"/>
                <w:sz w:val="16"/>
                <w:szCs w:val="16"/>
                <w:lang w:eastAsia="lv-LV"/>
              </w:rPr>
            </w:pPr>
            <w:r w:rsidRPr="00062774">
              <w:rPr>
                <w:rFonts w:eastAsia="Times New Roman" w:cs="Times New Roman"/>
                <w:b/>
                <w:bCs/>
                <w:color w:val="000000"/>
                <w:sz w:val="16"/>
                <w:szCs w:val="16"/>
                <w:lang w:eastAsia="lv-LV"/>
              </w:rPr>
              <w:t> </w:t>
            </w:r>
          </w:p>
        </w:tc>
        <w:tc>
          <w:tcPr>
            <w:tcW w:w="798"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b/>
                <w:bCs/>
                <w:color w:val="000000"/>
                <w:sz w:val="16"/>
                <w:szCs w:val="16"/>
                <w:lang w:eastAsia="lv-LV"/>
              </w:rPr>
            </w:pPr>
            <w:r w:rsidRPr="00062774">
              <w:rPr>
                <w:rFonts w:eastAsia="Times New Roman" w:cs="Times New Roman"/>
                <w:b/>
                <w:bCs/>
                <w:color w:val="000000"/>
                <w:sz w:val="16"/>
                <w:szCs w:val="16"/>
                <w:lang w:eastAsia="lv-LV"/>
              </w:rPr>
              <w:t> </w:t>
            </w:r>
          </w:p>
        </w:tc>
        <w:tc>
          <w:tcPr>
            <w:tcW w:w="1753" w:type="dxa"/>
            <w:gridSpan w:val="3"/>
            <w:tcBorders>
              <w:top w:val="nil"/>
              <w:left w:val="nil"/>
              <w:bottom w:val="nil"/>
              <w:right w:val="nil"/>
            </w:tcBorders>
            <w:shd w:val="clear" w:color="000000" w:fill="F2F2F2"/>
            <w:noWrap/>
            <w:vAlign w:val="bottom"/>
            <w:hideMark/>
          </w:tcPr>
          <w:p w:rsidR="00062774" w:rsidRPr="00062774" w:rsidRDefault="00062774" w:rsidP="00062774">
            <w:pPr>
              <w:spacing w:after="0"/>
              <w:ind w:firstLine="0"/>
              <w:jc w:val="center"/>
              <w:rPr>
                <w:rFonts w:eastAsia="Times New Roman" w:cs="Times New Roman"/>
                <w:color w:val="000000"/>
                <w:sz w:val="16"/>
                <w:szCs w:val="16"/>
                <w:lang w:eastAsia="lv-LV"/>
              </w:rPr>
            </w:pPr>
            <w:r w:rsidRPr="00062774">
              <w:rPr>
                <w:rFonts w:eastAsia="Times New Roman" w:cs="Times New Roman"/>
                <w:color w:val="000000"/>
                <w:sz w:val="16"/>
                <w:szCs w:val="16"/>
                <w:lang w:eastAsia="lv-LV"/>
              </w:rPr>
              <w:t>1 950,4</w:t>
            </w:r>
          </w:p>
        </w:tc>
        <w:tc>
          <w:tcPr>
            <w:tcW w:w="1942"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center"/>
              <w:rPr>
                <w:rFonts w:eastAsia="Times New Roman" w:cs="Times New Roman"/>
                <w:color w:val="000000"/>
                <w:sz w:val="16"/>
                <w:szCs w:val="16"/>
                <w:lang w:eastAsia="lv-LV"/>
              </w:rPr>
            </w:pPr>
            <w:r w:rsidRPr="00062774">
              <w:rPr>
                <w:rFonts w:eastAsia="Times New Roman" w:cs="Times New Roman"/>
                <w:color w:val="000000"/>
                <w:sz w:val="16"/>
                <w:szCs w:val="16"/>
                <w:lang w:eastAsia="lv-LV"/>
              </w:rPr>
              <w:t>1 979,0</w:t>
            </w:r>
          </w:p>
        </w:tc>
        <w:tc>
          <w:tcPr>
            <w:tcW w:w="1913" w:type="dxa"/>
            <w:tcBorders>
              <w:top w:val="nil"/>
              <w:left w:val="nil"/>
              <w:bottom w:val="nil"/>
              <w:right w:val="nil"/>
            </w:tcBorders>
            <w:shd w:val="clear" w:color="000000" w:fill="F2F2F2"/>
            <w:noWrap/>
            <w:vAlign w:val="bottom"/>
            <w:hideMark/>
          </w:tcPr>
          <w:p w:rsidR="00062774" w:rsidRPr="00062774" w:rsidRDefault="00062774" w:rsidP="00062774">
            <w:pPr>
              <w:spacing w:after="0"/>
              <w:ind w:firstLine="0"/>
              <w:jc w:val="center"/>
              <w:rPr>
                <w:rFonts w:eastAsia="Times New Roman" w:cs="Times New Roman"/>
                <w:sz w:val="16"/>
                <w:szCs w:val="16"/>
                <w:lang w:eastAsia="lv-LV"/>
              </w:rPr>
            </w:pPr>
            <w:r w:rsidRPr="00062774">
              <w:rPr>
                <w:rFonts w:eastAsia="Times New Roman" w:cs="Times New Roman"/>
                <w:sz w:val="16"/>
                <w:szCs w:val="16"/>
                <w:lang w:eastAsia="lv-LV"/>
              </w:rPr>
              <w:t>1,5%</w:t>
            </w:r>
          </w:p>
        </w:tc>
      </w:tr>
      <w:tr w:rsidR="00062774" w:rsidRPr="00062774" w:rsidTr="0079557A">
        <w:trPr>
          <w:trHeight w:val="274"/>
        </w:trPr>
        <w:tc>
          <w:tcPr>
            <w:tcW w:w="1798" w:type="dxa"/>
            <w:gridSpan w:val="2"/>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i/>
                <w:iCs/>
                <w:color w:val="000000"/>
                <w:sz w:val="16"/>
                <w:szCs w:val="16"/>
                <w:lang w:eastAsia="lv-LV"/>
              </w:rPr>
            </w:pPr>
            <w:r w:rsidRPr="00062774">
              <w:rPr>
                <w:rFonts w:eastAsia="Times New Roman" w:cs="Times New Roman"/>
                <w:i/>
                <w:iCs/>
                <w:color w:val="000000"/>
                <w:sz w:val="16"/>
                <w:szCs w:val="16"/>
                <w:lang w:eastAsia="lv-LV"/>
              </w:rPr>
              <w:t>Finansiālā bilance</w:t>
            </w:r>
          </w:p>
        </w:tc>
        <w:tc>
          <w:tcPr>
            <w:tcW w:w="749"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b/>
                <w:bCs/>
                <w:color w:val="000000"/>
                <w:sz w:val="16"/>
                <w:szCs w:val="16"/>
                <w:lang w:eastAsia="lv-LV"/>
              </w:rPr>
            </w:pPr>
            <w:r w:rsidRPr="00062774">
              <w:rPr>
                <w:rFonts w:eastAsia="Times New Roman" w:cs="Times New Roman"/>
                <w:b/>
                <w:bCs/>
                <w:color w:val="000000"/>
                <w:sz w:val="16"/>
                <w:szCs w:val="16"/>
                <w:lang w:eastAsia="lv-LV"/>
              </w:rPr>
              <w:t> </w:t>
            </w:r>
          </w:p>
        </w:tc>
        <w:tc>
          <w:tcPr>
            <w:tcW w:w="774"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b/>
                <w:bCs/>
                <w:color w:val="000000"/>
                <w:sz w:val="16"/>
                <w:szCs w:val="16"/>
                <w:lang w:eastAsia="lv-LV"/>
              </w:rPr>
            </w:pPr>
            <w:r w:rsidRPr="00062774">
              <w:rPr>
                <w:rFonts w:eastAsia="Times New Roman" w:cs="Times New Roman"/>
                <w:b/>
                <w:bCs/>
                <w:color w:val="000000"/>
                <w:sz w:val="16"/>
                <w:szCs w:val="16"/>
                <w:lang w:eastAsia="lv-LV"/>
              </w:rPr>
              <w:t> </w:t>
            </w:r>
          </w:p>
        </w:tc>
        <w:tc>
          <w:tcPr>
            <w:tcW w:w="798"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b/>
                <w:bCs/>
                <w:color w:val="000000"/>
                <w:sz w:val="16"/>
                <w:szCs w:val="16"/>
                <w:lang w:eastAsia="lv-LV"/>
              </w:rPr>
            </w:pPr>
            <w:r w:rsidRPr="00062774">
              <w:rPr>
                <w:rFonts w:eastAsia="Times New Roman" w:cs="Times New Roman"/>
                <w:b/>
                <w:bCs/>
                <w:color w:val="000000"/>
                <w:sz w:val="16"/>
                <w:szCs w:val="16"/>
                <w:lang w:eastAsia="lv-LV"/>
              </w:rPr>
              <w:t> </w:t>
            </w:r>
          </w:p>
        </w:tc>
        <w:tc>
          <w:tcPr>
            <w:tcW w:w="1753" w:type="dxa"/>
            <w:gridSpan w:val="3"/>
            <w:tcBorders>
              <w:top w:val="nil"/>
              <w:left w:val="nil"/>
              <w:bottom w:val="nil"/>
              <w:right w:val="nil"/>
            </w:tcBorders>
            <w:shd w:val="clear" w:color="000000" w:fill="F2F2F2"/>
            <w:noWrap/>
            <w:vAlign w:val="bottom"/>
            <w:hideMark/>
          </w:tcPr>
          <w:p w:rsidR="00062774" w:rsidRPr="00062774" w:rsidRDefault="00062774" w:rsidP="00062774">
            <w:pPr>
              <w:spacing w:after="0"/>
              <w:ind w:firstLine="0"/>
              <w:jc w:val="center"/>
              <w:rPr>
                <w:rFonts w:eastAsia="Times New Roman" w:cs="Times New Roman"/>
                <w:b/>
                <w:bCs/>
                <w:i/>
                <w:iCs/>
                <w:color w:val="000000"/>
                <w:sz w:val="16"/>
                <w:szCs w:val="16"/>
                <w:lang w:eastAsia="lv-LV"/>
              </w:rPr>
            </w:pPr>
            <w:r w:rsidRPr="00062774">
              <w:rPr>
                <w:rFonts w:eastAsia="Times New Roman" w:cs="Times New Roman"/>
                <w:b/>
                <w:bCs/>
                <w:i/>
                <w:iCs/>
                <w:color w:val="000000"/>
                <w:sz w:val="16"/>
                <w:szCs w:val="16"/>
                <w:lang w:eastAsia="lv-LV"/>
              </w:rPr>
              <w:t>45,3</w:t>
            </w:r>
          </w:p>
        </w:tc>
        <w:tc>
          <w:tcPr>
            <w:tcW w:w="1942"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center"/>
              <w:rPr>
                <w:rFonts w:eastAsia="Times New Roman" w:cs="Times New Roman"/>
                <w:b/>
                <w:bCs/>
                <w:i/>
                <w:iCs/>
                <w:color w:val="000000"/>
                <w:sz w:val="16"/>
                <w:szCs w:val="16"/>
                <w:lang w:eastAsia="lv-LV"/>
              </w:rPr>
            </w:pPr>
            <w:r w:rsidRPr="00062774">
              <w:rPr>
                <w:rFonts w:eastAsia="Times New Roman" w:cs="Times New Roman"/>
                <w:b/>
                <w:bCs/>
                <w:i/>
                <w:iCs/>
                <w:color w:val="000000"/>
                <w:sz w:val="16"/>
                <w:szCs w:val="16"/>
                <w:lang w:eastAsia="lv-LV"/>
              </w:rPr>
              <w:t>27,0</w:t>
            </w:r>
          </w:p>
        </w:tc>
        <w:tc>
          <w:tcPr>
            <w:tcW w:w="1913" w:type="dxa"/>
            <w:tcBorders>
              <w:top w:val="nil"/>
              <w:left w:val="nil"/>
              <w:bottom w:val="nil"/>
              <w:right w:val="nil"/>
            </w:tcBorders>
            <w:shd w:val="clear" w:color="000000" w:fill="F2F2F2"/>
            <w:noWrap/>
            <w:vAlign w:val="bottom"/>
            <w:hideMark/>
          </w:tcPr>
          <w:p w:rsidR="00062774" w:rsidRPr="00062774" w:rsidRDefault="00062774" w:rsidP="00062774">
            <w:pPr>
              <w:spacing w:after="0"/>
              <w:ind w:firstLine="0"/>
              <w:jc w:val="center"/>
              <w:rPr>
                <w:rFonts w:eastAsia="Times New Roman" w:cs="Times New Roman"/>
                <w:sz w:val="16"/>
                <w:szCs w:val="16"/>
                <w:lang w:eastAsia="lv-LV"/>
              </w:rPr>
            </w:pPr>
            <w:r w:rsidRPr="00062774">
              <w:rPr>
                <w:rFonts w:eastAsia="Times New Roman" w:cs="Times New Roman"/>
                <w:sz w:val="16"/>
                <w:szCs w:val="16"/>
                <w:lang w:eastAsia="lv-LV"/>
              </w:rPr>
              <w:t> </w:t>
            </w:r>
          </w:p>
        </w:tc>
      </w:tr>
      <w:tr w:rsidR="00062774" w:rsidRPr="00062774" w:rsidTr="0079557A">
        <w:trPr>
          <w:trHeight w:val="274"/>
        </w:trPr>
        <w:tc>
          <w:tcPr>
            <w:tcW w:w="4120" w:type="dxa"/>
            <w:gridSpan w:val="5"/>
            <w:tcBorders>
              <w:top w:val="nil"/>
              <w:left w:val="nil"/>
              <w:bottom w:val="nil"/>
              <w:right w:val="nil"/>
            </w:tcBorders>
            <w:shd w:val="clear" w:color="000000" w:fill="FFFFFF"/>
            <w:noWrap/>
            <w:vAlign w:val="bottom"/>
            <w:hideMark/>
          </w:tcPr>
          <w:p w:rsidR="00062774" w:rsidRPr="00062774" w:rsidRDefault="00062774" w:rsidP="00062774">
            <w:pPr>
              <w:spacing w:after="0"/>
              <w:ind w:firstLine="0"/>
              <w:rPr>
                <w:rFonts w:eastAsia="Times New Roman" w:cs="Times New Roman"/>
                <w:b/>
                <w:bCs/>
                <w:color w:val="000000"/>
                <w:sz w:val="16"/>
                <w:szCs w:val="16"/>
                <w:lang w:eastAsia="lv-LV"/>
              </w:rPr>
            </w:pPr>
            <w:r w:rsidRPr="00062774">
              <w:rPr>
                <w:rFonts w:eastAsia="Times New Roman" w:cs="Times New Roman"/>
                <w:b/>
                <w:bCs/>
                <w:color w:val="000000"/>
                <w:sz w:val="16"/>
                <w:szCs w:val="16"/>
                <w:lang w:eastAsia="lv-LV"/>
              </w:rPr>
              <w:t>VALSTS KONSOLIDĒTAIS BUDŽETS*</w:t>
            </w:r>
          </w:p>
        </w:tc>
        <w:tc>
          <w:tcPr>
            <w:tcW w:w="586" w:type="dxa"/>
            <w:tcBorders>
              <w:top w:val="nil"/>
              <w:left w:val="nil"/>
              <w:bottom w:val="nil"/>
              <w:right w:val="nil"/>
            </w:tcBorders>
            <w:shd w:val="clear" w:color="000000" w:fill="F2F2F2"/>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583" w:type="dxa"/>
            <w:tcBorders>
              <w:top w:val="nil"/>
              <w:left w:val="nil"/>
              <w:bottom w:val="nil"/>
              <w:right w:val="nil"/>
            </w:tcBorders>
            <w:shd w:val="clear" w:color="000000" w:fill="F2F2F2"/>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582" w:type="dxa"/>
            <w:tcBorders>
              <w:top w:val="nil"/>
              <w:left w:val="nil"/>
              <w:bottom w:val="nil"/>
              <w:right w:val="nil"/>
            </w:tcBorders>
            <w:shd w:val="clear" w:color="000000" w:fill="F2F2F2"/>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1942"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center"/>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1913" w:type="dxa"/>
            <w:tcBorders>
              <w:top w:val="nil"/>
              <w:left w:val="nil"/>
              <w:bottom w:val="nil"/>
              <w:right w:val="nil"/>
            </w:tcBorders>
            <w:shd w:val="clear" w:color="000000" w:fill="F2F2F2"/>
            <w:noWrap/>
            <w:vAlign w:val="bottom"/>
            <w:hideMark/>
          </w:tcPr>
          <w:p w:rsidR="00062774" w:rsidRPr="00062774" w:rsidRDefault="00062774" w:rsidP="00062774">
            <w:pPr>
              <w:spacing w:after="0"/>
              <w:ind w:firstLine="0"/>
              <w:jc w:val="center"/>
              <w:rPr>
                <w:rFonts w:eastAsia="Times New Roman" w:cs="Times New Roman"/>
                <w:sz w:val="16"/>
                <w:szCs w:val="16"/>
                <w:lang w:eastAsia="lv-LV"/>
              </w:rPr>
            </w:pPr>
            <w:r w:rsidRPr="00062774">
              <w:rPr>
                <w:rFonts w:eastAsia="Times New Roman" w:cs="Times New Roman"/>
                <w:sz w:val="16"/>
                <w:szCs w:val="16"/>
                <w:lang w:eastAsia="lv-LV"/>
              </w:rPr>
              <w:t> </w:t>
            </w:r>
          </w:p>
        </w:tc>
      </w:tr>
      <w:tr w:rsidR="00062774" w:rsidRPr="00062774" w:rsidTr="0079557A">
        <w:trPr>
          <w:trHeight w:val="274"/>
        </w:trPr>
        <w:tc>
          <w:tcPr>
            <w:tcW w:w="1048"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Ieņēmumi</w:t>
            </w:r>
          </w:p>
        </w:tc>
        <w:tc>
          <w:tcPr>
            <w:tcW w:w="749"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b/>
                <w:bCs/>
                <w:color w:val="000000"/>
                <w:sz w:val="16"/>
                <w:szCs w:val="16"/>
                <w:lang w:eastAsia="lv-LV"/>
              </w:rPr>
            </w:pPr>
            <w:r w:rsidRPr="00062774">
              <w:rPr>
                <w:rFonts w:eastAsia="Times New Roman" w:cs="Times New Roman"/>
                <w:b/>
                <w:bCs/>
                <w:color w:val="000000"/>
                <w:sz w:val="16"/>
                <w:szCs w:val="16"/>
                <w:lang w:eastAsia="lv-LV"/>
              </w:rPr>
              <w:t> </w:t>
            </w:r>
          </w:p>
        </w:tc>
        <w:tc>
          <w:tcPr>
            <w:tcW w:w="749"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b/>
                <w:bCs/>
                <w:color w:val="000000"/>
                <w:sz w:val="16"/>
                <w:szCs w:val="16"/>
                <w:lang w:eastAsia="lv-LV"/>
              </w:rPr>
            </w:pPr>
            <w:r w:rsidRPr="00062774">
              <w:rPr>
                <w:rFonts w:eastAsia="Times New Roman" w:cs="Times New Roman"/>
                <w:b/>
                <w:bCs/>
                <w:color w:val="000000"/>
                <w:sz w:val="16"/>
                <w:szCs w:val="16"/>
                <w:lang w:eastAsia="lv-LV"/>
              </w:rPr>
              <w:t> </w:t>
            </w:r>
          </w:p>
        </w:tc>
        <w:tc>
          <w:tcPr>
            <w:tcW w:w="774"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b/>
                <w:bCs/>
                <w:color w:val="000000"/>
                <w:sz w:val="16"/>
                <w:szCs w:val="16"/>
                <w:lang w:eastAsia="lv-LV"/>
              </w:rPr>
            </w:pPr>
            <w:r w:rsidRPr="00062774">
              <w:rPr>
                <w:rFonts w:eastAsia="Times New Roman" w:cs="Times New Roman"/>
                <w:b/>
                <w:bCs/>
                <w:color w:val="000000"/>
                <w:sz w:val="16"/>
                <w:szCs w:val="16"/>
                <w:lang w:eastAsia="lv-LV"/>
              </w:rPr>
              <w:t> </w:t>
            </w:r>
          </w:p>
        </w:tc>
        <w:tc>
          <w:tcPr>
            <w:tcW w:w="798"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b/>
                <w:bCs/>
                <w:color w:val="000000"/>
                <w:sz w:val="16"/>
                <w:szCs w:val="16"/>
                <w:lang w:eastAsia="lv-LV"/>
              </w:rPr>
            </w:pPr>
            <w:r w:rsidRPr="00062774">
              <w:rPr>
                <w:rFonts w:eastAsia="Times New Roman" w:cs="Times New Roman"/>
                <w:b/>
                <w:bCs/>
                <w:color w:val="000000"/>
                <w:sz w:val="16"/>
                <w:szCs w:val="16"/>
                <w:lang w:eastAsia="lv-LV"/>
              </w:rPr>
              <w:t> </w:t>
            </w:r>
          </w:p>
        </w:tc>
        <w:tc>
          <w:tcPr>
            <w:tcW w:w="1753" w:type="dxa"/>
            <w:gridSpan w:val="3"/>
            <w:tcBorders>
              <w:top w:val="nil"/>
              <w:left w:val="nil"/>
              <w:bottom w:val="nil"/>
              <w:right w:val="nil"/>
            </w:tcBorders>
            <w:shd w:val="clear" w:color="000000" w:fill="F2F2F2"/>
            <w:noWrap/>
            <w:vAlign w:val="bottom"/>
            <w:hideMark/>
          </w:tcPr>
          <w:p w:rsidR="00062774" w:rsidRPr="00062774" w:rsidRDefault="00062774" w:rsidP="00062774">
            <w:pPr>
              <w:spacing w:after="0"/>
              <w:ind w:firstLine="0"/>
              <w:jc w:val="center"/>
              <w:rPr>
                <w:rFonts w:eastAsia="Times New Roman" w:cs="Times New Roman"/>
                <w:color w:val="000000"/>
                <w:sz w:val="16"/>
                <w:szCs w:val="16"/>
                <w:lang w:eastAsia="lv-LV"/>
              </w:rPr>
            </w:pPr>
            <w:r w:rsidRPr="00062774">
              <w:rPr>
                <w:rFonts w:eastAsia="Times New Roman" w:cs="Times New Roman"/>
                <w:color w:val="000000"/>
                <w:sz w:val="16"/>
                <w:szCs w:val="16"/>
                <w:lang w:eastAsia="lv-LV"/>
              </w:rPr>
              <w:t>1 636,0</w:t>
            </w:r>
          </w:p>
        </w:tc>
        <w:tc>
          <w:tcPr>
            <w:tcW w:w="1942"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center"/>
              <w:rPr>
                <w:rFonts w:eastAsia="Times New Roman" w:cs="Times New Roman"/>
                <w:color w:val="000000"/>
                <w:sz w:val="16"/>
                <w:szCs w:val="16"/>
                <w:lang w:eastAsia="lv-LV"/>
              </w:rPr>
            </w:pPr>
            <w:r w:rsidRPr="00062774">
              <w:rPr>
                <w:rFonts w:eastAsia="Times New Roman" w:cs="Times New Roman"/>
                <w:color w:val="000000"/>
                <w:sz w:val="16"/>
                <w:szCs w:val="16"/>
                <w:lang w:eastAsia="lv-LV"/>
              </w:rPr>
              <w:t>1 641,7</w:t>
            </w:r>
          </w:p>
        </w:tc>
        <w:tc>
          <w:tcPr>
            <w:tcW w:w="1913" w:type="dxa"/>
            <w:tcBorders>
              <w:top w:val="nil"/>
              <w:left w:val="nil"/>
              <w:bottom w:val="nil"/>
              <w:right w:val="nil"/>
            </w:tcBorders>
            <w:shd w:val="clear" w:color="000000" w:fill="F2F2F2"/>
            <w:noWrap/>
            <w:vAlign w:val="bottom"/>
            <w:hideMark/>
          </w:tcPr>
          <w:p w:rsidR="00062774" w:rsidRPr="00062774" w:rsidRDefault="00062774" w:rsidP="00062774">
            <w:pPr>
              <w:spacing w:after="0"/>
              <w:ind w:firstLine="0"/>
              <w:jc w:val="center"/>
              <w:rPr>
                <w:rFonts w:eastAsia="Times New Roman" w:cs="Times New Roman"/>
                <w:sz w:val="16"/>
                <w:szCs w:val="16"/>
                <w:lang w:eastAsia="lv-LV"/>
              </w:rPr>
            </w:pPr>
            <w:r w:rsidRPr="00062774">
              <w:rPr>
                <w:rFonts w:eastAsia="Times New Roman" w:cs="Times New Roman"/>
                <w:sz w:val="16"/>
                <w:szCs w:val="16"/>
                <w:lang w:eastAsia="lv-LV"/>
              </w:rPr>
              <w:t>0,3%</w:t>
            </w:r>
          </w:p>
        </w:tc>
      </w:tr>
      <w:tr w:rsidR="00062774" w:rsidRPr="00062774" w:rsidTr="0079557A">
        <w:trPr>
          <w:trHeight w:val="274"/>
        </w:trPr>
        <w:tc>
          <w:tcPr>
            <w:tcW w:w="1048"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Izdevumi</w:t>
            </w:r>
          </w:p>
        </w:tc>
        <w:tc>
          <w:tcPr>
            <w:tcW w:w="749"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b/>
                <w:bCs/>
                <w:color w:val="000000"/>
                <w:sz w:val="16"/>
                <w:szCs w:val="16"/>
                <w:lang w:eastAsia="lv-LV"/>
              </w:rPr>
            </w:pPr>
            <w:r w:rsidRPr="00062774">
              <w:rPr>
                <w:rFonts w:eastAsia="Times New Roman" w:cs="Times New Roman"/>
                <w:b/>
                <w:bCs/>
                <w:color w:val="000000"/>
                <w:sz w:val="16"/>
                <w:szCs w:val="16"/>
                <w:lang w:eastAsia="lv-LV"/>
              </w:rPr>
              <w:t> </w:t>
            </w:r>
          </w:p>
        </w:tc>
        <w:tc>
          <w:tcPr>
            <w:tcW w:w="749"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b/>
                <w:bCs/>
                <w:color w:val="000000"/>
                <w:sz w:val="16"/>
                <w:szCs w:val="16"/>
                <w:lang w:eastAsia="lv-LV"/>
              </w:rPr>
            </w:pPr>
            <w:r w:rsidRPr="00062774">
              <w:rPr>
                <w:rFonts w:eastAsia="Times New Roman" w:cs="Times New Roman"/>
                <w:b/>
                <w:bCs/>
                <w:color w:val="000000"/>
                <w:sz w:val="16"/>
                <w:szCs w:val="16"/>
                <w:lang w:eastAsia="lv-LV"/>
              </w:rPr>
              <w:t> </w:t>
            </w:r>
          </w:p>
        </w:tc>
        <w:tc>
          <w:tcPr>
            <w:tcW w:w="774"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b/>
                <w:bCs/>
                <w:color w:val="000000"/>
                <w:sz w:val="16"/>
                <w:szCs w:val="16"/>
                <w:lang w:eastAsia="lv-LV"/>
              </w:rPr>
            </w:pPr>
            <w:r w:rsidRPr="00062774">
              <w:rPr>
                <w:rFonts w:eastAsia="Times New Roman" w:cs="Times New Roman"/>
                <w:b/>
                <w:bCs/>
                <w:color w:val="000000"/>
                <w:sz w:val="16"/>
                <w:szCs w:val="16"/>
                <w:lang w:eastAsia="lv-LV"/>
              </w:rPr>
              <w:t> </w:t>
            </w:r>
          </w:p>
        </w:tc>
        <w:tc>
          <w:tcPr>
            <w:tcW w:w="798"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b/>
                <w:bCs/>
                <w:color w:val="000000"/>
                <w:sz w:val="16"/>
                <w:szCs w:val="16"/>
                <w:lang w:eastAsia="lv-LV"/>
              </w:rPr>
            </w:pPr>
            <w:r w:rsidRPr="00062774">
              <w:rPr>
                <w:rFonts w:eastAsia="Times New Roman" w:cs="Times New Roman"/>
                <w:b/>
                <w:bCs/>
                <w:color w:val="000000"/>
                <w:sz w:val="16"/>
                <w:szCs w:val="16"/>
                <w:lang w:eastAsia="lv-LV"/>
              </w:rPr>
              <w:t> </w:t>
            </w:r>
          </w:p>
        </w:tc>
        <w:tc>
          <w:tcPr>
            <w:tcW w:w="1753" w:type="dxa"/>
            <w:gridSpan w:val="3"/>
            <w:tcBorders>
              <w:top w:val="nil"/>
              <w:left w:val="nil"/>
              <w:bottom w:val="nil"/>
              <w:right w:val="nil"/>
            </w:tcBorders>
            <w:shd w:val="clear" w:color="000000" w:fill="F2F2F2"/>
            <w:noWrap/>
            <w:vAlign w:val="bottom"/>
            <w:hideMark/>
          </w:tcPr>
          <w:p w:rsidR="00062774" w:rsidRPr="00062774" w:rsidRDefault="00062774" w:rsidP="00062774">
            <w:pPr>
              <w:spacing w:after="0"/>
              <w:ind w:firstLine="0"/>
              <w:jc w:val="center"/>
              <w:rPr>
                <w:rFonts w:eastAsia="Times New Roman" w:cs="Times New Roman"/>
                <w:color w:val="000000"/>
                <w:sz w:val="16"/>
                <w:szCs w:val="16"/>
                <w:lang w:eastAsia="lv-LV"/>
              </w:rPr>
            </w:pPr>
            <w:r w:rsidRPr="00062774">
              <w:rPr>
                <w:rFonts w:eastAsia="Times New Roman" w:cs="Times New Roman"/>
                <w:color w:val="000000"/>
                <w:sz w:val="16"/>
                <w:szCs w:val="16"/>
                <w:lang w:eastAsia="lv-LV"/>
              </w:rPr>
              <w:t>1 652,7</w:t>
            </w:r>
          </w:p>
        </w:tc>
        <w:tc>
          <w:tcPr>
            <w:tcW w:w="1942"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center"/>
              <w:rPr>
                <w:rFonts w:eastAsia="Times New Roman" w:cs="Times New Roman"/>
                <w:color w:val="000000"/>
                <w:sz w:val="16"/>
                <w:szCs w:val="16"/>
                <w:lang w:eastAsia="lv-LV"/>
              </w:rPr>
            </w:pPr>
            <w:r w:rsidRPr="00062774">
              <w:rPr>
                <w:rFonts w:eastAsia="Times New Roman" w:cs="Times New Roman"/>
                <w:color w:val="000000"/>
                <w:sz w:val="16"/>
                <w:szCs w:val="16"/>
                <w:lang w:eastAsia="lv-LV"/>
              </w:rPr>
              <w:t>1 692,9</w:t>
            </w:r>
          </w:p>
        </w:tc>
        <w:tc>
          <w:tcPr>
            <w:tcW w:w="1913" w:type="dxa"/>
            <w:tcBorders>
              <w:top w:val="nil"/>
              <w:left w:val="nil"/>
              <w:bottom w:val="nil"/>
              <w:right w:val="nil"/>
            </w:tcBorders>
            <w:shd w:val="clear" w:color="000000" w:fill="F2F2F2"/>
            <w:noWrap/>
            <w:vAlign w:val="bottom"/>
            <w:hideMark/>
          </w:tcPr>
          <w:p w:rsidR="00062774" w:rsidRPr="00062774" w:rsidRDefault="00062774" w:rsidP="00062774">
            <w:pPr>
              <w:spacing w:after="0"/>
              <w:ind w:firstLine="0"/>
              <w:jc w:val="center"/>
              <w:rPr>
                <w:rFonts w:eastAsia="Times New Roman" w:cs="Times New Roman"/>
                <w:sz w:val="16"/>
                <w:szCs w:val="16"/>
                <w:lang w:eastAsia="lv-LV"/>
              </w:rPr>
            </w:pPr>
            <w:r w:rsidRPr="00062774">
              <w:rPr>
                <w:rFonts w:eastAsia="Times New Roman" w:cs="Times New Roman"/>
                <w:sz w:val="16"/>
                <w:szCs w:val="16"/>
                <w:lang w:eastAsia="lv-LV"/>
              </w:rPr>
              <w:t>2,4%</w:t>
            </w:r>
          </w:p>
        </w:tc>
      </w:tr>
      <w:tr w:rsidR="00062774" w:rsidRPr="00062774" w:rsidTr="0079557A">
        <w:trPr>
          <w:trHeight w:val="274"/>
        </w:trPr>
        <w:tc>
          <w:tcPr>
            <w:tcW w:w="1798" w:type="dxa"/>
            <w:gridSpan w:val="2"/>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i/>
                <w:iCs/>
                <w:color w:val="000000"/>
                <w:sz w:val="16"/>
                <w:szCs w:val="16"/>
                <w:lang w:eastAsia="lv-LV"/>
              </w:rPr>
            </w:pPr>
            <w:r w:rsidRPr="00062774">
              <w:rPr>
                <w:rFonts w:eastAsia="Times New Roman" w:cs="Times New Roman"/>
                <w:i/>
                <w:iCs/>
                <w:color w:val="000000"/>
                <w:sz w:val="16"/>
                <w:szCs w:val="16"/>
                <w:lang w:eastAsia="lv-LV"/>
              </w:rPr>
              <w:t>Finansiālā bilance</w:t>
            </w:r>
          </w:p>
        </w:tc>
        <w:tc>
          <w:tcPr>
            <w:tcW w:w="749"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b/>
                <w:bCs/>
                <w:color w:val="000000"/>
                <w:sz w:val="16"/>
                <w:szCs w:val="16"/>
                <w:lang w:eastAsia="lv-LV"/>
              </w:rPr>
            </w:pPr>
            <w:r w:rsidRPr="00062774">
              <w:rPr>
                <w:rFonts w:eastAsia="Times New Roman" w:cs="Times New Roman"/>
                <w:b/>
                <w:bCs/>
                <w:color w:val="000000"/>
                <w:sz w:val="16"/>
                <w:szCs w:val="16"/>
                <w:lang w:eastAsia="lv-LV"/>
              </w:rPr>
              <w:t> </w:t>
            </w:r>
          </w:p>
        </w:tc>
        <w:tc>
          <w:tcPr>
            <w:tcW w:w="774"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b/>
                <w:bCs/>
                <w:color w:val="000000"/>
                <w:sz w:val="16"/>
                <w:szCs w:val="16"/>
                <w:lang w:eastAsia="lv-LV"/>
              </w:rPr>
            </w:pPr>
            <w:r w:rsidRPr="00062774">
              <w:rPr>
                <w:rFonts w:eastAsia="Times New Roman" w:cs="Times New Roman"/>
                <w:b/>
                <w:bCs/>
                <w:color w:val="000000"/>
                <w:sz w:val="16"/>
                <w:szCs w:val="16"/>
                <w:lang w:eastAsia="lv-LV"/>
              </w:rPr>
              <w:t> </w:t>
            </w:r>
          </w:p>
        </w:tc>
        <w:tc>
          <w:tcPr>
            <w:tcW w:w="798"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b/>
                <w:bCs/>
                <w:color w:val="000000"/>
                <w:sz w:val="16"/>
                <w:szCs w:val="16"/>
                <w:lang w:eastAsia="lv-LV"/>
              </w:rPr>
            </w:pPr>
            <w:r w:rsidRPr="00062774">
              <w:rPr>
                <w:rFonts w:eastAsia="Times New Roman" w:cs="Times New Roman"/>
                <w:b/>
                <w:bCs/>
                <w:color w:val="000000"/>
                <w:sz w:val="16"/>
                <w:szCs w:val="16"/>
                <w:lang w:eastAsia="lv-LV"/>
              </w:rPr>
              <w:t> </w:t>
            </w:r>
          </w:p>
        </w:tc>
        <w:tc>
          <w:tcPr>
            <w:tcW w:w="1753" w:type="dxa"/>
            <w:gridSpan w:val="3"/>
            <w:tcBorders>
              <w:top w:val="nil"/>
              <w:left w:val="nil"/>
              <w:bottom w:val="nil"/>
              <w:right w:val="nil"/>
            </w:tcBorders>
            <w:shd w:val="clear" w:color="000000" w:fill="F2F2F2"/>
            <w:noWrap/>
            <w:vAlign w:val="bottom"/>
            <w:hideMark/>
          </w:tcPr>
          <w:p w:rsidR="00062774" w:rsidRPr="00062774" w:rsidRDefault="00062774" w:rsidP="00062774">
            <w:pPr>
              <w:spacing w:after="0"/>
              <w:ind w:firstLine="0"/>
              <w:jc w:val="center"/>
              <w:rPr>
                <w:rFonts w:eastAsia="Times New Roman" w:cs="Times New Roman"/>
                <w:b/>
                <w:bCs/>
                <w:i/>
                <w:iCs/>
                <w:color w:val="000000"/>
                <w:sz w:val="16"/>
                <w:szCs w:val="16"/>
                <w:lang w:eastAsia="lv-LV"/>
              </w:rPr>
            </w:pPr>
            <w:r w:rsidRPr="00062774">
              <w:rPr>
                <w:rFonts w:eastAsia="Times New Roman" w:cs="Times New Roman"/>
                <w:b/>
                <w:bCs/>
                <w:i/>
                <w:iCs/>
                <w:color w:val="000000"/>
                <w:sz w:val="16"/>
                <w:szCs w:val="16"/>
                <w:lang w:eastAsia="lv-LV"/>
              </w:rPr>
              <w:t>-16,7</w:t>
            </w:r>
          </w:p>
        </w:tc>
        <w:tc>
          <w:tcPr>
            <w:tcW w:w="1942"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center"/>
              <w:rPr>
                <w:rFonts w:eastAsia="Times New Roman" w:cs="Times New Roman"/>
                <w:b/>
                <w:bCs/>
                <w:i/>
                <w:iCs/>
                <w:color w:val="000000"/>
                <w:sz w:val="16"/>
                <w:szCs w:val="16"/>
                <w:lang w:eastAsia="lv-LV"/>
              </w:rPr>
            </w:pPr>
            <w:r w:rsidRPr="00062774">
              <w:rPr>
                <w:rFonts w:eastAsia="Times New Roman" w:cs="Times New Roman"/>
                <w:b/>
                <w:bCs/>
                <w:i/>
                <w:iCs/>
                <w:color w:val="000000"/>
                <w:sz w:val="16"/>
                <w:szCs w:val="16"/>
                <w:lang w:eastAsia="lv-LV"/>
              </w:rPr>
              <w:t>-51,3</w:t>
            </w:r>
          </w:p>
        </w:tc>
        <w:tc>
          <w:tcPr>
            <w:tcW w:w="1913" w:type="dxa"/>
            <w:tcBorders>
              <w:top w:val="nil"/>
              <w:left w:val="nil"/>
              <w:bottom w:val="nil"/>
              <w:right w:val="nil"/>
            </w:tcBorders>
            <w:shd w:val="clear" w:color="000000" w:fill="F2F2F2"/>
            <w:noWrap/>
            <w:vAlign w:val="bottom"/>
            <w:hideMark/>
          </w:tcPr>
          <w:p w:rsidR="00062774" w:rsidRPr="00062774" w:rsidRDefault="00062774" w:rsidP="00062774">
            <w:pPr>
              <w:spacing w:after="0"/>
              <w:ind w:firstLine="0"/>
              <w:jc w:val="center"/>
              <w:rPr>
                <w:rFonts w:eastAsia="Times New Roman" w:cs="Times New Roman"/>
                <w:sz w:val="16"/>
                <w:szCs w:val="16"/>
                <w:lang w:eastAsia="lv-LV"/>
              </w:rPr>
            </w:pPr>
            <w:r w:rsidRPr="00062774">
              <w:rPr>
                <w:rFonts w:eastAsia="Times New Roman" w:cs="Times New Roman"/>
                <w:sz w:val="16"/>
                <w:szCs w:val="16"/>
                <w:lang w:eastAsia="lv-LV"/>
              </w:rPr>
              <w:t> </w:t>
            </w:r>
          </w:p>
        </w:tc>
      </w:tr>
      <w:tr w:rsidR="00062774" w:rsidRPr="00062774" w:rsidTr="0079557A">
        <w:trPr>
          <w:trHeight w:val="274"/>
        </w:trPr>
        <w:tc>
          <w:tcPr>
            <w:tcW w:w="4120" w:type="dxa"/>
            <w:gridSpan w:val="5"/>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b/>
                <w:bCs/>
                <w:color w:val="000000"/>
                <w:sz w:val="16"/>
                <w:szCs w:val="16"/>
                <w:lang w:eastAsia="lv-LV"/>
              </w:rPr>
            </w:pPr>
            <w:r w:rsidRPr="00062774">
              <w:rPr>
                <w:rFonts w:eastAsia="Times New Roman" w:cs="Times New Roman"/>
                <w:b/>
                <w:bCs/>
                <w:color w:val="000000"/>
                <w:sz w:val="16"/>
                <w:szCs w:val="16"/>
                <w:lang w:eastAsia="lv-LV"/>
              </w:rPr>
              <w:t>Valsts pamatbudžets</w:t>
            </w:r>
          </w:p>
        </w:tc>
        <w:tc>
          <w:tcPr>
            <w:tcW w:w="586" w:type="dxa"/>
            <w:tcBorders>
              <w:top w:val="nil"/>
              <w:left w:val="nil"/>
              <w:bottom w:val="nil"/>
              <w:right w:val="nil"/>
            </w:tcBorders>
            <w:shd w:val="clear" w:color="000000" w:fill="F2F2F2"/>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583" w:type="dxa"/>
            <w:tcBorders>
              <w:top w:val="nil"/>
              <w:left w:val="nil"/>
              <w:bottom w:val="nil"/>
              <w:right w:val="nil"/>
            </w:tcBorders>
            <w:shd w:val="clear" w:color="000000" w:fill="F2F2F2"/>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582" w:type="dxa"/>
            <w:tcBorders>
              <w:top w:val="nil"/>
              <w:left w:val="nil"/>
              <w:bottom w:val="nil"/>
              <w:right w:val="nil"/>
            </w:tcBorders>
            <w:shd w:val="clear" w:color="000000" w:fill="F2F2F2"/>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1942"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center"/>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1913" w:type="dxa"/>
            <w:tcBorders>
              <w:top w:val="nil"/>
              <w:left w:val="nil"/>
              <w:bottom w:val="nil"/>
              <w:right w:val="nil"/>
            </w:tcBorders>
            <w:shd w:val="clear" w:color="000000" w:fill="F2F2F2"/>
            <w:noWrap/>
            <w:vAlign w:val="bottom"/>
            <w:hideMark/>
          </w:tcPr>
          <w:p w:rsidR="00062774" w:rsidRPr="00062774" w:rsidRDefault="00062774" w:rsidP="00062774">
            <w:pPr>
              <w:spacing w:after="0"/>
              <w:ind w:firstLine="0"/>
              <w:jc w:val="center"/>
              <w:rPr>
                <w:rFonts w:eastAsia="Times New Roman" w:cs="Times New Roman"/>
                <w:sz w:val="16"/>
                <w:szCs w:val="16"/>
                <w:lang w:eastAsia="lv-LV"/>
              </w:rPr>
            </w:pPr>
            <w:r w:rsidRPr="00062774">
              <w:rPr>
                <w:rFonts w:eastAsia="Times New Roman" w:cs="Times New Roman"/>
                <w:sz w:val="16"/>
                <w:szCs w:val="16"/>
                <w:lang w:eastAsia="lv-LV"/>
              </w:rPr>
              <w:t> </w:t>
            </w:r>
          </w:p>
        </w:tc>
      </w:tr>
      <w:tr w:rsidR="00062774" w:rsidRPr="00062774" w:rsidTr="0079557A">
        <w:trPr>
          <w:trHeight w:val="274"/>
        </w:trPr>
        <w:tc>
          <w:tcPr>
            <w:tcW w:w="1048"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Ieņēmumi</w:t>
            </w:r>
          </w:p>
        </w:tc>
        <w:tc>
          <w:tcPr>
            <w:tcW w:w="749"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749"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774"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798"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1753" w:type="dxa"/>
            <w:gridSpan w:val="3"/>
            <w:tcBorders>
              <w:top w:val="nil"/>
              <w:left w:val="nil"/>
              <w:bottom w:val="nil"/>
              <w:right w:val="nil"/>
            </w:tcBorders>
            <w:shd w:val="clear" w:color="000000" w:fill="F2F2F2"/>
            <w:noWrap/>
            <w:vAlign w:val="bottom"/>
            <w:hideMark/>
          </w:tcPr>
          <w:p w:rsidR="00062774" w:rsidRPr="00062774" w:rsidRDefault="00062774" w:rsidP="00062774">
            <w:pPr>
              <w:spacing w:after="0"/>
              <w:ind w:firstLine="0"/>
              <w:jc w:val="center"/>
              <w:rPr>
                <w:rFonts w:eastAsia="Times New Roman" w:cs="Times New Roman"/>
                <w:color w:val="000000"/>
                <w:sz w:val="16"/>
                <w:szCs w:val="16"/>
                <w:lang w:eastAsia="lv-LV"/>
              </w:rPr>
            </w:pPr>
            <w:r w:rsidRPr="00062774">
              <w:rPr>
                <w:rFonts w:eastAsia="Times New Roman" w:cs="Times New Roman"/>
                <w:color w:val="000000"/>
                <w:sz w:val="16"/>
                <w:szCs w:val="16"/>
                <w:lang w:eastAsia="lv-LV"/>
              </w:rPr>
              <w:t>1 133,0</w:t>
            </w:r>
          </w:p>
        </w:tc>
        <w:tc>
          <w:tcPr>
            <w:tcW w:w="1942"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center"/>
              <w:rPr>
                <w:rFonts w:eastAsia="Times New Roman" w:cs="Times New Roman"/>
                <w:color w:val="000000"/>
                <w:sz w:val="16"/>
                <w:szCs w:val="16"/>
                <w:lang w:eastAsia="lv-LV"/>
              </w:rPr>
            </w:pPr>
            <w:r w:rsidRPr="00062774">
              <w:rPr>
                <w:rFonts w:eastAsia="Times New Roman" w:cs="Times New Roman"/>
                <w:color w:val="000000"/>
                <w:sz w:val="16"/>
                <w:szCs w:val="16"/>
                <w:lang w:eastAsia="lv-LV"/>
              </w:rPr>
              <w:t>1 152,1</w:t>
            </w:r>
          </w:p>
        </w:tc>
        <w:tc>
          <w:tcPr>
            <w:tcW w:w="1913" w:type="dxa"/>
            <w:tcBorders>
              <w:top w:val="nil"/>
              <w:left w:val="nil"/>
              <w:bottom w:val="nil"/>
              <w:right w:val="nil"/>
            </w:tcBorders>
            <w:shd w:val="clear" w:color="000000" w:fill="F2F2F2"/>
            <w:noWrap/>
            <w:vAlign w:val="bottom"/>
            <w:hideMark/>
          </w:tcPr>
          <w:p w:rsidR="00062774" w:rsidRPr="00062774" w:rsidRDefault="00062774" w:rsidP="00062774">
            <w:pPr>
              <w:spacing w:after="0"/>
              <w:ind w:firstLine="0"/>
              <w:jc w:val="center"/>
              <w:rPr>
                <w:rFonts w:eastAsia="Times New Roman" w:cs="Times New Roman"/>
                <w:sz w:val="16"/>
                <w:szCs w:val="16"/>
                <w:lang w:eastAsia="lv-LV"/>
              </w:rPr>
            </w:pPr>
            <w:r w:rsidRPr="00062774">
              <w:rPr>
                <w:rFonts w:eastAsia="Times New Roman" w:cs="Times New Roman"/>
                <w:sz w:val="16"/>
                <w:szCs w:val="16"/>
                <w:lang w:eastAsia="lv-LV"/>
              </w:rPr>
              <w:t>1,7%</w:t>
            </w:r>
          </w:p>
        </w:tc>
      </w:tr>
      <w:tr w:rsidR="00062774" w:rsidRPr="00062774" w:rsidTr="0079557A">
        <w:trPr>
          <w:trHeight w:val="274"/>
        </w:trPr>
        <w:tc>
          <w:tcPr>
            <w:tcW w:w="1048"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Izdevumi</w:t>
            </w:r>
          </w:p>
        </w:tc>
        <w:tc>
          <w:tcPr>
            <w:tcW w:w="749"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b/>
                <w:bCs/>
                <w:color w:val="000000"/>
                <w:sz w:val="16"/>
                <w:szCs w:val="16"/>
                <w:lang w:eastAsia="lv-LV"/>
              </w:rPr>
            </w:pPr>
            <w:r w:rsidRPr="00062774">
              <w:rPr>
                <w:rFonts w:eastAsia="Times New Roman" w:cs="Times New Roman"/>
                <w:b/>
                <w:bCs/>
                <w:color w:val="000000"/>
                <w:sz w:val="16"/>
                <w:szCs w:val="16"/>
                <w:lang w:eastAsia="lv-LV"/>
              </w:rPr>
              <w:t> </w:t>
            </w:r>
          </w:p>
        </w:tc>
        <w:tc>
          <w:tcPr>
            <w:tcW w:w="749"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b/>
                <w:bCs/>
                <w:color w:val="000000"/>
                <w:sz w:val="16"/>
                <w:szCs w:val="16"/>
                <w:lang w:eastAsia="lv-LV"/>
              </w:rPr>
            </w:pPr>
            <w:r w:rsidRPr="00062774">
              <w:rPr>
                <w:rFonts w:eastAsia="Times New Roman" w:cs="Times New Roman"/>
                <w:b/>
                <w:bCs/>
                <w:color w:val="000000"/>
                <w:sz w:val="16"/>
                <w:szCs w:val="16"/>
                <w:lang w:eastAsia="lv-LV"/>
              </w:rPr>
              <w:t> </w:t>
            </w:r>
          </w:p>
        </w:tc>
        <w:tc>
          <w:tcPr>
            <w:tcW w:w="774"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b/>
                <w:bCs/>
                <w:color w:val="000000"/>
                <w:sz w:val="16"/>
                <w:szCs w:val="16"/>
                <w:lang w:eastAsia="lv-LV"/>
              </w:rPr>
            </w:pPr>
            <w:r w:rsidRPr="00062774">
              <w:rPr>
                <w:rFonts w:eastAsia="Times New Roman" w:cs="Times New Roman"/>
                <w:b/>
                <w:bCs/>
                <w:color w:val="000000"/>
                <w:sz w:val="16"/>
                <w:szCs w:val="16"/>
                <w:lang w:eastAsia="lv-LV"/>
              </w:rPr>
              <w:t> </w:t>
            </w:r>
          </w:p>
        </w:tc>
        <w:tc>
          <w:tcPr>
            <w:tcW w:w="798"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b/>
                <w:bCs/>
                <w:color w:val="000000"/>
                <w:sz w:val="16"/>
                <w:szCs w:val="16"/>
                <w:lang w:eastAsia="lv-LV"/>
              </w:rPr>
            </w:pPr>
            <w:r w:rsidRPr="00062774">
              <w:rPr>
                <w:rFonts w:eastAsia="Times New Roman" w:cs="Times New Roman"/>
                <w:b/>
                <w:bCs/>
                <w:color w:val="000000"/>
                <w:sz w:val="16"/>
                <w:szCs w:val="16"/>
                <w:lang w:eastAsia="lv-LV"/>
              </w:rPr>
              <w:t> </w:t>
            </w:r>
          </w:p>
        </w:tc>
        <w:tc>
          <w:tcPr>
            <w:tcW w:w="1753" w:type="dxa"/>
            <w:gridSpan w:val="3"/>
            <w:tcBorders>
              <w:top w:val="nil"/>
              <w:left w:val="nil"/>
              <w:bottom w:val="nil"/>
              <w:right w:val="nil"/>
            </w:tcBorders>
            <w:shd w:val="clear" w:color="000000" w:fill="F2F2F2"/>
            <w:noWrap/>
            <w:vAlign w:val="bottom"/>
            <w:hideMark/>
          </w:tcPr>
          <w:p w:rsidR="00062774" w:rsidRPr="00062774" w:rsidRDefault="00062774" w:rsidP="00062774">
            <w:pPr>
              <w:spacing w:after="0"/>
              <w:ind w:firstLine="0"/>
              <w:jc w:val="center"/>
              <w:rPr>
                <w:rFonts w:eastAsia="Times New Roman" w:cs="Times New Roman"/>
                <w:color w:val="000000"/>
                <w:sz w:val="16"/>
                <w:szCs w:val="16"/>
                <w:lang w:eastAsia="lv-LV"/>
              </w:rPr>
            </w:pPr>
            <w:r w:rsidRPr="00062774">
              <w:rPr>
                <w:rFonts w:eastAsia="Times New Roman" w:cs="Times New Roman"/>
                <w:color w:val="000000"/>
                <w:sz w:val="16"/>
                <w:szCs w:val="16"/>
                <w:lang w:eastAsia="lv-LV"/>
              </w:rPr>
              <w:t>1 124,5</w:t>
            </w:r>
          </w:p>
        </w:tc>
        <w:tc>
          <w:tcPr>
            <w:tcW w:w="1942"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center"/>
              <w:rPr>
                <w:rFonts w:eastAsia="Times New Roman" w:cs="Times New Roman"/>
                <w:color w:val="000000"/>
                <w:sz w:val="16"/>
                <w:szCs w:val="16"/>
                <w:lang w:eastAsia="lv-LV"/>
              </w:rPr>
            </w:pPr>
            <w:r w:rsidRPr="00062774">
              <w:rPr>
                <w:rFonts w:eastAsia="Times New Roman" w:cs="Times New Roman"/>
                <w:color w:val="000000"/>
                <w:sz w:val="16"/>
                <w:szCs w:val="16"/>
                <w:lang w:eastAsia="lv-LV"/>
              </w:rPr>
              <w:t>1 232,4</w:t>
            </w:r>
          </w:p>
        </w:tc>
        <w:tc>
          <w:tcPr>
            <w:tcW w:w="1913" w:type="dxa"/>
            <w:tcBorders>
              <w:top w:val="nil"/>
              <w:left w:val="nil"/>
              <w:bottom w:val="nil"/>
              <w:right w:val="nil"/>
            </w:tcBorders>
            <w:shd w:val="clear" w:color="000000" w:fill="F2F2F2"/>
            <w:noWrap/>
            <w:vAlign w:val="bottom"/>
            <w:hideMark/>
          </w:tcPr>
          <w:p w:rsidR="00062774" w:rsidRPr="00062774" w:rsidRDefault="00062774" w:rsidP="00062774">
            <w:pPr>
              <w:spacing w:after="0"/>
              <w:ind w:firstLine="0"/>
              <w:jc w:val="center"/>
              <w:rPr>
                <w:rFonts w:eastAsia="Times New Roman" w:cs="Times New Roman"/>
                <w:sz w:val="16"/>
                <w:szCs w:val="16"/>
                <w:lang w:eastAsia="lv-LV"/>
              </w:rPr>
            </w:pPr>
            <w:r w:rsidRPr="00062774">
              <w:rPr>
                <w:rFonts w:eastAsia="Times New Roman" w:cs="Times New Roman"/>
                <w:sz w:val="16"/>
                <w:szCs w:val="16"/>
                <w:lang w:eastAsia="lv-LV"/>
              </w:rPr>
              <w:t>9,6%</w:t>
            </w:r>
          </w:p>
        </w:tc>
      </w:tr>
      <w:tr w:rsidR="00062774" w:rsidRPr="00062774" w:rsidTr="0079557A">
        <w:trPr>
          <w:trHeight w:val="274"/>
        </w:trPr>
        <w:tc>
          <w:tcPr>
            <w:tcW w:w="1798" w:type="dxa"/>
            <w:gridSpan w:val="2"/>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i/>
                <w:iCs/>
                <w:color w:val="000000"/>
                <w:sz w:val="16"/>
                <w:szCs w:val="16"/>
                <w:lang w:eastAsia="lv-LV"/>
              </w:rPr>
            </w:pPr>
            <w:r w:rsidRPr="00062774">
              <w:rPr>
                <w:rFonts w:eastAsia="Times New Roman" w:cs="Times New Roman"/>
                <w:i/>
                <w:iCs/>
                <w:color w:val="000000"/>
                <w:sz w:val="16"/>
                <w:szCs w:val="16"/>
                <w:lang w:eastAsia="lv-LV"/>
              </w:rPr>
              <w:t>Finansiālā bilance</w:t>
            </w:r>
          </w:p>
        </w:tc>
        <w:tc>
          <w:tcPr>
            <w:tcW w:w="749"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774"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798"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1753" w:type="dxa"/>
            <w:gridSpan w:val="3"/>
            <w:tcBorders>
              <w:top w:val="nil"/>
              <w:left w:val="nil"/>
              <w:bottom w:val="nil"/>
              <w:right w:val="nil"/>
            </w:tcBorders>
            <w:shd w:val="clear" w:color="000000" w:fill="F2F2F2"/>
            <w:noWrap/>
            <w:vAlign w:val="bottom"/>
            <w:hideMark/>
          </w:tcPr>
          <w:p w:rsidR="00062774" w:rsidRPr="00062774" w:rsidRDefault="00062774" w:rsidP="00062774">
            <w:pPr>
              <w:spacing w:after="0"/>
              <w:ind w:firstLine="0"/>
              <w:jc w:val="center"/>
              <w:rPr>
                <w:rFonts w:eastAsia="Times New Roman" w:cs="Times New Roman"/>
                <w:b/>
                <w:bCs/>
                <w:i/>
                <w:iCs/>
                <w:color w:val="000000"/>
                <w:sz w:val="16"/>
                <w:szCs w:val="16"/>
                <w:lang w:eastAsia="lv-LV"/>
              </w:rPr>
            </w:pPr>
            <w:r w:rsidRPr="00062774">
              <w:rPr>
                <w:rFonts w:eastAsia="Times New Roman" w:cs="Times New Roman"/>
                <w:b/>
                <w:bCs/>
                <w:i/>
                <w:iCs/>
                <w:color w:val="000000"/>
                <w:sz w:val="16"/>
                <w:szCs w:val="16"/>
                <w:lang w:eastAsia="lv-LV"/>
              </w:rPr>
              <w:t>8,5</w:t>
            </w:r>
          </w:p>
        </w:tc>
        <w:tc>
          <w:tcPr>
            <w:tcW w:w="1942"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center"/>
              <w:rPr>
                <w:rFonts w:eastAsia="Times New Roman" w:cs="Times New Roman"/>
                <w:b/>
                <w:bCs/>
                <w:i/>
                <w:iCs/>
                <w:color w:val="000000"/>
                <w:sz w:val="16"/>
                <w:szCs w:val="16"/>
                <w:lang w:eastAsia="lv-LV"/>
              </w:rPr>
            </w:pPr>
            <w:r w:rsidRPr="00062774">
              <w:rPr>
                <w:rFonts w:eastAsia="Times New Roman" w:cs="Times New Roman"/>
                <w:b/>
                <w:bCs/>
                <w:i/>
                <w:iCs/>
                <w:color w:val="000000"/>
                <w:sz w:val="16"/>
                <w:szCs w:val="16"/>
                <w:lang w:eastAsia="lv-LV"/>
              </w:rPr>
              <w:t>-80,3</w:t>
            </w:r>
          </w:p>
        </w:tc>
        <w:tc>
          <w:tcPr>
            <w:tcW w:w="1913" w:type="dxa"/>
            <w:tcBorders>
              <w:top w:val="nil"/>
              <w:left w:val="nil"/>
              <w:bottom w:val="nil"/>
              <w:right w:val="nil"/>
            </w:tcBorders>
            <w:shd w:val="clear" w:color="000000" w:fill="F2F2F2"/>
            <w:noWrap/>
            <w:vAlign w:val="bottom"/>
            <w:hideMark/>
          </w:tcPr>
          <w:p w:rsidR="00062774" w:rsidRPr="00062774" w:rsidRDefault="00062774" w:rsidP="00062774">
            <w:pPr>
              <w:spacing w:after="0"/>
              <w:ind w:firstLine="0"/>
              <w:jc w:val="center"/>
              <w:rPr>
                <w:rFonts w:eastAsia="Times New Roman" w:cs="Times New Roman"/>
                <w:sz w:val="16"/>
                <w:szCs w:val="16"/>
                <w:lang w:eastAsia="lv-LV"/>
              </w:rPr>
            </w:pPr>
            <w:r w:rsidRPr="00062774">
              <w:rPr>
                <w:rFonts w:eastAsia="Times New Roman" w:cs="Times New Roman"/>
                <w:sz w:val="16"/>
                <w:szCs w:val="16"/>
                <w:lang w:eastAsia="lv-LV"/>
              </w:rPr>
              <w:t> </w:t>
            </w:r>
          </w:p>
        </w:tc>
      </w:tr>
      <w:tr w:rsidR="00062774" w:rsidRPr="00062774" w:rsidTr="0079557A">
        <w:trPr>
          <w:trHeight w:val="274"/>
        </w:trPr>
        <w:tc>
          <w:tcPr>
            <w:tcW w:w="4120" w:type="dxa"/>
            <w:gridSpan w:val="5"/>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b/>
                <w:bCs/>
                <w:color w:val="000000"/>
                <w:sz w:val="16"/>
                <w:szCs w:val="16"/>
                <w:lang w:eastAsia="lv-LV"/>
              </w:rPr>
            </w:pPr>
            <w:r w:rsidRPr="00062774">
              <w:rPr>
                <w:rFonts w:eastAsia="Times New Roman" w:cs="Times New Roman"/>
                <w:b/>
                <w:bCs/>
                <w:color w:val="000000"/>
                <w:sz w:val="16"/>
                <w:szCs w:val="16"/>
                <w:lang w:eastAsia="lv-LV"/>
              </w:rPr>
              <w:t>Valsts speciālais budžets</w:t>
            </w:r>
          </w:p>
        </w:tc>
        <w:tc>
          <w:tcPr>
            <w:tcW w:w="586" w:type="dxa"/>
            <w:tcBorders>
              <w:top w:val="nil"/>
              <w:left w:val="nil"/>
              <w:bottom w:val="nil"/>
              <w:right w:val="nil"/>
            </w:tcBorders>
            <w:shd w:val="clear" w:color="000000" w:fill="F2F2F2"/>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583" w:type="dxa"/>
            <w:tcBorders>
              <w:top w:val="nil"/>
              <w:left w:val="nil"/>
              <w:bottom w:val="nil"/>
              <w:right w:val="nil"/>
            </w:tcBorders>
            <w:shd w:val="clear" w:color="000000" w:fill="F2F2F2"/>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582" w:type="dxa"/>
            <w:tcBorders>
              <w:top w:val="nil"/>
              <w:left w:val="nil"/>
              <w:bottom w:val="nil"/>
              <w:right w:val="nil"/>
            </w:tcBorders>
            <w:shd w:val="clear" w:color="000000" w:fill="F2F2F2"/>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1942"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center"/>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1913" w:type="dxa"/>
            <w:tcBorders>
              <w:top w:val="nil"/>
              <w:left w:val="nil"/>
              <w:bottom w:val="nil"/>
              <w:right w:val="nil"/>
            </w:tcBorders>
            <w:shd w:val="clear" w:color="000000" w:fill="F2F2F2"/>
            <w:noWrap/>
            <w:vAlign w:val="bottom"/>
            <w:hideMark/>
          </w:tcPr>
          <w:p w:rsidR="00062774" w:rsidRPr="00062774" w:rsidRDefault="00062774" w:rsidP="00062774">
            <w:pPr>
              <w:spacing w:after="0"/>
              <w:ind w:firstLine="0"/>
              <w:jc w:val="center"/>
              <w:rPr>
                <w:rFonts w:eastAsia="Times New Roman" w:cs="Times New Roman"/>
                <w:sz w:val="16"/>
                <w:szCs w:val="16"/>
                <w:lang w:eastAsia="lv-LV"/>
              </w:rPr>
            </w:pPr>
            <w:r w:rsidRPr="00062774">
              <w:rPr>
                <w:rFonts w:eastAsia="Times New Roman" w:cs="Times New Roman"/>
                <w:sz w:val="16"/>
                <w:szCs w:val="16"/>
                <w:lang w:eastAsia="lv-LV"/>
              </w:rPr>
              <w:t> </w:t>
            </w:r>
          </w:p>
        </w:tc>
      </w:tr>
      <w:tr w:rsidR="00062774" w:rsidRPr="00062774" w:rsidTr="0079557A">
        <w:trPr>
          <w:trHeight w:val="274"/>
        </w:trPr>
        <w:tc>
          <w:tcPr>
            <w:tcW w:w="1048"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Ieņēmumi</w:t>
            </w:r>
          </w:p>
        </w:tc>
        <w:tc>
          <w:tcPr>
            <w:tcW w:w="749"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749"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774"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798"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1753" w:type="dxa"/>
            <w:gridSpan w:val="3"/>
            <w:tcBorders>
              <w:top w:val="nil"/>
              <w:left w:val="nil"/>
              <w:bottom w:val="nil"/>
              <w:right w:val="nil"/>
            </w:tcBorders>
            <w:shd w:val="clear" w:color="000000" w:fill="F2F2F2"/>
            <w:noWrap/>
            <w:vAlign w:val="bottom"/>
            <w:hideMark/>
          </w:tcPr>
          <w:p w:rsidR="00062774" w:rsidRPr="00062774" w:rsidRDefault="00062774" w:rsidP="00062774">
            <w:pPr>
              <w:spacing w:after="0"/>
              <w:ind w:firstLine="0"/>
              <w:jc w:val="center"/>
              <w:rPr>
                <w:rFonts w:eastAsia="Times New Roman" w:cs="Times New Roman"/>
                <w:color w:val="000000"/>
                <w:sz w:val="16"/>
                <w:szCs w:val="16"/>
                <w:lang w:eastAsia="lv-LV"/>
              </w:rPr>
            </w:pPr>
            <w:r w:rsidRPr="00062774">
              <w:rPr>
                <w:rFonts w:eastAsia="Times New Roman" w:cs="Times New Roman"/>
                <w:color w:val="000000"/>
                <w:sz w:val="16"/>
                <w:szCs w:val="16"/>
                <w:lang w:eastAsia="lv-LV"/>
              </w:rPr>
              <w:t>483,2</w:t>
            </w:r>
          </w:p>
        </w:tc>
        <w:tc>
          <w:tcPr>
            <w:tcW w:w="1942"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center"/>
              <w:rPr>
                <w:rFonts w:eastAsia="Times New Roman" w:cs="Times New Roman"/>
                <w:color w:val="000000"/>
                <w:sz w:val="16"/>
                <w:szCs w:val="16"/>
                <w:lang w:eastAsia="lv-LV"/>
              </w:rPr>
            </w:pPr>
            <w:r w:rsidRPr="00062774">
              <w:rPr>
                <w:rFonts w:eastAsia="Times New Roman" w:cs="Times New Roman"/>
                <w:color w:val="000000"/>
                <w:sz w:val="16"/>
                <w:szCs w:val="16"/>
                <w:lang w:eastAsia="lv-LV"/>
              </w:rPr>
              <w:t>514,4</w:t>
            </w:r>
          </w:p>
        </w:tc>
        <w:tc>
          <w:tcPr>
            <w:tcW w:w="1913" w:type="dxa"/>
            <w:tcBorders>
              <w:top w:val="nil"/>
              <w:left w:val="nil"/>
              <w:bottom w:val="nil"/>
              <w:right w:val="nil"/>
            </w:tcBorders>
            <w:shd w:val="clear" w:color="000000" w:fill="F2F2F2"/>
            <w:noWrap/>
            <w:vAlign w:val="bottom"/>
            <w:hideMark/>
          </w:tcPr>
          <w:p w:rsidR="00062774" w:rsidRPr="00062774" w:rsidRDefault="00062774" w:rsidP="00062774">
            <w:pPr>
              <w:spacing w:after="0"/>
              <w:ind w:firstLine="0"/>
              <w:jc w:val="center"/>
              <w:rPr>
                <w:rFonts w:eastAsia="Times New Roman" w:cs="Times New Roman"/>
                <w:sz w:val="16"/>
                <w:szCs w:val="16"/>
                <w:lang w:eastAsia="lv-LV"/>
              </w:rPr>
            </w:pPr>
            <w:r w:rsidRPr="00062774">
              <w:rPr>
                <w:rFonts w:eastAsia="Times New Roman" w:cs="Times New Roman"/>
                <w:sz w:val="16"/>
                <w:szCs w:val="16"/>
                <w:lang w:eastAsia="lv-LV"/>
              </w:rPr>
              <w:t>6,5%</w:t>
            </w:r>
          </w:p>
        </w:tc>
      </w:tr>
      <w:tr w:rsidR="00062774" w:rsidRPr="00062774" w:rsidTr="0079557A">
        <w:trPr>
          <w:trHeight w:val="274"/>
        </w:trPr>
        <w:tc>
          <w:tcPr>
            <w:tcW w:w="1048"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Izdevumi</w:t>
            </w:r>
          </w:p>
        </w:tc>
        <w:tc>
          <w:tcPr>
            <w:tcW w:w="749"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749"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774"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798"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1753" w:type="dxa"/>
            <w:gridSpan w:val="3"/>
            <w:tcBorders>
              <w:top w:val="nil"/>
              <w:left w:val="nil"/>
              <w:bottom w:val="nil"/>
              <w:right w:val="nil"/>
            </w:tcBorders>
            <w:shd w:val="clear" w:color="000000" w:fill="F2F2F2"/>
            <w:noWrap/>
            <w:vAlign w:val="bottom"/>
            <w:hideMark/>
          </w:tcPr>
          <w:p w:rsidR="00062774" w:rsidRPr="00062774" w:rsidRDefault="00062774" w:rsidP="00062774">
            <w:pPr>
              <w:spacing w:after="0"/>
              <w:ind w:firstLine="0"/>
              <w:jc w:val="center"/>
              <w:rPr>
                <w:rFonts w:eastAsia="Times New Roman" w:cs="Times New Roman"/>
                <w:color w:val="000000"/>
                <w:sz w:val="16"/>
                <w:szCs w:val="16"/>
                <w:lang w:eastAsia="lv-LV"/>
              </w:rPr>
            </w:pPr>
            <w:r w:rsidRPr="00062774">
              <w:rPr>
                <w:rFonts w:eastAsia="Times New Roman" w:cs="Times New Roman"/>
                <w:color w:val="000000"/>
                <w:sz w:val="16"/>
                <w:szCs w:val="16"/>
                <w:lang w:eastAsia="lv-LV"/>
              </w:rPr>
              <w:t>508,5</w:t>
            </w:r>
          </w:p>
        </w:tc>
        <w:tc>
          <w:tcPr>
            <w:tcW w:w="1942"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center"/>
              <w:rPr>
                <w:rFonts w:eastAsia="Times New Roman" w:cs="Times New Roman"/>
                <w:color w:val="000000"/>
                <w:sz w:val="16"/>
                <w:szCs w:val="16"/>
                <w:lang w:eastAsia="lv-LV"/>
              </w:rPr>
            </w:pPr>
            <w:r w:rsidRPr="00062774">
              <w:rPr>
                <w:rFonts w:eastAsia="Times New Roman" w:cs="Times New Roman"/>
                <w:color w:val="000000"/>
                <w:sz w:val="16"/>
                <w:szCs w:val="16"/>
                <w:lang w:eastAsia="lv-LV"/>
              </w:rPr>
              <w:t>490,6</w:t>
            </w:r>
          </w:p>
        </w:tc>
        <w:tc>
          <w:tcPr>
            <w:tcW w:w="1913" w:type="dxa"/>
            <w:tcBorders>
              <w:top w:val="nil"/>
              <w:left w:val="nil"/>
              <w:bottom w:val="nil"/>
              <w:right w:val="nil"/>
            </w:tcBorders>
            <w:shd w:val="clear" w:color="000000" w:fill="F2F2F2"/>
            <w:noWrap/>
            <w:vAlign w:val="bottom"/>
            <w:hideMark/>
          </w:tcPr>
          <w:p w:rsidR="00062774" w:rsidRPr="00062774" w:rsidRDefault="00062774" w:rsidP="00062774">
            <w:pPr>
              <w:spacing w:after="0"/>
              <w:ind w:firstLine="0"/>
              <w:jc w:val="center"/>
              <w:rPr>
                <w:rFonts w:eastAsia="Times New Roman" w:cs="Times New Roman"/>
                <w:sz w:val="16"/>
                <w:szCs w:val="16"/>
                <w:lang w:eastAsia="lv-LV"/>
              </w:rPr>
            </w:pPr>
            <w:r w:rsidRPr="00062774">
              <w:rPr>
                <w:rFonts w:eastAsia="Times New Roman" w:cs="Times New Roman"/>
                <w:sz w:val="16"/>
                <w:szCs w:val="16"/>
                <w:lang w:eastAsia="lv-LV"/>
              </w:rPr>
              <w:t>-3,5%</w:t>
            </w:r>
          </w:p>
        </w:tc>
      </w:tr>
      <w:tr w:rsidR="00062774" w:rsidRPr="00062774" w:rsidTr="0079557A">
        <w:trPr>
          <w:trHeight w:val="274"/>
        </w:trPr>
        <w:tc>
          <w:tcPr>
            <w:tcW w:w="1798" w:type="dxa"/>
            <w:gridSpan w:val="2"/>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i/>
                <w:iCs/>
                <w:color w:val="000000"/>
                <w:sz w:val="16"/>
                <w:szCs w:val="16"/>
                <w:lang w:eastAsia="lv-LV"/>
              </w:rPr>
            </w:pPr>
            <w:r w:rsidRPr="00062774">
              <w:rPr>
                <w:rFonts w:eastAsia="Times New Roman" w:cs="Times New Roman"/>
                <w:i/>
                <w:iCs/>
                <w:color w:val="000000"/>
                <w:sz w:val="16"/>
                <w:szCs w:val="16"/>
                <w:lang w:eastAsia="lv-LV"/>
              </w:rPr>
              <w:t>Finansiālā bilance</w:t>
            </w:r>
          </w:p>
        </w:tc>
        <w:tc>
          <w:tcPr>
            <w:tcW w:w="749"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774"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798"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1753" w:type="dxa"/>
            <w:gridSpan w:val="3"/>
            <w:tcBorders>
              <w:top w:val="nil"/>
              <w:left w:val="nil"/>
              <w:bottom w:val="nil"/>
              <w:right w:val="nil"/>
            </w:tcBorders>
            <w:shd w:val="clear" w:color="000000" w:fill="F2F2F2"/>
            <w:noWrap/>
            <w:vAlign w:val="bottom"/>
            <w:hideMark/>
          </w:tcPr>
          <w:p w:rsidR="00062774" w:rsidRPr="00062774" w:rsidRDefault="00062774" w:rsidP="00062774">
            <w:pPr>
              <w:spacing w:after="0"/>
              <w:ind w:firstLine="0"/>
              <w:jc w:val="center"/>
              <w:rPr>
                <w:rFonts w:eastAsia="Times New Roman" w:cs="Times New Roman"/>
                <w:b/>
                <w:bCs/>
                <w:i/>
                <w:iCs/>
                <w:color w:val="000000"/>
                <w:sz w:val="16"/>
                <w:szCs w:val="16"/>
                <w:lang w:eastAsia="lv-LV"/>
              </w:rPr>
            </w:pPr>
            <w:r w:rsidRPr="00062774">
              <w:rPr>
                <w:rFonts w:eastAsia="Times New Roman" w:cs="Times New Roman"/>
                <w:b/>
                <w:bCs/>
                <w:i/>
                <w:iCs/>
                <w:color w:val="000000"/>
                <w:sz w:val="16"/>
                <w:szCs w:val="16"/>
                <w:lang w:eastAsia="lv-LV"/>
              </w:rPr>
              <w:t>-25,3</w:t>
            </w:r>
          </w:p>
        </w:tc>
        <w:tc>
          <w:tcPr>
            <w:tcW w:w="1942"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center"/>
              <w:rPr>
                <w:rFonts w:eastAsia="Times New Roman" w:cs="Times New Roman"/>
                <w:b/>
                <w:bCs/>
                <w:i/>
                <w:iCs/>
                <w:color w:val="000000"/>
                <w:sz w:val="16"/>
                <w:szCs w:val="16"/>
                <w:lang w:eastAsia="lv-LV"/>
              </w:rPr>
            </w:pPr>
            <w:r w:rsidRPr="00062774">
              <w:rPr>
                <w:rFonts w:eastAsia="Times New Roman" w:cs="Times New Roman"/>
                <w:b/>
                <w:bCs/>
                <w:i/>
                <w:iCs/>
                <w:color w:val="000000"/>
                <w:sz w:val="16"/>
                <w:szCs w:val="16"/>
                <w:lang w:eastAsia="lv-LV"/>
              </w:rPr>
              <w:t>23,8</w:t>
            </w:r>
          </w:p>
        </w:tc>
        <w:tc>
          <w:tcPr>
            <w:tcW w:w="1913" w:type="dxa"/>
            <w:tcBorders>
              <w:top w:val="nil"/>
              <w:left w:val="nil"/>
              <w:bottom w:val="nil"/>
              <w:right w:val="nil"/>
            </w:tcBorders>
            <w:shd w:val="clear" w:color="000000" w:fill="F2F2F2"/>
            <w:noWrap/>
            <w:vAlign w:val="bottom"/>
            <w:hideMark/>
          </w:tcPr>
          <w:p w:rsidR="00062774" w:rsidRPr="00062774" w:rsidRDefault="00062774" w:rsidP="00062774">
            <w:pPr>
              <w:spacing w:after="0"/>
              <w:ind w:firstLine="0"/>
              <w:jc w:val="center"/>
              <w:rPr>
                <w:rFonts w:eastAsia="Times New Roman" w:cs="Times New Roman"/>
                <w:sz w:val="16"/>
                <w:szCs w:val="16"/>
                <w:lang w:eastAsia="lv-LV"/>
              </w:rPr>
            </w:pPr>
            <w:r w:rsidRPr="00062774">
              <w:rPr>
                <w:rFonts w:eastAsia="Times New Roman" w:cs="Times New Roman"/>
                <w:sz w:val="16"/>
                <w:szCs w:val="16"/>
                <w:lang w:eastAsia="lv-LV"/>
              </w:rPr>
              <w:t> </w:t>
            </w:r>
          </w:p>
        </w:tc>
      </w:tr>
      <w:tr w:rsidR="00062774" w:rsidRPr="00062774" w:rsidTr="0079557A">
        <w:trPr>
          <w:trHeight w:val="274"/>
        </w:trPr>
        <w:tc>
          <w:tcPr>
            <w:tcW w:w="4120" w:type="dxa"/>
            <w:gridSpan w:val="5"/>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b/>
                <w:bCs/>
                <w:color w:val="000000"/>
                <w:sz w:val="16"/>
                <w:szCs w:val="16"/>
                <w:lang w:eastAsia="lv-LV"/>
              </w:rPr>
            </w:pPr>
            <w:r w:rsidRPr="00062774">
              <w:rPr>
                <w:rFonts w:eastAsia="Times New Roman" w:cs="Times New Roman"/>
                <w:b/>
                <w:bCs/>
                <w:color w:val="000000"/>
                <w:sz w:val="16"/>
                <w:szCs w:val="16"/>
                <w:lang w:eastAsia="lv-LV"/>
              </w:rPr>
              <w:t>PAŠVALDĪBU KONSOLIDĒTAIS BUDŽETS**</w:t>
            </w:r>
          </w:p>
        </w:tc>
        <w:tc>
          <w:tcPr>
            <w:tcW w:w="586" w:type="dxa"/>
            <w:tcBorders>
              <w:top w:val="nil"/>
              <w:left w:val="nil"/>
              <w:bottom w:val="nil"/>
              <w:right w:val="nil"/>
            </w:tcBorders>
            <w:shd w:val="clear" w:color="000000" w:fill="F2F2F2"/>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583" w:type="dxa"/>
            <w:tcBorders>
              <w:top w:val="nil"/>
              <w:left w:val="nil"/>
              <w:bottom w:val="nil"/>
              <w:right w:val="nil"/>
            </w:tcBorders>
            <w:shd w:val="clear" w:color="000000" w:fill="F2F2F2"/>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582" w:type="dxa"/>
            <w:tcBorders>
              <w:top w:val="nil"/>
              <w:left w:val="nil"/>
              <w:bottom w:val="nil"/>
              <w:right w:val="nil"/>
            </w:tcBorders>
            <w:shd w:val="clear" w:color="000000" w:fill="F2F2F2"/>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1942"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center"/>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1913" w:type="dxa"/>
            <w:tcBorders>
              <w:top w:val="nil"/>
              <w:left w:val="nil"/>
              <w:bottom w:val="nil"/>
              <w:right w:val="nil"/>
            </w:tcBorders>
            <w:shd w:val="clear" w:color="000000" w:fill="F2F2F2"/>
            <w:noWrap/>
            <w:vAlign w:val="bottom"/>
            <w:hideMark/>
          </w:tcPr>
          <w:p w:rsidR="00062774" w:rsidRPr="00062774" w:rsidRDefault="00062774" w:rsidP="00062774">
            <w:pPr>
              <w:spacing w:after="0"/>
              <w:ind w:firstLine="0"/>
              <w:jc w:val="center"/>
              <w:rPr>
                <w:rFonts w:eastAsia="Times New Roman" w:cs="Times New Roman"/>
                <w:sz w:val="16"/>
                <w:szCs w:val="16"/>
                <w:lang w:eastAsia="lv-LV"/>
              </w:rPr>
            </w:pPr>
            <w:r w:rsidRPr="00062774">
              <w:rPr>
                <w:rFonts w:eastAsia="Times New Roman" w:cs="Times New Roman"/>
                <w:sz w:val="16"/>
                <w:szCs w:val="16"/>
                <w:lang w:eastAsia="lv-LV"/>
              </w:rPr>
              <w:t> </w:t>
            </w:r>
          </w:p>
        </w:tc>
      </w:tr>
      <w:tr w:rsidR="00062774" w:rsidRPr="00062774" w:rsidTr="0079557A">
        <w:trPr>
          <w:trHeight w:val="274"/>
        </w:trPr>
        <w:tc>
          <w:tcPr>
            <w:tcW w:w="1048"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Ieņēmumi</w:t>
            </w:r>
          </w:p>
        </w:tc>
        <w:tc>
          <w:tcPr>
            <w:tcW w:w="749"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749"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774"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798"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1753" w:type="dxa"/>
            <w:gridSpan w:val="3"/>
            <w:tcBorders>
              <w:top w:val="nil"/>
              <w:left w:val="nil"/>
              <w:bottom w:val="nil"/>
              <w:right w:val="nil"/>
            </w:tcBorders>
            <w:shd w:val="clear" w:color="000000" w:fill="F2F2F2"/>
            <w:noWrap/>
            <w:vAlign w:val="bottom"/>
            <w:hideMark/>
          </w:tcPr>
          <w:p w:rsidR="00062774" w:rsidRPr="00062774" w:rsidRDefault="00062774" w:rsidP="00062774">
            <w:pPr>
              <w:spacing w:after="0"/>
              <w:ind w:firstLine="0"/>
              <w:jc w:val="center"/>
              <w:rPr>
                <w:rFonts w:eastAsia="Times New Roman" w:cs="Times New Roman"/>
                <w:color w:val="000000"/>
                <w:sz w:val="16"/>
                <w:szCs w:val="16"/>
                <w:lang w:eastAsia="lv-LV"/>
              </w:rPr>
            </w:pPr>
            <w:r w:rsidRPr="00062774">
              <w:rPr>
                <w:rFonts w:eastAsia="Times New Roman" w:cs="Times New Roman"/>
                <w:color w:val="000000"/>
                <w:sz w:val="16"/>
                <w:szCs w:val="16"/>
                <w:lang w:eastAsia="lv-LV"/>
              </w:rPr>
              <w:t>498,5</w:t>
            </w:r>
          </w:p>
        </w:tc>
        <w:tc>
          <w:tcPr>
            <w:tcW w:w="1942"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center"/>
              <w:rPr>
                <w:rFonts w:eastAsia="Times New Roman" w:cs="Times New Roman"/>
                <w:color w:val="000000"/>
                <w:sz w:val="16"/>
                <w:szCs w:val="16"/>
                <w:lang w:eastAsia="lv-LV"/>
              </w:rPr>
            </w:pPr>
            <w:r w:rsidRPr="00062774">
              <w:rPr>
                <w:rFonts w:eastAsia="Times New Roman" w:cs="Times New Roman"/>
                <w:color w:val="000000"/>
                <w:sz w:val="16"/>
                <w:szCs w:val="16"/>
                <w:lang w:eastAsia="lv-LV"/>
              </w:rPr>
              <w:t>514,4</w:t>
            </w:r>
          </w:p>
        </w:tc>
        <w:tc>
          <w:tcPr>
            <w:tcW w:w="1913" w:type="dxa"/>
            <w:tcBorders>
              <w:top w:val="nil"/>
              <w:left w:val="nil"/>
              <w:bottom w:val="nil"/>
              <w:right w:val="nil"/>
            </w:tcBorders>
            <w:shd w:val="clear" w:color="000000" w:fill="F2F2F2"/>
            <w:noWrap/>
            <w:vAlign w:val="bottom"/>
            <w:hideMark/>
          </w:tcPr>
          <w:p w:rsidR="00062774" w:rsidRPr="00062774" w:rsidRDefault="00062774" w:rsidP="00062774">
            <w:pPr>
              <w:spacing w:after="0"/>
              <w:ind w:firstLine="0"/>
              <w:jc w:val="center"/>
              <w:rPr>
                <w:rFonts w:eastAsia="Times New Roman" w:cs="Times New Roman"/>
                <w:sz w:val="16"/>
                <w:szCs w:val="16"/>
                <w:lang w:eastAsia="lv-LV"/>
              </w:rPr>
            </w:pPr>
            <w:r w:rsidRPr="00062774">
              <w:rPr>
                <w:rFonts w:eastAsia="Times New Roman" w:cs="Times New Roman"/>
                <w:sz w:val="16"/>
                <w:szCs w:val="16"/>
                <w:lang w:eastAsia="lv-LV"/>
              </w:rPr>
              <w:t>3,2%</w:t>
            </w:r>
          </w:p>
        </w:tc>
      </w:tr>
      <w:tr w:rsidR="00062774" w:rsidRPr="00062774" w:rsidTr="0079557A">
        <w:trPr>
          <w:trHeight w:val="274"/>
        </w:trPr>
        <w:tc>
          <w:tcPr>
            <w:tcW w:w="1048"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Izdevumi</w:t>
            </w:r>
          </w:p>
        </w:tc>
        <w:tc>
          <w:tcPr>
            <w:tcW w:w="749"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749"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774"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798"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1753" w:type="dxa"/>
            <w:gridSpan w:val="3"/>
            <w:tcBorders>
              <w:top w:val="nil"/>
              <w:left w:val="nil"/>
              <w:bottom w:val="nil"/>
              <w:right w:val="nil"/>
            </w:tcBorders>
            <w:shd w:val="clear" w:color="000000" w:fill="F2F2F2"/>
            <w:noWrap/>
            <w:vAlign w:val="bottom"/>
            <w:hideMark/>
          </w:tcPr>
          <w:p w:rsidR="00062774" w:rsidRPr="00062774" w:rsidRDefault="00062774" w:rsidP="00062774">
            <w:pPr>
              <w:spacing w:after="0"/>
              <w:ind w:firstLine="0"/>
              <w:jc w:val="center"/>
              <w:rPr>
                <w:rFonts w:eastAsia="Times New Roman" w:cs="Times New Roman"/>
                <w:color w:val="000000"/>
                <w:sz w:val="16"/>
                <w:szCs w:val="16"/>
                <w:lang w:eastAsia="lv-LV"/>
              </w:rPr>
            </w:pPr>
            <w:r w:rsidRPr="00062774">
              <w:rPr>
                <w:rFonts w:eastAsia="Times New Roman" w:cs="Times New Roman"/>
                <w:color w:val="000000"/>
                <w:sz w:val="16"/>
                <w:szCs w:val="16"/>
                <w:lang w:eastAsia="lv-LV"/>
              </w:rPr>
              <w:t>436,5</w:t>
            </w:r>
          </w:p>
        </w:tc>
        <w:tc>
          <w:tcPr>
            <w:tcW w:w="1942"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center"/>
              <w:rPr>
                <w:rFonts w:eastAsia="Times New Roman" w:cs="Times New Roman"/>
                <w:color w:val="000000"/>
                <w:sz w:val="16"/>
                <w:szCs w:val="16"/>
                <w:lang w:eastAsia="lv-LV"/>
              </w:rPr>
            </w:pPr>
            <w:r w:rsidRPr="00062774">
              <w:rPr>
                <w:rFonts w:eastAsia="Times New Roman" w:cs="Times New Roman"/>
                <w:color w:val="000000"/>
                <w:sz w:val="16"/>
                <w:szCs w:val="16"/>
                <w:lang w:eastAsia="lv-LV"/>
              </w:rPr>
              <w:t>436,2</w:t>
            </w:r>
          </w:p>
        </w:tc>
        <w:tc>
          <w:tcPr>
            <w:tcW w:w="1913" w:type="dxa"/>
            <w:tcBorders>
              <w:top w:val="nil"/>
              <w:left w:val="nil"/>
              <w:bottom w:val="nil"/>
              <w:right w:val="nil"/>
            </w:tcBorders>
            <w:shd w:val="clear" w:color="000000" w:fill="F2F2F2"/>
            <w:noWrap/>
            <w:vAlign w:val="bottom"/>
            <w:hideMark/>
          </w:tcPr>
          <w:p w:rsidR="00062774" w:rsidRPr="00062774" w:rsidRDefault="00062774" w:rsidP="00062774">
            <w:pPr>
              <w:spacing w:after="0"/>
              <w:ind w:firstLine="0"/>
              <w:jc w:val="center"/>
              <w:rPr>
                <w:rFonts w:eastAsia="Times New Roman" w:cs="Times New Roman"/>
                <w:sz w:val="16"/>
                <w:szCs w:val="16"/>
                <w:lang w:eastAsia="lv-LV"/>
              </w:rPr>
            </w:pPr>
            <w:r w:rsidRPr="00062774">
              <w:rPr>
                <w:rFonts w:eastAsia="Times New Roman" w:cs="Times New Roman"/>
                <w:sz w:val="16"/>
                <w:szCs w:val="16"/>
                <w:lang w:eastAsia="lv-LV"/>
              </w:rPr>
              <w:t>-0,1%</w:t>
            </w:r>
          </w:p>
        </w:tc>
      </w:tr>
      <w:tr w:rsidR="00062774" w:rsidRPr="00062774" w:rsidTr="0079557A">
        <w:trPr>
          <w:trHeight w:val="274"/>
        </w:trPr>
        <w:tc>
          <w:tcPr>
            <w:tcW w:w="1798" w:type="dxa"/>
            <w:gridSpan w:val="2"/>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i/>
                <w:iCs/>
                <w:color w:val="000000"/>
                <w:sz w:val="16"/>
                <w:szCs w:val="16"/>
                <w:lang w:eastAsia="lv-LV"/>
              </w:rPr>
            </w:pPr>
            <w:r w:rsidRPr="00062774">
              <w:rPr>
                <w:rFonts w:eastAsia="Times New Roman" w:cs="Times New Roman"/>
                <w:i/>
                <w:iCs/>
                <w:color w:val="000000"/>
                <w:sz w:val="16"/>
                <w:szCs w:val="16"/>
                <w:lang w:eastAsia="lv-LV"/>
              </w:rPr>
              <w:t>Finansiālā bilance</w:t>
            </w:r>
          </w:p>
        </w:tc>
        <w:tc>
          <w:tcPr>
            <w:tcW w:w="749"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774"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798"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left"/>
              <w:rPr>
                <w:rFonts w:eastAsia="Times New Roman" w:cs="Times New Roman"/>
                <w:color w:val="000000"/>
                <w:sz w:val="16"/>
                <w:szCs w:val="16"/>
                <w:lang w:eastAsia="lv-LV"/>
              </w:rPr>
            </w:pPr>
            <w:r w:rsidRPr="00062774">
              <w:rPr>
                <w:rFonts w:eastAsia="Times New Roman" w:cs="Times New Roman"/>
                <w:color w:val="000000"/>
                <w:sz w:val="16"/>
                <w:szCs w:val="16"/>
                <w:lang w:eastAsia="lv-LV"/>
              </w:rPr>
              <w:t> </w:t>
            </w:r>
          </w:p>
        </w:tc>
        <w:tc>
          <w:tcPr>
            <w:tcW w:w="1753" w:type="dxa"/>
            <w:gridSpan w:val="3"/>
            <w:tcBorders>
              <w:top w:val="nil"/>
              <w:left w:val="nil"/>
              <w:bottom w:val="nil"/>
              <w:right w:val="nil"/>
            </w:tcBorders>
            <w:shd w:val="clear" w:color="000000" w:fill="F2F2F2"/>
            <w:noWrap/>
            <w:vAlign w:val="bottom"/>
            <w:hideMark/>
          </w:tcPr>
          <w:p w:rsidR="00062774" w:rsidRPr="00062774" w:rsidRDefault="00062774" w:rsidP="00062774">
            <w:pPr>
              <w:spacing w:after="0"/>
              <w:ind w:firstLine="0"/>
              <w:jc w:val="center"/>
              <w:rPr>
                <w:rFonts w:eastAsia="Times New Roman" w:cs="Times New Roman"/>
                <w:b/>
                <w:bCs/>
                <w:i/>
                <w:iCs/>
                <w:color w:val="000000"/>
                <w:sz w:val="16"/>
                <w:szCs w:val="16"/>
                <w:lang w:eastAsia="lv-LV"/>
              </w:rPr>
            </w:pPr>
            <w:r w:rsidRPr="00062774">
              <w:rPr>
                <w:rFonts w:eastAsia="Times New Roman" w:cs="Times New Roman"/>
                <w:b/>
                <w:bCs/>
                <w:i/>
                <w:iCs/>
                <w:color w:val="000000"/>
                <w:sz w:val="16"/>
                <w:szCs w:val="16"/>
                <w:lang w:eastAsia="lv-LV"/>
              </w:rPr>
              <w:t>61,9</w:t>
            </w:r>
          </w:p>
        </w:tc>
        <w:tc>
          <w:tcPr>
            <w:tcW w:w="1942" w:type="dxa"/>
            <w:tcBorders>
              <w:top w:val="nil"/>
              <w:left w:val="nil"/>
              <w:bottom w:val="nil"/>
              <w:right w:val="nil"/>
            </w:tcBorders>
            <w:shd w:val="clear" w:color="000000" w:fill="FFFFFF"/>
            <w:noWrap/>
            <w:vAlign w:val="bottom"/>
            <w:hideMark/>
          </w:tcPr>
          <w:p w:rsidR="00062774" w:rsidRPr="00062774" w:rsidRDefault="00062774" w:rsidP="00062774">
            <w:pPr>
              <w:spacing w:after="0"/>
              <w:ind w:firstLine="0"/>
              <w:jc w:val="center"/>
              <w:rPr>
                <w:rFonts w:eastAsia="Times New Roman" w:cs="Times New Roman"/>
                <w:b/>
                <w:bCs/>
                <w:i/>
                <w:iCs/>
                <w:color w:val="000000"/>
                <w:sz w:val="16"/>
                <w:szCs w:val="16"/>
                <w:lang w:eastAsia="lv-LV"/>
              </w:rPr>
            </w:pPr>
            <w:r w:rsidRPr="00062774">
              <w:rPr>
                <w:rFonts w:eastAsia="Times New Roman" w:cs="Times New Roman"/>
                <w:b/>
                <w:bCs/>
                <w:i/>
                <w:iCs/>
                <w:color w:val="000000"/>
                <w:sz w:val="16"/>
                <w:szCs w:val="16"/>
                <w:lang w:eastAsia="lv-LV"/>
              </w:rPr>
              <w:t>78,2</w:t>
            </w:r>
          </w:p>
        </w:tc>
        <w:tc>
          <w:tcPr>
            <w:tcW w:w="1913" w:type="dxa"/>
            <w:tcBorders>
              <w:top w:val="nil"/>
              <w:left w:val="nil"/>
              <w:bottom w:val="nil"/>
              <w:right w:val="nil"/>
            </w:tcBorders>
            <w:shd w:val="clear" w:color="000000" w:fill="F2F2F2"/>
            <w:noWrap/>
            <w:vAlign w:val="bottom"/>
            <w:hideMark/>
          </w:tcPr>
          <w:p w:rsidR="00062774" w:rsidRPr="00062774" w:rsidRDefault="00062774" w:rsidP="00062774">
            <w:pPr>
              <w:spacing w:after="0"/>
              <w:ind w:firstLine="0"/>
              <w:jc w:val="center"/>
              <w:rPr>
                <w:rFonts w:eastAsia="Times New Roman" w:cs="Times New Roman"/>
                <w:sz w:val="16"/>
                <w:szCs w:val="16"/>
                <w:lang w:eastAsia="lv-LV"/>
              </w:rPr>
            </w:pPr>
            <w:r w:rsidRPr="00062774">
              <w:rPr>
                <w:rFonts w:eastAsia="Times New Roman" w:cs="Times New Roman"/>
                <w:sz w:val="16"/>
                <w:szCs w:val="16"/>
                <w:lang w:eastAsia="lv-LV"/>
              </w:rPr>
              <w:t> </w:t>
            </w:r>
          </w:p>
        </w:tc>
      </w:tr>
    </w:tbl>
    <w:p w:rsidR="00062774" w:rsidRDefault="00062774" w:rsidP="00062774">
      <w:pPr>
        <w:spacing w:before="120" w:after="0"/>
        <w:ind w:firstLine="0"/>
        <w:jc w:val="left"/>
        <w:rPr>
          <w:rFonts w:eastAsia="Times New Roman" w:cs="Times New Roman"/>
          <w:i/>
          <w:iCs/>
          <w:color w:val="000000"/>
          <w:sz w:val="16"/>
          <w:szCs w:val="16"/>
          <w:lang w:eastAsia="lv-LV"/>
        </w:rPr>
      </w:pPr>
      <w:r w:rsidRPr="00062774">
        <w:rPr>
          <w:rFonts w:eastAsia="Times New Roman" w:cs="Times New Roman"/>
          <w:i/>
          <w:iCs/>
          <w:color w:val="000000"/>
          <w:sz w:val="16"/>
          <w:szCs w:val="16"/>
          <w:lang w:eastAsia="lv-LV"/>
        </w:rPr>
        <w:t>*Ieskaitot ziedojumus, dāvinājumus un atvasinātās publiskās personas  **Ieskaitot ziedojumus un dāvinājumus</w:t>
      </w:r>
    </w:p>
    <w:p w:rsidR="005C00B2" w:rsidRPr="00062774" w:rsidRDefault="005C00B2" w:rsidP="00062774">
      <w:pPr>
        <w:spacing w:before="120" w:after="0"/>
        <w:ind w:firstLine="0"/>
        <w:jc w:val="left"/>
        <w:rPr>
          <w:rFonts w:eastAsia="Times New Roman" w:cs="Times New Roman"/>
          <w:i/>
          <w:iCs/>
          <w:color w:val="000000"/>
          <w:sz w:val="16"/>
          <w:szCs w:val="16"/>
          <w:lang w:eastAsia="lv-LV"/>
        </w:rPr>
      </w:pPr>
    </w:p>
    <w:p w:rsidR="00062774" w:rsidRPr="00062774" w:rsidRDefault="00062774" w:rsidP="00062774">
      <w:pPr>
        <w:spacing w:after="0"/>
        <w:ind w:firstLine="720"/>
        <w:rPr>
          <w:rFonts w:cs="Times New Roman"/>
        </w:rPr>
      </w:pPr>
      <w:r w:rsidRPr="00062774">
        <w:rPr>
          <w:rFonts w:cs="Times New Roman"/>
        </w:rPr>
        <w:lastRenderedPageBreak/>
        <w:t xml:space="preserve">Kopbudžeta ieņēmumu apjoms bija iepriekšējā gada pirmā ceturkšņa līmenī. Kopējie nodokļu ieņēmumi bija augstāki nekā iepriekšējā gada pārskata periodā, taču jāatzīmē, ka to pieauguma temps bija lēnāks nekā iepriekšējos gados novērots. Lielāko nodokļu ieņēmumu pieaugumu pamatā nodrošināja pievienotās vērtības nodokļa un nekustamā īpašuma nodokļa ieņēmumu kāpums. Tāpat nedaudz palielinājās arī sociālās apdrošināšanas iemaksu apjoms (ieskaitot iemaksas </w:t>
      </w:r>
      <w:proofErr w:type="spellStart"/>
      <w:r w:rsidRPr="00062774">
        <w:rPr>
          <w:rFonts w:cs="Times New Roman"/>
        </w:rPr>
        <w:t>fondēto</w:t>
      </w:r>
      <w:proofErr w:type="spellEnd"/>
      <w:r w:rsidRPr="00062774">
        <w:rPr>
          <w:rFonts w:cs="Times New Roman"/>
        </w:rPr>
        <w:t xml:space="preserve"> pensiju shēmā). Savukārt </w:t>
      </w:r>
      <w:proofErr w:type="spellStart"/>
      <w:r w:rsidRPr="00062774">
        <w:rPr>
          <w:rFonts w:cs="Times New Roman"/>
        </w:rPr>
        <w:t>nenodokļu</w:t>
      </w:r>
      <w:proofErr w:type="spellEnd"/>
      <w:r w:rsidRPr="00062774">
        <w:rPr>
          <w:rFonts w:cs="Times New Roman"/>
        </w:rPr>
        <w:t xml:space="preserve"> ieņēmumos bija vērojams samazinājums, ko galvenokārt ietekmēja zemāki valsts pamatbudžeta </w:t>
      </w:r>
      <w:proofErr w:type="spellStart"/>
      <w:r w:rsidRPr="00062774">
        <w:rPr>
          <w:rFonts w:cs="Times New Roman"/>
        </w:rPr>
        <w:t>nenodokļu</w:t>
      </w:r>
      <w:proofErr w:type="spellEnd"/>
      <w:r w:rsidRPr="00062774">
        <w:rPr>
          <w:rFonts w:cs="Times New Roman"/>
        </w:rPr>
        <w:t xml:space="preserve"> ieņēmumi, kur šā gada pirmajā ceturksnī netika saņemti ieņēmumi no valstij piederošo siltumnīcefekta gāzu emisijas vienību tirdzniecības, kas iepriekšējā gada attiecīgajā periodā bija 13,8 milj. </w:t>
      </w:r>
      <w:proofErr w:type="spellStart"/>
      <w:r w:rsidR="00404D8F" w:rsidRPr="00B87469">
        <w:rPr>
          <w:rFonts w:cs="Times New Roman"/>
          <w:i/>
        </w:rPr>
        <w:t>euro</w:t>
      </w:r>
      <w:proofErr w:type="spellEnd"/>
      <w:r w:rsidRPr="00062774">
        <w:rPr>
          <w:rFonts w:cs="Times New Roman"/>
        </w:rPr>
        <w:t xml:space="preserve">. </w:t>
      </w:r>
    </w:p>
    <w:p w:rsidR="00062774" w:rsidRPr="00062774" w:rsidRDefault="00062774" w:rsidP="00062774">
      <w:pPr>
        <w:spacing w:after="0"/>
        <w:ind w:firstLine="720"/>
        <w:rPr>
          <w:rFonts w:cs="Times New Roman"/>
        </w:rPr>
      </w:pPr>
      <w:r w:rsidRPr="00062774">
        <w:rPr>
          <w:rFonts w:cs="Times New Roman"/>
        </w:rPr>
        <w:t xml:space="preserve">Savukārt kopbudžeta izdevumu kāpums bija neliels un izdevumi palielinājās visās pozīcijās, izņemot izdevumus sociālajiem pabalstiem un precēm un pakalpojumiem. Jāatzīmē, ka attīstības tendences pa budžetiem bija atšķirīgas – visstraujāk izdevumi pieauga valsts pamatbudžetā, pašvaldību budžetā tie bija iepriekšējā gada pārskata perioda līmenī, savukārt speciālajā budžetā tie bija zemāki, jo saistībā ar iestāšanos </w:t>
      </w:r>
      <w:proofErr w:type="spellStart"/>
      <w:r w:rsidR="00404D8F" w:rsidRPr="00B87469">
        <w:rPr>
          <w:rFonts w:cs="Times New Roman"/>
          <w:i/>
        </w:rPr>
        <w:t>euro</w:t>
      </w:r>
      <w:proofErr w:type="spellEnd"/>
      <w:r w:rsidR="00404D8F">
        <w:rPr>
          <w:rFonts w:cs="Times New Roman"/>
        </w:rPr>
        <w:t xml:space="preserve"> </w:t>
      </w:r>
      <w:r w:rsidRPr="00062774">
        <w:rPr>
          <w:rFonts w:cs="Times New Roman"/>
        </w:rPr>
        <w:t xml:space="preserve">zonā daļa no janvāra izdevumiem tika veikti 2013.gada decembrī.   </w:t>
      </w:r>
    </w:p>
    <w:p w:rsidR="00062774" w:rsidRPr="00062774" w:rsidRDefault="00062774" w:rsidP="00062774">
      <w:pPr>
        <w:spacing w:before="240" w:after="0"/>
        <w:ind w:firstLine="720"/>
        <w:rPr>
          <w:rFonts w:cs="Times New Roman"/>
        </w:rPr>
      </w:pPr>
    </w:p>
    <w:p w:rsidR="00062774" w:rsidRPr="00062774" w:rsidRDefault="00062774" w:rsidP="00062774">
      <w:pPr>
        <w:ind w:firstLine="0"/>
        <w:jc w:val="center"/>
        <w:rPr>
          <w:b/>
          <w:i/>
        </w:rPr>
      </w:pPr>
      <w:r w:rsidRPr="00062774">
        <w:rPr>
          <w:noProof/>
          <w:lang w:eastAsia="lv-LV"/>
        </w:rPr>
        <w:drawing>
          <wp:inline distT="0" distB="0" distL="0" distR="0" wp14:anchorId="572E0EDD" wp14:editId="1CFD170B">
            <wp:extent cx="6061710" cy="3400425"/>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62774" w:rsidRPr="000161A4" w:rsidRDefault="00062774" w:rsidP="00D24FBD">
      <w:pPr>
        <w:ind w:firstLine="0"/>
        <w:jc w:val="center"/>
        <w:rPr>
          <w:rFonts w:cs="Times New Roman"/>
          <w:b/>
          <w:i/>
          <w:sz w:val="24"/>
        </w:rPr>
      </w:pPr>
      <w:r w:rsidRPr="000161A4">
        <w:rPr>
          <w:rFonts w:cs="Times New Roman"/>
          <w:b/>
          <w:i/>
          <w:sz w:val="24"/>
        </w:rPr>
        <w:t>2</w:t>
      </w:r>
      <w:r w:rsidR="000161A4">
        <w:rPr>
          <w:rFonts w:cs="Times New Roman"/>
          <w:b/>
          <w:i/>
          <w:sz w:val="24"/>
        </w:rPr>
        <w:t>4</w:t>
      </w:r>
      <w:r w:rsidRPr="000161A4">
        <w:rPr>
          <w:rFonts w:cs="Times New Roman"/>
          <w:b/>
          <w:i/>
          <w:sz w:val="24"/>
        </w:rPr>
        <w:t xml:space="preserve">. att. Konsolidētā kopbudžeta finansiālā bilance, milj. </w:t>
      </w:r>
      <w:proofErr w:type="spellStart"/>
      <w:r w:rsidR="00404D8F">
        <w:rPr>
          <w:rFonts w:cs="Times New Roman"/>
          <w:b/>
          <w:i/>
          <w:sz w:val="24"/>
        </w:rPr>
        <w:t>euro</w:t>
      </w:r>
      <w:proofErr w:type="spellEnd"/>
    </w:p>
    <w:p w:rsidR="00975F8C" w:rsidRDefault="00975F8C" w:rsidP="00975F8C">
      <w:pPr>
        <w:ind w:firstLine="720"/>
        <w:rPr>
          <w:rFonts w:cs="Times New Roman"/>
        </w:rPr>
      </w:pPr>
    </w:p>
    <w:p w:rsidR="00BB74DA" w:rsidRPr="00BB74DA" w:rsidRDefault="00BB74DA" w:rsidP="00494C2B">
      <w:pPr>
        <w:pStyle w:val="ListParagraph"/>
        <w:keepNext/>
        <w:spacing w:before="240" w:after="60"/>
        <w:ind w:left="851" w:hanging="884"/>
        <w:jc w:val="center"/>
        <w:outlineLvl w:val="1"/>
        <w:rPr>
          <w:rFonts w:cs="Times New Roman"/>
          <w:b/>
          <w:color w:val="000000" w:themeColor="text1"/>
          <w:sz w:val="36"/>
        </w:rPr>
      </w:pPr>
      <w:bookmarkStart w:id="57" w:name="_Toc356399258"/>
      <w:bookmarkStart w:id="58" w:name="_Toc387845625"/>
      <w:bookmarkStart w:id="59" w:name="_Toc387911149"/>
      <w:r>
        <w:rPr>
          <w:rFonts w:cs="Times New Roman"/>
          <w:b/>
          <w:color w:val="000000" w:themeColor="text1"/>
          <w:sz w:val="36"/>
        </w:rPr>
        <w:lastRenderedPageBreak/>
        <w:t>2.2.</w:t>
      </w:r>
      <w:r w:rsidRPr="00BB74DA">
        <w:rPr>
          <w:rFonts w:cs="Times New Roman"/>
          <w:b/>
          <w:color w:val="000000" w:themeColor="text1"/>
          <w:sz w:val="36"/>
        </w:rPr>
        <w:t xml:space="preserve">Nodokļu un </w:t>
      </w:r>
      <w:proofErr w:type="spellStart"/>
      <w:r w:rsidRPr="00BB74DA">
        <w:rPr>
          <w:rFonts w:cs="Times New Roman"/>
          <w:b/>
          <w:color w:val="000000" w:themeColor="text1"/>
          <w:sz w:val="36"/>
        </w:rPr>
        <w:t>nenodokļu</w:t>
      </w:r>
      <w:proofErr w:type="spellEnd"/>
      <w:r w:rsidRPr="00BB74DA">
        <w:rPr>
          <w:rFonts w:cs="Times New Roman"/>
          <w:b/>
          <w:color w:val="000000" w:themeColor="text1"/>
          <w:sz w:val="36"/>
        </w:rPr>
        <w:t xml:space="preserve"> ieņēmumi</w:t>
      </w:r>
      <w:bookmarkEnd w:id="57"/>
      <w:bookmarkEnd w:id="58"/>
      <w:bookmarkEnd w:id="59"/>
    </w:p>
    <w:p w:rsidR="00BB74DA" w:rsidRPr="00C91A4A" w:rsidRDefault="00BB74DA" w:rsidP="00BB74DA">
      <w:pPr>
        <w:pStyle w:val="Heading3"/>
        <w:numPr>
          <w:ilvl w:val="2"/>
          <w:numId w:val="26"/>
        </w:numPr>
        <w:jc w:val="center"/>
        <w:rPr>
          <w:rFonts w:ascii="Times New Roman" w:hAnsi="Times New Roman"/>
          <w:b/>
          <w:sz w:val="32"/>
        </w:rPr>
      </w:pPr>
      <w:bookmarkStart w:id="60" w:name="_Toc356399259"/>
      <w:bookmarkStart w:id="61" w:name="_Toc387845626"/>
      <w:bookmarkStart w:id="62" w:name="_Toc387911150"/>
      <w:r w:rsidRPr="00C91A4A">
        <w:rPr>
          <w:rFonts w:ascii="Times New Roman" w:hAnsi="Times New Roman"/>
          <w:b/>
          <w:sz w:val="32"/>
        </w:rPr>
        <w:t>Nodokļi ieņēmumu izpilde</w:t>
      </w:r>
      <w:bookmarkEnd w:id="60"/>
      <w:bookmarkEnd w:id="61"/>
      <w:bookmarkEnd w:id="62"/>
    </w:p>
    <w:p w:rsidR="00BB74DA" w:rsidRPr="006B1552" w:rsidRDefault="00BB74DA" w:rsidP="00BB74DA">
      <w:pPr>
        <w:ind w:firstLine="720"/>
        <w:rPr>
          <w:rFonts w:cs="Times New Roman"/>
          <w:highlight w:val="yellow"/>
        </w:rPr>
      </w:pPr>
      <w:r w:rsidRPr="0002170B">
        <w:rPr>
          <w:rFonts w:cs="Times New Roman"/>
        </w:rPr>
        <w:t xml:space="preserve">Kopējie nodokļu ieņēmumi (ieskaitot valsts </w:t>
      </w:r>
      <w:proofErr w:type="spellStart"/>
      <w:r w:rsidRPr="0002170B">
        <w:rPr>
          <w:rFonts w:cs="Times New Roman"/>
        </w:rPr>
        <w:t>fondēto</w:t>
      </w:r>
      <w:proofErr w:type="spellEnd"/>
      <w:r w:rsidRPr="0002170B">
        <w:rPr>
          <w:rFonts w:cs="Times New Roman"/>
        </w:rPr>
        <w:t xml:space="preserve"> pensiju shēmas līdzekļus) 2014. gada pirmajā ceturksnī bija 1 625,9 milj. </w:t>
      </w:r>
      <w:proofErr w:type="spellStart"/>
      <w:r w:rsidRPr="0002170B">
        <w:rPr>
          <w:rFonts w:cs="Times New Roman"/>
          <w:i/>
          <w:szCs w:val="24"/>
        </w:rPr>
        <w:t>euro</w:t>
      </w:r>
      <w:proofErr w:type="spellEnd"/>
      <w:r w:rsidRPr="0002170B">
        <w:rPr>
          <w:rFonts w:cs="Times New Roman"/>
        </w:rPr>
        <w:t>, kas salīdzinājumā ar 2013. gada pirmo ceturksni ir par 83,4 milj. </w:t>
      </w:r>
      <w:proofErr w:type="spellStart"/>
      <w:r w:rsidRPr="0002170B">
        <w:rPr>
          <w:rFonts w:cs="Times New Roman"/>
          <w:i/>
          <w:szCs w:val="24"/>
        </w:rPr>
        <w:t>euro</w:t>
      </w:r>
      <w:proofErr w:type="spellEnd"/>
      <w:r w:rsidRPr="0002170B">
        <w:rPr>
          <w:rFonts w:cs="Times New Roman"/>
        </w:rPr>
        <w:t xml:space="preserve"> jeb 5,4% vairāk. Lielākais īpatsvars 2014. gada pirmajā ceturksnī kopējos nodokļu ieņēmumos bija sociālās apdrošināšanas iemaksu ieņēmumiem – 31,8%, pievienotās vērtības nodokļa ieņēmumiem – 26,0% un iedzīvotāju ienākuma n</w:t>
      </w:r>
      <w:r>
        <w:rPr>
          <w:rFonts w:cs="Times New Roman"/>
        </w:rPr>
        <w:t>odokļa ieņēmumiem –19,1 procents</w:t>
      </w:r>
      <w:r w:rsidRPr="008A6132">
        <w:rPr>
          <w:rFonts w:cs="Times New Roman"/>
        </w:rPr>
        <w:t xml:space="preserve">. </w:t>
      </w:r>
      <w:r w:rsidRPr="008A6132">
        <w:rPr>
          <w:rFonts w:eastAsia="Calibri" w:cs="Times New Roman"/>
        </w:rPr>
        <w:t>Nodokļu ieņēmumu pieaugumu noteica gan iedzīvotāju un uzņēmumu ekonomiskās aktivitātes pieaugums, gan administrēšanas pasākumu pozitīvā ietekme.</w:t>
      </w:r>
    </w:p>
    <w:p w:rsidR="00BB74DA" w:rsidRPr="0002170B" w:rsidRDefault="00BB74DA" w:rsidP="00BB74DA">
      <w:pPr>
        <w:rPr>
          <w:rFonts w:cs="Times New Roman"/>
        </w:rPr>
      </w:pPr>
      <w:r w:rsidRPr="0002170B">
        <w:rPr>
          <w:rFonts w:cs="Times New Roman"/>
        </w:rPr>
        <w:t>Kopumā 2014. gada pirmajā ceturksnī faktiski iekasētie nodokļu ieņēmumi pārsniedz plānotos ieņēmumus par 5,0 milj. </w:t>
      </w:r>
      <w:proofErr w:type="spellStart"/>
      <w:r w:rsidRPr="0002170B">
        <w:rPr>
          <w:rFonts w:cs="Times New Roman"/>
          <w:i/>
          <w:szCs w:val="24"/>
        </w:rPr>
        <w:t>euro</w:t>
      </w:r>
      <w:proofErr w:type="spellEnd"/>
      <w:r w:rsidRPr="0002170B">
        <w:rPr>
          <w:rFonts w:cs="Times New Roman"/>
        </w:rPr>
        <w:t>, nodrošinot plāna izpildi par 100,3 procentiem.</w:t>
      </w:r>
    </w:p>
    <w:p w:rsidR="00BB74DA" w:rsidRPr="005C00B2" w:rsidRDefault="00BB74DA" w:rsidP="005C00B2">
      <w:pPr>
        <w:rPr>
          <w:rFonts w:cs="Times New Roman"/>
          <w:b/>
          <w:i/>
          <w:sz w:val="24"/>
        </w:rPr>
      </w:pPr>
      <w:r w:rsidRPr="005C00B2">
        <w:rPr>
          <w:rFonts w:cs="Times New Roman"/>
          <w:b/>
          <w:i/>
          <w:sz w:val="24"/>
        </w:rPr>
        <w:t>4. tabula. Nodokļu ieņēmumi, milj. </w:t>
      </w:r>
      <w:proofErr w:type="spellStart"/>
      <w:r w:rsidRPr="005C00B2">
        <w:rPr>
          <w:rFonts w:cs="Times New Roman"/>
          <w:b/>
          <w:i/>
          <w:sz w:val="24"/>
        </w:rPr>
        <w:t>euro</w:t>
      </w:r>
      <w:proofErr w:type="spellEnd"/>
    </w:p>
    <w:tbl>
      <w:tblPr>
        <w:tblW w:w="910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2"/>
        <w:gridCol w:w="1276"/>
        <w:gridCol w:w="1144"/>
        <w:gridCol w:w="1408"/>
        <w:gridCol w:w="1280"/>
      </w:tblGrid>
      <w:tr w:rsidR="00BB74DA" w:rsidRPr="00455EB6" w:rsidTr="005C7D14">
        <w:trPr>
          <w:trHeight w:val="900"/>
        </w:trPr>
        <w:tc>
          <w:tcPr>
            <w:tcW w:w="3992" w:type="dxa"/>
            <w:shd w:val="clear" w:color="auto" w:fill="auto"/>
            <w:noWrap/>
            <w:vAlign w:val="bottom"/>
            <w:hideMark/>
          </w:tcPr>
          <w:p w:rsidR="00BB74DA" w:rsidRPr="00455EB6" w:rsidRDefault="00BB74DA" w:rsidP="005C7D14">
            <w:pPr>
              <w:spacing w:after="0"/>
              <w:ind w:firstLine="0"/>
              <w:jc w:val="center"/>
              <w:rPr>
                <w:sz w:val="20"/>
                <w:lang w:eastAsia="lv-LV"/>
              </w:rPr>
            </w:pPr>
          </w:p>
          <w:p w:rsidR="00BB74DA" w:rsidRPr="00455EB6" w:rsidRDefault="00BB74DA" w:rsidP="005C7D14">
            <w:pPr>
              <w:spacing w:after="0"/>
              <w:ind w:firstLine="0"/>
              <w:jc w:val="center"/>
              <w:rPr>
                <w:sz w:val="20"/>
                <w:lang w:eastAsia="lv-LV"/>
              </w:rPr>
            </w:pPr>
          </w:p>
          <w:p w:rsidR="00BB74DA" w:rsidRPr="00455EB6" w:rsidRDefault="00BB74DA" w:rsidP="005C7D14">
            <w:pPr>
              <w:spacing w:after="0"/>
              <w:ind w:firstLine="0"/>
              <w:jc w:val="center"/>
              <w:rPr>
                <w:sz w:val="20"/>
                <w:lang w:eastAsia="lv-LV"/>
              </w:rPr>
            </w:pPr>
          </w:p>
        </w:tc>
        <w:tc>
          <w:tcPr>
            <w:tcW w:w="1276" w:type="dxa"/>
            <w:shd w:val="clear" w:color="auto" w:fill="auto"/>
            <w:vAlign w:val="center"/>
            <w:hideMark/>
          </w:tcPr>
          <w:p w:rsidR="00BB74DA" w:rsidRPr="00455EB6" w:rsidRDefault="00BB74DA" w:rsidP="005C7D14">
            <w:pPr>
              <w:spacing w:after="0"/>
              <w:ind w:firstLine="0"/>
              <w:jc w:val="center"/>
              <w:rPr>
                <w:sz w:val="20"/>
                <w:lang w:eastAsia="lv-LV"/>
              </w:rPr>
            </w:pPr>
            <w:r w:rsidRPr="00455EB6">
              <w:rPr>
                <w:sz w:val="20"/>
                <w:lang w:eastAsia="lv-LV"/>
              </w:rPr>
              <w:t>2013. gada I ceturksnis</w:t>
            </w:r>
          </w:p>
        </w:tc>
        <w:tc>
          <w:tcPr>
            <w:tcW w:w="1144" w:type="dxa"/>
            <w:vAlign w:val="center"/>
          </w:tcPr>
          <w:p w:rsidR="00BB74DA" w:rsidRPr="00455EB6" w:rsidRDefault="00BB74DA" w:rsidP="005C7D14">
            <w:pPr>
              <w:spacing w:after="0"/>
              <w:ind w:firstLine="0"/>
              <w:jc w:val="center"/>
              <w:rPr>
                <w:sz w:val="20"/>
                <w:lang w:eastAsia="lv-LV"/>
              </w:rPr>
            </w:pPr>
            <w:r w:rsidRPr="00455EB6">
              <w:rPr>
                <w:sz w:val="20"/>
                <w:lang w:eastAsia="lv-LV"/>
              </w:rPr>
              <w:t>2014. gada</w:t>
            </w:r>
            <w:r w:rsidRPr="00455EB6">
              <w:rPr>
                <w:sz w:val="20"/>
                <w:lang w:eastAsia="lv-LV"/>
              </w:rPr>
              <w:br/>
              <w:t>I ceturksnis</w:t>
            </w:r>
          </w:p>
        </w:tc>
        <w:tc>
          <w:tcPr>
            <w:tcW w:w="1408" w:type="dxa"/>
            <w:shd w:val="clear" w:color="auto" w:fill="auto"/>
            <w:vAlign w:val="center"/>
            <w:hideMark/>
          </w:tcPr>
          <w:p w:rsidR="00BB74DA" w:rsidRPr="00455EB6" w:rsidRDefault="00BB74DA" w:rsidP="005C7D14">
            <w:pPr>
              <w:spacing w:after="0"/>
              <w:ind w:firstLine="0"/>
              <w:jc w:val="center"/>
              <w:rPr>
                <w:sz w:val="20"/>
                <w:lang w:eastAsia="lv-LV"/>
              </w:rPr>
            </w:pPr>
            <w:r w:rsidRPr="00455EB6">
              <w:rPr>
                <w:sz w:val="20"/>
                <w:lang w:eastAsia="lv-LV"/>
              </w:rPr>
              <w:t>Izmaiņas</w:t>
            </w:r>
            <w:r w:rsidRPr="00455EB6">
              <w:rPr>
                <w:sz w:val="20"/>
                <w:lang w:eastAsia="lv-LV"/>
              </w:rPr>
              <w:br/>
              <w:t>2014.g I cet./ 2013.g I cet.,</w:t>
            </w:r>
          </w:p>
          <w:p w:rsidR="00BB74DA" w:rsidRPr="00455EB6" w:rsidRDefault="00BB74DA" w:rsidP="005C7D14">
            <w:pPr>
              <w:spacing w:after="0"/>
              <w:ind w:firstLine="0"/>
              <w:jc w:val="center"/>
              <w:rPr>
                <w:sz w:val="20"/>
                <w:lang w:eastAsia="lv-LV"/>
              </w:rPr>
            </w:pPr>
            <w:r w:rsidRPr="00455EB6">
              <w:rPr>
                <w:sz w:val="20"/>
                <w:lang w:eastAsia="lv-LV"/>
              </w:rPr>
              <w:t>milj. </w:t>
            </w:r>
            <w:proofErr w:type="spellStart"/>
            <w:r w:rsidRPr="00455EB6">
              <w:rPr>
                <w:i/>
                <w:sz w:val="20"/>
                <w:szCs w:val="24"/>
                <w:lang w:eastAsia="lv-LV"/>
              </w:rPr>
              <w:t>euro</w:t>
            </w:r>
            <w:proofErr w:type="spellEnd"/>
          </w:p>
        </w:tc>
        <w:tc>
          <w:tcPr>
            <w:tcW w:w="1280" w:type="dxa"/>
            <w:shd w:val="clear" w:color="auto" w:fill="auto"/>
            <w:vAlign w:val="center"/>
            <w:hideMark/>
          </w:tcPr>
          <w:p w:rsidR="00BB74DA" w:rsidRPr="00455EB6" w:rsidRDefault="00BB74DA" w:rsidP="005C7D14">
            <w:pPr>
              <w:spacing w:after="0"/>
              <w:ind w:firstLine="0"/>
              <w:jc w:val="center"/>
              <w:rPr>
                <w:sz w:val="20"/>
                <w:lang w:eastAsia="lv-LV"/>
              </w:rPr>
            </w:pPr>
            <w:r w:rsidRPr="00455EB6">
              <w:rPr>
                <w:sz w:val="20"/>
                <w:lang w:eastAsia="lv-LV"/>
              </w:rPr>
              <w:t>Izmaiņas</w:t>
            </w:r>
            <w:r w:rsidRPr="00455EB6">
              <w:rPr>
                <w:sz w:val="20"/>
                <w:lang w:eastAsia="lv-LV"/>
              </w:rPr>
              <w:br/>
              <w:t>2014.g I cet./ 2013.g I cet.,</w:t>
            </w:r>
          </w:p>
          <w:p w:rsidR="00BB74DA" w:rsidRPr="00455EB6" w:rsidRDefault="00BB74DA" w:rsidP="005C7D14">
            <w:pPr>
              <w:spacing w:after="0"/>
              <w:ind w:firstLine="0"/>
              <w:jc w:val="center"/>
              <w:rPr>
                <w:sz w:val="20"/>
                <w:lang w:eastAsia="lv-LV"/>
              </w:rPr>
            </w:pPr>
            <w:r w:rsidRPr="00455EB6">
              <w:rPr>
                <w:sz w:val="20"/>
                <w:lang w:eastAsia="lv-LV"/>
              </w:rPr>
              <w:t>%</w:t>
            </w:r>
          </w:p>
        </w:tc>
      </w:tr>
      <w:tr w:rsidR="00BB74DA" w:rsidRPr="00455EB6" w:rsidTr="005C7D14">
        <w:trPr>
          <w:trHeight w:val="240"/>
        </w:trPr>
        <w:tc>
          <w:tcPr>
            <w:tcW w:w="3992" w:type="dxa"/>
            <w:shd w:val="clear" w:color="auto" w:fill="auto"/>
            <w:noWrap/>
            <w:vAlign w:val="bottom"/>
            <w:hideMark/>
          </w:tcPr>
          <w:p w:rsidR="00BB74DA" w:rsidRPr="00455EB6" w:rsidRDefault="00BB74DA" w:rsidP="005C7D14">
            <w:pPr>
              <w:spacing w:after="0"/>
              <w:ind w:firstLine="0"/>
              <w:jc w:val="left"/>
              <w:rPr>
                <w:sz w:val="20"/>
                <w:lang w:eastAsia="lv-LV"/>
              </w:rPr>
            </w:pPr>
            <w:r w:rsidRPr="00455EB6">
              <w:rPr>
                <w:sz w:val="20"/>
                <w:lang w:eastAsia="lv-LV"/>
              </w:rPr>
              <w:t> Uzņēmumu ienākuma nodoklis</w:t>
            </w:r>
          </w:p>
        </w:tc>
        <w:tc>
          <w:tcPr>
            <w:tcW w:w="1276" w:type="dxa"/>
            <w:shd w:val="clear" w:color="auto" w:fill="auto"/>
            <w:noWrap/>
            <w:vAlign w:val="bottom"/>
          </w:tcPr>
          <w:p w:rsidR="00BB74DA" w:rsidRPr="00455EB6" w:rsidRDefault="00BB74DA" w:rsidP="005C7D14">
            <w:pPr>
              <w:tabs>
                <w:tab w:val="decimal" w:pos="601"/>
              </w:tabs>
              <w:spacing w:after="0"/>
              <w:ind w:firstLine="0"/>
              <w:jc w:val="left"/>
              <w:rPr>
                <w:sz w:val="20"/>
                <w:lang w:eastAsia="lv-LV"/>
              </w:rPr>
            </w:pPr>
            <w:r w:rsidRPr="00455EB6">
              <w:rPr>
                <w:sz w:val="20"/>
                <w:lang w:eastAsia="lv-LV"/>
              </w:rPr>
              <w:t>81,6</w:t>
            </w:r>
          </w:p>
        </w:tc>
        <w:tc>
          <w:tcPr>
            <w:tcW w:w="1144" w:type="dxa"/>
            <w:vAlign w:val="bottom"/>
          </w:tcPr>
          <w:p w:rsidR="00BB74DA" w:rsidRPr="00455EB6" w:rsidRDefault="00BB74DA" w:rsidP="005C7D14">
            <w:pPr>
              <w:tabs>
                <w:tab w:val="decimal" w:pos="601"/>
              </w:tabs>
              <w:spacing w:after="0"/>
              <w:ind w:firstLine="0"/>
              <w:jc w:val="left"/>
              <w:rPr>
                <w:sz w:val="20"/>
                <w:lang w:eastAsia="lv-LV"/>
              </w:rPr>
            </w:pPr>
            <w:r w:rsidRPr="00455EB6">
              <w:rPr>
                <w:sz w:val="20"/>
                <w:lang w:eastAsia="lv-LV"/>
              </w:rPr>
              <w:t>83,8</w:t>
            </w:r>
          </w:p>
        </w:tc>
        <w:tc>
          <w:tcPr>
            <w:tcW w:w="1408" w:type="dxa"/>
            <w:shd w:val="clear" w:color="auto" w:fill="auto"/>
            <w:noWrap/>
            <w:vAlign w:val="bottom"/>
          </w:tcPr>
          <w:p w:rsidR="00BB74DA" w:rsidRPr="00455EB6" w:rsidRDefault="00BB74DA" w:rsidP="005C7D14">
            <w:pPr>
              <w:tabs>
                <w:tab w:val="decimal" w:pos="601"/>
              </w:tabs>
              <w:spacing w:after="0"/>
              <w:ind w:firstLine="0"/>
              <w:jc w:val="left"/>
              <w:rPr>
                <w:sz w:val="20"/>
                <w:lang w:eastAsia="lv-LV"/>
              </w:rPr>
            </w:pPr>
            <w:r w:rsidRPr="00455EB6">
              <w:rPr>
                <w:sz w:val="20"/>
                <w:lang w:eastAsia="lv-LV"/>
              </w:rPr>
              <w:t>2,2</w:t>
            </w:r>
          </w:p>
        </w:tc>
        <w:tc>
          <w:tcPr>
            <w:tcW w:w="1280" w:type="dxa"/>
            <w:shd w:val="clear" w:color="auto" w:fill="auto"/>
            <w:noWrap/>
            <w:vAlign w:val="bottom"/>
          </w:tcPr>
          <w:p w:rsidR="00BB74DA" w:rsidRPr="00455EB6" w:rsidRDefault="00BB74DA" w:rsidP="005C7D14">
            <w:pPr>
              <w:tabs>
                <w:tab w:val="decimal" w:pos="601"/>
              </w:tabs>
              <w:spacing w:after="0"/>
              <w:ind w:firstLine="0"/>
              <w:jc w:val="left"/>
              <w:rPr>
                <w:sz w:val="20"/>
                <w:lang w:eastAsia="lv-LV"/>
              </w:rPr>
            </w:pPr>
            <w:r w:rsidRPr="00455EB6">
              <w:rPr>
                <w:sz w:val="20"/>
                <w:lang w:eastAsia="lv-LV"/>
              </w:rPr>
              <w:t>2,7</w:t>
            </w:r>
          </w:p>
        </w:tc>
      </w:tr>
      <w:tr w:rsidR="00BB74DA" w:rsidRPr="00455EB6" w:rsidTr="005C7D14">
        <w:trPr>
          <w:trHeight w:val="240"/>
        </w:trPr>
        <w:tc>
          <w:tcPr>
            <w:tcW w:w="3992" w:type="dxa"/>
            <w:shd w:val="clear" w:color="auto" w:fill="auto"/>
            <w:noWrap/>
            <w:vAlign w:val="bottom"/>
            <w:hideMark/>
          </w:tcPr>
          <w:p w:rsidR="00BB74DA" w:rsidRPr="00455EB6" w:rsidRDefault="00BB74DA" w:rsidP="005C7D14">
            <w:pPr>
              <w:spacing w:after="0"/>
              <w:ind w:firstLine="0"/>
              <w:jc w:val="left"/>
              <w:rPr>
                <w:sz w:val="20"/>
                <w:lang w:eastAsia="lv-LV"/>
              </w:rPr>
            </w:pPr>
            <w:r w:rsidRPr="00455EB6">
              <w:rPr>
                <w:sz w:val="20"/>
                <w:lang w:eastAsia="lv-LV"/>
              </w:rPr>
              <w:t> Pievienotās vērtības nodoklis</w:t>
            </w:r>
          </w:p>
        </w:tc>
        <w:tc>
          <w:tcPr>
            <w:tcW w:w="1276" w:type="dxa"/>
            <w:shd w:val="clear" w:color="auto" w:fill="auto"/>
            <w:noWrap/>
            <w:vAlign w:val="bottom"/>
          </w:tcPr>
          <w:p w:rsidR="00BB74DA" w:rsidRPr="00455EB6" w:rsidRDefault="00BB74DA" w:rsidP="005C7D14">
            <w:pPr>
              <w:tabs>
                <w:tab w:val="decimal" w:pos="601"/>
              </w:tabs>
              <w:spacing w:after="0"/>
              <w:ind w:firstLine="0"/>
              <w:jc w:val="left"/>
              <w:rPr>
                <w:sz w:val="20"/>
                <w:lang w:eastAsia="lv-LV"/>
              </w:rPr>
            </w:pPr>
            <w:r w:rsidRPr="00455EB6">
              <w:rPr>
                <w:sz w:val="20"/>
                <w:lang w:eastAsia="lv-LV"/>
              </w:rPr>
              <w:t>374,0</w:t>
            </w:r>
          </w:p>
        </w:tc>
        <w:tc>
          <w:tcPr>
            <w:tcW w:w="1144" w:type="dxa"/>
            <w:vAlign w:val="bottom"/>
          </w:tcPr>
          <w:p w:rsidR="00BB74DA" w:rsidRPr="00455EB6" w:rsidRDefault="00BB74DA" w:rsidP="005C7D14">
            <w:pPr>
              <w:tabs>
                <w:tab w:val="decimal" w:pos="601"/>
              </w:tabs>
              <w:spacing w:after="0"/>
              <w:ind w:firstLine="0"/>
              <w:jc w:val="left"/>
              <w:rPr>
                <w:sz w:val="20"/>
                <w:lang w:eastAsia="lv-LV"/>
              </w:rPr>
            </w:pPr>
            <w:r w:rsidRPr="00455EB6">
              <w:rPr>
                <w:sz w:val="20"/>
                <w:lang w:eastAsia="lv-LV"/>
              </w:rPr>
              <w:t>422,1</w:t>
            </w:r>
          </w:p>
        </w:tc>
        <w:tc>
          <w:tcPr>
            <w:tcW w:w="1408" w:type="dxa"/>
            <w:shd w:val="clear" w:color="auto" w:fill="auto"/>
            <w:noWrap/>
            <w:vAlign w:val="bottom"/>
          </w:tcPr>
          <w:p w:rsidR="00BB74DA" w:rsidRPr="00455EB6" w:rsidRDefault="00BB74DA" w:rsidP="005C7D14">
            <w:pPr>
              <w:tabs>
                <w:tab w:val="decimal" w:pos="601"/>
              </w:tabs>
              <w:spacing w:after="0"/>
              <w:ind w:firstLine="0"/>
              <w:jc w:val="left"/>
              <w:rPr>
                <w:sz w:val="20"/>
                <w:lang w:eastAsia="lv-LV"/>
              </w:rPr>
            </w:pPr>
            <w:r w:rsidRPr="00455EB6">
              <w:rPr>
                <w:sz w:val="20"/>
                <w:lang w:eastAsia="lv-LV"/>
              </w:rPr>
              <w:t>48,1</w:t>
            </w:r>
          </w:p>
        </w:tc>
        <w:tc>
          <w:tcPr>
            <w:tcW w:w="1280" w:type="dxa"/>
            <w:shd w:val="clear" w:color="auto" w:fill="auto"/>
            <w:noWrap/>
            <w:vAlign w:val="bottom"/>
          </w:tcPr>
          <w:p w:rsidR="00BB74DA" w:rsidRPr="00455EB6" w:rsidRDefault="00BB74DA" w:rsidP="005C7D14">
            <w:pPr>
              <w:tabs>
                <w:tab w:val="decimal" w:pos="601"/>
              </w:tabs>
              <w:spacing w:after="0"/>
              <w:ind w:firstLine="0"/>
              <w:jc w:val="left"/>
              <w:rPr>
                <w:sz w:val="20"/>
                <w:lang w:eastAsia="lv-LV"/>
              </w:rPr>
            </w:pPr>
            <w:r w:rsidRPr="00455EB6">
              <w:rPr>
                <w:sz w:val="20"/>
                <w:lang w:eastAsia="lv-LV"/>
              </w:rPr>
              <w:t>12,9</w:t>
            </w:r>
          </w:p>
        </w:tc>
      </w:tr>
      <w:tr w:rsidR="00BB74DA" w:rsidRPr="00455EB6" w:rsidTr="005C7D14">
        <w:trPr>
          <w:trHeight w:val="240"/>
        </w:trPr>
        <w:tc>
          <w:tcPr>
            <w:tcW w:w="3992" w:type="dxa"/>
            <w:shd w:val="clear" w:color="auto" w:fill="auto"/>
            <w:noWrap/>
            <w:vAlign w:val="bottom"/>
            <w:hideMark/>
          </w:tcPr>
          <w:p w:rsidR="00BB74DA" w:rsidRPr="00455EB6" w:rsidRDefault="00BB74DA" w:rsidP="005C7D14">
            <w:pPr>
              <w:spacing w:after="0"/>
              <w:ind w:firstLine="0"/>
              <w:jc w:val="left"/>
              <w:rPr>
                <w:sz w:val="20"/>
                <w:lang w:eastAsia="lv-LV"/>
              </w:rPr>
            </w:pPr>
            <w:r w:rsidRPr="00455EB6">
              <w:rPr>
                <w:sz w:val="20"/>
                <w:lang w:eastAsia="lv-LV"/>
              </w:rPr>
              <w:t> Akcīzes nodoklis</w:t>
            </w:r>
          </w:p>
        </w:tc>
        <w:tc>
          <w:tcPr>
            <w:tcW w:w="1276" w:type="dxa"/>
            <w:shd w:val="clear" w:color="auto" w:fill="auto"/>
            <w:noWrap/>
            <w:vAlign w:val="bottom"/>
          </w:tcPr>
          <w:p w:rsidR="00BB74DA" w:rsidRPr="00455EB6" w:rsidRDefault="00BB74DA" w:rsidP="005C7D14">
            <w:pPr>
              <w:tabs>
                <w:tab w:val="decimal" w:pos="601"/>
              </w:tabs>
              <w:spacing w:after="0"/>
              <w:ind w:firstLine="0"/>
              <w:jc w:val="left"/>
              <w:rPr>
                <w:sz w:val="20"/>
                <w:lang w:eastAsia="lv-LV"/>
              </w:rPr>
            </w:pPr>
            <w:r w:rsidRPr="00455EB6">
              <w:rPr>
                <w:sz w:val="20"/>
                <w:lang w:eastAsia="lv-LV"/>
              </w:rPr>
              <w:t>172,3</w:t>
            </w:r>
          </w:p>
        </w:tc>
        <w:tc>
          <w:tcPr>
            <w:tcW w:w="1144" w:type="dxa"/>
            <w:vAlign w:val="bottom"/>
          </w:tcPr>
          <w:p w:rsidR="00BB74DA" w:rsidRPr="00455EB6" w:rsidRDefault="00BB74DA" w:rsidP="005C7D14">
            <w:pPr>
              <w:tabs>
                <w:tab w:val="decimal" w:pos="601"/>
              </w:tabs>
              <w:spacing w:after="0"/>
              <w:ind w:firstLine="0"/>
              <w:jc w:val="left"/>
              <w:rPr>
                <w:sz w:val="20"/>
                <w:lang w:eastAsia="lv-LV"/>
              </w:rPr>
            </w:pPr>
            <w:r w:rsidRPr="00455EB6">
              <w:rPr>
                <w:sz w:val="20"/>
                <w:lang w:eastAsia="lv-LV"/>
              </w:rPr>
              <w:t>170,3</w:t>
            </w:r>
          </w:p>
        </w:tc>
        <w:tc>
          <w:tcPr>
            <w:tcW w:w="1408" w:type="dxa"/>
            <w:shd w:val="clear" w:color="auto" w:fill="auto"/>
            <w:noWrap/>
            <w:vAlign w:val="bottom"/>
          </w:tcPr>
          <w:p w:rsidR="00BB74DA" w:rsidRPr="00455EB6" w:rsidRDefault="00BB74DA" w:rsidP="005C7D14">
            <w:pPr>
              <w:tabs>
                <w:tab w:val="decimal" w:pos="601"/>
              </w:tabs>
              <w:spacing w:after="0"/>
              <w:ind w:firstLine="0"/>
              <w:jc w:val="left"/>
              <w:rPr>
                <w:sz w:val="20"/>
                <w:lang w:eastAsia="lv-LV"/>
              </w:rPr>
            </w:pPr>
            <w:r w:rsidRPr="00455EB6">
              <w:rPr>
                <w:sz w:val="20"/>
                <w:lang w:eastAsia="lv-LV"/>
              </w:rPr>
              <w:t>-2,0</w:t>
            </w:r>
          </w:p>
        </w:tc>
        <w:tc>
          <w:tcPr>
            <w:tcW w:w="1280" w:type="dxa"/>
            <w:shd w:val="clear" w:color="auto" w:fill="auto"/>
            <w:noWrap/>
            <w:vAlign w:val="bottom"/>
          </w:tcPr>
          <w:p w:rsidR="00BB74DA" w:rsidRPr="00455EB6" w:rsidRDefault="00BB74DA" w:rsidP="005C7D14">
            <w:pPr>
              <w:tabs>
                <w:tab w:val="decimal" w:pos="601"/>
              </w:tabs>
              <w:spacing w:after="0"/>
              <w:ind w:firstLine="0"/>
              <w:jc w:val="left"/>
              <w:rPr>
                <w:sz w:val="20"/>
                <w:lang w:eastAsia="lv-LV"/>
              </w:rPr>
            </w:pPr>
            <w:r w:rsidRPr="00455EB6">
              <w:rPr>
                <w:sz w:val="20"/>
                <w:lang w:eastAsia="lv-LV"/>
              </w:rPr>
              <w:t>-1,2</w:t>
            </w:r>
          </w:p>
        </w:tc>
      </w:tr>
      <w:tr w:rsidR="00BB74DA" w:rsidRPr="00455EB6" w:rsidTr="005C7D14">
        <w:trPr>
          <w:trHeight w:val="240"/>
        </w:trPr>
        <w:tc>
          <w:tcPr>
            <w:tcW w:w="3992" w:type="dxa"/>
            <w:shd w:val="clear" w:color="auto" w:fill="auto"/>
            <w:noWrap/>
            <w:vAlign w:val="bottom"/>
            <w:hideMark/>
          </w:tcPr>
          <w:p w:rsidR="00BB74DA" w:rsidRPr="00455EB6" w:rsidRDefault="00BB74DA" w:rsidP="005C7D14">
            <w:pPr>
              <w:spacing w:after="0"/>
              <w:ind w:firstLine="0"/>
              <w:jc w:val="left"/>
              <w:rPr>
                <w:sz w:val="20"/>
                <w:lang w:eastAsia="lv-LV"/>
              </w:rPr>
            </w:pPr>
            <w:r w:rsidRPr="00455EB6">
              <w:rPr>
                <w:sz w:val="20"/>
                <w:lang w:eastAsia="lv-LV"/>
              </w:rPr>
              <w:t> Vieglo automobiļu un motociklu nodoklis</w:t>
            </w:r>
          </w:p>
        </w:tc>
        <w:tc>
          <w:tcPr>
            <w:tcW w:w="1276" w:type="dxa"/>
            <w:shd w:val="clear" w:color="auto" w:fill="auto"/>
            <w:noWrap/>
            <w:vAlign w:val="bottom"/>
          </w:tcPr>
          <w:p w:rsidR="00BB74DA" w:rsidRPr="00455EB6" w:rsidRDefault="00BB74DA" w:rsidP="005C7D14">
            <w:pPr>
              <w:tabs>
                <w:tab w:val="decimal" w:pos="601"/>
              </w:tabs>
              <w:spacing w:after="0"/>
              <w:ind w:firstLine="0"/>
              <w:jc w:val="left"/>
              <w:rPr>
                <w:sz w:val="20"/>
                <w:lang w:eastAsia="lv-LV"/>
              </w:rPr>
            </w:pPr>
            <w:r w:rsidRPr="00455EB6">
              <w:rPr>
                <w:sz w:val="20"/>
                <w:lang w:eastAsia="lv-LV"/>
              </w:rPr>
              <w:t>2,0</w:t>
            </w:r>
          </w:p>
        </w:tc>
        <w:tc>
          <w:tcPr>
            <w:tcW w:w="1144" w:type="dxa"/>
            <w:vAlign w:val="bottom"/>
          </w:tcPr>
          <w:p w:rsidR="00BB74DA" w:rsidRPr="00455EB6" w:rsidRDefault="00BB74DA" w:rsidP="005C7D14">
            <w:pPr>
              <w:tabs>
                <w:tab w:val="decimal" w:pos="601"/>
              </w:tabs>
              <w:spacing w:after="0"/>
              <w:ind w:firstLine="0"/>
              <w:jc w:val="left"/>
              <w:rPr>
                <w:sz w:val="20"/>
                <w:lang w:eastAsia="lv-LV"/>
              </w:rPr>
            </w:pPr>
            <w:r w:rsidRPr="00455EB6">
              <w:rPr>
                <w:sz w:val="20"/>
                <w:lang w:eastAsia="lv-LV"/>
              </w:rPr>
              <w:t>2,3</w:t>
            </w:r>
          </w:p>
        </w:tc>
        <w:tc>
          <w:tcPr>
            <w:tcW w:w="1408" w:type="dxa"/>
            <w:shd w:val="clear" w:color="auto" w:fill="auto"/>
            <w:noWrap/>
            <w:vAlign w:val="bottom"/>
          </w:tcPr>
          <w:p w:rsidR="00BB74DA" w:rsidRPr="00455EB6" w:rsidRDefault="00BB74DA" w:rsidP="005C7D14">
            <w:pPr>
              <w:tabs>
                <w:tab w:val="decimal" w:pos="601"/>
              </w:tabs>
              <w:spacing w:after="0"/>
              <w:ind w:firstLine="0"/>
              <w:jc w:val="left"/>
              <w:rPr>
                <w:sz w:val="20"/>
                <w:lang w:eastAsia="lv-LV"/>
              </w:rPr>
            </w:pPr>
            <w:r w:rsidRPr="00455EB6">
              <w:rPr>
                <w:sz w:val="20"/>
                <w:lang w:eastAsia="lv-LV"/>
              </w:rPr>
              <w:t>0,3</w:t>
            </w:r>
          </w:p>
        </w:tc>
        <w:tc>
          <w:tcPr>
            <w:tcW w:w="1280" w:type="dxa"/>
            <w:shd w:val="clear" w:color="auto" w:fill="auto"/>
            <w:noWrap/>
            <w:vAlign w:val="bottom"/>
          </w:tcPr>
          <w:p w:rsidR="00BB74DA" w:rsidRPr="00455EB6" w:rsidRDefault="00BB74DA" w:rsidP="005C7D14">
            <w:pPr>
              <w:tabs>
                <w:tab w:val="decimal" w:pos="601"/>
              </w:tabs>
              <w:spacing w:after="0"/>
              <w:ind w:firstLine="0"/>
              <w:jc w:val="left"/>
              <w:rPr>
                <w:sz w:val="20"/>
                <w:lang w:eastAsia="lv-LV"/>
              </w:rPr>
            </w:pPr>
            <w:r w:rsidRPr="00455EB6">
              <w:rPr>
                <w:sz w:val="20"/>
                <w:lang w:eastAsia="lv-LV"/>
              </w:rPr>
              <w:t>15,1</w:t>
            </w:r>
          </w:p>
        </w:tc>
      </w:tr>
      <w:tr w:rsidR="00BB74DA" w:rsidRPr="00455EB6" w:rsidTr="005C7D14">
        <w:trPr>
          <w:trHeight w:val="240"/>
        </w:trPr>
        <w:tc>
          <w:tcPr>
            <w:tcW w:w="3992" w:type="dxa"/>
            <w:shd w:val="clear" w:color="auto" w:fill="auto"/>
            <w:noWrap/>
            <w:vAlign w:val="bottom"/>
            <w:hideMark/>
          </w:tcPr>
          <w:p w:rsidR="00BB74DA" w:rsidRPr="00455EB6" w:rsidRDefault="00BB74DA" w:rsidP="005C7D14">
            <w:pPr>
              <w:spacing w:after="0"/>
              <w:ind w:firstLine="0"/>
              <w:jc w:val="left"/>
              <w:rPr>
                <w:sz w:val="20"/>
                <w:lang w:eastAsia="lv-LV"/>
              </w:rPr>
            </w:pPr>
            <w:r w:rsidRPr="00455EB6">
              <w:rPr>
                <w:sz w:val="20"/>
                <w:lang w:eastAsia="lv-LV"/>
              </w:rPr>
              <w:t> Sociālās apdrošināšanas iemaksas*</w:t>
            </w:r>
          </w:p>
        </w:tc>
        <w:tc>
          <w:tcPr>
            <w:tcW w:w="1276" w:type="dxa"/>
            <w:shd w:val="clear" w:color="auto" w:fill="auto"/>
            <w:noWrap/>
            <w:vAlign w:val="bottom"/>
          </w:tcPr>
          <w:p w:rsidR="00BB74DA" w:rsidRPr="00455EB6" w:rsidRDefault="00BB74DA" w:rsidP="005C7D14">
            <w:pPr>
              <w:tabs>
                <w:tab w:val="decimal" w:pos="601"/>
              </w:tabs>
              <w:spacing w:after="0"/>
              <w:ind w:firstLine="0"/>
              <w:jc w:val="left"/>
              <w:rPr>
                <w:sz w:val="20"/>
                <w:lang w:eastAsia="lv-LV"/>
              </w:rPr>
            </w:pPr>
            <w:r w:rsidRPr="00455EB6">
              <w:rPr>
                <w:sz w:val="20"/>
                <w:lang w:eastAsia="lv-LV"/>
              </w:rPr>
              <w:t>497,1</w:t>
            </w:r>
          </w:p>
        </w:tc>
        <w:tc>
          <w:tcPr>
            <w:tcW w:w="1144" w:type="dxa"/>
            <w:vAlign w:val="bottom"/>
          </w:tcPr>
          <w:p w:rsidR="00BB74DA" w:rsidRPr="00455EB6" w:rsidRDefault="00BB74DA" w:rsidP="005C7D14">
            <w:pPr>
              <w:tabs>
                <w:tab w:val="decimal" w:pos="601"/>
              </w:tabs>
              <w:spacing w:after="0"/>
              <w:ind w:firstLine="0"/>
              <w:jc w:val="left"/>
              <w:rPr>
                <w:sz w:val="20"/>
                <w:lang w:eastAsia="lv-LV"/>
              </w:rPr>
            </w:pPr>
            <w:r w:rsidRPr="00455EB6">
              <w:rPr>
                <w:sz w:val="20"/>
                <w:lang w:eastAsia="lv-LV"/>
              </w:rPr>
              <w:t>516,5</w:t>
            </w:r>
          </w:p>
        </w:tc>
        <w:tc>
          <w:tcPr>
            <w:tcW w:w="1408" w:type="dxa"/>
            <w:shd w:val="clear" w:color="auto" w:fill="auto"/>
            <w:noWrap/>
            <w:vAlign w:val="bottom"/>
          </w:tcPr>
          <w:p w:rsidR="00BB74DA" w:rsidRPr="00455EB6" w:rsidRDefault="00BB74DA" w:rsidP="005C7D14">
            <w:pPr>
              <w:tabs>
                <w:tab w:val="decimal" w:pos="601"/>
              </w:tabs>
              <w:spacing w:after="0"/>
              <w:ind w:firstLine="0"/>
              <w:jc w:val="left"/>
              <w:rPr>
                <w:sz w:val="20"/>
                <w:lang w:eastAsia="lv-LV"/>
              </w:rPr>
            </w:pPr>
            <w:r w:rsidRPr="00455EB6">
              <w:rPr>
                <w:sz w:val="20"/>
                <w:lang w:eastAsia="lv-LV"/>
              </w:rPr>
              <w:t>19,4</w:t>
            </w:r>
          </w:p>
        </w:tc>
        <w:tc>
          <w:tcPr>
            <w:tcW w:w="1280" w:type="dxa"/>
            <w:shd w:val="clear" w:color="auto" w:fill="auto"/>
            <w:noWrap/>
            <w:vAlign w:val="bottom"/>
          </w:tcPr>
          <w:p w:rsidR="00BB74DA" w:rsidRPr="00455EB6" w:rsidRDefault="00BB74DA" w:rsidP="005C7D14">
            <w:pPr>
              <w:tabs>
                <w:tab w:val="decimal" w:pos="601"/>
              </w:tabs>
              <w:spacing w:after="0"/>
              <w:ind w:firstLine="0"/>
              <w:jc w:val="left"/>
              <w:rPr>
                <w:sz w:val="20"/>
                <w:lang w:eastAsia="lv-LV"/>
              </w:rPr>
            </w:pPr>
            <w:r w:rsidRPr="00455EB6">
              <w:rPr>
                <w:sz w:val="20"/>
                <w:lang w:eastAsia="lv-LV"/>
              </w:rPr>
              <w:t>3,9</w:t>
            </w:r>
          </w:p>
        </w:tc>
      </w:tr>
      <w:tr w:rsidR="00BB74DA" w:rsidRPr="00455EB6" w:rsidTr="005C7D14">
        <w:trPr>
          <w:trHeight w:val="240"/>
        </w:trPr>
        <w:tc>
          <w:tcPr>
            <w:tcW w:w="3992" w:type="dxa"/>
            <w:shd w:val="clear" w:color="auto" w:fill="auto"/>
            <w:noWrap/>
            <w:vAlign w:val="bottom"/>
            <w:hideMark/>
          </w:tcPr>
          <w:p w:rsidR="00BB74DA" w:rsidRPr="00455EB6" w:rsidRDefault="00BB74DA" w:rsidP="005C7D14">
            <w:pPr>
              <w:spacing w:after="0"/>
              <w:ind w:firstLine="0"/>
              <w:jc w:val="left"/>
              <w:rPr>
                <w:sz w:val="20"/>
                <w:lang w:eastAsia="lv-LV"/>
              </w:rPr>
            </w:pPr>
            <w:r w:rsidRPr="00455EB6">
              <w:rPr>
                <w:sz w:val="20"/>
                <w:lang w:eastAsia="lv-LV"/>
              </w:rPr>
              <w:t> Muitas nodoklis</w:t>
            </w:r>
          </w:p>
        </w:tc>
        <w:tc>
          <w:tcPr>
            <w:tcW w:w="1276" w:type="dxa"/>
            <w:shd w:val="clear" w:color="auto" w:fill="auto"/>
            <w:noWrap/>
            <w:vAlign w:val="bottom"/>
          </w:tcPr>
          <w:p w:rsidR="00BB74DA" w:rsidRPr="00455EB6" w:rsidRDefault="00BB74DA" w:rsidP="005C7D14">
            <w:pPr>
              <w:tabs>
                <w:tab w:val="decimal" w:pos="601"/>
              </w:tabs>
              <w:spacing w:after="0"/>
              <w:ind w:firstLine="0"/>
              <w:jc w:val="left"/>
              <w:rPr>
                <w:sz w:val="20"/>
                <w:lang w:eastAsia="lv-LV"/>
              </w:rPr>
            </w:pPr>
            <w:r w:rsidRPr="00455EB6">
              <w:rPr>
                <w:sz w:val="20"/>
                <w:lang w:eastAsia="lv-LV"/>
              </w:rPr>
              <w:t>6,0</w:t>
            </w:r>
          </w:p>
        </w:tc>
        <w:tc>
          <w:tcPr>
            <w:tcW w:w="1144" w:type="dxa"/>
            <w:vAlign w:val="bottom"/>
          </w:tcPr>
          <w:p w:rsidR="00BB74DA" w:rsidRPr="00455EB6" w:rsidRDefault="00BB74DA" w:rsidP="005C7D14">
            <w:pPr>
              <w:tabs>
                <w:tab w:val="decimal" w:pos="601"/>
              </w:tabs>
              <w:spacing w:after="0"/>
              <w:ind w:firstLine="0"/>
              <w:jc w:val="left"/>
              <w:rPr>
                <w:sz w:val="20"/>
                <w:lang w:eastAsia="lv-LV"/>
              </w:rPr>
            </w:pPr>
            <w:r w:rsidRPr="00455EB6">
              <w:rPr>
                <w:sz w:val="20"/>
                <w:lang w:eastAsia="lv-LV"/>
              </w:rPr>
              <w:t>8,4</w:t>
            </w:r>
          </w:p>
        </w:tc>
        <w:tc>
          <w:tcPr>
            <w:tcW w:w="1408" w:type="dxa"/>
            <w:shd w:val="clear" w:color="auto" w:fill="auto"/>
            <w:noWrap/>
            <w:vAlign w:val="bottom"/>
          </w:tcPr>
          <w:p w:rsidR="00BB74DA" w:rsidRPr="00455EB6" w:rsidRDefault="00BB74DA" w:rsidP="005C7D14">
            <w:pPr>
              <w:tabs>
                <w:tab w:val="decimal" w:pos="601"/>
              </w:tabs>
              <w:spacing w:after="0"/>
              <w:ind w:firstLine="0"/>
              <w:jc w:val="left"/>
              <w:rPr>
                <w:sz w:val="20"/>
                <w:lang w:eastAsia="lv-LV"/>
              </w:rPr>
            </w:pPr>
            <w:r w:rsidRPr="00455EB6">
              <w:rPr>
                <w:sz w:val="20"/>
                <w:lang w:eastAsia="lv-LV"/>
              </w:rPr>
              <w:t>2,4</w:t>
            </w:r>
          </w:p>
        </w:tc>
        <w:tc>
          <w:tcPr>
            <w:tcW w:w="1280" w:type="dxa"/>
            <w:shd w:val="clear" w:color="auto" w:fill="auto"/>
            <w:noWrap/>
            <w:vAlign w:val="bottom"/>
          </w:tcPr>
          <w:p w:rsidR="00BB74DA" w:rsidRPr="00455EB6" w:rsidRDefault="00BB74DA" w:rsidP="005C7D14">
            <w:pPr>
              <w:tabs>
                <w:tab w:val="decimal" w:pos="601"/>
              </w:tabs>
              <w:spacing w:after="0"/>
              <w:ind w:firstLine="0"/>
              <w:jc w:val="left"/>
              <w:rPr>
                <w:sz w:val="20"/>
                <w:lang w:eastAsia="lv-LV"/>
              </w:rPr>
            </w:pPr>
            <w:r w:rsidRPr="00455EB6">
              <w:rPr>
                <w:sz w:val="20"/>
                <w:lang w:eastAsia="lv-LV"/>
              </w:rPr>
              <w:t>39,7</w:t>
            </w:r>
          </w:p>
        </w:tc>
      </w:tr>
      <w:tr w:rsidR="00BB74DA" w:rsidRPr="00455EB6" w:rsidTr="005C7D14">
        <w:trPr>
          <w:trHeight w:val="240"/>
        </w:trPr>
        <w:tc>
          <w:tcPr>
            <w:tcW w:w="3992" w:type="dxa"/>
            <w:shd w:val="clear" w:color="auto" w:fill="auto"/>
            <w:noWrap/>
            <w:vAlign w:val="bottom"/>
            <w:hideMark/>
          </w:tcPr>
          <w:p w:rsidR="00BB74DA" w:rsidRPr="00455EB6" w:rsidRDefault="00BB74DA" w:rsidP="005C7D14">
            <w:pPr>
              <w:spacing w:after="0"/>
              <w:ind w:firstLine="0"/>
              <w:jc w:val="left"/>
              <w:rPr>
                <w:sz w:val="20"/>
                <w:lang w:eastAsia="lv-LV"/>
              </w:rPr>
            </w:pPr>
            <w:r w:rsidRPr="00455EB6">
              <w:rPr>
                <w:sz w:val="20"/>
                <w:lang w:eastAsia="lv-LV"/>
              </w:rPr>
              <w:t> Iedzīvotāju ienākuma nodoklis</w:t>
            </w:r>
          </w:p>
        </w:tc>
        <w:tc>
          <w:tcPr>
            <w:tcW w:w="1276" w:type="dxa"/>
            <w:shd w:val="clear" w:color="auto" w:fill="auto"/>
            <w:noWrap/>
            <w:vAlign w:val="bottom"/>
          </w:tcPr>
          <w:p w:rsidR="00BB74DA" w:rsidRPr="00455EB6" w:rsidRDefault="00BB74DA" w:rsidP="005C7D14">
            <w:pPr>
              <w:tabs>
                <w:tab w:val="decimal" w:pos="601"/>
              </w:tabs>
              <w:spacing w:after="0"/>
              <w:ind w:firstLine="0"/>
              <w:jc w:val="left"/>
              <w:rPr>
                <w:sz w:val="20"/>
                <w:lang w:eastAsia="lv-LV"/>
              </w:rPr>
            </w:pPr>
            <w:r w:rsidRPr="00455EB6">
              <w:rPr>
                <w:sz w:val="20"/>
                <w:lang w:eastAsia="lv-LV"/>
              </w:rPr>
              <w:t>318,5</w:t>
            </w:r>
          </w:p>
        </w:tc>
        <w:tc>
          <w:tcPr>
            <w:tcW w:w="1144" w:type="dxa"/>
            <w:vAlign w:val="bottom"/>
          </w:tcPr>
          <w:p w:rsidR="00BB74DA" w:rsidRPr="00455EB6" w:rsidRDefault="00BB74DA" w:rsidP="005C7D14">
            <w:pPr>
              <w:tabs>
                <w:tab w:val="decimal" w:pos="601"/>
              </w:tabs>
              <w:spacing w:after="0"/>
              <w:ind w:firstLine="0"/>
              <w:jc w:val="left"/>
              <w:rPr>
                <w:sz w:val="20"/>
                <w:lang w:eastAsia="lv-LV"/>
              </w:rPr>
            </w:pPr>
            <w:r w:rsidRPr="00455EB6">
              <w:rPr>
                <w:sz w:val="20"/>
                <w:lang w:eastAsia="lv-LV"/>
              </w:rPr>
              <w:t>310,5</w:t>
            </w:r>
          </w:p>
        </w:tc>
        <w:tc>
          <w:tcPr>
            <w:tcW w:w="1408" w:type="dxa"/>
            <w:shd w:val="clear" w:color="auto" w:fill="auto"/>
            <w:noWrap/>
            <w:vAlign w:val="bottom"/>
          </w:tcPr>
          <w:p w:rsidR="00BB74DA" w:rsidRPr="00455EB6" w:rsidRDefault="00BB74DA" w:rsidP="005C7D14">
            <w:pPr>
              <w:tabs>
                <w:tab w:val="decimal" w:pos="601"/>
              </w:tabs>
              <w:spacing w:after="0"/>
              <w:ind w:firstLine="0"/>
              <w:jc w:val="left"/>
              <w:rPr>
                <w:sz w:val="20"/>
                <w:lang w:eastAsia="lv-LV"/>
              </w:rPr>
            </w:pPr>
            <w:r w:rsidRPr="00455EB6">
              <w:rPr>
                <w:sz w:val="20"/>
                <w:lang w:eastAsia="lv-LV"/>
              </w:rPr>
              <w:t>-8,8</w:t>
            </w:r>
          </w:p>
        </w:tc>
        <w:tc>
          <w:tcPr>
            <w:tcW w:w="1280" w:type="dxa"/>
            <w:shd w:val="clear" w:color="auto" w:fill="auto"/>
            <w:noWrap/>
            <w:vAlign w:val="bottom"/>
          </w:tcPr>
          <w:p w:rsidR="00BB74DA" w:rsidRPr="00455EB6" w:rsidRDefault="00BB74DA" w:rsidP="005C7D14">
            <w:pPr>
              <w:tabs>
                <w:tab w:val="decimal" w:pos="601"/>
              </w:tabs>
              <w:spacing w:after="0"/>
              <w:ind w:firstLine="0"/>
              <w:jc w:val="left"/>
              <w:rPr>
                <w:sz w:val="20"/>
                <w:lang w:eastAsia="lv-LV"/>
              </w:rPr>
            </w:pPr>
            <w:r w:rsidRPr="00455EB6">
              <w:rPr>
                <w:sz w:val="20"/>
                <w:lang w:eastAsia="lv-LV"/>
              </w:rPr>
              <w:t>-2,5</w:t>
            </w:r>
          </w:p>
        </w:tc>
      </w:tr>
      <w:tr w:rsidR="00BB74DA" w:rsidRPr="00455EB6" w:rsidTr="005C7D14">
        <w:trPr>
          <w:trHeight w:val="240"/>
        </w:trPr>
        <w:tc>
          <w:tcPr>
            <w:tcW w:w="3992" w:type="dxa"/>
            <w:shd w:val="clear" w:color="auto" w:fill="auto"/>
            <w:noWrap/>
            <w:vAlign w:val="bottom"/>
            <w:hideMark/>
          </w:tcPr>
          <w:p w:rsidR="00BB74DA" w:rsidRPr="00455EB6" w:rsidRDefault="00BB74DA" w:rsidP="005C7D14">
            <w:pPr>
              <w:spacing w:after="0"/>
              <w:ind w:firstLine="0"/>
              <w:jc w:val="left"/>
              <w:rPr>
                <w:sz w:val="20"/>
                <w:lang w:eastAsia="lv-LV"/>
              </w:rPr>
            </w:pPr>
            <w:r w:rsidRPr="00455EB6">
              <w:rPr>
                <w:sz w:val="20"/>
                <w:lang w:eastAsia="lv-LV"/>
              </w:rPr>
              <w:t> Nekustamā īpašuma nodoklis</w:t>
            </w:r>
          </w:p>
        </w:tc>
        <w:tc>
          <w:tcPr>
            <w:tcW w:w="1276" w:type="dxa"/>
            <w:shd w:val="clear" w:color="auto" w:fill="auto"/>
            <w:noWrap/>
            <w:vAlign w:val="bottom"/>
          </w:tcPr>
          <w:p w:rsidR="00BB74DA" w:rsidRPr="00455EB6" w:rsidRDefault="00BB74DA" w:rsidP="005C7D14">
            <w:pPr>
              <w:tabs>
                <w:tab w:val="decimal" w:pos="601"/>
              </w:tabs>
              <w:spacing w:after="0"/>
              <w:ind w:firstLine="0"/>
              <w:jc w:val="left"/>
              <w:rPr>
                <w:sz w:val="20"/>
                <w:lang w:eastAsia="lv-LV"/>
              </w:rPr>
            </w:pPr>
            <w:r w:rsidRPr="00455EB6">
              <w:rPr>
                <w:sz w:val="20"/>
                <w:lang w:eastAsia="lv-LV"/>
              </w:rPr>
              <w:t>54,7</w:t>
            </w:r>
          </w:p>
        </w:tc>
        <w:tc>
          <w:tcPr>
            <w:tcW w:w="1144" w:type="dxa"/>
            <w:vAlign w:val="bottom"/>
          </w:tcPr>
          <w:p w:rsidR="00BB74DA" w:rsidRPr="00455EB6" w:rsidRDefault="00BB74DA" w:rsidP="005C7D14">
            <w:pPr>
              <w:tabs>
                <w:tab w:val="decimal" w:pos="601"/>
              </w:tabs>
              <w:spacing w:after="0"/>
              <w:ind w:firstLine="0"/>
              <w:jc w:val="left"/>
              <w:rPr>
                <w:sz w:val="20"/>
                <w:lang w:eastAsia="lv-LV"/>
              </w:rPr>
            </w:pPr>
            <w:r w:rsidRPr="00455EB6">
              <w:rPr>
                <w:sz w:val="20"/>
                <w:lang w:eastAsia="lv-LV"/>
              </w:rPr>
              <w:t>73,1</w:t>
            </w:r>
          </w:p>
        </w:tc>
        <w:tc>
          <w:tcPr>
            <w:tcW w:w="1408" w:type="dxa"/>
            <w:shd w:val="clear" w:color="auto" w:fill="auto"/>
            <w:noWrap/>
            <w:vAlign w:val="bottom"/>
          </w:tcPr>
          <w:p w:rsidR="00BB74DA" w:rsidRPr="00455EB6" w:rsidRDefault="00BB74DA" w:rsidP="005C7D14">
            <w:pPr>
              <w:tabs>
                <w:tab w:val="decimal" w:pos="601"/>
              </w:tabs>
              <w:spacing w:after="0"/>
              <w:ind w:firstLine="0"/>
              <w:jc w:val="left"/>
              <w:rPr>
                <w:sz w:val="20"/>
                <w:lang w:eastAsia="lv-LV"/>
              </w:rPr>
            </w:pPr>
            <w:r w:rsidRPr="00455EB6">
              <w:rPr>
                <w:sz w:val="20"/>
                <w:lang w:eastAsia="lv-LV"/>
              </w:rPr>
              <w:t>18,4</w:t>
            </w:r>
          </w:p>
        </w:tc>
        <w:tc>
          <w:tcPr>
            <w:tcW w:w="1280" w:type="dxa"/>
            <w:shd w:val="clear" w:color="auto" w:fill="auto"/>
            <w:noWrap/>
            <w:vAlign w:val="bottom"/>
          </w:tcPr>
          <w:p w:rsidR="00BB74DA" w:rsidRPr="00455EB6" w:rsidRDefault="00BB74DA" w:rsidP="005C7D14">
            <w:pPr>
              <w:tabs>
                <w:tab w:val="decimal" w:pos="601"/>
              </w:tabs>
              <w:spacing w:after="0"/>
              <w:ind w:firstLine="0"/>
              <w:jc w:val="left"/>
              <w:rPr>
                <w:sz w:val="20"/>
                <w:lang w:eastAsia="lv-LV"/>
              </w:rPr>
            </w:pPr>
            <w:r w:rsidRPr="00455EB6">
              <w:rPr>
                <w:sz w:val="20"/>
                <w:lang w:eastAsia="lv-LV"/>
              </w:rPr>
              <w:t>33,6</w:t>
            </w:r>
          </w:p>
        </w:tc>
      </w:tr>
      <w:tr w:rsidR="00BB74DA" w:rsidRPr="00455EB6" w:rsidTr="005C7D14">
        <w:trPr>
          <w:trHeight w:val="240"/>
        </w:trPr>
        <w:tc>
          <w:tcPr>
            <w:tcW w:w="3992" w:type="dxa"/>
            <w:shd w:val="clear" w:color="auto" w:fill="auto"/>
            <w:noWrap/>
            <w:vAlign w:val="bottom"/>
            <w:hideMark/>
          </w:tcPr>
          <w:p w:rsidR="00BB74DA" w:rsidRPr="00455EB6" w:rsidRDefault="00BB74DA" w:rsidP="005C7D14">
            <w:pPr>
              <w:spacing w:after="0"/>
              <w:ind w:firstLine="0"/>
              <w:jc w:val="left"/>
              <w:rPr>
                <w:sz w:val="20"/>
                <w:lang w:eastAsia="lv-LV"/>
              </w:rPr>
            </w:pPr>
            <w:r w:rsidRPr="00455EB6">
              <w:rPr>
                <w:sz w:val="20"/>
                <w:lang w:eastAsia="lv-LV"/>
              </w:rPr>
              <w:t> Dabas resursu nodoklis</w:t>
            </w:r>
          </w:p>
        </w:tc>
        <w:tc>
          <w:tcPr>
            <w:tcW w:w="1276" w:type="dxa"/>
            <w:shd w:val="clear" w:color="auto" w:fill="auto"/>
            <w:noWrap/>
            <w:vAlign w:val="bottom"/>
          </w:tcPr>
          <w:p w:rsidR="00BB74DA" w:rsidRPr="00455EB6" w:rsidRDefault="00BB74DA" w:rsidP="005C7D14">
            <w:pPr>
              <w:tabs>
                <w:tab w:val="decimal" w:pos="601"/>
              </w:tabs>
              <w:spacing w:after="0"/>
              <w:ind w:firstLine="0"/>
              <w:jc w:val="left"/>
              <w:rPr>
                <w:sz w:val="20"/>
                <w:lang w:eastAsia="lv-LV"/>
              </w:rPr>
            </w:pPr>
            <w:r w:rsidRPr="00455EB6">
              <w:rPr>
                <w:sz w:val="20"/>
                <w:lang w:eastAsia="lv-LV"/>
              </w:rPr>
              <w:t>5,6</w:t>
            </w:r>
          </w:p>
        </w:tc>
        <w:tc>
          <w:tcPr>
            <w:tcW w:w="1144" w:type="dxa"/>
            <w:vAlign w:val="bottom"/>
          </w:tcPr>
          <w:p w:rsidR="00BB74DA" w:rsidRPr="00455EB6" w:rsidRDefault="00BB74DA" w:rsidP="005C7D14">
            <w:pPr>
              <w:tabs>
                <w:tab w:val="decimal" w:pos="601"/>
              </w:tabs>
              <w:spacing w:after="0"/>
              <w:ind w:firstLine="0"/>
              <w:jc w:val="left"/>
              <w:rPr>
                <w:sz w:val="20"/>
                <w:lang w:eastAsia="lv-LV"/>
              </w:rPr>
            </w:pPr>
            <w:r w:rsidRPr="00455EB6">
              <w:rPr>
                <w:sz w:val="20"/>
                <w:lang w:eastAsia="lv-LV"/>
              </w:rPr>
              <w:t>5,4</w:t>
            </w:r>
          </w:p>
        </w:tc>
        <w:tc>
          <w:tcPr>
            <w:tcW w:w="1408" w:type="dxa"/>
            <w:shd w:val="clear" w:color="auto" w:fill="auto"/>
            <w:noWrap/>
            <w:vAlign w:val="bottom"/>
          </w:tcPr>
          <w:p w:rsidR="00BB74DA" w:rsidRPr="00455EB6" w:rsidRDefault="00BB74DA" w:rsidP="005C7D14">
            <w:pPr>
              <w:tabs>
                <w:tab w:val="decimal" w:pos="601"/>
              </w:tabs>
              <w:spacing w:after="0"/>
              <w:ind w:firstLine="0"/>
              <w:jc w:val="left"/>
              <w:rPr>
                <w:sz w:val="20"/>
                <w:lang w:eastAsia="lv-LV"/>
              </w:rPr>
            </w:pPr>
            <w:r w:rsidRPr="00455EB6">
              <w:rPr>
                <w:sz w:val="20"/>
                <w:lang w:eastAsia="lv-LV"/>
              </w:rPr>
              <w:t>-0,2</w:t>
            </w:r>
          </w:p>
        </w:tc>
        <w:tc>
          <w:tcPr>
            <w:tcW w:w="1280" w:type="dxa"/>
            <w:shd w:val="clear" w:color="auto" w:fill="auto"/>
            <w:noWrap/>
            <w:vAlign w:val="bottom"/>
          </w:tcPr>
          <w:p w:rsidR="00BB74DA" w:rsidRPr="00455EB6" w:rsidRDefault="00BB74DA" w:rsidP="005C7D14">
            <w:pPr>
              <w:tabs>
                <w:tab w:val="decimal" w:pos="601"/>
              </w:tabs>
              <w:spacing w:after="0"/>
              <w:ind w:firstLine="0"/>
              <w:jc w:val="left"/>
              <w:rPr>
                <w:sz w:val="20"/>
                <w:lang w:eastAsia="lv-LV"/>
              </w:rPr>
            </w:pPr>
            <w:r w:rsidRPr="00455EB6">
              <w:rPr>
                <w:sz w:val="20"/>
                <w:lang w:eastAsia="lv-LV"/>
              </w:rPr>
              <w:t>-3,0</w:t>
            </w:r>
          </w:p>
        </w:tc>
      </w:tr>
      <w:tr w:rsidR="00BB74DA" w:rsidRPr="00455EB6" w:rsidTr="005C7D14">
        <w:trPr>
          <w:trHeight w:val="240"/>
        </w:trPr>
        <w:tc>
          <w:tcPr>
            <w:tcW w:w="3992" w:type="dxa"/>
            <w:shd w:val="clear" w:color="auto" w:fill="auto"/>
            <w:noWrap/>
            <w:vAlign w:val="bottom"/>
            <w:hideMark/>
          </w:tcPr>
          <w:p w:rsidR="00BB74DA" w:rsidRPr="00455EB6" w:rsidRDefault="00BB74DA" w:rsidP="005C7D14">
            <w:pPr>
              <w:spacing w:after="0"/>
              <w:ind w:firstLine="0"/>
              <w:jc w:val="left"/>
              <w:rPr>
                <w:sz w:val="20"/>
                <w:lang w:eastAsia="lv-LV"/>
              </w:rPr>
            </w:pPr>
            <w:r w:rsidRPr="00455EB6">
              <w:rPr>
                <w:sz w:val="20"/>
                <w:lang w:eastAsia="lv-LV"/>
              </w:rPr>
              <w:t> Azartspēļu un izložu nodoklis</w:t>
            </w:r>
          </w:p>
        </w:tc>
        <w:tc>
          <w:tcPr>
            <w:tcW w:w="1276" w:type="dxa"/>
            <w:shd w:val="clear" w:color="auto" w:fill="auto"/>
            <w:noWrap/>
            <w:vAlign w:val="bottom"/>
          </w:tcPr>
          <w:p w:rsidR="00BB74DA" w:rsidRPr="00455EB6" w:rsidRDefault="00BB74DA" w:rsidP="005C7D14">
            <w:pPr>
              <w:tabs>
                <w:tab w:val="decimal" w:pos="601"/>
              </w:tabs>
              <w:spacing w:after="0"/>
              <w:ind w:firstLine="0"/>
              <w:jc w:val="left"/>
              <w:rPr>
                <w:sz w:val="20"/>
                <w:lang w:eastAsia="lv-LV"/>
              </w:rPr>
            </w:pPr>
            <w:r w:rsidRPr="00455EB6">
              <w:rPr>
                <w:sz w:val="20"/>
                <w:lang w:eastAsia="lv-LV"/>
              </w:rPr>
              <w:t>7,3</w:t>
            </w:r>
          </w:p>
        </w:tc>
        <w:tc>
          <w:tcPr>
            <w:tcW w:w="1144" w:type="dxa"/>
            <w:vAlign w:val="bottom"/>
          </w:tcPr>
          <w:p w:rsidR="00BB74DA" w:rsidRPr="00455EB6" w:rsidRDefault="00BB74DA" w:rsidP="005C7D14">
            <w:pPr>
              <w:tabs>
                <w:tab w:val="decimal" w:pos="601"/>
              </w:tabs>
              <w:spacing w:after="0"/>
              <w:ind w:firstLine="0"/>
              <w:jc w:val="left"/>
              <w:rPr>
                <w:sz w:val="20"/>
                <w:lang w:eastAsia="lv-LV"/>
              </w:rPr>
            </w:pPr>
            <w:r>
              <w:rPr>
                <w:sz w:val="20"/>
                <w:lang w:eastAsia="lv-LV"/>
              </w:rPr>
              <w:t>7,4</w:t>
            </w:r>
          </w:p>
        </w:tc>
        <w:tc>
          <w:tcPr>
            <w:tcW w:w="1408" w:type="dxa"/>
            <w:shd w:val="clear" w:color="auto" w:fill="auto"/>
            <w:noWrap/>
            <w:vAlign w:val="bottom"/>
          </w:tcPr>
          <w:p w:rsidR="00BB74DA" w:rsidRPr="00455EB6" w:rsidRDefault="00BB74DA" w:rsidP="005C7D14">
            <w:pPr>
              <w:tabs>
                <w:tab w:val="decimal" w:pos="601"/>
              </w:tabs>
              <w:spacing w:after="0"/>
              <w:ind w:firstLine="0"/>
              <w:jc w:val="left"/>
              <w:rPr>
                <w:sz w:val="20"/>
                <w:lang w:eastAsia="lv-LV"/>
              </w:rPr>
            </w:pPr>
            <w:r>
              <w:rPr>
                <w:sz w:val="20"/>
                <w:lang w:eastAsia="lv-LV"/>
              </w:rPr>
              <w:t>0,2</w:t>
            </w:r>
          </w:p>
        </w:tc>
        <w:tc>
          <w:tcPr>
            <w:tcW w:w="1280" w:type="dxa"/>
            <w:shd w:val="clear" w:color="auto" w:fill="auto"/>
            <w:noWrap/>
            <w:vAlign w:val="bottom"/>
          </w:tcPr>
          <w:p w:rsidR="00BB74DA" w:rsidRPr="00455EB6" w:rsidRDefault="00BB74DA" w:rsidP="005C7D14">
            <w:pPr>
              <w:tabs>
                <w:tab w:val="decimal" w:pos="601"/>
              </w:tabs>
              <w:spacing w:after="0"/>
              <w:ind w:firstLine="0"/>
              <w:jc w:val="left"/>
              <w:rPr>
                <w:sz w:val="20"/>
                <w:lang w:eastAsia="lv-LV"/>
              </w:rPr>
            </w:pPr>
            <w:r>
              <w:rPr>
                <w:sz w:val="20"/>
                <w:lang w:eastAsia="lv-LV"/>
              </w:rPr>
              <w:t>2,1</w:t>
            </w:r>
          </w:p>
        </w:tc>
      </w:tr>
      <w:tr w:rsidR="00BB74DA" w:rsidRPr="00455EB6" w:rsidTr="005C7D14">
        <w:trPr>
          <w:trHeight w:val="240"/>
        </w:trPr>
        <w:tc>
          <w:tcPr>
            <w:tcW w:w="3992" w:type="dxa"/>
            <w:shd w:val="clear" w:color="auto" w:fill="auto"/>
            <w:noWrap/>
            <w:vAlign w:val="bottom"/>
            <w:hideMark/>
          </w:tcPr>
          <w:p w:rsidR="00BB74DA" w:rsidRPr="00455EB6" w:rsidRDefault="00BB74DA" w:rsidP="005C7D14">
            <w:pPr>
              <w:spacing w:after="0"/>
              <w:ind w:firstLine="0"/>
              <w:jc w:val="left"/>
              <w:rPr>
                <w:sz w:val="20"/>
                <w:lang w:eastAsia="lv-LV"/>
              </w:rPr>
            </w:pPr>
            <w:r w:rsidRPr="00455EB6">
              <w:rPr>
                <w:sz w:val="20"/>
                <w:lang w:eastAsia="lv-LV"/>
              </w:rPr>
              <w:t> Elektroenerģijas nodoklis</w:t>
            </w:r>
          </w:p>
        </w:tc>
        <w:tc>
          <w:tcPr>
            <w:tcW w:w="1276" w:type="dxa"/>
            <w:shd w:val="clear" w:color="auto" w:fill="auto"/>
            <w:noWrap/>
            <w:vAlign w:val="bottom"/>
          </w:tcPr>
          <w:p w:rsidR="00BB74DA" w:rsidRPr="00455EB6" w:rsidRDefault="00BB74DA" w:rsidP="005C7D14">
            <w:pPr>
              <w:tabs>
                <w:tab w:val="decimal" w:pos="601"/>
              </w:tabs>
              <w:spacing w:after="0"/>
              <w:ind w:firstLine="0"/>
              <w:jc w:val="left"/>
              <w:rPr>
                <w:sz w:val="20"/>
                <w:lang w:eastAsia="lv-LV"/>
              </w:rPr>
            </w:pPr>
            <w:r w:rsidRPr="00455EB6">
              <w:rPr>
                <w:sz w:val="20"/>
                <w:lang w:eastAsia="lv-LV"/>
              </w:rPr>
              <w:t>0,3</w:t>
            </w:r>
          </w:p>
        </w:tc>
        <w:tc>
          <w:tcPr>
            <w:tcW w:w="1144" w:type="dxa"/>
            <w:vAlign w:val="bottom"/>
          </w:tcPr>
          <w:p w:rsidR="00BB74DA" w:rsidRPr="00455EB6" w:rsidRDefault="00BB74DA" w:rsidP="005C7D14">
            <w:pPr>
              <w:tabs>
                <w:tab w:val="decimal" w:pos="601"/>
              </w:tabs>
              <w:spacing w:after="0"/>
              <w:ind w:firstLine="0"/>
              <w:jc w:val="left"/>
              <w:rPr>
                <w:sz w:val="20"/>
                <w:lang w:eastAsia="lv-LV"/>
              </w:rPr>
            </w:pPr>
            <w:r w:rsidRPr="00455EB6">
              <w:rPr>
                <w:sz w:val="20"/>
                <w:lang w:eastAsia="lv-LV"/>
              </w:rPr>
              <w:t>0,1</w:t>
            </w:r>
          </w:p>
        </w:tc>
        <w:tc>
          <w:tcPr>
            <w:tcW w:w="1408" w:type="dxa"/>
            <w:shd w:val="clear" w:color="auto" w:fill="auto"/>
            <w:noWrap/>
            <w:vAlign w:val="bottom"/>
          </w:tcPr>
          <w:p w:rsidR="00BB74DA" w:rsidRPr="00455EB6" w:rsidRDefault="00BB74DA" w:rsidP="005C7D14">
            <w:pPr>
              <w:tabs>
                <w:tab w:val="decimal" w:pos="601"/>
              </w:tabs>
              <w:spacing w:after="0"/>
              <w:ind w:firstLine="0"/>
              <w:jc w:val="left"/>
              <w:rPr>
                <w:sz w:val="20"/>
                <w:lang w:eastAsia="lv-LV"/>
              </w:rPr>
            </w:pPr>
            <w:r w:rsidRPr="00455EB6">
              <w:rPr>
                <w:sz w:val="20"/>
                <w:lang w:eastAsia="lv-LV"/>
              </w:rPr>
              <w:t>-0,1</w:t>
            </w:r>
          </w:p>
        </w:tc>
        <w:tc>
          <w:tcPr>
            <w:tcW w:w="1280" w:type="dxa"/>
            <w:shd w:val="clear" w:color="auto" w:fill="auto"/>
            <w:noWrap/>
            <w:vAlign w:val="bottom"/>
          </w:tcPr>
          <w:p w:rsidR="00BB74DA" w:rsidRPr="00455EB6" w:rsidRDefault="00BB74DA" w:rsidP="005C7D14">
            <w:pPr>
              <w:tabs>
                <w:tab w:val="decimal" w:pos="601"/>
              </w:tabs>
              <w:spacing w:after="0"/>
              <w:ind w:firstLine="0"/>
              <w:jc w:val="left"/>
              <w:rPr>
                <w:sz w:val="20"/>
                <w:lang w:eastAsia="lv-LV"/>
              </w:rPr>
            </w:pPr>
            <w:r w:rsidRPr="00455EB6">
              <w:rPr>
                <w:sz w:val="20"/>
                <w:lang w:eastAsia="lv-LV"/>
              </w:rPr>
              <w:t>-48,6</w:t>
            </w:r>
          </w:p>
        </w:tc>
      </w:tr>
      <w:tr w:rsidR="00BB74DA" w:rsidRPr="00455EB6" w:rsidTr="005C7D14">
        <w:trPr>
          <w:trHeight w:val="240"/>
        </w:trPr>
        <w:tc>
          <w:tcPr>
            <w:tcW w:w="3992" w:type="dxa"/>
            <w:shd w:val="clear" w:color="auto" w:fill="auto"/>
            <w:noWrap/>
            <w:vAlign w:val="bottom"/>
          </w:tcPr>
          <w:p w:rsidR="00BB74DA" w:rsidRPr="00455EB6" w:rsidRDefault="00BB74DA" w:rsidP="005C7D14">
            <w:pPr>
              <w:spacing w:after="0"/>
              <w:ind w:firstLine="0"/>
              <w:jc w:val="left"/>
              <w:rPr>
                <w:sz w:val="20"/>
                <w:lang w:eastAsia="lv-LV"/>
              </w:rPr>
            </w:pPr>
            <w:r w:rsidRPr="00455EB6">
              <w:rPr>
                <w:sz w:val="20"/>
                <w:lang w:eastAsia="lv-LV"/>
              </w:rPr>
              <w:t xml:space="preserve"> Transportlīdzekļu ekspluatācijas nodoklis**</w:t>
            </w:r>
          </w:p>
        </w:tc>
        <w:tc>
          <w:tcPr>
            <w:tcW w:w="1276" w:type="dxa"/>
            <w:shd w:val="clear" w:color="auto" w:fill="auto"/>
            <w:noWrap/>
            <w:vAlign w:val="bottom"/>
          </w:tcPr>
          <w:p w:rsidR="00BB74DA" w:rsidRPr="00455EB6" w:rsidRDefault="00BB74DA" w:rsidP="005C7D14">
            <w:pPr>
              <w:tabs>
                <w:tab w:val="decimal" w:pos="601"/>
              </w:tabs>
              <w:spacing w:after="0"/>
              <w:ind w:firstLine="0"/>
              <w:jc w:val="left"/>
              <w:rPr>
                <w:sz w:val="20"/>
                <w:lang w:eastAsia="lv-LV"/>
              </w:rPr>
            </w:pPr>
            <w:r w:rsidRPr="00455EB6">
              <w:rPr>
                <w:sz w:val="20"/>
                <w:lang w:eastAsia="lv-LV"/>
              </w:rPr>
              <w:t>18,6</w:t>
            </w:r>
          </w:p>
        </w:tc>
        <w:tc>
          <w:tcPr>
            <w:tcW w:w="1144" w:type="dxa"/>
            <w:vAlign w:val="bottom"/>
          </w:tcPr>
          <w:p w:rsidR="00BB74DA" w:rsidRPr="00455EB6" w:rsidRDefault="00BB74DA" w:rsidP="005C7D14">
            <w:pPr>
              <w:tabs>
                <w:tab w:val="decimal" w:pos="601"/>
              </w:tabs>
              <w:spacing w:after="0"/>
              <w:ind w:firstLine="0"/>
              <w:jc w:val="left"/>
              <w:rPr>
                <w:sz w:val="20"/>
                <w:lang w:eastAsia="lv-LV"/>
              </w:rPr>
            </w:pPr>
            <w:r w:rsidRPr="00455EB6">
              <w:rPr>
                <w:sz w:val="20"/>
                <w:lang w:eastAsia="lv-LV"/>
              </w:rPr>
              <w:t>19,1</w:t>
            </w:r>
          </w:p>
        </w:tc>
        <w:tc>
          <w:tcPr>
            <w:tcW w:w="1408" w:type="dxa"/>
            <w:shd w:val="clear" w:color="auto" w:fill="auto"/>
            <w:noWrap/>
            <w:vAlign w:val="bottom"/>
          </w:tcPr>
          <w:p w:rsidR="00BB74DA" w:rsidRPr="00455EB6" w:rsidRDefault="00BB74DA" w:rsidP="005C7D14">
            <w:pPr>
              <w:tabs>
                <w:tab w:val="decimal" w:pos="601"/>
              </w:tabs>
              <w:spacing w:after="0"/>
              <w:ind w:firstLine="0"/>
              <w:jc w:val="left"/>
              <w:rPr>
                <w:sz w:val="20"/>
                <w:lang w:eastAsia="lv-LV"/>
              </w:rPr>
            </w:pPr>
            <w:r w:rsidRPr="00455EB6">
              <w:rPr>
                <w:sz w:val="20"/>
                <w:lang w:eastAsia="lv-LV"/>
              </w:rPr>
              <w:t>0,5</w:t>
            </w:r>
          </w:p>
        </w:tc>
        <w:tc>
          <w:tcPr>
            <w:tcW w:w="1280" w:type="dxa"/>
            <w:shd w:val="clear" w:color="auto" w:fill="auto"/>
            <w:noWrap/>
            <w:vAlign w:val="bottom"/>
          </w:tcPr>
          <w:p w:rsidR="00BB74DA" w:rsidRPr="00455EB6" w:rsidRDefault="00BB74DA" w:rsidP="005C7D14">
            <w:pPr>
              <w:tabs>
                <w:tab w:val="decimal" w:pos="601"/>
              </w:tabs>
              <w:spacing w:after="0"/>
              <w:ind w:firstLine="0"/>
              <w:jc w:val="left"/>
              <w:rPr>
                <w:sz w:val="20"/>
                <w:lang w:eastAsia="lv-LV"/>
              </w:rPr>
            </w:pPr>
            <w:r w:rsidRPr="00455EB6">
              <w:rPr>
                <w:sz w:val="20"/>
                <w:lang w:eastAsia="lv-LV"/>
              </w:rPr>
              <w:t>2,6</w:t>
            </w:r>
          </w:p>
        </w:tc>
      </w:tr>
      <w:tr w:rsidR="00BB74DA" w:rsidRPr="00455EB6" w:rsidTr="005C7D14">
        <w:trPr>
          <w:trHeight w:val="240"/>
        </w:trPr>
        <w:tc>
          <w:tcPr>
            <w:tcW w:w="3992" w:type="dxa"/>
            <w:shd w:val="clear" w:color="auto" w:fill="auto"/>
            <w:noWrap/>
            <w:vAlign w:val="bottom"/>
          </w:tcPr>
          <w:p w:rsidR="00BB74DA" w:rsidRPr="00455EB6" w:rsidRDefault="00BB74DA" w:rsidP="005C7D14">
            <w:pPr>
              <w:spacing w:after="0"/>
              <w:ind w:firstLine="0"/>
              <w:jc w:val="left"/>
              <w:rPr>
                <w:sz w:val="20"/>
                <w:lang w:eastAsia="lv-LV"/>
              </w:rPr>
            </w:pPr>
            <w:r w:rsidRPr="00455EB6">
              <w:rPr>
                <w:sz w:val="20"/>
                <w:lang w:eastAsia="lv-LV"/>
              </w:rPr>
              <w:t>Uzņēmumu vieglo transportlīdzekļu nodoklis</w:t>
            </w:r>
          </w:p>
        </w:tc>
        <w:tc>
          <w:tcPr>
            <w:tcW w:w="1276" w:type="dxa"/>
            <w:shd w:val="clear" w:color="auto" w:fill="auto"/>
            <w:noWrap/>
            <w:vAlign w:val="bottom"/>
          </w:tcPr>
          <w:p w:rsidR="00BB74DA" w:rsidRPr="00455EB6" w:rsidRDefault="00BB74DA" w:rsidP="005C7D14">
            <w:pPr>
              <w:tabs>
                <w:tab w:val="decimal" w:pos="601"/>
              </w:tabs>
              <w:spacing w:after="0"/>
              <w:ind w:firstLine="0"/>
              <w:jc w:val="left"/>
              <w:rPr>
                <w:sz w:val="20"/>
                <w:lang w:eastAsia="lv-LV"/>
              </w:rPr>
            </w:pPr>
            <w:r w:rsidRPr="00455EB6">
              <w:rPr>
                <w:sz w:val="20"/>
                <w:lang w:eastAsia="lv-LV"/>
              </w:rPr>
              <w:t>4,6</w:t>
            </w:r>
          </w:p>
        </w:tc>
        <w:tc>
          <w:tcPr>
            <w:tcW w:w="1144" w:type="dxa"/>
            <w:shd w:val="clear" w:color="auto" w:fill="auto"/>
            <w:vAlign w:val="bottom"/>
          </w:tcPr>
          <w:p w:rsidR="00BB74DA" w:rsidRPr="00455EB6" w:rsidRDefault="00BB74DA" w:rsidP="005C7D14">
            <w:pPr>
              <w:tabs>
                <w:tab w:val="decimal" w:pos="601"/>
              </w:tabs>
              <w:spacing w:after="0"/>
              <w:ind w:firstLine="0"/>
              <w:jc w:val="left"/>
              <w:rPr>
                <w:sz w:val="20"/>
                <w:lang w:eastAsia="lv-LV"/>
              </w:rPr>
            </w:pPr>
            <w:r w:rsidRPr="00455EB6">
              <w:rPr>
                <w:sz w:val="20"/>
                <w:lang w:eastAsia="lv-LV"/>
              </w:rPr>
              <w:t>4,1</w:t>
            </w:r>
          </w:p>
        </w:tc>
        <w:tc>
          <w:tcPr>
            <w:tcW w:w="1408" w:type="dxa"/>
            <w:shd w:val="clear" w:color="auto" w:fill="auto"/>
            <w:noWrap/>
            <w:vAlign w:val="bottom"/>
          </w:tcPr>
          <w:p w:rsidR="00BB74DA" w:rsidRPr="00455EB6" w:rsidRDefault="00BB74DA" w:rsidP="005C7D14">
            <w:pPr>
              <w:tabs>
                <w:tab w:val="decimal" w:pos="601"/>
              </w:tabs>
              <w:spacing w:after="0"/>
              <w:ind w:firstLine="0"/>
              <w:jc w:val="left"/>
              <w:rPr>
                <w:sz w:val="20"/>
                <w:lang w:eastAsia="lv-LV"/>
              </w:rPr>
            </w:pPr>
            <w:r w:rsidRPr="00455EB6">
              <w:rPr>
                <w:sz w:val="20"/>
                <w:lang w:eastAsia="lv-LV"/>
              </w:rPr>
              <w:t>-0,5</w:t>
            </w:r>
          </w:p>
        </w:tc>
        <w:tc>
          <w:tcPr>
            <w:tcW w:w="1280" w:type="dxa"/>
            <w:shd w:val="clear" w:color="auto" w:fill="auto"/>
            <w:noWrap/>
            <w:vAlign w:val="bottom"/>
          </w:tcPr>
          <w:p w:rsidR="00BB74DA" w:rsidRPr="00455EB6" w:rsidRDefault="00BB74DA" w:rsidP="005C7D14">
            <w:pPr>
              <w:tabs>
                <w:tab w:val="decimal" w:pos="601"/>
              </w:tabs>
              <w:spacing w:after="0"/>
              <w:ind w:firstLine="0"/>
              <w:jc w:val="left"/>
              <w:rPr>
                <w:sz w:val="20"/>
                <w:lang w:eastAsia="lv-LV"/>
              </w:rPr>
            </w:pPr>
            <w:r w:rsidRPr="00455EB6">
              <w:rPr>
                <w:sz w:val="20"/>
                <w:lang w:eastAsia="lv-LV"/>
              </w:rPr>
              <w:t>-10,9</w:t>
            </w:r>
          </w:p>
        </w:tc>
      </w:tr>
      <w:tr w:rsidR="00BB74DA" w:rsidRPr="00455EB6" w:rsidTr="005C7D14">
        <w:trPr>
          <w:trHeight w:val="255"/>
        </w:trPr>
        <w:tc>
          <w:tcPr>
            <w:tcW w:w="3992" w:type="dxa"/>
            <w:shd w:val="clear" w:color="auto" w:fill="auto"/>
            <w:noWrap/>
            <w:vAlign w:val="bottom"/>
          </w:tcPr>
          <w:p w:rsidR="00BB74DA" w:rsidRPr="00455EB6" w:rsidRDefault="00BB74DA" w:rsidP="005C7D14">
            <w:pPr>
              <w:spacing w:after="0"/>
              <w:ind w:firstLine="0"/>
              <w:jc w:val="left"/>
              <w:rPr>
                <w:sz w:val="20"/>
                <w:lang w:eastAsia="lv-LV"/>
              </w:rPr>
            </w:pPr>
            <w:r w:rsidRPr="00455EB6">
              <w:rPr>
                <w:sz w:val="20"/>
                <w:lang w:eastAsia="lv-LV"/>
              </w:rPr>
              <w:t>Subsidētās elektroenerģijas nodoklis</w:t>
            </w:r>
          </w:p>
        </w:tc>
        <w:tc>
          <w:tcPr>
            <w:tcW w:w="1276" w:type="dxa"/>
            <w:shd w:val="clear" w:color="auto" w:fill="auto"/>
            <w:noWrap/>
            <w:vAlign w:val="bottom"/>
          </w:tcPr>
          <w:p w:rsidR="00BB74DA" w:rsidRPr="00455EB6" w:rsidRDefault="00BB74DA" w:rsidP="005C7D14">
            <w:pPr>
              <w:tabs>
                <w:tab w:val="decimal" w:pos="601"/>
              </w:tabs>
              <w:spacing w:after="0"/>
              <w:ind w:firstLine="0"/>
              <w:jc w:val="left"/>
              <w:rPr>
                <w:b/>
                <w:sz w:val="20"/>
                <w:lang w:eastAsia="lv-LV"/>
              </w:rPr>
            </w:pPr>
          </w:p>
        </w:tc>
        <w:tc>
          <w:tcPr>
            <w:tcW w:w="1144" w:type="dxa"/>
            <w:vAlign w:val="bottom"/>
          </w:tcPr>
          <w:p w:rsidR="00BB74DA" w:rsidRPr="00455EB6" w:rsidRDefault="00BB74DA" w:rsidP="005C7D14">
            <w:pPr>
              <w:tabs>
                <w:tab w:val="decimal" w:pos="601"/>
              </w:tabs>
              <w:spacing w:after="0"/>
              <w:ind w:firstLine="0"/>
              <w:jc w:val="left"/>
              <w:rPr>
                <w:sz w:val="20"/>
                <w:lang w:eastAsia="lv-LV"/>
              </w:rPr>
            </w:pPr>
            <w:r w:rsidRPr="00455EB6">
              <w:rPr>
                <w:sz w:val="20"/>
                <w:lang w:eastAsia="lv-LV"/>
              </w:rPr>
              <w:t>2,8</w:t>
            </w:r>
          </w:p>
        </w:tc>
        <w:tc>
          <w:tcPr>
            <w:tcW w:w="1408" w:type="dxa"/>
            <w:shd w:val="clear" w:color="auto" w:fill="auto"/>
            <w:noWrap/>
            <w:vAlign w:val="bottom"/>
          </w:tcPr>
          <w:p w:rsidR="00BB74DA" w:rsidRPr="00455EB6" w:rsidRDefault="00BB74DA" w:rsidP="005C7D14">
            <w:pPr>
              <w:tabs>
                <w:tab w:val="decimal" w:pos="601"/>
              </w:tabs>
              <w:spacing w:after="0"/>
              <w:ind w:firstLine="0"/>
              <w:jc w:val="left"/>
              <w:rPr>
                <w:sz w:val="20"/>
                <w:lang w:eastAsia="lv-LV"/>
              </w:rPr>
            </w:pPr>
            <w:r w:rsidRPr="00455EB6">
              <w:rPr>
                <w:sz w:val="20"/>
                <w:lang w:eastAsia="lv-LV"/>
              </w:rPr>
              <w:t>2,8</w:t>
            </w:r>
          </w:p>
        </w:tc>
        <w:tc>
          <w:tcPr>
            <w:tcW w:w="1280" w:type="dxa"/>
            <w:shd w:val="clear" w:color="auto" w:fill="auto"/>
            <w:noWrap/>
            <w:vAlign w:val="bottom"/>
          </w:tcPr>
          <w:p w:rsidR="00BB74DA" w:rsidRPr="00455EB6" w:rsidRDefault="00BB74DA" w:rsidP="005C7D14">
            <w:pPr>
              <w:tabs>
                <w:tab w:val="decimal" w:pos="601"/>
              </w:tabs>
              <w:spacing w:after="0"/>
              <w:ind w:firstLine="0"/>
              <w:jc w:val="left"/>
              <w:rPr>
                <w:b/>
                <w:sz w:val="20"/>
                <w:lang w:eastAsia="lv-LV"/>
              </w:rPr>
            </w:pPr>
          </w:p>
        </w:tc>
      </w:tr>
      <w:tr w:rsidR="00BB74DA" w:rsidRPr="00455EB6" w:rsidTr="005C7D14">
        <w:trPr>
          <w:trHeight w:val="255"/>
        </w:trPr>
        <w:tc>
          <w:tcPr>
            <w:tcW w:w="3992" w:type="dxa"/>
            <w:shd w:val="clear" w:color="auto" w:fill="auto"/>
            <w:noWrap/>
            <w:vAlign w:val="bottom"/>
            <w:hideMark/>
          </w:tcPr>
          <w:p w:rsidR="00BB74DA" w:rsidRPr="00455EB6" w:rsidRDefault="00BB74DA" w:rsidP="005C7D14">
            <w:pPr>
              <w:spacing w:after="0"/>
              <w:ind w:firstLine="0"/>
              <w:jc w:val="left"/>
              <w:rPr>
                <w:b/>
                <w:sz w:val="20"/>
                <w:lang w:eastAsia="lv-LV"/>
              </w:rPr>
            </w:pPr>
            <w:r w:rsidRPr="00455EB6">
              <w:rPr>
                <w:b/>
                <w:sz w:val="20"/>
                <w:lang w:eastAsia="lv-LV"/>
              </w:rPr>
              <w:t>Nodokļi kopā</w:t>
            </w:r>
          </w:p>
        </w:tc>
        <w:tc>
          <w:tcPr>
            <w:tcW w:w="1276" w:type="dxa"/>
            <w:shd w:val="clear" w:color="auto" w:fill="auto"/>
            <w:noWrap/>
            <w:vAlign w:val="bottom"/>
          </w:tcPr>
          <w:p w:rsidR="00BB74DA" w:rsidRPr="00455EB6" w:rsidRDefault="00BB74DA" w:rsidP="005C7D14">
            <w:pPr>
              <w:tabs>
                <w:tab w:val="decimal" w:pos="601"/>
              </w:tabs>
              <w:spacing w:after="0"/>
              <w:ind w:firstLine="0"/>
              <w:jc w:val="left"/>
              <w:rPr>
                <w:b/>
                <w:sz w:val="20"/>
                <w:lang w:eastAsia="lv-LV"/>
              </w:rPr>
            </w:pPr>
            <w:r>
              <w:rPr>
                <w:b/>
                <w:sz w:val="20"/>
                <w:lang w:eastAsia="lv-LV"/>
              </w:rPr>
              <w:t>1542,5</w:t>
            </w:r>
          </w:p>
        </w:tc>
        <w:tc>
          <w:tcPr>
            <w:tcW w:w="1144" w:type="dxa"/>
            <w:vAlign w:val="bottom"/>
          </w:tcPr>
          <w:p w:rsidR="00BB74DA" w:rsidRPr="00455EB6" w:rsidRDefault="00BB74DA" w:rsidP="005C7D14">
            <w:pPr>
              <w:tabs>
                <w:tab w:val="decimal" w:pos="601"/>
              </w:tabs>
              <w:spacing w:after="0"/>
              <w:ind w:firstLine="0"/>
              <w:jc w:val="left"/>
              <w:rPr>
                <w:b/>
                <w:sz w:val="20"/>
                <w:lang w:eastAsia="lv-LV"/>
              </w:rPr>
            </w:pPr>
            <w:r>
              <w:rPr>
                <w:b/>
                <w:sz w:val="20"/>
                <w:lang w:eastAsia="lv-LV"/>
              </w:rPr>
              <w:t>1625,9</w:t>
            </w:r>
          </w:p>
        </w:tc>
        <w:tc>
          <w:tcPr>
            <w:tcW w:w="1408" w:type="dxa"/>
            <w:shd w:val="clear" w:color="auto" w:fill="auto"/>
            <w:noWrap/>
            <w:vAlign w:val="bottom"/>
            <w:hideMark/>
          </w:tcPr>
          <w:p w:rsidR="00BB74DA" w:rsidRPr="00455EB6" w:rsidRDefault="00BB74DA" w:rsidP="005C7D14">
            <w:pPr>
              <w:tabs>
                <w:tab w:val="decimal" w:pos="601"/>
              </w:tabs>
              <w:spacing w:after="0"/>
              <w:ind w:firstLine="0"/>
              <w:jc w:val="left"/>
              <w:rPr>
                <w:b/>
                <w:sz w:val="20"/>
                <w:lang w:eastAsia="lv-LV"/>
              </w:rPr>
            </w:pPr>
            <w:r>
              <w:rPr>
                <w:b/>
                <w:sz w:val="20"/>
                <w:lang w:eastAsia="lv-LV"/>
              </w:rPr>
              <w:t>83,4</w:t>
            </w:r>
          </w:p>
        </w:tc>
        <w:tc>
          <w:tcPr>
            <w:tcW w:w="1280" w:type="dxa"/>
            <w:shd w:val="clear" w:color="auto" w:fill="auto"/>
            <w:noWrap/>
            <w:vAlign w:val="bottom"/>
            <w:hideMark/>
          </w:tcPr>
          <w:p w:rsidR="00BB74DA" w:rsidRPr="00455EB6" w:rsidRDefault="00BB74DA" w:rsidP="005C7D14">
            <w:pPr>
              <w:tabs>
                <w:tab w:val="decimal" w:pos="601"/>
              </w:tabs>
              <w:spacing w:after="0"/>
              <w:ind w:firstLine="0"/>
              <w:jc w:val="left"/>
              <w:rPr>
                <w:b/>
                <w:sz w:val="20"/>
                <w:lang w:eastAsia="lv-LV"/>
              </w:rPr>
            </w:pPr>
            <w:r>
              <w:rPr>
                <w:b/>
                <w:sz w:val="20"/>
                <w:lang w:eastAsia="lv-LV"/>
              </w:rPr>
              <w:t>5,4</w:t>
            </w:r>
          </w:p>
        </w:tc>
      </w:tr>
    </w:tbl>
    <w:p w:rsidR="00BB74DA" w:rsidRPr="0058446D" w:rsidRDefault="00BB74DA" w:rsidP="00BB74DA">
      <w:pPr>
        <w:spacing w:after="0"/>
        <w:ind w:left="284" w:hanging="284"/>
        <w:rPr>
          <w:sz w:val="20"/>
        </w:rPr>
      </w:pPr>
      <w:r w:rsidRPr="00455EB6">
        <w:rPr>
          <w:sz w:val="20"/>
        </w:rPr>
        <w:t>*</w:t>
      </w:r>
      <w:r w:rsidRPr="00455EB6">
        <w:rPr>
          <w:sz w:val="20"/>
        </w:rPr>
        <w:tab/>
        <w:t xml:space="preserve">ieskaitot valsts </w:t>
      </w:r>
      <w:proofErr w:type="spellStart"/>
      <w:r w:rsidRPr="00455EB6">
        <w:rPr>
          <w:sz w:val="20"/>
        </w:rPr>
        <w:t>fondēto</w:t>
      </w:r>
      <w:proofErr w:type="spellEnd"/>
      <w:r w:rsidRPr="00455EB6">
        <w:rPr>
          <w:sz w:val="20"/>
        </w:rPr>
        <w:t xml:space="preserve"> pensiju shēmas līdzekļus 2014. gada I ceturksnī 61,4 milj. </w:t>
      </w:r>
      <w:proofErr w:type="spellStart"/>
      <w:r w:rsidRPr="00455EB6">
        <w:rPr>
          <w:i/>
          <w:sz w:val="20"/>
          <w:szCs w:val="24"/>
        </w:rPr>
        <w:t>euro</w:t>
      </w:r>
      <w:proofErr w:type="spellEnd"/>
      <w:r w:rsidRPr="00455EB6">
        <w:rPr>
          <w:sz w:val="20"/>
        </w:rPr>
        <w:t>, 2013. gada I ceturksnī 28,1 milj. </w:t>
      </w:r>
      <w:proofErr w:type="spellStart"/>
      <w:r w:rsidRPr="00455EB6">
        <w:rPr>
          <w:i/>
          <w:sz w:val="20"/>
          <w:szCs w:val="24"/>
        </w:rPr>
        <w:t>euro</w:t>
      </w:r>
      <w:proofErr w:type="spellEnd"/>
      <w:r w:rsidRPr="00455EB6">
        <w:rPr>
          <w:sz w:val="20"/>
        </w:rPr>
        <w:t>,</w:t>
      </w:r>
    </w:p>
    <w:p w:rsidR="00BB74DA" w:rsidRPr="0058446D" w:rsidRDefault="00BB74DA" w:rsidP="00BB74DA">
      <w:pPr>
        <w:spacing w:after="0"/>
        <w:ind w:left="284" w:hanging="284"/>
        <w:rPr>
          <w:sz w:val="20"/>
        </w:rPr>
      </w:pPr>
      <w:r w:rsidRPr="0058446D">
        <w:rPr>
          <w:sz w:val="20"/>
        </w:rPr>
        <w:t>**transportlīdzekļu nodoklis - ieskaitot transportlīdzekļu nodevu, kas tiek maksāta par iepriekšējiem periodiem.</w:t>
      </w:r>
    </w:p>
    <w:p w:rsidR="00BB74DA" w:rsidRPr="006B1552" w:rsidRDefault="00BB74DA" w:rsidP="00BB74DA">
      <w:pPr>
        <w:spacing w:before="120"/>
      </w:pPr>
      <w:r w:rsidRPr="006B1552">
        <w:rPr>
          <w:b/>
        </w:rPr>
        <w:t xml:space="preserve">Uzņēmumu ienākuma nodokļa ieņēmumi </w:t>
      </w:r>
      <w:r w:rsidRPr="006B1552">
        <w:t>(turpmāk tekstā UIN)</w:t>
      </w:r>
      <w:r w:rsidRPr="006B1552">
        <w:rPr>
          <w:b/>
        </w:rPr>
        <w:t xml:space="preserve"> </w:t>
      </w:r>
      <w:r w:rsidRPr="006B1552">
        <w:t>2014. gada pirmajā ceturksnī bija 83,8 milj. </w:t>
      </w:r>
      <w:proofErr w:type="spellStart"/>
      <w:r w:rsidRPr="006B1552">
        <w:rPr>
          <w:i/>
          <w:szCs w:val="24"/>
        </w:rPr>
        <w:t>euro</w:t>
      </w:r>
      <w:proofErr w:type="spellEnd"/>
      <w:r w:rsidRPr="006B1552">
        <w:t>, kas salīdzinājumā ar 2013. gada pirmo ceturksni ir par 2,2 milj. </w:t>
      </w:r>
      <w:proofErr w:type="spellStart"/>
      <w:r w:rsidRPr="006B1552">
        <w:rPr>
          <w:i/>
          <w:szCs w:val="24"/>
        </w:rPr>
        <w:t>euro</w:t>
      </w:r>
      <w:proofErr w:type="spellEnd"/>
      <w:r w:rsidRPr="006B1552">
        <w:t xml:space="preserve"> jeb 2,7% vairāk. </w:t>
      </w:r>
    </w:p>
    <w:p w:rsidR="00BB74DA" w:rsidRPr="006B1552" w:rsidRDefault="00BB74DA" w:rsidP="00BB74DA">
      <w:pPr>
        <w:rPr>
          <w:highlight w:val="yellow"/>
        </w:rPr>
      </w:pPr>
      <w:r w:rsidRPr="0006549F">
        <w:t>2014. gada pirmajā ceturksnī lielie nodokļu maksātāji ve</w:t>
      </w:r>
      <w:r>
        <w:t>ikuši UIN maksājumus 47,3 </w:t>
      </w:r>
      <w:r w:rsidRPr="0006549F">
        <w:t>milj. </w:t>
      </w:r>
      <w:proofErr w:type="spellStart"/>
      <w:r w:rsidRPr="0006549F">
        <w:rPr>
          <w:i/>
          <w:szCs w:val="24"/>
        </w:rPr>
        <w:t>euro</w:t>
      </w:r>
      <w:proofErr w:type="spellEnd"/>
      <w:r>
        <w:t xml:space="preserve"> apmērā jeb 56,5</w:t>
      </w:r>
      <w:r w:rsidRPr="0006549F">
        <w:t xml:space="preserve">% no kopējiem UIN ieņēmumiem, pārējo nodokļu maksātāju veiktās UIN iemaksas </w:t>
      </w:r>
      <w:r>
        <w:t>bija 36</w:t>
      </w:r>
      <w:r w:rsidRPr="0006549F">
        <w:t>,5 milj. </w:t>
      </w:r>
      <w:proofErr w:type="spellStart"/>
      <w:r w:rsidRPr="0006549F">
        <w:rPr>
          <w:i/>
          <w:szCs w:val="24"/>
        </w:rPr>
        <w:t>euro</w:t>
      </w:r>
      <w:proofErr w:type="spellEnd"/>
      <w:r w:rsidRPr="0006549F">
        <w:t>. Lielo nodokļu maksātāju veiktie UIN maksājumi</w:t>
      </w:r>
      <w:r>
        <w:t xml:space="preserve"> ir samazinājušies par 2,4</w:t>
      </w:r>
      <w:r w:rsidRPr="0006549F">
        <w:t> milj. </w:t>
      </w:r>
      <w:proofErr w:type="spellStart"/>
      <w:r w:rsidRPr="0006549F">
        <w:rPr>
          <w:i/>
          <w:szCs w:val="24"/>
        </w:rPr>
        <w:t>euro</w:t>
      </w:r>
      <w:proofErr w:type="spellEnd"/>
      <w:r>
        <w:t xml:space="preserve"> jeb 4,8</w:t>
      </w:r>
      <w:r w:rsidRPr="0006549F">
        <w:t xml:space="preserve">% salīdzinājumā ar iepriekšējā gada attiecīgo periodu. </w:t>
      </w:r>
    </w:p>
    <w:p w:rsidR="00BB74DA" w:rsidRPr="006B1552" w:rsidRDefault="00BB74DA" w:rsidP="00BB74DA">
      <w:pPr>
        <w:rPr>
          <w:highlight w:val="yellow"/>
        </w:rPr>
      </w:pPr>
    </w:p>
    <w:p w:rsidR="00BB74DA" w:rsidRPr="006B1552" w:rsidRDefault="00BB74DA" w:rsidP="00BB74DA">
      <w:pPr>
        <w:spacing w:before="240"/>
        <w:ind w:firstLine="0"/>
        <w:jc w:val="center"/>
        <w:rPr>
          <w:highlight w:val="yellow"/>
        </w:rPr>
      </w:pPr>
      <w:r w:rsidRPr="00F343DD">
        <w:rPr>
          <w:noProof/>
          <w:lang w:eastAsia="lv-LV"/>
        </w:rPr>
        <w:lastRenderedPageBreak/>
        <w:drawing>
          <wp:inline distT="0" distB="0" distL="0" distR="0" wp14:anchorId="04E47F52" wp14:editId="4CF51626">
            <wp:extent cx="6035387" cy="3323808"/>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951" t="16579" b="2457"/>
                    <a:stretch/>
                  </pic:blipFill>
                  <pic:spPr bwMode="auto">
                    <a:xfrm>
                      <a:off x="0" y="0"/>
                      <a:ext cx="6055026" cy="3334624"/>
                    </a:xfrm>
                    <a:prstGeom prst="rect">
                      <a:avLst/>
                    </a:prstGeom>
                    <a:noFill/>
                    <a:ln>
                      <a:noFill/>
                    </a:ln>
                    <a:extLst>
                      <a:ext uri="{53640926-AAD7-44D8-BBD7-CCE9431645EC}">
                        <a14:shadowObscured xmlns:a14="http://schemas.microsoft.com/office/drawing/2010/main"/>
                      </a:ext>
                    </a:extLst>
                  </pic:spPr>
                </pic:pic>
              </a:graphicData>
            </a:graphic>
          </wp:inline>
        </w:drawing>
      </w:r>
    </w:p>
    <w:p w:rsidR="00BB74DA" w:rsidRPr="000161A4" w:rsidRDefault="00BB74DA" w:rsidP="00D24FBD">
      <w:pPr>
        <w:ind w:firstLine="0"/>
        <w:jc w:val="center"/>
        <w:rPr>
          <w:rFonts w:cs="Times New Roman"/>
          <w:b/>
          <w:i/>
          <w:sz w:val="24"/>
        </w:rPr>
      </w:pPr>
      <w:r w:rsidRPr="000161A4">
        <w:rPr>
          <w:rFonts w:cs="Times New Roman"/>
          <w:b/>
          <w:i/>
          <w:sz w:val="24"/>
        </w:rPr>
        <w:t>2</w:t>
      </w:r>
      <w:r w:rsidR="000161A4">
        <w:rPr>
          <w:rFonts w:cs="Times New Roman"/>
          <w:b/>
          <w:i/>
          <w:sz w:val="24"/>
        </w:rPr>
        <w:t>5</w:t>
      </w:r>
      <w:r w:rsidRPr="000161A4">
        <w:rPr>
          <w:rFonts w:cs="Times New Roman"/>
          <w:b/>
          <w:i/>
          <w:sz w:val="24"/>
        </w:rPr>
        <w:t>. att. Uzņēmumu ienākuma nodokļa ieņēmumi pa ceturkšņiem, milj. </w:t>
      </w:r>
      <w:proofErr w:type="spellStart"/>
      <w:r w:rsidRPr="000161A4">
        <w:rPr>
          <w:rFonts w:cs="Times New Roman"/>
          <w:b/>
          <w:i/>
          <w:sz w:val="24"/>
        </w:rPr>
        <w:t>euro</w:t>
      </w:r>
      <w:proofErr w:type="spellEnd"/>
    </w:p>
    <w:p w:rsidR="00BB74DA" w:rsidRPr="006B1552" w:rsidRDefault="00BB74DA" w:rsidP="00BB74DA">
      <w:pPr>
        <w:ind w:firstLine="0"/>
        <w:jc w:val="center"/>
        <w:rPr>
          <w:b/>
          <w:i/>
          <w:sz w:val="24"/>
          <w:highlight w:val="yellow"/>
        </w:rPr>
      </w:pPr>
    </w:p>
    <w:p w:rsidR="00BB74DA" w:rsidRPr="006B1552" w:rsidRDefault="00BB74DA" w:rsidP="00BB74DA">
      <w:pPr>
        <w:rPr>
          <w:highlight w:val="yellow"/>
        </w:rPr>
      </w:pPr>
      <w:r w:rsidRPr="00A3749B">
        <w:t xml:space="preserve">UIN ieņēmumu pieaugumu 2014. gada pirmajā ceturksnī ietekmējis avansa maksājumu pieaugums. 2014. gada pirmajā ceturksnī avansa maksājumi tika aprēķināti pēc 2012. gada UIN deklarācijām, kuras norādīja augstāku uzņēmumu peļņas rādītāju kā 2011. gadā, līdz ar to 2014. gada pirmajā ceturksnī avansa maksājumi salīdzinot ar 2013. gada atbilstošo periodu ir pieauguši par </w:t>
      </w:r>
      <w:r w:rsidRPr="00DC30C0">
        <w:t>4,4 milj. </w:t>
      </w:r>
      <w:proofErr w:type="spellStart"/>
      <w:r w:rsidRPr="00DC30C0">
        <w:rPr>
          <w:i/>
          <w:szCs w:val="24"/>
        </w:rPr>
        <w:t>euro</w:t>
      </w:r>
      <w:proofErr w:type="spellEnd"/>
      <w:r w:rsidRPr="00DC30C0">
        <w:t xml:space="preserve"> jeb 5,6 procentiem. </w:t>
      </w:r>
      <w:r w:rsidRPr="00221DD7">
        <w:t>Kopējās UIN iemaksas šajā periodā pieaugu</w:t>
      </w:r>
      <w:r>
        <w:t xml:space="preserve">šas par </w:t>
      </w:r>
      <w:r w:rsidRPr="00221DD7">
        <w:t>3,1 milj. </w:t>
      </w:r>
      <w:proofErr w:type="spellStart"/>
      <w:r w:rsidRPr="00221DD7">
        <w:rPr>
          <w:i/>
          <w:szCs w:val="24"/>
        </w:rPr>
        <w:t>euro</w:t>
      </w:r>
      <w:proofErr w:type="spellEnd"/>
      <w:r w:rsidRPr="00221DD7">
        <w:t xml:space="preserve"> jeb 3,5 procentiem. </w:t>
      </w:r>
    </w:p>
    <w:p w:rsidR="00BB74DA" w:rsidRPr="00221DD7" w:rsidRDefault="00BB74DA" w:rsidP="00BB74DA">
      <w:r w:rsidRPr="00221DD7">
        <w:t>Saskaņā ar Valsts ieņēmumu dienesta informāciju lielākās UIN iemaksas 2014. gada pirmajā ceturksnī veica uzņēmumi, kuru pamatdarbības veidi ir sekojoši:</w:t>
      </w:r>
    </w:p>
    <w:p w:rsidR="00BB74DA" w:rsidRPr="00221DD7" w:rsidRDefault="00BB74DA" w:rsidP="00BB74DA">
      <w:pPr>
        <w:numPr>
          <w:ilvl w:val="0"/>
          <w:numId w:val="2"/>
        </w:numPr>
        <w:spacing w:after="0"/>
        <w:ind w:left="709" w:hanging="357"/>
      </w:pPr>
      <w:r w:rsidRPr="00221DD7">
        <w:t>tirdzniecība un automobiļus un motociklu remonts – 22,9 milj. </w:t>
      </w:r>
      <w:proofErr w:type="spellStart"/>
      <w:r w:rsidRPr="00656149">
        <w:rPr>
          <w:i/>
          <w:szCs w:val="24"/>
        </w:rPr>
        <w:t>euro</w:t>
      </w:r>
      <w:proofErr w:type="spellEnd"/>
      <w:r w:rsidRPr="00656149">
        <w:rPr>
          <w:szCs w:val="24"/>
        </w:rPr>
        <w:t>, salīdzinot</w:t>
      </w:r>
      <w:r>
        <w:t xml:space="preserve"> ar iepriekšējā gada attiecīgo periodu UIN iemaksas palielinājušās par 19,8 procentiem</w:t>
      </w:r>
      <w:r w:rsidRPr="00221DD7">
        <w:t>;</w:t>
      </w:r>
    </w:p>
    <w:p w:rsidR="00BB74DA" w:rsidRPr="00221DD7" w:rsidRDefault="00BB74DA" w:rsidP="00BB74DA">
      <w:pPr>
        <w:numPr>
          <w:ilvl w:val="0"/>
          <w:numId w:val="2"/>
        </w:numPr>
        <w:spacing w:after="0"/>
        <w:ind w:left="709" w:hanging="357"/>
      </w:pPr>
      <w:r w:rsidRPr="00221DD7">
        <w:t>pakalpojumu sniegšana - 8,1 milj. </w:t>
      </w:r>
      <w:proofErr w:type="spellStart"/>
      <w:r w:rsidRPr="00656149">
        <w:rPr>
          <w:i/>
          <w:szCs w:val="24"/>
        </w:rPr>
        <w:t>euro</w:t>
      </w:r>
      <w:proofErr w:type="spellEnd"/>
      <w:r w:rsidRPr="006F557D">
        <w:rPr>
          <w:szCs w:val="24"/>
        </w:rPr>
        <w:t>, salīdzinot ar pērnā gada 1.ceturksni UIN</w:t>
      </w:r>
      <w:r>
        <w:rPr>
          <w:szCs w:val="24"/>
        </w:rPr>
        <w:t xml:space="preserve"> iemaksas ir pieaugušas par 18,2 procentiem</w:t>
      </w:r>
      <w:r w:rsidRPr="00221DD7">
        <w:t>;</w:t>
      </w:r>
    </w:p>
    <w:p w:rsidR="00BB74DA" w:rsidRPr="00221DD7" w:rsidRDefault="00BB74DA" w:rsidP="00BB74DA">
      <w:pPr>
        <w:numPr>
          <w:ilvl w:val="0"/>
          <w:numId w:val="2"/>
        </w:numPr>
        <w:ind w:left="709" w:hanging="357"/>
      </w:pPr>
      <w:r w:rsidRPr="00221DD7">
        <w:t xml:space="preserve"> finanšu pakalpojumi un apdrošināšana – 7,8 milj. </w:t>
      </w:r>
      <w:proofErr w:type="spellStart"/>
      <w:r w:rsidRPr="006F557D">
        <w:rPr>
          <w:i/>
          <w:szCs w:val="24"/>
        </w:rPr>
        <w:t>euro</w:t>
      </w:r>
      <w:proofErr w:type="spellEnd"/>
      <w:r w:rsidRPr="006F557D">
        <w:rPr>
          <w:szCs w:val="24"/>
        </w:rPr>
        <w:t xml:space="preserve">, </w:t>
      </w:r>
      <w:r>
        <w:rPr>
          <w:szCs w:val="24"/>
        </w:rPr>
        <w:t>salīdzinot ar iepriekšējo gadu iemaksas samazinājušās par 7,6 procentiem</w:t>
      </w:r>
      <w:r w:rsidRPr="006F557D">
        <w:t>.</w:t>
      </w:r>
    </w:p>
    <w:p w:rsidR="00BB74DA" w:rsidRPr="00147A54" w:rsidRDefault="00BB74DA" w:rsidP="00BB74DA">
      <w:pPr>
        <w:ind w:firstLine="352"/>
      </w:pPr>
      <w:r w:rsidRPr="00D61ADF">
        <w:t>2014. gada pirmā ceturkšņa UIN plāna izpilde ir 97,6 procenti, ko daļēji ietekmēja UIN atmaksas. 2014. gada pirmajā ceturksnī UIN atmaksas salīdzinājumā ar 2013. gada atbilstošo periodu ir palielinājušās par 0,9 milj. </w:t>
      </w:r>
      <w:proofErr w:type="spellStart"/>
      <w:r w:rsidRPr="00D61ADF">
        <w:rPr>
          <w:i/>
          <w:szCs w:val="24"/>
        </w:rPr>
        <w:t>euro</w:t>
      </w:r>
      <w:proofErr w:type="spellEnd"/>
      <w:r w:rsidRPr="00D61ADF">
        <w:t xml:space="preserve"> jeb 14,1% un sasniedza 7,0 milj. </w:t>
      </w:r>
      <w:proofErr w:type="spellStart"/>
      <w:r w:rsidRPr="00D61ADF">
        <w:rPr>
          <w:i/>
          <w:szCs w:val="24"/>
        </w:rPr>
        <w:t>euro</w:t>
      </w:r>
      <w:proofErr w:type="spellEnd"/>
      <w:r w:rsidRPr="00D61ADF">
        <w:t>.</w:t>
      </w:r>
    </w:p>
    <w:p w:rsidR="00BB74DA" w:rsidRPr="00D61ADF" w:rsidRDefault="00BB74DA" w:rsidP="00BB74DA">
      <w:r w:rsidRPr="001A5573">
        <w:t xml:space="preserve">Kopējie </w:t>
      </w:r>
      <w:r w:rsidRPr="001A5573">
        <w:rPr>
          <w:b/>
        </w:rPr>
        <w:t xml:space="preserve">iedzīvotāju ienākuma nodokļa </w:t>
      </w:r>
      <w:r w:rsidRPr="001A5573">
        <w:t>(turpmāk tekstā IIN)</w:t>
      </w:r>
      <w:r w:rsidRPr="001A5573">
        <w:rPr>
          <w:b/>
        </w:rPr>
        <w:t xml:space="preserve"> </w:t>
      </w:r>
      <w:r w:rsidRPr="001A5573">
        <w:t xml:space="preserve">ieņēmumi </w:t>
      </w:r>
      <w:r w:rsidRPr="00D61ADF">
        <w:t>2014. gada pirmajā ceturksnī bija 310,5 milj. </w:t>
      </w:r>
      <w:proofErr w:type="spellStart"/>
      <w:r w:rsidRPr="00D61ADF">
        <w:rPr>
          <w:i/>
          <w:szCs w:val="24"/>
        </w:rPr>
        <w:t>euro</w:t>
      </w:r>
      <w:proofErr w:type="spellEnd"/>
      <w:r w:rsidRPr="00D61ADF">
        <w:t>.</w:t>
      </w:r>
    </w:p>
    <w:p w:rsidR="00BB74DA" w:rsidRPr="00D61ADF" w:rsidRDefault="00BB74DA" w:rsidP="00BB74DA">
      <w:pPr>
        <w:rPr>
          <w:rFonts w:cs="Times New Roman"/>
        </w:rPr>
      </w:pPr>
      <w:r w:rsidRPr="00D61ADF">
        <w:lastRenderedPageBreak/>
        <w:t>Salīdzinājumā ar 2013. gada pirmo ceturksni ir par 8,0 milj. </w:t>
      </w:r>
      <w:proofErr w:type="spellStart"/>
      <w:r w:rsidRPr="00D61ADF">
        <w:rPr>
          <w:i/>
          <w:szCs w:val="24"/>
        </w:rPr>
        <w:t>euro</w:t>
      </w:r>
      <w:proofErr w:type="spellEnd"/>
      <w:r w:rsidRPr="00D61ADF">
        <w:t xml:space="preserve"> jeb 2,5% mazāk. Nodokļa ieņēmumu neizpilde skaidrojama ar IIN atmaksu pieaugumu </w:t>
      </w:r>
      <w:r w:rsidRPr="00D61ADF">
        <w:rPr>
          <w:rFonts w:cs="Times New Roman"/>
        </w:rPr>
        <w:t>par 4,9 milj. </w:t>
      </w:r>
      <w:proofErr w:type="spellStart"/>
      <w:r w:rsidRPr="00D61ADF">
        <w:rPr>
          <w:rFonts w:cs="Times New Roman"/>
          <w:i/>
        </w:rPr>
        <w:t>euro</w:t>
      </w:r>
      <w:proofErr w:type="spellEnd"/>
      <w:r w:rsidRPr="00D61ADF">
        <w:rPr>
          <w:rFonts w:cs="Times New Roman"/>
        </w:rPr>
        <w:t xml:space="preserve"> jeb 92,1%, salīdzinot ar 2013.gada attiecīgo periodu, un </w:t>
      </w:r>
      <w:r w:rsidRPr="00D61ADF">
        <w:t xml:space="preserve">ar Latvijas pievienošanos </w:t>
      </w:r>
      <w:proofErr w:type="spellStart"/>
      <w:r w:rsidR="00404D8F">
        <w:t>euro</w:t>
      </w:r>
      <w:r w:rsidRPr="00D61ADF">
        <w:t>zonai</w:t>
      </w:r>
      <w:proofErr w:type="spellEnd"/>
      <w:r w:rsidRPr="00D61ADF">
        <w:t xml:space="preserve"> 2014.gada 1.janvārī, kad daļa maksājumu par 2014.gada janvāri tika samaksāti 2013.gada decembrī, veidojot ieņēmumu pārpildi. Neizpildi arī ietekmēja būtiskākās </w:t>
      </w:r>
      <w:r w:rsidRPr="00D61ADF">
        <w:rPr>
          <w:rFonts w:cs="Times New Roman"/>
        </w:rPr>
        <w:t xml:space="preserve">likumdošanas izmaiņas, kas </w:t>
      </w:r>
      <w:r>
        <w:rPr>
          <w:rFonts w:cs="Times New Roman"/>
        </w:rPr>
        <w:t>stājā</w:t>
      </w:r>
      <w:r w:rsidRPr="00D61ADF">
        <w:rPr>
          <w:rFonts w:cs="Times New Roman"/>
        </w:rPr>
        <w:t>s spēkā ar 2014.gada 1.janvāri:</w:t>
      </w:r>
    </w:p>
    <w:p w:rsidR="00BB74DA" w:rsidRPr="00D61ADF" w:rsidRDefault="00BB74DA" w:rsidP="00BB74DA">
      <w:pPr>
        <w:numPr>
          <w:ilvl w:val="0"/>
          <w:numId w:val="1"/>
        </w:numPr>
        <w:spacing w:after="0"/>
        <w:ind w:left="1077" w:hanging="357"/>
        <w:rPr>
          <w:rFonts w:cs="Times New Roman"/>
        </w:rPr>
      </w:pPr>
      <w:r w:rsidRPr="00D61ADF">
        <w:rPr>
          <w:rFonts w:cs="Times New Roman"/>
        </w:rPr>
        <w:t>IIN atvieglojuma apmēra par apgādībā esošām personām palielināšana no 113,83 </w:t>
      </w:r>
      <w:proofErr w:type="spellStart"/>
      <w:r w:rsidRPr="00D61ADF">
        <w:rPr>
          <w:rFonts w:cs="Times New Roman"/>
          <w:i/>
          <w:szCs w:val="24"/>
        </w:rPr>
        <w:t>euro</w:t>
      </w:r>
      <w:proofErr w:type="spellEnd"/>
      <w:r w:rsidRPr="00D61ADF">
        <w:rPr>
          <w:rFonts w:cs="Times New Roman"/>
        </w:rPr>
        <w:t xml:space="preserve"> (80 latiem) līdz 165 </w:t>
      </w:r>
      <w:proofErr w:type="spellStart"/>
      <w:r w:rsidRPr="00D61ADF">
        <w:rPr>
          <w:rFonts w:cs="Times New Roman"/>
          <w:i/>
          <w:szCs w:val="24"/>
        </w:rPr>
        <w:t>euro</w:t>
      </w:r>
      <w:proofErr w:type="spellEnd"/>
      <w:r w:rsidRPr="00D61ADF">
        <w:rPr>
          <w:rFonts w:cs="Times New Roman"/>
        </w:rPr>
        <w:t xml:space="preserve"> mēnesī;</w:t>
      </w:r>
    </w:p>
    <w:p w:rsidR="00BB74DA" w:rsidRPr="00D61ADF" w:rsidRDefault="00BB74DA" w:rsidP="00BB74DA">
      <w:pPr>
        <w:numPr>
          <w:ilvl w:val="0"/>
          <w:numId w:val="1"/>
        </w:numPr>
        <w:spacing w:after="0"/>
        <w:ind w:left="1077" w:hanging="357"/>
        <w:rPr>
          <w:rFonts w:cs="Times New Roman"/>
        </w:rPr>
      </w:pPr>
      <w:r w:rsidRPr="00D61ADF">
        <w:rPr>
          <w:rFonts w:cs="Times New Roman"/>
        </w:rPr>
        <w:t>neapliekamā minimuma palielināšana no 64,03 </w:t>
      </w:r>
      <w:proofErr w:type="spellStart"/>
      <w:r w:rsidRPr="00D61ADF">
        <w:rPr>
          <w:rFonts w:cs="Times New Roman"/>
          <w:i/>
          <w:szCs w:val="24"/>
        </w:rPr>
        <w:t>euro</w:t>
      </w:r>
      <w:proofErr w:type="spellEnd"/>
      <w:r w:rsidRPr="00D61ADF">
        <w:rPr>
          <w:rFonts w:cs="Times New Roman"/>
        </w:rPr>
        <w:t xml:space="preserve"> (45 latiem) līdz 75 </w:t>
      </w:r>
      <w:proofErr w:type="spellStart"/>
      <w:r w:rsidRPr="00D61ADF">
        <w:rPr>
          <w:rFonts w:cs="Times New Roman"/>
          <w:i/>
          <w:szCs w:val="24"/>
        </w:rPr>
        <w:t>euro</w:t>
      </w:r>
      <w:proofErr w:type="spellEnd"/>
      <w:r w:rsidRPr="00D61ADF">
        <w:rPr>
          <w:rFonts w:cs="Times New Roman"/>
        </w:rPr>
        <w:t xml:space="preserve"> mēnesī.</w:t>
      </w:r>
    </w:p>
    <w:p w:rsidR="00BB74DA" w:rsidRPr="00A90230" w:rsidRDefault="00BB74DA" w:rsidP="00BB74DA">
      <w:pPr>
        <w:rPr>
          <w:rFonts w:cs="Times New Roman"/>
        </w:rPr>
      </w:pPr>
    </w:p>
    <w:p w:rsidR="00BB74DA" w:rsidRPr="00A65CDD" w:rsidRDefault="00BB74DA" w:rsidP="00BB74DA">
      <w:pPr>
        <w:ind w:firstLine="0"/>
        <w:jc w:val="center"/>
        <w:rPr>
          <w:noProof/>
          <w:lang w:eastAsia="lv-LV"/>
        </w:rPr>
      </w:pPr>
      <w:r w:rsidRPr="00A65CDD">
        <w:rPr>
          <w:noProof/>
          <w:lang w:eastAsia="lv-LV"/>
        </w:rPr>
        <w:drawing>
          <wp:inline distT="0" distB="0" distL="0" distR="0" wp14:anchorId="715F93D5" wp14:editId="7AB73F06">
            <wp:extent cx="6090285" cy="333526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240" t="18113" b="2428"/>
                    <a:stretch/>
                  </pic:blipFill>
                  <pic:spPr bwMode="auto">
                    <a:xfrm>
                      <a:off x="0" y="0"/>
                      <a:ext cx="6169285" cy="3378528"/>
                    </a:xfrm>
                    <a:prstGeom prst="rect">
                      <a:avLst/>
                    </a:prstGeom>
                    <a:noFill/>
                    <a:ln>
                      <a:noFill/>
                    </a:ln>
                    <a:extLst>
                      <a:ext uri="{53640926-AAD7-44D8-BBD7-CCE9431645EC}">
                        <a14:shadowObscured xmlns:a14="http://schemas.microsoft.com/office/drawing/2010/main"/>
                      </a:ext>
                    </a:extLst>
                  </pic:spPr>
                </pic:pic>
              </a:graphicData>
            </a:graphic>
          </wp:inline>
        </w:drawing>
      </w:r>
    </w:p>
    <w:p w:rsidR="00BB74DA" w:rsidRPr="000161A4" w:rsidRDefault="00BB74DA" w:rsidP="00D24FBD">
      <w:pPr>
        <w:ind w:firstLine="0"/>
        <w:jc w:val="center"/>
        <w:rPr>
          <w:rFonts w:cs="Times New Roman"/>
          <w:b/>
          <w:i/>
          <w:sz w:val="24"/>
        </w:rPr>
      </w:pPr>
      <w:r w:rsidRPr="000161A4">
        <w:rPr>
          <w:rFonts w:cs="Times New Roman"/>
          <w:b/>
          <w:i/>
          <w:sz w:val="24"/>
        </w:rPr>
        <w:t>2</w:t>
      </w:r>
      <w:r w:rsidR="000161A4">
        <w:rPr>
          <w:rFonts w:cs="Times New Roman"/>
          <w:b/>
          <w:i/>
          <w:sz w:val="24"/>
        </w:rPr>
        <w:t>6</w:t>
      </w:r>
      <w:r w:rsidRPr="000161A4">
        <w:rPr>
          <w:rFonts w:cs="Times New Roman"/>
          <w:b/>
          <w:i/>
          <w:sz w:val="24"/>
        </w:rPr>
        <w:t>. att. Iedzīvotāju ienākuma nodokļa ieņēmumi pa ceturkšņiem, milj. </w:t>
      </w:r>
      <w:proofErr w:type="spellStart"/>
      <w:r w:rsidRPr="000161A4">
        <w:rPr>
          <w:rFonts w:cs="Times New Roman"/>
          <w:b/>
          <w:i/>
          <w:sz w:val="24"/>
        </w:rPr>
        <w:t>euro</w:t>
      </w:r>
      <w:proofErr w:type="spellEnd"/>
    </w:p>
    <w:p w:rsidR="00BB74DA" w:rsidRPr="006B1552" w:rsidRDefault="00BB74DA" w:rsidP="00BB74DA">
      <w:pPr>
        <w:ind w:firstLine="0"/>
        <w:jc w:val="center"/>
        <w:rPr>
          <w:highlight w:val="yellow"/>
        </w:rPr>
      </w:pPr>
    </w:p>
    <w:p w:rsidR="00BB74DA" w:rsidRPr="00D61ADF" w:rsidRDefault="00BB74DA" w:rsidP="00BB74DA">
      <w:pPr>
        <w:spacing w:after="0"/>
        <w:rPr>
          <w:rFonts w:cs="Times New Roman"/>
        </w:rPr>
      </w:pPr>
      <w:r>
        <w:rPr>
          <w:rFonts w:cs="Times New Roman"/>
        </w:rPr>
        <w:t>L</w:t>
      </w:r>
      <w:r w:rsidRPr="00D61ADF">
        <w:rPr>
          <w:rFonts w:cs="Times New Roman"/>
        </w:rPr>
        <w:t>ikumdošanas izmaiņas</w:t>
      </w:r>
      <w:r>
        <w:rPr>
          <w:rFonts w:cs="Times New Roman"/>
        </w:rPr>
        <w:t xml:space="preserve">, </w:t>
      </w:r>
      <w:r w:rsidRPr="00D61ADF">
        <w:rPr>
          <w:rFonts w:cs="Times New Roman"/>
        </w:rPr>
        <w:t xml:space="preserve">kas </w:t>
      </w:r>
      <w:r>
        <w:rPr>
          <w:rFonts w:cs="Times New Roman"/>
        </w:rPr>
        <w:t>stājā</w:t>
      </w:r>
      <w:r w:rsidRPr="00D61ADF">
        <w:rPr>
          <w:rFonts w:cs="Times New Roman"/>
        </w:rPr>
        <w:t>s spēkā ar 2014.gada 1.janvāri</w:t>
      </w:r>
      <w:r>
        <w:rPr>
          <w:rFonts w:cs="Times New Roman"/>
        </w:rPr>
        <w:t>,</w:t>
      </w:r>
      <w:r w:rsidRPr="00D61ADF">
        <w:rPr>
          <w:rFonts w:cs="Times New Roman"/>
        </w:rPr>
        <w:t xml:space="preserve"> paredz IIN likmes saglabāšanu 2013.</w:t>
      </w:r>
      <w:r w:rsidRPr="00D61ADF">
        <w:t xml:space="preserve"> gada līmenī - </w:t>
      </w:r>
      <w:r w:rsidRPr="00D61ADF">
        <w:rPr>
          <w:rFonts w:cs="Times New Roman"/>
        </w:rPr>
        <w:t>24% (sākotnēji tika plānots, ka 2014. gadā IIN likme būs 22%).</w:t>
      </w:r>
    </w:p>
    <w:p w:rsidR="00BB74DA" w:rsidRPr="00BA045F" w:rsidRDefault="00BB74DA" w:rsidP="00BB74DA">
      <w:pPr>
        <w:rPr>
          <w:rFonts w:cs="Times New Roman"/>
          <w:highlight w:val="yellow"/>
        </w:rPr>
      </w:pPr>
      <w:r w:rsidRPr="000D06D7">
        <w:rPr>
          <w:rFonts w:cs="Times New Roman"/>
        </w:rPr>
        <w:t>IIN ieņēmumi, kas tiek ieskaitīti valsts pamatbudžetā 2014. gada pirmajā ceturksnī bija 63,4 milj. </w:t>
      </w:r>
      <w:proofErr w:type="spellStart"/>
      <w:r w:rsidRPr="000D06D7">
        <w:rPr>
          <w:rFonts w:cs="Times New Roman"/>
          <w:i/>
          <w:szCs w:val="24"/>
        </w:rPr>
        <w:t>euro</w:t>
      </w:r>
      <w:proofErr w:type="spellEnd"/>
      <w:r w:rsidRPr="000D06D7">
        <w:rPr>
          <w:rFonts w:cs="Times New Roman"/>
        </w:rPr>
        <w:t>, kas ir par 0,6 milj. </w:t>
      </w:r>
      <w:proofErr w:type="spellStart"/>
      <w:r w:rsidRPr="000D06D7">
        <w:rPr>
          <w:rFonts w:cs="Times New Roman"/>
          <w:i/>
          <w:szCs w:val="24"/>
        </w:rPr>
        <w:t>euro</w:t>
      </w:r>
      <w:proofErr w:type="spellEnd"/>
      <w:r w:rsidRPr="000D06D7">
        <w:rPr>
          <w:rFonts w:cs="Times New Roman"/>
        </w:rPr>
        <w:t xml:space="preserve"> jeb 1,0% mazāk nekā 2013. gad</w:t>
      </w:r>
      <w:r>
        <w:rPr>
          <w:rFonts w:cs="Times New Roman"/>
        </w:rPr>
        <w:t>a atbilstošajā periodā. Tāpat</w:t>
      </w:r>
      <w:r w:rsidRPr="000D06D7">
        <w:rPr>
          <w:rFonts w:cs="Times New Roman"/>
        </w:rPr>
        <w:t xml:space="preserve"> IIN ieņēmumi pašvaldību pamatbudžetā 2014. gada pirmajā ceturksnī bija 247,1 milj. </w:t>
      </w:r>
      <w:proofErr w:type="spellStart"/>
      <w:r w:rsidRPr="000D06D7">
        <w:rPr>
          <w:rFonts w:cs="Times New Roman"/>
          <w:i/>
        </w:rPr>
        <w:t>euro</w:t>
      </w:r>
      <w:proofErr w:type="spellEnd"/>
      <w:r w:rsidRPr="000D06D7">
        <w:rPr>
          <w:rFonts w:cs="Times New Roman"/>
        </w:rPr>
        <w:t>, kas ir par 7,4 milj. </w:t>
      </w:r>
      <w:proofErr w:type="spellStart"/>
      <w:r w:rsidRPr="000D06D7">
        <w:rPr>
          <w:rFonts w:cs="Times New Roman"/>
          <w:i/>
        </w:rPr>
        <w:t>euro</w:t>
      </w:r>
      <w:proofErr w:type="spellEnd"/>
      <w:r w:rsidRPr="000D06D7">
        <w:rPr>
          <w:rFonts w:cs="Times New Roman"/>
        </w:rPr>
        <w:t xml:space="preserve"> jeb 2,9% mazāk salīdzinājumā ar 2013. gada atbilstošo periodu. </w:t>
      </w:r>
    </w:p>
    <w:p w:rsidR="00BB74DA" w:rsidRPr="000D06D7" w:rsidRDefault="00BB74DA" w:rsidP="00BB74DA">
      <w:pPr>
        <w:rPr>
          <w:rFonts w:cs="Times New Roman"/>
        </w:rPr>
      </w:pPr>
      <w:r w:rsidRPr="000D06D7">
        <w:rPr>
          <w:rFonts w:cs="Times New Roman"/>
        </w:rPr>
        <w:t xml:space="preserve">Kopējo IIN ieņēmumu pirmā ceturkšņa plāns tika izpildīts par 94,9 procentiem. </w:t>
      </w:r>
    </w:p>
    <w:p w:rsidR="00BB74DA" w:rsidRDefault="00BB74DA" w:rsidP="00BB74DA">
      <w:pPr>
        <w:rPr>
          <w:rFonts w:cs="Times New Roman"/>
        </w:rPr>
      </w:pPr>
      <w:r w:rsidRPr="00D43257">
        <w:rPr>
          <w:rFonts w:cs="Times New Roman"/>
          <w:b/>
        </w:rPr>
        <w:lastRenderedPageBreak/>
        <w:t>Sociālās apdrošināšanas iemaksas</w:t>
      </w:r>
      <w:r w:rsidRPr="00D43257">
        <w:rPr>
          <w:rStyle w:val="FootnoteReference"/>
          <w:rFonts w:ascii="Times New Roman" w:hAnsi="Times New Roman" w:cs="Times New Roman"/>
          <w:b/>
        </w:rPr>
        <w:footnoteReference w:id="6"/>
      </w:r>
      <w:r>
        <w:rPr>
          <w:rFonts w:cs="Times New Roman"/>
        </w:rPr>
        <w:t xml:space="preserve"> (turpmāk tekstā VSAOI</w:t>
      </w:r>
      <w:r w:rsidRPr="00D43257">
        <w:rPr>
          <w:rFonts w:cs="Times New Roman"/>
        </w:rPr>
        <w:t>) 2014. gada pirmajā ceturksnī bija 516,5 milj. </w:t>
      </w:r>
      <w:proofErr w:type="spellStart"/>
      <w:r w:rsidRPr="00D43257">
        <w:rPr>
          <w:rFonts w:cs="Times New Roman"/>
          <w:i/>
        </w:rPr>
        <w:t>euro</w:t>
      </w:r>
      <w:proofErr w:type="spellEnd"/>
      <w:r w:rsidRPr="00D43257">
        <w:rPr>
          <w:rFonts w:cs="Times New Roman"/>
        </w:rPr>
        <w:t>, kas salīdzinājumā ar 2013. gada pirmo ceturksni ir par 19,4 milj. </w:t>
      </w:r>
      <w:proofErr w:type="spellStart"/>
      <w:r w:rsidRPr="00D43257">
        <w:rPr>
          <w:rFonts w:cs="Times New Roman"/>
          <w:i/>
        </w:rPr>
        <w:t>euro</w:t>
      </w:r>
      <w:proofErr w:type="spellEnd"/>
      <w:r>
        <w:rPr>
          <w:rFonts w:cs="Times New Roman"/>
        </w:rPr>
        <w:t xml:space="preserve"> jeb 3,9% vairāk. Tai skaitā VSAOI</w:t>
      </w:r>
      <w:r w:rsidRPr="00D43257">
        <w:rPr>
          <w:rFonts w:cs="Times New Roman"/>
        </w:rPr>
        <w:t xml:space="preserve"> valsts speciālajā</w:t>
      </w:r>
      <w:r>
        <w:rPr>
          <w:rFonts w:cs="Times New Roman"/>
        </w:rPr>
        <w:t xml:space="preserve"> budžetā bija 455,1</w:t>
      </w:r>
      <w:r w:rsidRPr="00D43257">
        <w:rPr>
          <w:rFonts w:cs="Times New Roman"/>
        </w:rPr>
        <w:t> milj. </w:t>
      </w:r>
      <w:proofErr w:type="spellStart"/>
      <w:r w:rsidRPr="00D43257">
        <w:rPr>
          <w:rFonts w:cs="Times New Roman"/>
          <w:i/>
        </w:rPr>
        <w:t>euro</w:t>
      </w:r>
      <w:proofErr w:type="spellEnd"/>
      <w:r w:rsidRPr="00D43257">
        <w:rPr>
          <w:rFonts w:cs="Times New Roman"/>
        </w:rPr>
        <w:t xml:space="preserve"> un iemaksas </w:t>
      </w:r>
      <w:proofErr w:type="spellStart"/>
      <w:r w:rsidRPr="00D43257">
        <w:rPr>
          <w:rFonts w:cs="Times New Roman"/>
        </w:rPr>
        <w:t>fondēto</w:t>
      </w:r>
      <w:proofErr w:type="spellEnd"/>
      <w:r w:rsidRPr="00D43257">
        <w:rPr>
          <w:rFonts w:cs="Times New Roman"/>
        </w:rPr>
        <w:t xml:space="preserve"> pensiju shēmā 61,4 milj. </w:t>
      </w:r>
      <w:proofErr w:type="spellStart"/>
      <w:r w:rsidRPr="00D43257">
        <w:rPr>
          <w:rFonts w:cs="Times New Roman"/>
          <w:i/>
        </w:rPr>
        <w:t>euro</w:t>
      </w:r>
      <w:proofErr w:type="spellEnd"/>
      <w:r w:rsidRPr="00D43257">
        <w:rPr>
          <w:rFonts w:cs="Times New Roman"/>
        </w:rPr>
        <w:t xml:space="preserve">. </w:t>
      </w:r>
    </w:p>
    <w:p w:rsidR="00BB74DA" w:rsidRDefault="00BB74DA" w:rsidP="00BB74DA">
      <w:pPr>
        <w:ind w:firstLine="567"/>
        <w:rPr>
          <w:rFonts w:cs="Times New Roman"/>
        </w:rPr>
      </w:pPr>
      <w:r>
        <w:rPr>
          <w:rFonts w:cs="Times New Roman"/>
        </w:rPr>
        <w:t>VSAOI</w:t>
      </w:r>
      <w:r w:rsidRPr="00A06CF4">
        <w:rPr>
          <w:rFonts w:cs="Times New Roman"/>
        </w:rPr>
        <w:t xml:space="preserve"> 2014. gada pirmā ceturkšņa plāna izpilde sasniedza 99,3%, tajā skaitā iemaksu sociālās apdrošināšanas budžetā plāna izpilde bija 98,7</w:t>
      </w:r>
      <w:r>
        <w:rPr>
          <w:rFonts w:cs="Times New Roman"/>
        </w:rPr>
        <w:t>%</w:t>
      </w:r>
      <w:r w:rsidRPr="00A06CF4">
        <w:rPr>
          <w:rFonts w:cs="Times New Roman"/>
        </w:rPr>
        <w:t xml:space="preserve"> un iemaksas </w:t>
      </w:r>
      <w:proofErr w:type="spellStart"/>
      <w:r w:rsidRPr="00A06CF4">
        <w:rPr>
          <w:rFonts w:cs="Times New Roman"/>
        </w:rPr>
        <w:t>fondēto</w:t>
      </w:r>
      <w:proofErr w:type="spellEnd"/>
      <w:r w:rsidRPr="00A06CF4">
        <w:rPr>
          <w:rFonts w:cs="Times New Roman"/>
        </w:rPr>
        <w:t xml:space="preserve"> pensiju shēmā 104,1 procent</w:t>
      </w:r>
      <w:r>
        <w:rPr>
          <w:rFonts w:cs="Times New Roman"/>
        </w:rPr>
        <w:t>s</w:t>
      </w:r>
      <w:r w:rsidRPr="00A06CF4">
        <w:rPr>
          <w:rFonts w:cs="Times New Roman"/>
        </w:rPr>
        <w:t xml:space="preserve">. </w:t>
      </w:r>
    </w:p>
    <w:p w:rsidR="00BB74DA" w:rsidRDefault="00BB74DA" w:rsidP="00BB74DA">
      <w:pPr>
        <w:ind w:firstLine="567"/>
        <w:rPr>
          <w:rFonts w:cs="Times New Roman"/>
        </w:rPr>
      </w:pPr>
      <w:r>
        <w:t>VSAOI</w:t>
      </w:r>
      <w:r w:rsidRPr="00A06CF4">
        <w:t xml:space="preserve"> ieņē</w:t>
      </w:r>
      <w:r>
        <w:t>mumus</w:t>
      </w:r>
      <w:r w:rsidRPr="00A06CF4">
        <w:t xml:space="preserve"> ietekmēja </w:t>
      </w:r>
      <w:r>
        <w:t xml:space="preserve">likumdošanas izmaiņas, kas stājās spēkā 2014.gada 1.janvārī, kas paredzēja VSAOI </w:t>
      </w:r>
      <w:r w:rsidRPr="00A90230">
        <w:t>likmes samazināšan</w:t>
      </w:r>
      <w:r>
        <w:t>u</w:t>
      </w:r>
      <w:r w:rsidRPr="00A90230">
        <w:t xml:space="preserve"> no 35,09% līdz 34,09%, kur darba devēja valsts sociālās obligātās apdrošināšanas iemaksas </w:t>
      </w:r>
      <w:r>
        <w:t>tika samazinātas</w:t>
      </w:r>
      <w:r w:rsidRPr="00A90230">
        <w:t xml:space="preserve"> no 24,09% līdz 23,59%, un darba ņēmē</w:t>
      </w:r>
      <w:r>
        <w:t>ja no 11% līdz 10,50 procentiem un tā pat</w:t>
      </w:r>
      <w:r w:rsidRPr="00A06CF4">
        <w:rPr>
          <w:rFonts w:cs="Times New Roman"/>
        </w:rPr>
        <w:t xml:space="preserve"> kā </w:t>
      </w:r>
      <w:r>
        <w:rPr>
          <w:rFonts w:cs="Times New Roman"/>
        </w:rPr>
        <w:t>IIN ieņēmumus</w:t>
      </w:r>
      <w:r w:rsidRPr="00A06CF4">
        <w:rPr>
          <w:rFonts w:cs="Times New Roman"/>
        </w:rPr>
        <w:t xml:space="preserve"> arī </w:t>
      </w:r>
      <w:r w:rsidRPr="00A06CF4">
        <w:t xml:space="preserve">Latvijas pievienošanās </w:t>
      </w:r>
      <w:proofErr w:type="spellStart"/>
      <w:r w:rsidRPr="00B87469">
        <w:rPr>
          <w:i/>
        </w:rPr>
        <w:t>e</w:t>
      </w:r>
      <w:r w:rsidR="00404D8F" w:rsidRPr="00B87469">
        <w:rPr>
          <w:i/>
        </w:rPr>
        <w:t>u</w:t>
      </w:r>
      <w:r w:rsidRPr="00B87469">
        <w:rPr>
          <w:i/>
        </w:rPr>
        <w:t>ro</w:t>
      </w:r>
      <w:proofErr w:type="spellEnd"/>
      <w:r w:rsidR="00404D8F">
        <w:t xml:space="preserve"> </w:t>
      </w:r>
      <w:r w:rsidRPr="00A06CF4">
        <w:t>zonai</w:t>
      </w:r>
      <w:r>
        <w:rPr>
          <w:rFonts w:cs="Times New Roman"/>
        </w:rPr>
        <w:t>.</w:t>
      </w:r>
    </w:p>
    <w:p w:rsidR="00BB74DA" w:rsidRPr="00791A21" w:rsidRDefault="00BB74DA" w:rsidP="00791A21">
      <w:pPr>
        <w:ind w:firstLine="0"/>
        <w:jc w:val="center"/>
        <w:rPr>
          <w:noProof/>
          <w:lang w:eastAsia="lv-LV"/>
        </w:rPr>
      </w:pPr>
      <w:r w:rsidRPr="00791A21">
        <w:rPr>
          <w:noProof/>
          <w:lang w:eastAsia="lv-LV"/>
        </w:rPr>
        <w:drawing>
          <wp:inline distT="0" distB="0" distL="0" distR="0" wp14:anchorId="62F9B1B4" wp14:editId="20232F38">
            <wp:extent cx="6099888" cy="3385946"/>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963" t="18202" r="2071" b="1933"/>
                    <a:stretch/>
                  </pic:blipFill>
                  <pic:spPr bwMode="auto">
                    <a:xfrm>
                      <a:off x="0" y="0"/>
                      <a:ext cx="6128928" cy="3402066"/>
                    </a:xfrm>
                    <a:prstGeom prst="rect">
                      <a:avLst/>
                    </a:prstGeom>
                    <a:noFill/>
                    <a:ln>
                      <a:noFill/>
                    </a:ln>
                    <a:extLst>
                      <a:ext uri="{53640926-AAD7-44D8-BBD7-CCE9431645EC}">
                        <a14:shadowObscured xmlns:a14="http://schemas.microsoft.com/office/drawing/2010/main"/>
                      </a:ext>
                    </a:extLst>
                  </pic:spPr>
                </pic:pic>
              </a:graphicData>
            </a:graphic>
          </wp:inline>
        </w:drawing>
      </w:r>
    </w:p>
    <w:p w:rsidR="00BB74DA" w:rsidRPr="000161A4" w:rsidRDefault="000161A4" w:rsidP="00D24FBD">
      <w:pPr>
        <w:ind w:firstLine="0"/>
        <w:jc w:val="center"/>
        <w:rPr>
          <w:rFonts w:cs="Times New Roman"/>
          <w:b/>
          <w:i/>
          <w:sz w:val="24"/>
        </w:rPr>
      </w:pPr>
      <w:r>
        <w:rPr>
          <w:rFonts w:cs="Times New Roman"/>
          <w:b/>
          <w:i/>
          <w:sz w:val="24"/>
        </w:rPr>
        <w:t>27</w:t>
      </w:r>
      <w:r w:rsidR="00BB74DA" w:rsidRPr="000161A4">
        <w:rPr>
          <w:rFonts w:cs="Times New Roman"/>
          <w:b/>
          <w:i/>
          <w:sz w:val="24"/>
        </w:rPr>
        <w:t xml:space="preserve">. att. Valsts sociālās apdrošināšanas iemaksas (ieskaitot valsts </w:t>
      </w:r>
      <w:proofErr w:type="spellStart"/>
      <w:r w:rsidR="00BB74DA" w:rsidRPr="000161A4">
        <w:rPr>
          <w:rFonts w:cs="Times New Roman"/>
          <w:b/>
          <w:i/>
          <w:sz w:val="24"/>
        </w:rPr>
        <w:t>fondēto</w:t>
      </w:r>
      <w:proofErr w:type="spellEnd"/>
      <w:r w:rsidR="00BB74DA" w:rsidRPr="000161A4">
        <w:rPr>
          <w:rFonts w:cs="Times New Roman"/>
          <w:b/>
          <w:i/>
          <w:sz w:val="24"/>
        </w:rPr>
        <w:t xml:space="preserve"> pensiju shēmas līdzekļus) pa ceturkšņiem, milj. </w:t>
      </w:r>
      <w:proofErr w:type="spellStart"/>
      <w:r w:rsidR="00BB74DA" w:rsidRPr="000161A4">
        <w:rPr>
          <w:rFonts w:cs="Times New Roman"/>
          <w:b/>
          <w:i/>
          <w:sz w:val="24"/>
        </w:rPr>
        <w:t>euro</w:t>
      </w:r>
      <w:proofErr w:type="spellEnd"/>
    </w:p>
    <w:p w:rsidR="00BB74DA" w:rsidRPr="006B1552" w:rsidRDefault="00BB74DA" w:rsidP="00BB74DA">
      <w:pPr>
        <w:ind w:firstLine="0"/>
        <w:jc w:val="center"/>
        <w:rPr>
          <w:highlight w:val="yellow"/>
        </w:rPr>
      </w:pPr>
    </w:p>
    <w:p w:rsidR="00BB74DA" w:rsidRDefault="00BB74DA" w:rsidP="00BB74DA">
      <w:pPr>
        <w:rPr>
          <w:rFonts w:cs="Times New Roman"/>
        </w:rPr>
      </w:pPr>
      <w:r>
        <w:rPr>
          <w:rFonts w:cs="Times New Roman"/>
        </w:rPr>
        <w:t xml:space="preserve">VSAOI un </w:t>
      </w:r>
      <w:r w:rsidRPr="00A65CDD">
        <w:rPr>
          <w:rFonts w:cs="Times New Roman"/>
        </w:rPr>
        <w:t>IIN ieņēmumu</w:t>
      </w:r>
      <w:r>
        <w:rPr>
          <w:rFonts w:cs="Times New Roman"/>
        </w:rPr>
        <w:t>s</w:t>
      </w:r>
      <w:r w:rsidRPr="00A65CDD">
        <w:rPr>
          <w:rFonts w:cs="Times New Roman"/>
        </w:rPr>
        <w:t xml:space="preserve"> 2014. gada pirmajā ceturksnī </w:t>
      </w:r>
      <w:r>
        <w:rPr>
          <w:rFonts w:cs="Times New Roman"/>
        </w:rPr>
        <w:t xml:space="preserve">arī </w:t>
      </w:r>
      <w:r w:rsidRPr="00A65CDD">
        <w:rPr>
          <w:rFonts w:cs="Times New Roman"/>
        </w:rPr>
        <w:t>ietekmēja</w:t>
      </w:r>
      <w:r>
        <w:rPr>
          <w:rFonts w:cs="Times New Roman"/>
        </w:rPr>
        <w:t>:</w:t>
      </w:r>
      <w:r w:rsidRPr="00A65CDD">
        <w:rPr>
          <w:rFonts w:cs="Times New Roman"/>
        </w:rPr>
        <w:t xml:space="preserve"> </w:t>
      </w:r>
    </w:p>
    <w:p w:rsidR="00BB74DA" w:rsidRPr="00D05E2C" w:rsidRDefault="00BB74DA" w:rsidP="00BB74DA">
      <w:pPr>
        <w:pStyle w:val="ListParagraph"/>
        <w:numPr>
          <w:ilvl w:val="0"/>
          <w:numId w:val="19"/>
        </w:numPr>
        <w:rPr>
          <w:rFonts w:cs="Times New Roman"/>
        </w:rPr>
      </w:pPr>
      <w:r w:rsidRPr="00D05E2C">
        <w:rPr>
          <w:rFonts w:cs="Times New Roman"/>
        </w:rPr>
        <w:t xml:space="preserve">tautsaimniecībā nodarbināto darba samaksas palielināšanās (saskaņā ar Valsts ieņēmumu dienesta (turpmāk VID) informāciju 2014. gada pirmajā ceturksnī pieaugums par 8,2% pret iepriekšējā gada atbilstošo periodu), </w:t>
      </w:r>
    </w:p>
    <w:p w:rsidR="00BB74DA" w:rsidRPr="00D05E2C" w:rsidRDefault="00BB74DA" w:rsidP="00BB74DA">
      <w:pPr>
        <w:pStyle w:val="ListParagraph"/>
        <w:numPr>
          <w:ilvl w:val="0"/>
          <w:numId w:val="19"/>
        </w:numPr>
        <w:rPr>
          <w:rFonts w:cs="Times New Roman"/>
        </w:rPr>
      </w:pPr>
      <w:r w:rsidRPr="00D05E2C">
        <w:rPr>
          <w:rFonts w:cs="Times New Roman"/>
        </w:rPr>
        <w:t xml:space="preserve">darba ņēmēju pieaugums (saskaņā ar VID informāciju darba ņēmēju skaits 2014. gada februārī, salīdzinot ar 2013. gada atbilstošo periodu, ir palielinājies par 0,5%), </w:t>
      </w:r>
    </w:p>
    <w:p w:rsidR="00BB74DA" w:rsidRPr="008E3A67" w:rsidRDefault="00BB74DA" w:rsidP="00BB74DA">
      <w:pPr>
        <w:pStyle w:val="ListParagraph"/>
        <w:numPr>
          <w:ilvl w:val="0"/>
          <w:numId w:val="19"/>
        </w:numPr>
      </w:pPr>
      <w:r w:rsidRPr="008E3A67">
        <w:rPr>
          <w:rFonts w:cs="Times New Roman"/>
        </w:rPr>
        <w:lastRenderedPageBreak/>
        <w:t xml:space="preserve">darba ņēmēju īpatsvara pieaugums, kuru ienākumi ir virs minimālās darba algas (saskaņā ar VID informāciju  2014. gada pirmajā ceturksnī pieaugums ir par 1,9% salīdzinājumā ar iepriekšējā gada atbilstošo periodu pieaudzis); </w:t>
      </w:r>
    </w:p>
    <w:p w:rsidR="00BB74DA" w:rsidRPr="008E3A67" w:rsidRDefault="00BB74DA" w:rsidP="00BB74DA">
      <w:pPr>
        <w:pStyle w:val="ListParagraph"/>
        <w:numPr>
          <w:ilvl w:val="0"/>
          <w:numId w:val="19"/>
        </w:numPr>
        <w:spacing w:after="0"/>
        <w:rPr>
          <w:iCs/>
        </w:rPr>
      </w:pPr>
      <w:r>
        <w:t>VSAOI un IIN citas būtiskākās likumdošanas izmaiņas, kas stājās spēkā ar 2014.gada 1.janvāri:</w:t>
      </w:r>
    </w:p>
    <w:p w:rsidR="00BB74DA" w:rsidRPr="008E3A67" w:rsidRDefault="00BB74DA" w:rsidP="00BB74DA">
      <w:pPr>
        <w:pStyle w:val="ListParagraph"/>
        <w:numPr>
          <w:ilvl w:val="1"/>
          <w:numId w:val="19"/>
        </w:numPr>
        <w:spacing w:after="0"/>
        <w:rPr>
          <w:iCs/>
        </w:rPr>
      </w:pPr>
      <w:r w:rsidRPr="008E3A67">
        <w:rPr>
          <w:iCs/>
        </w:rPr>
        <w:t>minimālās darba algas palielināšana no 284,57 </w:t>
      </w:r>
      <w:proofErr w:type="spellStart"/>
      <w:r w:rsidRPr="008E3A67">
        <w:rPr>
          <w:i/>
          <w:iCs/>
        </w:rPr>
        <w:t>euro</w:t>
      </w:r>
      <w:proofErr w:type="spellEnd"/>
      <w:r w:rsidRPr="008E3A67">
        <w:rPr>
          <w:iCs/>
        </w:rPr>
        <w:t xml:space="preserve"> līdz 320 </w:t>
      </w:r>
      <w:proofErr w:type="spellStart"/>
      <w:r w:rsidRPr="008E3A67">
        <w:rPr>
          <w:i/>
          <w:iCs/>
        </w:rPr>
        <w:t>euro</w:t>
      </w:r>
      <w:proofErr w:type="spellEnd"/>
      <w:r w:rsidRPr="008E3A67">
        <w:rPr>
          <w:iCs/>
        </w:rPr>
        <w:t>;</w:t>
      </w:r>
    </w:p>
    <w:p w:rsidR="00BB74DA" w:rsidRDefault="00BB74DA" w:rsidP="00BB74DA">
      <w:pPr>
        <w:numPr>
          <w:ilvl w:val="1"/>
          <w:numId w:val="19"/>
        </w:numPr>
        <w:spacing w:after="0"/>
        <w:rPr>
          <w:iCs/>
        </w:rPr>
      </w:pPr>
      <w:r w:rsidRPr="00387278">
        <w:rPr>
          <w:iCs/>
        </w:rPr>
        <w:t>saimnieciskās darbības veicēju (kuru pamatdarbība nav aizdevumu izsniegšana) izsniegto aizde</w:t>
      </w:r>
      <w:r>
        <w:rPr>
          <w:iCs/>
        </w:rPr>
        <w:t>vumu aplikšana ar valsts sociālās apdrošināšanas iemaksām;</w:t>
      </w:r>
    </w:p>
    <w:p w:rsidR="00BB74DA" w:rsidRPr="008E3A67" w:rsidRDefault="00BB74DA" w:rsidP="00BB74DA">
      <w:pPr>
        <w:numPr>
          <w:ilvl w:val="1"/>
          <w:numId w:val="19"/>
        </w:numPr>
        <w:spacing w:after="0"/>
        <w:rPr>
          <w:rFonts w:cs="Times New Roman"/>
        </w:rPr>
      </w:pPr>
      <w:r w:rsidRPr="008E3A67">
        <w:rPr>
          <w:iCs/>
        </w:rPr>
        <w:t>valdes locekļu minimālās darba algas aplikšana ar valsts sociālās apdrošināšanas iemaksām.</w:t>
      </w:r>
    </w:p>
    <w:p w:rsidR="00BB74DA" w:rsidRDefault="00BB74DA" w:rsidP="00BB74DA">
      <w:pPr>
        <w:spacing w:after="0"/>
      </w:pPr>
    </w:p>
    <w:p w:rsidR="00BB74DA" w:rsidRPr="000543B0" w:rsidRDefault="00BB74DA" w:rsidP="00BB74DA">
      <w:r w:rsidRPr="000543B0">
        <w:rPr>
          <w:b/>
        </w:rPr>
        <w:t xml:space="preserve">Nekustamā īpašuma nodokļa </w:t>
      </w:r>
      <w:r w:rsidRPr="000543B0">
        <w:t>(turpmāk tekstā NĪN) ieņēmumi (ieskaitot parādu maksājumus) 2014. gada pirmajā ceturksnī bija 73,1 milj. </w:t>
      </w:r>
      <w:proofErr w:type="spellStart"/>
      <w:r w:rsidRPr="000543B0">
        <w:rPr>
          <w:i/>
        </w:rPr>
        <w:t>euro</w:t>
      </w:r>
      <w:proofErr w:type="spellEnd"/>
      <w:r w:rsidRPr="000543B0">
        <w:t>, kas ir par 18,4 milj. </w:t>
      </w:r>
      <w:proofErr w:type="spellStart"/>
      <w:r w:rsidRPr="000543B0">
        <w:rPr>
          <w:i/>
        </w:rPr>
        <w:t>euro</w:t>
      </w:r>
      <w:proofErr w:type="spellEnd"/>
      <w:r w:rsidRPr="000543B0">
        <w:t xml:space="preserve"> jeb 33,6% vairāk nekā 2013. gada pirmajā ceturksnī.</w:t>
      </w:r>
    </w:p>
    <w:p w:rsidR="00BB74DA" w:rsidRPr="000543B0" w:rsidRDefault="00BB74DA" w:rsidP="00BB74DA">
      <w:r w:rsidRPr="000543B0">
        <w:t>NĪN ieņēmumi par zemi 2014. gada pirmajā ceturksnī bija 39,6 milj. </w:t>
      </w:r>
      <w:proofErr w:type="spellStart"/>
      <w:r w:rsidRPr="000543B0">
        <w:rPr>
          <w:i/>
        </w:rPr>
        <w:t>euro</w:t>
      </w:r>
      <w:proofErr w:type="spellEnd"/>
      <w:r w:rsidRPr="000543B0">
        <w:t>, savukārt NĪN ieņēmumi par ēkām bija 33,5 milj. </w:t>
      </w:r>
      <w:proofErr w:type="spellStart"/>
      <w:r w:rsidRPr="000543B0">
        <w:rPr>
          <w:i/>
        </w:rPr>
        <w:t>euro</w:t>
      </w:r>
      <w:proofErr w:type="spellEnd"/>
      <w:r w:rsidRPr="000543B0">
        <w:t>, tai skaitā par mājokļiem 11,9 milj. </w:t>
      </w:r>
      <w:proofErr w:type="spellStart"/>
      <w:r w:rsidRPr="000543B0">
        <w:rPr>
          <w:i/>
        </w:rPr>
        <w:t>euro</w:t>
      </w:r>
      <w:proofErr w:type="spellEnd"/>
      <w:r w:rsidRPr="000543B0">
        <w:t>.</w:t>
      </w:r>
    </w:p>
    <w:p w:rsidR="00BB74DA" w:rsidRDefault="00BB74DA" w:rsidP="00BB74DA">
      <w:r w:rsidRPr="000543B0">
        <w:t xml:space="preserve">No 2013. gada 1. janvāra pašvaldībām ir deleģētas tiesības noteikt nekustamā īpašuma nodokļa </w:t>
      </w:r>
      <w:r w:rsidRPr="008D3E3A">
        <w:t>likmi 0,2 – 1,5% robežās,</w:t>
      </w:r>
      <w:r w:rsidRPr="000543B0">
        <w:t xml:space="preserve"> nosakot to attiecīgās pašvaldības saistošajos noteikumos. </w:t>
      </w:r>
    </w:p>
    <w:p w:rsidR="00BB74DA" w:rsidRPr="003213FF" w:rsidRDefault="00BB74DA" w:rsidP="00BB74DA">
      <w:r w:rsidRPr="003213FF">
        <w:t>NĪN pirmā ceturkšņa ieņēmumu plāns ir izpildīts par 130,0%. I</w:t>
      </w:r>
      <w:r w:rsidRPr="003213FF">
        <w:rPr>
          <w:rFonts w:cs="Times New Roman"/>
        </w:rPr>
        <w:t xml:space="preserve">eņēmumu izpildi 2014. gada pirmajā ceturksnī galvenokārt ietekmēja kadastrālo vērtību bāzes pieaugums un tas, ka daļa NĪN maksātāju jau ir veikuši </w:t>
      </w:r>
      <w:r>
        <w:rPr>
          <w:rFonts w:cs="Times New Roman"/>
        </w:rPr>
        <w:t>nodokļa iemaksas</w:t>
      </w:r>
      <w:r w:rsidRPr="003213FF">
        <w:rPr>
          <w:rFonts w:cs="Times New Roman"/>
        </w:rPr>
        <w:t xml:space="preserve"> </w:t>
      </w:r>
      <w:r>
        <w:rPr>
          <w:rFonts w:cs="Times New Roman"/>
        </w:rPr>
        <w:t>par visu gadu</w:t>
      </w:r>
      <w:r w:rsidRPr="003213FF">
        <w:rPr>
          <w:rFonts w:cs="Times New Roman"/>
        </w:rPr>
        <w:t>.</w:t>
      </w:r>
      <w:r w:rsidRPr="003213FF">
        <w:t xml:space="preserve"> </w:t>
      </w:r>
    </w:p>
    <w:p w:rsidR="00BB74DA" w:rsidRPr="000543B0" w:rsidRDefault="00BB74DA" w:rsidP="00BB74DA">
      <w:r w:rsidRPr="00D61ADF">
        <w:t>NĪN pozitīvo ieņēmumu izpildi arī ietekmēja, likumdošanas izmaiņas, kas paredz, ka NĪN likmi dzīvojamajām mājām piemēros tikai to komersantu piederošām mājām, dzīvokļiem vai telpu grupām, kuru lietošana saistīta ar dzīvošanu, ja attiecīgais dzīvoklis vai māja būs izīrēta dzīvošanai un īres tiesības nostiprinātas zemesgrāmatā. Citos gadījumos šādiem objektiem tiks piemērota 1,5 procentu likme.</w:t>
      </w:r>
    </w:p>
    <w:p w:rsidR="00BB74DA" w:rsidRDefault="00BB74DA" w:rsidP="00BB74DA">
      <w:pPr>
        <w:rPr>
          <w:rFonts w:cs="Times New Roman"/>
        </w:rPr>
      </w:pPr>
    </w:p>
    <w:p w:rsidR="00BB74DA" w:rsidRPr="00B714C6" w:rsidRDefault="00BB74DA" w:rsidP="00BB74DA">
      <w:pPr>
        <w:rPr>
          <w:sz w:val="24"/>
          <w:szCs w:val="24"/>
          <w:highlight w:val="lightGray"/>
        </w:rPr>
      </w:pPr>
      <w:r w:rsidRPr="004C2700">
        <w:rPr>
          <w:b/>
        </w:rPr>
        <w:t>Pievienotās vērtības nodokļa</w:t>
      </w:r>
      <w:r w:rsidRPr="004C2700">
        <w:t xml:space="preserve"> (turpmāk tekstā PVN) ieņēmumi ir nozīmīgākais valsts pamatbu</w:t>
      </w:r>
      <w:r w:rsidRPr="004C2700">
        <w:softHyphen/>
        <w:t>džeta ieņēmumu avots, kas 201</w:t>
      </w:r>
      <w:r>
        <w:t>4</w:t>
      </w:r>
      <w:r w:rsidRPr="004C2700">
        <w:t xml:space="preserve">. gada pirmajā ceturksnī veidoja </w:t>
      </w:r>
      <w:r w:rsidRPr="00051D83">
        <w:t>53,7%</w:t>
      </w:r>
      <w:r w:rsidRPr="004C2700">
        <w:t xml:space="preserve"> no valsts pamatbudžeta nodokļu ieņēmumiem.</w:t>
      </w:r>
      <w:r w:rsidRPr="004C2700">
        <w:rPr>
          <w:sz w:val="24"/>
          <w:szCs w:val="24"/>
        </w:rPr>
        <w:t xml:space="preserve"> </w:t>
      </w:r>
    </w:p>
    <w:p w:rsidR="00BB74DA" w:rsidRDefault="00BB74DA" w:rsidP="00BB74DA">
      <w:r w:rsidRPr="007B6899">
        <w:t>PVN ieņēmumi 201</w:t>
      </w:r>
      <w:r>
        <w:t>4</w:t>
      </w:r>
      <w:r w:rsidRPr="007B6899">
        <w:t xml:space="preserve">. gada pirmajā ceturksnī bija </w:t>
      </w:r>
      <w:r>
        <w:t>42</w:t>
      </w:r>
      <w:r w:rsidRPr="007B6899">
        <w:t>2,</w:t>
      </w:r>
      <w:r>
        <w:t>1</w:t>
      </w:r>
      <w:r w:rsidRPr="007B6899">
        <w:t> milj. </w:t>
      </w:r>
      <w:proofErr w:type="spellStart"/>
      <w:r w:rsidRPr="000A31A3">
        <w:rPr>
          <w:i/>
        </w:rPr>
        <w:t>euro</w:t>
      </w:r>
      <w:proofErr w:type="spellEnd"/>
      <w:r w:rsidRPr="007B6899">
        <w:t>, kas, salīdzinot ar 201</w:t>
      </w:r>
      <w:r>
        <w:t>3</w:t>
      </w:r>
      <w:r w:rsidRPr="007B6899">
        <w:t xml:space="preserve">. gada pirmo ceturksni, ir par </w:t>
      </w:r>
      <w:r>
        <w:t>48</w:t>
      </w:r>
      <w:r w:rsidRPr="007B6899">
        <w:t>,</w:t>
      </w:r>
      <w:r>
        <w:t>1</w:t>
      </w:r>
      <w:r w:rsidRPr="007B6899">
        <w:t> milj. </w:t>
      </w:r>
      <w:proofErr w:type="spellStart"/>
      <w:r w:rsidRPr="000A31A3">
        <w:rPr>
          <w:i/>
        </w:rPr>
        <w:t>euro</w:t>
      </w:r>
      <w:proofErr w:type="spellEnd"/>
      <w:r w:rsidRPr="007B6899">
        <w:t xml:space="preserve"> jeb </w:t>
      </w:r>
      <w:r>
        <w:t>12</w:t>
      </w:r>
      <w:r w:rsidRPr="007B6899">
        <w:t xml:space="preserve">,9% vairāk. Saskaņā ar Valsts ieņēmumu dienesta informāciju pēc apjoma lielākais pievienotās vērtības nodokļa iemaksu pieaugums par </w:t>
      </w:r>
      <w:r>
        <w:t>22</w:t>
      </w:r>
      <w:r w:rsidRPr="007B6899">
        <w:t>,</w:t>
      </w:r>
      <w:r>
        <w:t>1</w:t>
      </w:r>
      <w:r w:rsidRPr="007B6899">
        <w:t> milj. </w:t>
      </w:r>
      <w:proofErr w:type="spellStart"/>
      <w:r w:rsidRPr="000A31A3">
        <w:rPr>
          <w:i/>
        </w:rPr>
        <w:t>euro</w:t>
      </w:r>
      <w:proofErr w:type="spellEnd"/>
      <w:r>
        <w:t xml:space="preserve"> </w:t>
      </w:r>
      <w:r w:rsidRPr="007B6899">
        <w:t xml:space="preserve">jeb </w:t>
      </w:r>
      <w:r>
        <w:t>7</w:t>
      </w:r>
      <w:r w:rsidRPr="007B6899">
        <w:t>,</w:t>
      </w:r>
      <w:r>
        <w:t>6</w:t>
      </w:r>
      <w:r w:rsidRPr="007B6899">
        <w:t> procentiem 201</w:t>
      </w:r>
      <w:r>
        <w:t>4</w:t>
      </w:r>
      <w:r w:rsidRPr="007B6899">
        <w:t>. gada pirmajā ceturksnī, salīdzinot ar 201</w:t>
      </w:r>
      <w:r>
        <w:t>3</w:t>
      </w:r>
      <w:r w:rsidRPr="007B6899">
        <w:t xml:space="preserve">. gada attiecīgo periodu, ir nodokļu maksātājiem, kuru pamatdarbības veids ir </w:t>
      </w:r>
      <w:r>
        <w:t>tirdzniecība</w:t>
      </w:r>
      <w:r w:rsidRPr="007B6899">
        <w:t xml:space="preserve">. </w:t>
      </w:r>
      <w:r>
        <w:t xml:space="preserve">Minētās </w:t>
      </w:r>
      <w:r w:rsidRPr="00BF455F">
        <w:t xml:space="preserve">nozares nodokļu maksātāji </w:t>
      </w:r>
      <w:r w:rsidRPr="00BF455F">
        <w:lastRenderedPageBreak/>
        <w:t xml:space="preserve">iemaksājuši </w:t>
      </w:r>
      <w:r>
        <w:t>47</w:t>
      </w:r>
      <w:r w:rsidRPr="00BF455F">
        <w:t>,</w:t>
      </w:r>
      <w:r>
        <w:t>5</w:t>
      </w:r>
      <w:r w:rsidRPr="00BF455F">
        <w:t xml:space="preserve">% no kopējās pievienotās vērtības nodokļa iemaksu summas. Savukārt lielākais iemaksu samazinājums ir nodokļu maksātājiem, kuru pamatdarbības veids ir </w:t>
      </w:r>
      <w:r>
        <w:t xml:space="preserve">elektroenerģija, gāzes apgāde, siltumapgāde un gaisa kondicionēšana </w:t>
      </w:r>
      <w:r w:rsidRPr="00BF455F">
        <w:t xml:space="preserve">– </w:t>
      </w:r>
      <w:r>
        <w:t xml:space="preserve">samazinājums </w:t>
      </w:r>
      <w:r w:rsidRPr="00BF455F">
        <w:t xml:space="preserve">par </w:t>
      </w:r>
      <w:r>
        <w:t>10</w:t>
      </w:r>
      <w:r w:rsidRPr="00BF455F">
        <w:t>,</w:t>
      </w:r>
      <w:r>
        <w:t>2</w:t>
      </w:r>
      <w:r w:rsidRPr="00BF455F">
        <w:t> milj. </w:t>
      </w:r>
      <w:proofErr w:type="spellStart"/>
      <w:r w:rsidRPr="000A31A3">
        <w:rPr>
          <w:i/>
        </w:rPr>
        <w:t>euro</w:t>
      </w:r>
      <w:proofErr w:type="spellEnd"/>
      <w:r>
        <w:t xml:space="preserve"> </w:t>
      </w:r>
      <w:r w:rsidRPr="00BF455F">
        <w:t>jeb 1</w:t>
      </w:r>
      <w:r>
        <w:t>3</w:t>
      </w:r>
      <w:r w:rsidRPr="00BF455F">
        <w:t>,</w:t>
      </w:r>
      <w:r>
        <w:t>3</w:t>
      </w:r>
      <w:r w:rsidRPr="00BF455F">
        <w:t> procent</w:t>
      </w:r>
      <w:r>
        <w:t>iem, ko galvenokārt ietekmēja viena nodokļu maksātāja veikto iemaksu kritums.</w:t>
      </w:r>
    </w:p>
    <w:p w:rsidR="00BB74DA" w:rsidRPr="00BF455F" w:rsidRDefault="00BB74DA" w:rsidP="00BB74DA">
      <w:pPr>
        <w:ind w:firstLine="0"/>
      </w:pPr>
      <w:r>
        <w:rPr>
          <w:noProof/>
          <w:lang w:eastAsia="lv-LV"/>
        </w:rPr>
        <w:drawing>
          <wp:inline distT="0" distB="0" distL="0" distR="0" wp14:anchorId="00D72F3F" wp14:editId="5A3C2454">
            <wp:extent cx="6105525" cy="330446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928" t="19844" r="3173" b="3170"/>
                    <a:stretch/>
                  </pic:blipFill>
                  <pic:spPr bwMode="auto">
                    <a:xfrm>
                      <a:off x="0" y="0"/>
                      <a:ext cx="6141793" cy="3324098"/>
                    </a:xfrm>
                    <a:prstGeom prst="rect">
                      <a:avLst/>
                    </a:prstGeom>
                    <a:noFill/>
                    <a:ln>
                      <a:noFill/>
                    </a:ln>
                    <a:extLst>
                      <a:ext uri="{53640926-AAD7-44D8-BBD7-CCE9431645EC}">
                        <a14:shadowObscured xmlns:a14="http://schemas.microsoft.com/office/drawing/2010/main"/>
                      </a:ext>
                    </a:extLst>
                  </pic:spPr>
                </pic:pic>
              </a:graphicData>
            </a:graphic>
          </wp:inline>
        </w:drawing>
      </w:r>
    </w:p>
    <w:p w:rsidR="00BB74DA" w:rsidRPr="000161A4" w:rsidRDefault="000161A4" w:rsidP="00BB74DA">
      <w:pPr>
        <w:ind w:firstLine="0"/>
        <w:jc w:val="center"/>
        <w:rPr>
          <w:rFonts w:cs="Times New Roman"/>
          <w:b/>
          <w:i/>
          <w:sz w:val="24"/>
        </w:rPr>
      </w:pPr>
      <w:r>
        <w:rPr>
          <w:rFonts w:cs="Times New Roman"/>
          <w:b/>
          <w:i/>
          <w:sz w:val="24"/>
        </w:rPr>
        <w:t>28</w:t>
      </w:r>
      <w:r w:rsidR="00BB74DA" w:rsidRPr="000161A4">
        <w:rPr>
          <w:rFonts w:cs="Times New Roman"/>
          <w:b/>
          <w:i/>
          <w:sz w:val="24"/>
        </w:rPr>
        <w:t xml:space="preserve">. att. Pievienotās vērtības nodokļa ieņēmumi pa ceturkšņiem, milj. </w:t>
      </w:r>
      <w:proofErr w:type="spellStart"/>
      <w:r w:rsidR="00BB74DA" w:rsidRPr="000161A4">
        <w:rPr>
          <w:rFonts w:cs="Times New Roman"/>
          <w:b/>
          <w:i/>
          <w:sz w:val="24"/>
        </w:rPr>
        <w:t>euro</w:t>
      </w:r>
      <w:proofErr w:type="spellEnd"/>
      <w:r w:rsidR="00BB74DA" w:rsidRPr="000161A4">
        <w:rPr>
          <w:rFonts w:cs="Times New Roman"/>
          <w:b/>
          <w:i/>
          <w:sz w:val="24"/>
        </w:rPr>
        <w:t>.</w:t>
      </w:r>
    </w:p>
    <w:p w:rsidR="00BB74DA" w:rsidRPr="00A90239" w:rsidRDefault="00BB74DA" w:rsidP="00BB74DA">
      <w:pPr>
        <w:ind w:firstLine="0"/>
        <w:jc w:val="center"/>
        <w:rPr>
          <w:b/>
          <w:i/>
          <w:sz w:val="24"/>
        </w:rPr>
      </w:pPr>
    </w:p>
    <w:p w:rsidR="00BB74DA" w:rsidRPr="00BF455F" w:rsidRDefault="00BB74DA" w:rsidP="00BB74DA">
      <w:pPr>
        <w:ind w:firstLine="720"/>
      </w:pPr>
      <w:r w:rsidRPr="00BF455F">
        <w:t>PVN ieņēmumu pieaugumu 201</w:t>
      </w:r>
      <w:r>
        <w:t>4</w:t>
      </w:r>
      <w:r w:rsidRPr="00BF455F">
        <w:t>. gadā ietekmē mazumtirdzniecības apgrozījuma apjoma izmaiņas. Saskaņā ar Centrālās statistikas pārvaldes informāciju 201</w:t>
      </w:r>
      <w:r>
        <w:t>4</w:t>
      </w:r>
      <w:r w:rsidRPr="00BF455F">
        <w:t>. gada pirmajā ceturksnī, salīdzinot ar 201</w:t>
      </w:r>
      <w:r>
        <w:t>3</w:t>
      </w:r>
      <w:r w:rsidRPr="00BF455F">
        <w:t xml:space="preserve">. gada atbilstošo periodu, mazumtirdzniecības apgrozījuma apjoms palielinājies par </w:t>
      </w:r>
      <w:r>
        <w:t>2</w:t>
      </w:r>
      <w:r w:rsidRPr="00BF455F">
        <w:t>,</w:t>
      </w:r>
      <w:r>
        <w:t>0</w:t>
      </w:r>
      <w:r w:rsidRPr="00BF455F">
        <w:t>% (faktiskajās cenās).</w:t>
      </w:r>
    </w:p>
    <w:p w:rsidR="00BB74DA" w:rsidRPr="00B714C6" w:rsidRDefault="00BB74DA" w:rsidP="00BB74DA">
      <w:pPr>
        <w:rPr>
          <w:highlight w:val="lightGray"/>
        </w:rPr>
      </w:pPr>
      <w:r w:rsidRPr="00160368">
        <w:t>201</w:t>
      </w:r>
      <w:r>
        <w:t>4</w:t>
      </w:r>
      <w:r w:rsidRPr="00160368">
        <w:t>. gada pirmajā ceturksnī PVN ieņēmumus būtiski ietekmēja atmaksas, kas</w:t>
      </w:r>
      <w:r>
        <w:t>,</w:t>
      </w:r>
      <w:r w:rsidRPr="00160368">
        <w:t xml:space="preserve"> salīdzinot ar 201</w:t>
      </w:r>
      <w:r>
        <w:t>3</w:t>
      </w:r>
      <w:r w:rsidRPr="00160368">
        <w:t>. gada atbilstošo periodu</w:t>
      </w:r>
      <w:r>
        <w:t>,</w:t>
      </w:r>
      <w:r w:rsidRPr="00160368">
        <w:t xml:space="preserve"> ir </w:t>
      </w:r>
      <w:r>
        <w:t>samazinājušās</w:t>
      </w:r>
      <w:r w:rsidRPr="00160368">
        <w:t xml:space="preserve"> par </w:t>
      </w:r>
      <w:r>
        <w:t>9</w:t>
      </w:r>
      <w:r w:rsidRPr="00160368">
        <w:t>,</w:t>
      </w:r>
      <w:r>
        <w:t>5</w:t>
      </w:r>
      <w:r w:rsidRPr="00160368">
        <w:t xml:space="preserve"> procentiem, ko </w:t>
      </w:r>
      <w:r>
        <w:t>lielā mērā ietekmēja</w:t>
      </w:r>
      <w:r w:rsidRPr="00160368">
        <w:t xml:space="preserve"> </w:t>
      </w:r>
      <w:r>
        <w:t>atmaksu</w:t>
      </w:r>
      <w:r w:rsidRPr="00160368">
        <w:t xml:space="preserve"> pieaugums</w:t>
      </w:r>
      <w:r>
        <w:t xml:space="preserve"> 2013. gada decembrī</w:t>
      </w:r>
      <w:r w:rsidRPr="00160368">
        <w:t>,</w:t>
      </w:r>
      <w:r>
        <w:t xml:space="preserve"> tādejādi samazinot atmaksu slogu 2014. gada janvārī. Saskaņā ar Valsts ieņēmumu dienesta informāciju, lielākās atmaksas veiktas n</w:t>
      </w:r>
      <w:r w:rsidRPr="006A7D4E">
        <w:t>odokļu maksātāji</w:t>
      </w:r>
      <w:r>
        <w:t>em</w:t>
      </w:r>
      <w:r w:rsidRPr="006A7D4E">
        <w:t>, kuri darbojas tirdzniecības un automobiļu un motociklu remonta, transporta un uzglabāšanas vai būvniecības nozarē</w:t>
      </w:r>
      <w:r>
        <w:t>.</w:t>
      </w:r>
    </w:p>
    <w:p w:rsidR="00BB74DA" w:rsidRDefault="00BB74DA" w:rsidP="00BB74DA">
      <w:r w:rsidRPr="002F5430">
        <w:t>Kopumā PVN ieņēmumu 201</w:t>
      </w:r>
      <w:r>
        <w:t>4</w:t>
      </w:r>
      <w:r w:rsidRPr="002F5430">
        <w:t xml:space="preserve">. gada pirmā ceturkšņa plāna izpilde </w:t>
      </w:r>
      <w:r>
        <w:t>ir</w:t>
      </w:r>
      <w:r w:rsidRPr="002F5430">
        <w:t xml:space="preserve"> </w:t>
      </w:r>
      <w:r>
        <w:t>105,4%.</w:t>
      </w:r>
    </w:p>
    <w:p w:rsidR="00BB74DA" w:rsidRPr="001E37E4" w:rsidRDefault="00BB74DA" w:rsidP="00BB74DA">
      <w:pPr>
        <w:contextualSpacing/>
      </w:pPr>
      <w:r w:rsidRPr="00C40B2D">
        <w:t>Būtiskākās likumdošanas izmaiņas</w:t>
      </w:r>
      <w:r>
        <w:t xml:space="preserve"> un pasākumi</w:t>
      </w:r>
      <w:r w:rsidRPr="00C40B2D">
        <w:t>, kas 2014.gadā ietekmēs PVN ieņēmumus</w:t>
      </w:r>
      <w:r w:rsidRPr="001E37E4">
        <w:t>:</w:t>
      </w:r>
    </w:p>
    <w:p w:rsidR="00BB74DA" w:rsidRPr="001E37E4" w:rsidRDefault="00BB74DA" w:rsidP="00BB74DA">
      <w:pPr>
        <w:numPr>
          <w:ilvl w:val="1"/>
          <w:numId w:val="18"/>
        </w:numPr>
        <w:ind w:left="851" w:hanging="284"/>
        <w:contextualSpacing/>
        <w:rPr>
          <w:rFonts w:eastAsia="Times New Roman" w:cs="Times New Roman"/>
        </w:rPr>
      </w:pPr>
      <w:r w:rsidRPr="00C40B2D">
        <w:rPr>
          <w:rFonts w:eastAsia="Times New Roman" w:cs="Times New Roman"/>
        </w:rPr>
        <w:t>PVN</w:t>
      </w:r>
      <w:r w:rsidRPr="001E37E4">
        <w:rPr>
          <w:rFonts w:eastAsia="Times New Roman" w:cs="Times New Roman"/>
        </w:rPr>
        <w:t xml:space="preserve"> par nodrošinājumu ieviešana</w:t>
      </w:r>
      <w:r>
        <w:rPr>
          <w:rFonts w:eastAsia="Times New Roman" w:cs="Times New Roman"/>
        </w:rPr>
        <w:t xml:space="preserve"> </w:t>
      </w:r>
      <w:r w:rsidRPr="002A6E94">
        <w:rPr>
          <w:rFonts w:eastAsia="Times New Roman" w:cs="Times New Roman"/>
        </w:rPr>
        <w:t>darījumos ar naftas produktiem</w:t>
      </w:r>
      <w:r w:rsidRPr="001E37E4">
        <w:rPr>
          <w:rFonts w:eastAsia="Times New Roman" w:cs="Times New Roman"/>
        </w:rPr>
        <w:t>;</w:t>
      </w:r>
    </w:p>
    <w:p w:rsidR="00BB74DA" w:rsidRPr="001E37E4" w:rsidRDefault="00BB74DA" w:rsidP="00BB74DA">
      <w:pPr>
        <w:numPr>
          <w:ilvl w:val="0"/>
          <w:numId w:val="17"/>
        </w:numPr>
        <w:ind w:left="851" w:hanging="284"/>
        <w:contextualSpacing/>
        <w:rPr>
          <w:rFonts w:eastAsia="Times New Roman" w:cs="Times New Roman"/>
        </w:rPr>
      </w:pPr>
      <w:r w:rsidRPr="002A6E94">
        <w:rPr>
          <w:rFonts w:eastAsia="Times New Roman" w:cs="Times New Roman"/>
        </w:rPr>
        <w:t>priekšnodokļa atskaitīšanas ierobežojums par luksus auto</w:t>
      </w:r>
      <w:r w:rsidRPr="001E37E4">
        <w:rPr>
          <w:rFonts w:eastAsia="Times New Roman" w:cs="Times New Roman"/>
        </w:rPr>
        <w:t>;</w:t>
      </w:r>
    </w:p>
    <w:p w:rsidR="00BB74DA" w:rsidRPr="001E37E4" w:rsidRDefault="00BB74DA" w:rsidP="00BB74DA">
      <w:pPr>
        <w:numPr>
          <w:ilvl w:val="0"/>
          <w:numId w:val="17"/>
        </w:numPr>
        <w:ind w:left="851" w:hanging="284"/>
        <w:contextualSpacing/>
        <w:rPr>
          <w:rFonts w:eastAsia="Times New Roman" w:cs="Times New Roman"/>
        </w:rPr>
      </w:pPr>
      <w:r w:rsidRPr="001E37E4">
        <w:rPr>
          <w:rFonts w:eastAsia="Times New Roman" w:cs="Times New Roman"/>
        </w:rPr>
        <w:t>priekšnodokļa atskaitīšana</w:t>
      </w:r>
      <w:r>
        <w:rPr>
          <w:rFonts w:eastAsia="Times New Roman" w:cs="Times New Roman"/>
        </w:rPr>
        <w:t>s</w:t>
      </w:r>
      <w:r w:rsidRPr="001E37E4">
        <w:rPr>
          <w:rFonts w:eastAsia="Times New Roman" w:cs="Times New Roman"/>
        </w:rPr>
        <w:t xml:space="preserve"> </w:t>
      </w:r>
      <w:r w:rsidRPr="00C40B2D">
        <w:rPr>
          <w:rFonts w:eastAsia="Times New Roman" w:cs="Times New Roman"/>
        </w:rPr>
        <w:t xml:space="preserve">ierobežojuma atcelšana </w:t>
      </w:r>
      <w:r w:rsidRPr="001E37E4">
        <w:rPr>
          <w:rFonts w:eastAsia="Times New Roman" w:cs="Times New Roman"/>
        </w:rPr>
        <w:t>par saimnieciskai darbībai izmantojamām automašīnām</w:t>
      </w:r>
      <w:r w:rsidRPr="00C40B2D">
        <w:rPr>
          <w:rFonts w:eastAsia="Times New Roman" w:cs="Times New Roman"/>
        </w:rPr>
        <w:t>;</w:t>
      </w:r>
    </w:p>
    <w:p w:rsidR="00BB74DA" w:rsidRPr="001E37E4" w:rsidRDefault="00BB74DA" w:rsidP="00BB74DA">
      <w:pPr>
        <w:numPr>
          <w:ilvl w:val="0"/>
          <w:numId w:val="17"/>
        </w:numPr>
        <w:ind w:left="851" w:hanging="284"/>
        <w:contextualSpacing/>
        <w:rPr>
          <w:rFonts w:eastAsia="Times New Roman" w:cs="Times New Roman"/>
        </w:rPr>
      </w:pPr>
      <w:r w:rsidRPr="001E37E4">
        <w:rPr>
          <w:rFonts w:eastAsia="Times New Roman" w:cs="Times New Roman"/>
        </w:rPr>
        <w:lastRenderedPageBreak/>
        <w:t xml:space="preserve">Nodokļu kontroles un administrēšanas efektivitātes paaugstināšana, lai novērstu izvairīšanos no nodokļu nomaksas, </w:t>
      </w:r>
      <w:r>
        <w:rPr>
          <w:rFonts w:eastAsia="Times New Roman" w:cs="Times New Roman"/>
        </w:rPr>
        <w:t>tajā skaitā</w:t>
      </w:r>
      <w:r w:rsidRPr="001E37E4">
        <w:rPr>
          <w:rFonts w:eastAsia="Times New Roman" w:cs="Times New Roman"/>
        </w:rPr>
        <w:t>, samazin</w:t>
      </w:r>
      <w:r w:rsidRPr="00C40B2D">
        <w:rPr>
          <w:rFonts w:eastAsia="Times New Roman" w:cs="Times New Roman"/>
        </w:rPr>
        <w:t>ot</w:t>
      </w:r>
      <w:r w:rsidRPr="001E37E4">
        <w:rPr>
          <w:rFonts w:eastAsia="Times New Roman" w:cs="Times New Roman"/>
        </w:rPr>
        <w:t xml:space="preserve"> fiktīvo uzņēmumu skaitu, kas saistīti ar riska adresēm un riska personām</w:t>
      </w:r>
      <w:r w:rsidRPr="00C40B2D">
        <w:rPr>
          <w:rFonts w:eastAsia="Times New Roman" w:cs="Times New Roman"/>
        </w:rPr>
        <w:t>;</w:t>
      </w:r>
    </w:p>
    <w:p w:rsidR="00BB74DA" w:rsidRPr="001E37E4" w:rsidRDefault="00BB74DA" w:rsidP="00BB74DA">
      <w:pPr>
        <w:numPr>
          <w:ilvl w:val="0"/>
          <w:numId w:val="17"/>
        </w:numPr>
        <w:ind w:left="851" w:hanging="284"/>
        <w:contextualSpacing/>
        <w:rPr>
          <w:rFonts w:eastAsia="Times New Roman" w:cs="Times New Roman"/>
        </w:rPr>
      </w:pPr>
      <w:r w:rsidRPr="001E37E4">
        <w:rPr>
          <w:rFonts w:eastAsia="Times New Roman" w:cs="Times New Roman"/>
        </w:rPr>
        <w:t>akcīzes nodokļa palielinājum</w:t>
      </w:r>
      <w:r>
        <w:rPr>
          <w:rFonts w:eastAsia="Times New Roman" w:cs="Times New Roman"/>
        </w:rPr>
        <w:t>s</w:t>
      </w:r>
      <w:r w:rsidRPr="001E37E4">
        <w:rPr>
          <w:rFonts w:eastAsia="Times New Roman" w:cs="Times New Roman"/>
        </w:rPr>
        <w:t xml:space="preserve"> </w:t>
      </w:r>
      <w:proofErr w:type="spellStart"/>
      <w:r w:rsidRPr="001E37E4">
        <w:rPr>
          <w:rFonts w:eastAsia="Times New Roman" w:cs="Times New Roman"/>
        </w:rPr>
        <w:t>autogāzei</w:t>
      </w:r>
      <w:proofErr w:type="spellEnd"/>
      <w:r w:rsidRPr="00C40B2D">
        <w:rPr>
          <w:rFonts w:eastAsia="Times New Roman" w:cs="Times New Roman"/>
        </w:rPr>
        <w:t>.</w:t>
      </w:r>
    </w:p>
    <w:p w:rsidR="00BB74DA" w:rsidRDefault="00BB74DA" w:rsidP="00BB74DA"/>
    <w:p w:rsidR="00BB74DA" w:rsidRPr="00E5020E" w:rsidRDefault="00BB74DA" w:rsidP="00BB74DA">
      <w:r w:rsidRPr="003675F1">
        <w:rPr>
          <w:b/>
        </w:rPr>
        <w:t>Kopējie akcīzes nodokļa</w:t>
      </w:r>
      <w:r w:rsidRPr="00947F60">
        <w:t xml:space="preserve"> ieņēmumi 201</w:t>
      </w:r>
      <w:r>
        <w:t>4. </w:t>
      </w:r>
      <w:r w:rsidRPr="00947F60">
        <w:t>gada pirmajā ceturksnī bija</w:t>
      </w:r>
      <w:r>
        <w:t xml:space="preserve"> 170,3</w:t>
      </w:r>
      <w:r w:rsidRPr="00947F60">
        <w:t> milj. </w:t>
      </w:r>
      <w:proofErr w:type="spellStart"/>
      <w:r w:rsidRPr="007B07E5">
        <w:rPr>
          <w:i/>
        </w:rPr>
        <w:t>euro</w:t>
      </w:r>
      <w:proofErr w:type="spellEnd"/>
      <w:r w:rsidRPr="00947F60">
        <w:t>, kas salīdzinājumā ar 201</w:t>
      </w:r>
      <w:r>
        <w:t>3</w:t>
      </w:r>
      <w:r w:rsidRPr="00947F60">
        <w:t>. gada pirmo c</w:t>
      </w:r>
      <w:r>
        <w:t>eturksni ir par 2</w:t>
      </w:r>
      <w:r w:rsidRPr="00947F60">
        <w:t>,</w:t>
      </w:r>
      <w:r>
        <w:t>0</w:t>
      </w:r>
      <w:r w:rsidRPr="00947F60">
        <w:t> milj. </w:t>
      </w:r>
      <w:proofErr w:type="spellStart"/>
      <w:r w:rsidRPr="007B07E5">
        <w:rPr>
          <w:i/>
        </w:rPr>
        <w:t>euro</w:t>
      </w:r>
      <w:proofErr w:type="spellEnd"/>
      <w:r>
        <w:t xml:space="preserve"> </w:t>
      </w:r>
      <w:r w:rsidRPr="00947F60">
        <w:t>jeb par 1,</w:t>
      </w:r>
      <w:r>
        <w:t xml:space="preserve">2% mazāk. </w:t>
      </w:r>
      <w:r w:rsidRPr="00947F60">
        <w:t xml:space="preserve">Būtiskākais </w:t>
      </w:r>
      <w:r>
        <w:t>ieņēmumu samazinājums ir</w:t>
      </w:r>
      <w:r w:rsidRPr="00947F60">
        <w:t xml:space="preserve"> akcīzes nodokļa ieņēmumiem </w:t>
      </w:r>
      <w:r>
        <w:t>no alkoholiskajiem dzērieniem 4,2 </w:t>
      </w:r>
      <w:r w:rsidRPr="00947F60">
        <w:t xml:space="preserve">milj. </w:t>
      </w:r>
      <w:proofErr w:type="spellStart"/>
      <w:r w:rsidRPr="007B07E5">
        <w:rPr>
          <w:i/>
        </w:rPr>
        <w:t>euro</w:t>
      </w:r>
      <w:proofErr w:type="spellEnd"/>
      <w:r>
        <w:t xml:space="preserve"> apmērā </w:t>
      </w:r>
      <w:r w:rsidRPr="00947F60">
        <w:t>un akcīzes nodokļa ieņēmumiem</w:t>
      </w:r>
      <w:r>
        <w:t xml:space="preserve"> no dabasgāzes 1,8 milj. </w:t>
      </w:r>
      <w:proofErr w:type="spellStart"/>
      <w:r w:rsidRPr="007B07E5">
        <w:rPr>
          <w:i/>
        </w:rPr>
        <w:t>euro</w:t>
      </w:r>
      <w:proofErr w:type="spellEnd"/>
      <w:r>
        <w:rPr>
          <w:i/>
        </w:rPr>
        <w:t xml:space="preserve"> </w:t>
      </w:r>
      <w:r w:rsidRPr="00B27BBF">
        <w:t>apmērā</w:t>
      </w:r>
      <w:r>
        <w:t>, savukārt</w:t>
      </w:r>
      <w:r w:rsidRPr="00947F60">
        <w:t xml:space="preserve"> akcīzes nodokļa ieņēmum</w:t>
      </w:r>
      <w:r>
        <w:t>i</w:t>
      </w:r>
      <w:r w:rsidRPr="00947F60">
        <w:t xml:space="preserve"> no </w:t>
      </w:r>
      <w:r>
        <w:t>tabakas izstrādājumiem un alus</w:t>
      </w:r>
      <w:r w:rsidRPr="00947F60">
        <w:t xml:space="preserve"> ir </w:t>
      </w:r>
      <w:r>
        <w:t>palielinājušies</w:t>
      </w:r>
      <w:r w:rsidRPr="00947F60">
        <w:t xml:space="preserve"> </w:t>
      </w:r>
      <w:r>
        <w:t>attiecīgi par 3,7</w:t>
      </w:r>
      <w:r w:rsidRPr="00947F60">
        <w:t> milj. </w:t>
      </w:r>
      <w:proofErr w:type="spellStart"/>
      <w:r w:rsidRPr="007B07E5">
        <w:rPr>
          <w:i/>
        </w:rPr>
        <w:t>euro</w:t>
      </w:r>
      <w:proofErr w:type="spellEnd"/>
      <w:r w:rsidRPr="00947F60">
        <w:t xml:space="preserve"> </w:t>
      </w:r>
      <w:r>
        <w:t>un 0,8 milj. </w:t>
      </w:r>
      <w:proofErr w:type="spellStart"/>
      <w:r w:rsidRPr="007B07E5">
        <w:rPr>
          <w:i/>
        </w:rPr>
        <w:t>euro</w:t>
      </w:r>
      <w:proofErr w:type="spellEnd"/>
      <w:r>
        <w:t xml:space="preserve">. </w:t>
      </w:r>
      <w:r w:rsidRPr="00947F60">
        <w:t xml:space="preserve">Akcīzes nodokļa ieņēmumu pirmā ceturkšņa plāna izpilde </w:t>
      </w:r>
      <w:r>
        <w:t>ir</w:t>
      </w:r>
      <w:r w:rsidRPr="00947F60">
        <w:t xml:space="preserve"> 9</w:t>
      </w:r>
      <w:r>
        <w:t>5,3</w:t>
      </w:r>
      <w:r w:rsidRPr="00947F60">
        <w:t> procenti</w:t>
      </w:r>
      <w:r w:rsidRPr="00E5020E">
        <w:t xml:space="preserve">. </w:t>
      </w:r>
    </w:p>
    <w:p w:rsidR="00BB74DA" w:rsidRPr="00E5020E" w:rsidRDefault="00BB74DA" w:rsidP="00BB74DA">
      <w:r w:rsidRPr="00E5020E">
        <w:t>Būtiskākās likumdošanas izmaiņas, ka</w:t>
      </w:r>
      <w:r>
        <w:t>m</w:t>
      </w:r>
      <w:r w:rsidRPr="00E5020E">
        <w:t xml:space="preserve"> 2014.gadā</w:t>
      </w:r>
      <w:r>
        <w:t xml:space="preserve"> būs pozitīva ietekme uz akcīzes nodokļa ieņēmumiem</w:t>
      </w:r>
      <w:r w:rsidRPr="00E5020E">
        <w:t>:</w:t>
      </w:r>
    </w:p>
    <w:p w:rsidR="00BB74DA" w:rsidRPr="00E5020E" w:rsidRDefault="00BB74DA" w:rsidP="00BB74DA">
      <w:pPr>
        <w:pStyle w:val="ListParagraph"/>
        <w:numPr>
          <w:ilvl w:val="0"/>
          <w:numId w:val="16"/>
        </w:numPr>
      </w:pPr>
      <w:r w:rsidRPr="00E5020E">
        <w:t>akcīzes nodokļa likmes naftas gāzēm paaugstināšana no 128,06 </w:t>
      </w:r>
      <w:proofErr w:type="spellStart"/>
      <w:r w:rsidRPr="00E5020E">
        <w:rPr>
          <w:i/>
        </w:rPr>
        <w:t>euro</w:t>
      </w:r>
      <w:proofErr w:type="spellEnd"/>
      <w:r w:rsidRPr="00E5020E">
        <w:t xml:space="preserve">/1000 kg uz 161,00 </w:t>
      </w:r>
      <w:proofErr w:type="spellStart"/>
      <w:r w:rsidRPr="00E5020E">
        <w:rPr>
          <w:i/>
        </w:rPr>
        <w:t>euro</w:t>
      </w:r>
      <w:proofErr w:type="spellEnd"/>
      <w:r w:rsidRPr="00E5020E">
        <w:t>/1000 kg</w:t>
      </w:r>
      <w:r>
        <w:t xml:space="preserve"> ar 2014.gada 1.janvāri</w:t>
      </w:r>
      <w:r w:rsidRPr="00E5020E">
        <w:t>;</w:t>
      </w:r>
    </w:p>
    <w:p w:rsidR="00BB74DA" w:rsidRDefault="00BB74DA" w:rsidP="00BB74DA">
      <w:pPr>
        <w:pStyle w:val="ListParagraph"/>
        <w:numPr>
          <w:ilvl w:val="0"/>
          <w:numId w:val="16"/>
        </w:numPr>
        <w:spacing w:after="0"/>
        <w:rPr>
          <w:szCs w:val="24"/>
        </w:rPr>
      </w:pPr>
      <w:r w:rsidRPr="00F045E2">
        <w:rPr>
          <w:szCs w:val="24"/>
        </w:rPr>
        <w:t>akcīzes nodokļa cigaretēm likmju izmaiņas:</w:t>
      </w:r>
    </w:p>
    <w:p w:rsidR="00BB74DA" w:rsidRDefault="00BB74DA" w:rsidP="00BB74DA">
      <w:pPr>
        <w:pStyle w:val="ListParagraph"/>
        <w:numPr>
          <w:ilvl w:val="1"/>
          <w:numId w:val="16"/>
        </w:numPr>
        <w:spacing w:after="0"/>
        <w:rPr>
          <w:szCs w:val="24"/>
        </w:rPr>
      </w:pPr>
      <w:r w:rsidRPr="00F045E2">
        <w:rPr>
          <w:szCs w:val="24"/>
        </w:rPr>
        <w:t xml:space="preserve">ar 2014.gada 1.janvāri tika paaugstināta akcīzes nodokļa cigaretēm specifiskā likme par 1000 cigaretēm no </w:t>
      </w:r>
      <w:r>
        <w:rPr>
          <w:szCs w:val="24"/>
        </w:rPr>
        <w:t xml:space="preserve">35,57 </w:t>
      </w:r>
      <w:proofErr w:type="spellStart"/>
      <w:r w:rsidRPr="00E5020E">
        <w:rPr>
          <w:i/>
          <w:szCs w:val="24"/>
        </w:rPr>
        <w:t>euro</w:t>
      </w:r>
      <w:proofErr w:type="spellEnd"/>
      <w:r>
        <w:rPr>
          <w:szCs w:val="24"/>
        </w:rPr>
        <w:t xml:space="preserve"> </w:t>
      </w:r>
      <w:r w:rsidRPr="00F045E2">
        <w:rPr>
          <w:szCs w:val="24"/>
        </w:rPr>
        <w:t>uz 39,84</w:t>
      </w:r>
      <w:r>
        <w:rPr>
          <w:szCs w:val="24"/>
        </w:rPr>
        <w:t xml:space="preserve"> </w:t>
      </w:r>
      <w:proofErr w:type="spellStart"/>
      <w:r w:rsidRPr="00094464">
        <w:rPr>
          <w:i/>
          <w:szCs w:val="24"/>
        </w:rPr>
        <w:t>euro</w:t>
      </w:r>
      <w:proofErr w:type="spellEnd"/>
      <w:r>
        <w:rPr>
          <w:szCs w:val="24"/>
        </w:rPr>
        <w:t xml:space="preserve"> </w:t>
      </w:r>
      <w:r w:rsidRPr="00F045E2">
        <w:rPr>
          <w:szCs w:val="24"/>
        </w:rPr>
        <w:t>un minimālais nodokļa līmenis</w:t>
      </w:r>
      <w:r>
        <w:rPr>
          <w:szCs w:val="24"/>
        </w:rPr>
        <w:t xml:space="preserve"> par 1000 cigaretēm</w:t>
      </w:r>
      <w:r w:rsidRPr="00F045E2">
        <w:rPr>
          <w:szCs w:val="24"/>
        </w:rPr>
        <w:t xml:space="preserve"> no </w:t>
      </w:r>
      <w:r>
        <w:rPr>
          <w:szCs w:val="24"/>
        </w:rPr>
        <w:t xml:space="preserve">73,99 </w:t>
      </w:r>
      <w:proofErr w:type="spellStart"/>
      <w:r w:rsidRPr="00E5020E">
        <w:rPr>
          <w:i/>
          <w:szCs w:val="24"/>
        </w:rPr>
        <w:t>euro</w:t>
      </w:r>
      <w:proofErr w:type="spellEnd"/>
      <w:r>
        <w:rPr>
          <w:szCs w:val="24"/>
        </w:rPr>
        <w:t xml:space="preserve"> </w:t>
      </w:r>
      <w:r w:rsidRPr="00F045E2">
        <w:rPr>
          <w:szCs w:val="24"/>
        </w:rPr>
        <w:t xml:space="preserve">uz 79,68 </w:t>
      </w:r>
      <w:proofErr w:type="spellStart"/>
      <w:r w:rsidRPr="00F045E2">
        <w:rPr>
          <w:i/>
          <w:szCs w:val="24"/>
        </w:rPr>
        <w:t>euro</w:t>
      </w:r>
      <w:proofErr w:type="spellEnd"/>
      <w:r w:rsidRPr="00F045E2">
        <w:rPr>
          <w:szCs w:val="24"/>
        </w:rPr>
        <w:t>, bet procentuālā likme samazināta no 34,0% uz 33,5%;</w:t>
      </w:r>
    </w:p>
    <w:p w:rsidR="00BB74DA" w:rsidRPr="00094464" w:rsidRDefault="00BB74DA" w:rsidP="00BB74DA">
      <w:pPr>
        <w:pStyle w:val="ListParagraph"/>
        <w:numPr>
          <w:ilvl w:val="1"/>
          <w:numId w:val="16"/>
        </w:numPr>
        <w:spacing w:after="0"/>
        <w:rPr>
          <w:szCs w:val="24"/>
        </w:rPr>
      </w:pPr>
      <w:r w:rsidRPr="00E5020E">
        <w:rPr>
          <w:szCs w:val="24"/>
        </w:rPr>
        <w:t>ar 2014.gada 1.jūliju tiks paaugstināta akcīzes nodokļa cigaretēm specifiskā likme par 1000 cigaretēm no 39,8</w:t>
      </w:r>
      <w:r>
        <w:rPr>
          <w:szCs w:val="24"/>
        </w:rPr>
        <w:t>4</w:t>
      </w:r>
      <w:r w:rsidRPr="00E5020E">
        <w:rPr>
          <w:szCs w:val="24"/>
        </w:rPr>
        <w:t xml:space="preserve"> </w:t>
      </w:r>
      <w:proofErr w:type="spellStart"/>
      <w:r w:rsidRPr="00E5020E">
        <w:rPr>
          <w:i/>
          <w:szCs w:val="24"/>
        </w:rPr>
        <w:t>euro</w:t>
      </w:r>
      <w:proofErr w:type="spellEnd"/>
      <w:r w:rsidRPr="00E5020E">
        <w:rPr>
          <w:szCs w:val="24"/>
        </w:rPr>
        <w:t xml:space="preserve"> uz 51,80 </w:t>
      </w:r>
      <w:proofErr w:type="spellStart"/>
      <w:r w:rsidRPr="00E5020E">
        <w:rPr>
          <w:i/>
          <w:szCs w:val="24"/>
        </w:rPr>
        <w:t>euro</w:t>
      </w:r>
      <w:proofErr w:type="spellEnd"/>
      <w:r w:rsidRPr="00E5020E">
        <w:rPr>
          <w:szCs w:val="24"/>
        </w:rPr>
        <w:t xml:space="preserve">, minimālais </w:t>
      </w:r>
      <w:r w:rsidRPr="00094464">
        <w:rPr>
          <w:szCs w:val="24"/>
        </w:rPr>
        <w:t xml:space="preserve">nodokļa līmenis par 1000 cigaretēm no 79,68 </w:t>
      </w:r>
      <w:proofErr w:type="spellStart"/>
      <w:r w:rsidRPr="00094464">
        <w:rPr>
          <w:i/>
          <w:szCs w:val="24"/>
        </w:rPr>
        <w:t>euro</w:t>
      </w:r>
      <w:proofErr w:type="spellEnd"/>
      <w:r w:rsidRPr="00094464">
        <w:rPr>
          <w:szCs w:val="24"/>
        </w:rPr>
        <w:t xml:space="preserve"> uz 85,60 </w:t>
      </w:r>
      <w:proofErr w:type="spellStart"/>
      <w:r w:rsidRPr="00094464">
        <w:rPr>
          <w:i/>
          <w:szCs w:val="24"/>
        </w:rPr>
        <w:t>euro</w:t>
      </w:r>
      <w:proofErr w:type="spellEnd"/>
      <w:r w:rsidRPr="00094464">
        <w:rPr>
          <w:szCs w:val="24"/>
        </w:rPr>
        <w:t>, bet procentuālā likme samazināta no 33,5% uz 25,0%;</w:t>
      </w:r>
    </w:p>
    <w:p w:rsidR="00BB74DA" w:rsidRPr="00094464" w:rsidRDefault="00BB74DA" w:rsidP="00BB74DA">
      <w:pPr>
        <w:pStyle w:val="ListParagraph"/>
        <w:numPr>
          <w:ilvl w:val="0"/>
          <w:numId w:val="16"/>
        </w:numPr>
        <w:spacing w:after="0"/>
        <w:rPr>
          <w:szCs w:val="24"/>
        </w:rPr>
      </w:pPr>
      <w:r w:rsidRPr="00094464">
        <w:rPr>
          <w:szCs w:val="24"/>
        </w:rPr>
        <w:t xml:space="preserve">akcīzes nodokļa cigāriem un </w:t>
      </w:r>
      <w:proofErr w:type="spellStart"/>
      <w:r w:rsidRPr="00094464">
        <w:rPr>
          <w:szCs w:val="24"/>
        </w:rPr>
        <w:t>cigarillām</w:t>
      </w:r>
      <w:proofErr w:type="spellEnd"/>
      <w:r w:rsidRPr="00094464">
        <w:rPr>
          <w:szCs w:val="24"/>
        </w:rPr>
        <w:t xml:space="preserve"> likmes paaugstināšana no 36,99 </w:t>
      </w:r>
      <w:proofErr w:type="spellStart"/>
      <w:r w:rsidRPr="00094464">
        <w:rPr>
          <w:i/>
          <w:szCs w:val="24"/>
        </w:rPr>
        <w:t>euro</w:t>
      </w:r>
      <w:proofErr w:type="spellEnd"/>
      <w:r w:rsidRPr="00094464">
        <w:rPr>
          <w:szCs w:val="24"/>
        </w:rPr>
        <w:t xml:space="preserve"> līdz 39,84 </w:t>
      </w:r>
      <w:proofErr w:type="spellStart"/>
      <w:r w:rsidRPr="00094464">
        <w:rPr>
          <w:i/>
          <w:szCs w:val="24"/>
        </w:rPr>
        <w:t>euro</w:t>
      </w:r>
      <w:proofErr w:type="spellEnd"/>
      <w:r w:rsidRPr="00094464">
        <w:rPr>
          <w:szCs w:val="24"/>
        </w:rPr>
        <w:t xml:space="preserve"> par 1000 cigāriem vai </w:t>
      </w:r>
      <w:proofErr w:type="spellStart"/>
      <w:r w:rsidRPr="00094464">
        <w:rPr>
          <w:szCs w:val="24"/>
        </w:rPr>
        <w:t>cigarillām</w:t>
      </w:r>
      <w:proofErr w:type="spellEnd"/>
      <w:r w:rsidRPr="00094464">
        <w:rPr>
          <w:szCs w:val="24"/>
        </w:rPr>
        <w:t xml:space="preserve"> ar 2014.gada 1.janvāri;</w:t>
      </w:r>
    </w:p>
    <w:p w:rsidR="00BB74DA" w:rsidRDefault="00BB74DA" w:rsidP="00BB74DA">
      <w:pPr>
        <w:pStyle w:val="ListParagraph"/>
        <w:numPr>
          <w:ilvl w:val="0"/>
          <w:numId w:val="16"/>
        </w:numPr>
        <w:spacing w:after="0"/>
        <w:rPr>
          <w:szCs w:val="24"/>
        </w:rPr>
      </w:pPr>
      <w:r w:rsidRPr="00094464">
        <w:rPr>
          <w:szCs w:val="24"/>
        </w:rPr>
        <w:t>akcīzes nodokļa smēķējamai tabakai likmes paaugstināšana no 48,38 </w:t>
      </w:r>
      <w:proofErr w:type="spellStart"/>
      <w:r w:rsidRPr="00094464">
        <w:rPr>
          <w:i/>
          <w:szCs w:val="24"/>
        </w:rPr>
        <w:t>euro</w:t>
      </w:r>
      <w:proofErr w:type="spellEnd"/>
      <w:r w:rsidRPr="00094464">
        <w:rPr>
          <w:szCs w:val="24"/>
        </w:rPr>
        <w:t xml:space="preserve"> līdz 55,49 </w:t>
      </w:r>
      <w:proofErr w:type="spellStart"/>
      <w:r w:rsidRPr="00094464">
        <w:rPr>
          <w:i/>
          <w:szCs w:val="24"/>
        </w:rPr>
        <w:t>euro</w:t>
      </w:r>
      <w:proofErr w:type="spellEnd"/>
      <w:r w:rsidRPr="00094464">
        <w:rPr>
          <w:szCs w:val="24"/>
        </w:rPr>
        <w:t xml:space="preserve"> par 1000 gramiem tabakas ar 2014.gada 1.janvāri. </w:t>
      </w:r>
    </w:p>
    <w:p w:rsidR="00BB74DA" w:rsidRDefault="00BB74DA" w:rsidP="00BB74DA">
      <w:pPr>
        <w:rPr>
          <w:szCs w:val="24"/>
        </w:rPr>
      </w:pPr>
      <w:r w:rsidRPr="00974EA9">
        <w:rPr>
          <w:szCs w:val="24"/>
        </w:rPr>
        <w:t>Savukārt negatīvu ietekmi uz akcīzes nodokļa ieņēmumiem atstās 2013.gada nogalē</w:t>
      </w:r>
      <w:r>
        <w:rPr>
          <w:szCs w:val="24"/>
        </w:rPr>
        <w:t xml:space="preserve"> pieņemtās likumdošanas izmaiņas, kas paredz:</w:t>
      </w:r>
    </w:p>
    <w:p w:rsidR="00BB74DA" w:rsidRDefault="00BB74DA" w:rsidP="00BB74DA">
      <w:pPr>
        <w:pStyle w:val="ListParagraph"/>
        <w:numPr>
          <w:ilvl w:val="0"/>
          <w:numId w:val="20"/>
        </w:numPr>
        <w:rPr>
          <w:szCs w:val="24"/>
        </w:rPr>
      </w:pPr>
      <w:r w:rsidRPr="00E5020E">
        <w:t>akcīzes nodokļa</w:t>
      </w:r>
      <w:r>
        <w:t xml:space="preserve"> dabasgāzei, ko izmanto </w:t>
      </w:r>
      <w:r w:rsidRPr="00AC3B1A">
        <w:rPr>
          <w:szCs w:val="24"/>
        </w:rPr>
        <w:t>lauksaimniecībā izmantojamās zemes segto platību (siltumnīcu) un rūpniecisko mājputnu novietņu (kūts) un inkubatoru siltumapgādei</w:t>
      </w:r>
      <w:r>
        <w:rPr>
          <w:szCs w:val="24"/>
        </w:rPr>
        <w:t>, atbrīvojuma saglabāšanu;</w:t>
      </w:r>
    </w:p>
    <w:p w:rsidR="00BB74DA" w:rsidRPr="00AC3B1A" w:rsidRDefault="00BB74DA" w:rsidP="00BB74DA">
      <w:pPr>
        <w:pStyle w:val="ListParagraph"/>
        <w:numPr>
          <w:ilvl w:val="0"/>
          <w:numId w:val="20"/>
        </w:numPr>
        <w:rPr>
          <w:szCs w:val="24"/>
        </w:rPr>
      </w:pPr>
      <w:r w:rsidRPr="00AC3B1A">
        <w:rPr>
          <w:szCs w:val="24"/>
        </w:rPr>
        <w:t>samazinātas akcīzes nodokļa likmes 5,65 </w:t>
      </w:r>
      <w:proofErr w:type="spellStart"/>
      <w:r w:rsidRPr="00AC3B1A">
        <w:rPr>
          <w:i/>
          <w:szCs w:val="24"/>
        </w:rPr>
        <w:t>euro</w:t>
      </w:r>
      <w:proofErr w:type="spellEnd"/>
      <w:r w:rsidRPr="00AC3B1A">
        <w:rPr>
          <w:szCs w:val="24"/>
        </w:rPr>
        <w:t xml:space="preserve"> piemērošanu dabasgāzei, ko izmanto rūpnieciskās ražošanas un lauksaimniecības izejvielu pirmapstrādes tehnoloģisko iekārtu darbināšanai un tehnoloģiski nepieciešamā klimata nodrošināšanai minētās rūpnieciskās ražošanas un lauksaimniecības izejvielu pirmapstrādes telpās. </w:t>
      </w:r>
    </w:p>
    <w:p w:rsidR="00BB74DA" w:rsidRPr="003675F1" w:rsidRDefault="00BB74DA" w:rsidP="00BB74DA">
      <w:pPr>
        <w:ind w:firstLine="0"/>
        <w:jc w:val="left"/>
      </w:pPr>
      <w:r>
        <w:rPr>
          <w:noProof/>
          <w:lang w:eastAsia="lv-LV"/>
        </w:rPr>
        <w:lastRenderedPageBreak/>
        <w:drawing>
          <wp:inline distT="0" distB="0" distL="0" distR="0" wp14:anchorId="504A9D4E" wp14:editId="5981A921">
            <wp:extent cx="5972175" cy="2937032"/>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l="4059" t="20385" r="2580" b="4038"/>
                    <a:stretch/>
                  </pic:blipFill>
                  <pic:spPr bwMode="auto">
                    <a:xfrm>
                      <a:off x="0" y="0"/>
                      <a:ext cx="6038378" cy="2969590"/>
                    </a:xfrm>
                    <a:prstGeom prst="rect">
                      <a:avLst/>
                    </a:prstGeom>
                    <a:noFill/>
                    <a:ln>
                      <a:noFill/>
                    </a:ln>
                    <a:extLst>
                      <a:ext uri="{53640926-AAD7-44D8-BBD7-CCE9431645EC}">
                        <a14:shadowObscured xmlns:a14="http://schemas.microsoft.com/office/drawing/2010/main"/>
                      </a:ext>
                    </a:extLst>
                  </pic:spPr>
                </pic:pic>
              </a:graphicData>
            </a:graphic>
          </wp:inline>
        </w:drawing>
      </w:r>
    </w:p>
    <w:p w:rsidR="00BB74DA" w:rsidRPr="000161A4" w:rsidRDefault="000161A4" w:rsidP="000161A4">
      <w:pPr>
        <w:ind w:firstLine="0"/>
        <w:jc w:val="center"/>
        <w:rPr>
          <w:rFonts w:cs="Times New Roman"/>
          <w:b/>
          <w:i/>
          <w:sz w:val="24"/>
        </w:rPr>
      </w:pPr>
      <w:r>
        <w:rPr>
          <w:rFonts w:cs="Times New Roman"/>
          <w:b/>
          <w:i/>
          <w:sz w:val="24"/>
        </w:rPr>
        <w:t>29</w:t>
      </w:r>
      <w:r w:rsidR="00BB74DA" w:rsidRPr="000161A4">
        <w:rPr>
          <w:rFonts w:cs="Times New Roman"/>
          <w:b/>
          <w:i/>
          <w:sz w:val="24"/>
        </w:rPr>
        <w:t xml:space="preserve">. att. Akcīzes nodokļa ieņēmumi pa ceturkšņiem, milj. </w:t>
      </w:r>
      <w:proofErr w:type="spellStart"/>
      <w:r w:rsidR="00BB74DA" w:rsidRPr="000161A4">
        <w:rPr>
          <w:rFonts w:cs="Times New Roman"/>
          <w:b/>
          <w:i/>
          <w:sz w:val="24"/>
        </w:rPr>
        <w:t>euro</w:t>
      </w:r>
      <w:proofErr w:type="spellEnd"/>
      <w:r w:rsidR="00BB74DA" w:rsidRPr="000161A4">
        <w:rPr>
          <w:rFonts w:cs="Times New Roman"/>
          <w:b/>
          <w:i/>
          <w:sz w:val="24"/>
        </w:rPr>
        <w:t>.</w:t>
      </w:r>
    </w:p>
    <w:p w:rsidR="00BB74DA" w:rsidRPr="00B714C6" w:rsidRDefault="00BB74DA" w:rsidP="00BB74DA">
      <w:pPr>
        <w:rPr>
          <w:highlight w:val="lightGray"/>
          <w:u w:val="single"/>
        </w:rPr>
      </w:pPr>
    </w:p>
    <w:p w:rsidR="00BB74DA" w:rsidRPr="000C2A66" w:rsidRDefault="00BB74DA" w:rsidP="00BB74DA">
      <w:pPr>
        <w:rPr>
          <w:u w:val="single"/>
        </w:rPr>
      </w:pPr>
      <w:r w:rsidRPr="000C2A66">
        <w:rPr>
          <w:u w:val="single"/>
        </w:rPr>
        <w:t>Akcīzes nodoklis naftas produktiem</w:t>
      </w:r>
    </w:p>
    <w:p w:rsidR="00BB74DA" w:rsidRDefault="00BB74DA" w:rsidP="00BB74DA">
      <w:r>
        <w:t>2014</w:t>
      </w:r>
      <w:r w:rsidRPr="000C2A66">
        <w:t>. gada pirmajā ceturksnī akcīzes nodokļa ieņēmu</w:t>
      </w:r>
      <w:r w:rsidRPr="000C2A66">
        <w:softHyphen/>
        <w:t xml:space="preserve">mi no naftas produktiem bija </w:t>
      </w:r>
      <w:r>
        <w:t>88</w:t>
      </w:r>
      <w:r w:rsidRPr="000C2A66">
        <w:t>,6 milj. </w:t>
      </w:r>
      <w:proofErr w:type="spellStart"/>
      <w:r w:rsidRPr="007B07E5">
        <w:rPr>
          <w:i/>
        </w:rPr>
        <w:t>euro</w:t>
      </w:r>
      <w:proofErr w:type="spellEnd"/>
      <w:r w:rsidRPr="000C2A66">
        <w:t xml:space="preserve"> jeb </w:t>
      </w:r>
      <w:r>
        <w:t>52,0</w:t>
      </w:r>
      <w:r w:rsidRPr="000C2A66">
        <w:t>% no kopējiem akcīzes nodokļa ieņ</w:t>
      </w:r>
      <w:r>
        <w:t xml:space="preserve">ēmumiem, kas, salīdzinot ar </w:t>
      </w:r>
      <w:r w:rsidRPr="002A4777">
        <w:t>2013. gada pirmo ceturksni, ir par 0,5 milj. </w:t>
      </w:r>
      <w:proofErr w:type="spellStart"/>
      <w:r w:rsidRPr="002A4777">
        <w:rPr>
          <w:i/>
        </w:rPr>
        <w:t>euro</w:t>
      </w:r>
      <w:proofErr w:type="spellEnd"/>
      <w:r w:rsidRPr="002A4777">
        <w:t xml:space="preserve"> jeb 0,5% mazāk. Akcīzes nodokļa ieņēmumu no naftas produktiem pirmā ceturkšņa plāna izpilde bija 97,3%, kas galvenokārt saistīts ar nodokļa </w:t>
      </w:r>
      <w:r>
        <w:t>sa</w:t>
      </w:r>
      <w:r w:rsidRPr="002A4777">
        <w:t xml:space="preserve">maksas termiņa pagarinājumiem. </w:t>
      </w:r>
    </w:p>
    <w:p w:rsidR="00BB74DA" w:rsidRPr="00E40B00" w:rsidRDefault="00BB74DA" w:rsidP="00BB74DA">
      <w:r w:rsidRPr="00E40B00">
        <w:t>Saskaņā ar Ceļu satiksmes</w:t>
      </w:r>
      <w:r>
        <w:t xml:space="preserve"> drošības direkcijas datiem 2014</w:t>
      </w:r>
      <w:r w:rsidRPr="00E40B00">
        <w:t>. gada</w:t>
      </w:r>
      <w:r>
        <w:t xml:space="preserve"> 1.aprīl</w:t>
      </w:r>
      <w:r w:rsidRPr="00E40B00">
        <w:t xml:space="preserve">ī, salīdzinot ar pagājušā gada attiecīgo periodu, par </w:t>
      </w:r>
      <w:r>
        <w:t>5,8</w:t>
      </w:r>
      <w:r w:rsidRPr="00E40B00">
        <w:t xml:space="preserve">% samazinājies ar benzīna dzinēju reģistrēto transportlīdzekļu skaits, bet par </w:t>
      </w:r>
      <w:r>
        <w:t>10,4</w:t>
      </w:r>
      <w:r w:rsidRPr="00E40B00">
        <w:t xml:space="preserve">% pieaudzis transportlīdzekļu skaits ar dīzeļdegvielas dzinēju, veidojot </w:t>
      </w:r>
      <w:r>
        <w:t>49,4</w:t>
      </w:r>
      <w:r w:rsidRPr="00E40B00">
        <w:t xml:space="preserve">% no kopējā transportlīdzekļu skaita, un par </w:t>
      </w:r>
      <w:r>
        <w:t>18,0</w:t>
      </w:r>
      <w:r w:rsidRPr="00E40B00">
        <w:t>% pieaudzis transportlīdzekļu skaits ar gāzes dzinēju</w:t>
      </w:r>
      <w:r>
        <w:t>,</w:t>
      </w:r>
      <w:r w:rsidRPr="00E40B00">
        <w:t xml:space="preserve"> veidojot 6,</w:t>
      </w:r>
      <w:r>
        <w:t>9</w:t>
      </w:r>
      <w:r w:rsidRPr="00E40B00">
        <w:t>% no kopējā transportlīdzekļu skaita.</w:t>
      </w:r>
    </w:p>
    <w:p w:rsidR="00BB74DA" w:rsidRPr="008443B0" w:rsidRDefault="00BB74DA" w:rsidP="00BB74DA">
      <w:r w:rsidRPr="008443B0">
        <w:t>2014. gada pirmajā ceturksnī salīdzinājumā ar 2013. gada pirmo ceturksni akcīzes nodokļa ieņēmumi no benzīna samazinājās par 1,1 milj. </w:t>
      </w:r>
      <w:proofErr w:type="spellStart"/>
      <w:r w:rsidRPr="008443B0">
        <w:rPr>
          <w:i/>
        </w:rPr>
        <w:t>euro</w:t>
      </w:r>
      <w:proofErr w:type="spellEnd"/>
      <w:r w:rsidRPr="008443B0">
        <w:t xml:space="preserve"> jeb 4,3%, kas skaidrojams ar benzīna patēriņa samazināšanos. Šī gada pirmajos divos mēnešos benzīna patēriņš ir samazinājies par 3,1% attiecībā pret iepriekšējā gada atbilstošo periodu.</w:t>
      </w:r>
    </w:p>
    <w:p w:rsidR="00BB74DA" w:rsidRDefault="00BB74DA" w:rsidP="00BB74DA">
      <w:r w:rsidRPr="008443B0">
        <w:t xml:space="preserve">Akcīzes nodokļa ieņēmumi no dīzeļdegvielas 2014. gada pirmajā ceturksnī salīdzinājumā ar 2013. gada pirmo ceturksni palielinājās par 0,5 milj. </w:t>
      </w:r>
      <w:proofErr w:type="spellStart"/>
      <w:r w:rsidRPr="008443B0">
        <w:rPr>
          <w:i/>
        </w:rPr>
        <w:t>euro</w:t>
      </w:r>
      <w:proofErr w:type="spellEnd"/>
      <w:r w:rsidRPr="008443B0">
        <w:t xml:space="preserve"> jeb 0,8%, ko ir nodrošinājis dīzeļdegvielas patēriņa pieaugums. Šī gada pirmajos divos mēnešos patēriņš ir palielinājies par 4,8% jeb 5,4 tūkst. tonnu.</w:t>
      </w:r>
    </w:p>
    <w:p w:rsidR="00BB74DA" w:rsidRPr="00950FB7" w:rsidRDefault="00BB74DA" w:rsidP="00BB74DA">
      <w:r w:rsidRPr="00C63D56">
        <w:t>Savukārt akcīzes nodokļa ieņēmumi no naftas gāzēm 201</w:t>
      </w:r>
      <w:r>
        <w:t>4</w:t>
      </w:r>
      <w:r w:rsidRPr="00C63D56">
        <w:t xml:space="preserve">. gada pirmajā </w:t>
      </w:r>
      <w:r>
        <w:t>ceturksnī salīdzinā</w:t>
      </w:r>
      <w:r>
        <w:softHyphen/>
        <w:t>jumā ar 2013</w:t>
      </w:r>
      <w:r w:rsidRPr="00C63D56">
        <w:t xml:space="preserve">. gada pirmo ceturksni </w:t>
      </w:r>
      <w:r w:rsidRPr="008443B0">
        <w:t>pieauguši par 0,</w:t>
      </w:r>
      <w:r>
        <w:t>5</w:t>
      </w:r>
      <w:r w:rsidRPr="00C63D56">
        <w:t> milj. </w:t>
      </w:r>
      <w:proofErr w:type="spellStart"/>
      <w:r w:rsidRPr="007B07E5">
        <w:rPr>
          <w:i/>
        </w:rPr>
        <w:t>euro</w:t>
      </w:r>
      <w:proofErr w:type="spellEnd"/>
      <w:r>
        <w:t xml:space="preserve"> </w:t>
      </w:r>
      <w:r w:rsidRPr="00C63D56">
        <w:t xml:space="preserve">jeb </w:t>
      </w:r>
      <w:r>
        <w:t>40,9</w:t>
      </w:r>
      <w:r w:rsidRPr="00C63D56">
        <w:t>%, ko ir nodrošinājis naftas gāzu patēriņa pieaugums</w:t>
      </w:r>
      <w:r>
        <w:t xml:space="preserve">, kā arī akcīzes nodokļa </w:t>
      </w:r>
      <w:r>
        <w:lastRenderedPageBreak/>
        <w:t>likmes paaugstināšana</w:t>
      </w:r>
      <w:r w:rsidRPr="00C63D56">
        <w:t xml:space="preserve">. Šī gada pirmajos divos mēnešos patēriņš ir palielinājies par </w:t>
      </w:r>
      <w:r w:rsidRPr="00950FB7">
        <w:t>17,2% jeb 1,2 tūkst. tonnu.</w:t>
      </w:r>
    </w:p>
    <w:p w:rsidR="00BB74DA" w:rsidRPr="00C63D56" w:rsidRDefault="00BB74DA" w:rsidP="00BB74DA">
      <w:pPr>
        <w:rPr>
          <w:u w:val="single"/>
        </w:rPr>
      </w:pPr>
      <w:r w:rsidRPr="00950FB7">
        <w:rPr>
          <w:u w:val="single"/>
        </w:rPr>
        <w:t>Akcīzes nodoklis tabakas izstrādājumiem</w:t>
      </w:r>
    </w:p>
    <w:p w:rsidR="00BB74DA" w:rsidRPr="00C63D56" w:rsidRDefault="00BB74DA" w:rsidP="00BB74DA">
      <w:r w:rsidRPr="00C63D56">
        <w:t>201</w:t>
      </w:r>
      <w:r>
        <w:t>4</w:t>
      </w:r>
      <w:r w:rsidRPr="00C63D56">
        <w:t xml:space="preserve">. gada pirmajā ceturksnī akcīzes nodokļa ieņēmumi no tabakas izstrādājumiem bija </w:t>
      </w:r>
      <w:r>
        <w:t>36,8</w:t>
      </w:r>
      <w:r w:rsidRPr="00C63D56">
        <w:t> milj.</w:t>
      </w:r>
      <w:r>
        <w:t xml:space="preserve"> </w:t>
      </w:r>
      <w:proofErr w:type="spellStart"/>
      <w:r w:rsidRPr="007B07E5">
        <w:rPr>
          <w:i/>
        </w:rPr>
        <w:t>euro</w:t>
      </w:r>
      <w:proofErr w:type="spellEnd"/>
      <w:r w:rsidRPr="00C63D56">
        <w:t>, kas, salīdzinot ar 201</w:t>
      </w:r>
      <w:r>
        <w:t>3</w:t>
      </w:r>
      <w:r w:rsidRPr="00C63D56">
        <w:t xml:space="preserve">. gada pirmo ceturksni, ir par </w:t>
      </w:r>
      <w:r>
        <w:t>3,7</w:t>
      </w:r>
      <w:r w:rsidRPr="00C63D56">
        <w:t> milj. </w:t>
      </w:r>
      <w:proofErr w:type="spellStart"/>
      <w:r w:rsidRPr="007B07E5">
        <w:rPr>
          <w:i/>
        </w:rPr>
        <w:t>euro</w:t>
      </w:r>
      <w:proofErr w:type="spellEnd"/>
      <w:r w:rsidRPr="00C63D56">
        <w:t xml:space="preserve"> jeb </w:t>
      </w:r>
      <w:r>
        <w:t>11,3</w:t>
      </w:r>
      <w:r w:rsidRPr="00C63D56">
        <w:t>% vairāk. Akcīzes nodokļa ieņēmumu no tabakas pirmā ceturkšņa plāna izpilde bija 10</w:t>
      </w:r>
      <w:r>
        <w:t>6</w:t>
      </w:r>
      <w:r w:rsidRPr="00C63D56">
        <w:t>,0 procenti.</w:t>
      </w:r>
    </w:p>
    <w:p w:rsidR="00BB74DA" w:rsidRDefault="00BB74DA" w:rsidP="00BB74DA">
      <w:r w:rsidRPr="007A25D8">
        <w:t>Akcīzes nodokļa ieņēmumi no cigaretēm, kas 201</w:t>
      </w:r>
      <w:r>
        <w:t>4</w:t>
      </w:r>
      <w:r w:rsidRPr="007A25D8">
        <w:t>. gada pirmajā ceturksnī bija 96,</w:t>
      </w:r>
      <w:r>
        <w:t>7</w:t>
      </w:r>
      <w:r w:rsidRPr="007A25D8">
        <w:t>% no kopējiem akcīzes nodokļa ieņēmumiem no tabakas izstrādājumiem, salīdzinājumā ar 201</w:t>
      </w:r>
      <w:r>
        <w:t>3</w:t>
      </w:r>
      <w:r w:rsidRPr="007A25D8">
        <w:t xml:space="preserve">. gada pirmo ceturksni palielinājās par </w:t>
      </w:r>
      <w:r>
        <w:t>3,7</w:t>
      </w:r>
      <w:r w:rsidRPr="007A25D8">
        <w:t> milj. </w:t>
      </w:r>
      <w:proofErr w:type="spellStart"/>
      <w:r w:rsidRPr="007B07E5">
        <w:rPr>
          <w:i/>
        </w:rPr>
        <w:t>euro</w:t>
      </w:r>
      <w:proofErr w:type="spellEnd"/>
      <w:r w:rsidRPr="007A25D8">
        <w:t xml:space="preserve"> jeb </w:t>
      </w:r>
      <w:r>
        <w:t>11,6</w:t>
      </w:r>
      <w:r w:rsidRPr="007A25D8">
        <w:t> procentiem.</w:t>
      </w:r>
      <w:r>
        <w:t xml:space="preserve"> </w:t>
      </w:r>
      <w:r w:rsidRPr="00502E0D">
        <w:t xml:space="preserve">Šī gada pirmajos divos mēnešos </w:t>
      </w:r>
      <w:r>
        <w:t>patēriņam nodotais cigarešu daudzums samazinājās par 19,2%, salīdzinot ar atbilstošo periodu iepriekšējā gadā. Ieņēmumu pieaugums galvenokārt saistāms ar to, ka</w:t>
      </w:r>
      <w:r w:rsidRPr="00825A3A">
        <w:t xml:space="preserve"> cigaretes, uz kurām maksimālā mazumtirdzniecības cena bija norādīta latos, patēriņam Latvijā drīkstēja nodot tikai līdz 2013. gada 31. decembrim, kā rezultātā 2013. gada decembrī patēriņam tika nodots liels cigarešu daudzums, par ko akcīzes nodo</w:t>
      </w:r>
      <w:r>
        <w:t xml:space="preserve">kli maksāja 2014. gada janvārī, kā arī ar akcīzes nodokļa likmju tabakas izstrādājumiem paaugstināšana. </w:t>
      </w:r>
    </w:p>
    <w:p w:rsidR="00BB74DA" w:rsidRPr="00170D50" w:rsidRDefault="00BB74DA" w:rsidP="00BB74DA">
      <w:pPr>
        <w:rPr>
          <w:u w:val="single"/>
        </w:rPr>
      </w:pPr>
      <w:r w:rsidRPr="00170D50">
        <w:rPr>
          <w:u w:val="single"/>
        </w:rPr>
        <w:t>Akcīzes nodoklis alkoholiskajiem dzērieniem un alum</w:t>
      </w:r>
    </w:p>
    <w:p w:rsidR="00BB74DA" w:rsidRPr="00170D50" w:rsidRDefault="00BB74DA" w:rsidP="00BB74DA">
      <w:r w:rsidRPr="00170D50">
        <w:t>201</w:t>
      </w:r>
      <w:r>
        <w:t>4</w:t>
      </w:r>
      <w:r w:rsidRPr="00170D50">
        <w:t xml:space="preserve">. gada pirmajā ceturksnī akcīzes nodokļa ieņēmumi no alkoholiskajiem dzērieniem (izņemot alu) bija </w:t>
      </w:r>
      <w:r>
        <w:t>28,8</w:t>
      </w:r>
      <w:r w:rsidRPr="00170D50">
        <w:t xml:space="preserve"> milj. </w:t>
      </w:r>
      <w:proofErr w:type="spellStart"/>
      <w:r w:rsidRPr="007B07E5">
        <w:rPr>
          <w:i/>
        </w:rPr>
        <w:t>euro</w:t>
      </w:r>
      <w:proofErr w:type="spellEnd"/>
      <w:r w:rsidRPr="00170D50">
        <w:t>, kas, salīdzinot ar 201</w:t>
      </w:r>
      <w:r>
        <w:t>3</w:t>
      </w:r>
      <w:r w:rsidRPr="00170D50">
        <w:t xml:space="preserve">. gada pirmo ceturksni, ir par </w:t>
      </w:r>
      <w:r>
        <w:t>4,2</w:t>
      </w:r>
      <w:r w:rsidRPr="00170D50">
        <w:t xml:space="preserve"> milj. </w:t>
      </w:r>
      <w:proofErr w:type="spellStart"/>
      <w:r w:rsidRPr="007B07E5">
        <w:rPr>
          <w:i/>
        </w:rPr>
        <w:t>euro</w:t>
      </w:r>
      <w:proofErr w:type="spellEnd"/>
      <w:r>
        <w:t xml:space="preserve"> </w:t>
      </w:r>
      <w:r w:rsidRPr="00170D50">
        <w:t xml:space="preserve">jeb </w:t>
      </w:r>
      <w:r>
        <w:t>12,8</w:t>
      </w:r>
      <w:r w:rsidRPr="00170D50">
        <w:t xml:space="preserve">% </w:t>
      </w:r>
      <w:r>
        <w:t>mazāk</w:t>
      </w:r>
      <w:r w:rsidRPr="00170D50">
        <w:t xml:space="preserve">. Akcīzes nodokļa ieņēmumu no alkoholiskajiem dzērieniem pirmā ceturkšņa plāna izpilde bija </w:t>
      </w:r>
      <w:r>
        <w:t>82,2</w:t>
      </w:r>
      <w:r w:rsidRPr="00170D50">
        <w:t> procenti.</w:t>
      </w:r>
    </w:p>
    <w:p w:rsidR="00BB74DA" w:rsidRPr="001F4AF1" w:rsidRDefault="00BB74DA" w:rsidP="00BB74DA">
      <w:r w:rsidRPr="0048203D">
        <w:t>Lielāko īpatsvaru (87</w:t>
      </w:r>
      <w:r>
        <w:t>,0</w:t>
      </w:r>
      <w:r w:rsidRPr="0048203D">
        <w:t>%) akcīzes nodokļa ienākumos no alkoholiskajiem dzērieniem (izņemot alu) veido akcīzes nodokļa ieņēmumi no pārējiem alkoholiskajiem dzērieniem</w:t>
      </w:r>
      <w:r w:rsidRPr="003A6AD6">
        <w:rPr>
          <w:vertAlign w:val="superscript"/>
        </w:rPr>
        <w:footnoteReference w:id="7"/>
      </w:r>
      <w:r w:rsidRPr="0048203D">
        <w:t>, kas 201</w:t>
      </w:r>
      <w:r>
        <w:t>4</w:t>
      </w:r>
      <w:r w:rsidRPr="0048203D">
        <w:t>. </w:t>
      </w:r>
      <w:r w:rsidRPr="00D666EA">
        <w:t>gada pirmajā ceturksnī tika iekasēts 25,1 milj. </w:t>
      </w:r>
      <w:proofErr w:type="spellStart"/>
      <w:r w:rsidRPr="00D666EA">
        <w:rPr>
          <w:i/>
        </w:rPr>
        <w:t>euro</w:t>
      </w:r>
      <w:proofErr w:type="spellEnd"/>
      <w:r w:rsidRPr="00D666EA">
        <w:t xml:space="preserve"> apmērā un ir par 3,9 milj. </w:t>
      </w:r>
      <w:proofErr w:type="spellStart"/>
      <w:r w:rsidRPr="007B07E5">
        <w:rPr>
          <w:i/>
        </w:rPr>
        <w:t>euro</w:t>
      </w:r>
      <w:proofErr w:type="spellEnd"/>
      <w:r>
        <w:t xml:space="preserve"> </w:t>
      </w:r>
      <w:r w:rsidRPr="00D666EA">
        <w:t>jeb 13,6% mazāk, salīdzinot ar 2013. gada attiecīgo periodu. Ieņēmumu samazinājums veidojies saistībā ar piešķirtajiem nodokļa samaksas termiņa pagarinājumiem un patēriņam nodoto alkoholisko dzērienu daudzuma samazinājumu. 2014. gada pirmajos divos mēnešos pārējie alkoholiskie dzērieni, salīdzinot ar pagājušā gada attiecīgo periodu, patēriņam nodoti par 2,4% dekalitru mazāk</w:t>
      </w:r>
      <w:r w:rsidRPr="001F4AF1">
        <w:t>.</w:t>
      </w:r>
      <w:r>
        <w:t xml:space="preserve"> </w:t>
      </w:r>
    </w:p>
    <w:p w:rsidR="00BB74DA" w:rsidRPr="000722EA" w:rsidRDefault="00BB74DA" w:rsidP="00BB74DA">
      <w:r w:rsidRPr="000722EA">
        <w:t>201</w:t>
      </w:r>
      <w:r>
        <w:t>4</w:t>
      </w:r>
      <w:r w:rsidRPr="000722EA">
        <w:t>. gada pirmajā ceturksnī akcīzes nodokļa ieņēmumi no alus salīdzinā</w:t>
      </w:r>
      <w:r w:rsidRPr="000722EA">
        <w:softHyphen/>
        <w:t>jumā ar 201</w:t>
      </w:r>
      <w:r>
        <w:t>3</w:t>
      </w:r>
      <w:r w:rsidRPr="000722EA">
        <w:t xml:space="preserve">. gada pirmo ceturksni </w:t>
      </w:r>
      <w:r>
        <w:t>palielinājās par 0,8</w:t>
      </w:r>
      <w:r w:rsidRPr="000722EA">
        <w:t xml:space="preserve"> milj. </w:t>
      </w:r>
      <w:proofErr w:type="spellStart"/>
      <w:r w:rsidRPr="007B07E5">
        <w:rPr>
          <w:i/>
        </w:rPr>
        <w:t>euro</w:t>
      </w:r>
      <w:proofErr w:type="spellEnd"/>
      <w:r>
        <w:t xml:space="preserve"> </w:t>
      </w:r>
      <w:r w:rsidRPr="000722EA">
        <w:t xml:space="preserve">jeb </w:t>
      </w:r>
      <w:r>
        <w:t>19,1</w:t>
      </w:r>
      <w:r w:rsidRPr="000722EA">
        <w:t xml:space="preserve">% un bija </w:t>
      </w:r>
      <w:r>
        <w:t xml:space="preserve">4,8 milj. </w:t>
      </w:r>
      <w:proofErr w:type="spellStart"/>
      <w:r w:rsidRPr="007B07E5">
        <w:rPr>
          <w:i/>
        </w:rPr>
        <w:t>euro</w:t>
      </w:r>
      <w:proofErr w:type="spellEnd"/>
      <w:r w:rsidRPr="000722EA">
        <w:t>, kas saistīts ar</w:t>
      </w:r>
      <w:r>
        <w:t xml:space="preserve"> alus</w:t>
      </w:r>
      <w:r w:rsidRPr="000722EA">
        <w:t xml:space="preserve"> patēriņa</w:t>
      </w:r>
      <w:r>
        <w:t xml:space="preserve"> apjoma</w:t>
      </w:r>
      <w:r w:rsidRPr="000722EA">
        <w:t xml:space="preserve"> </w:t>
      </w:r>
      <w:r>
        <w:t>pieaugumu</w:t>
      </w:r>
      <w:r w:rsidRPr="000722EA">
        <w:t xml:space="preserve">. Akcīzes nodokļa ieņēmumu no alus pirmā ceturkšņa plāna izpilde bija </w:t>
      </w:r>
      <w:r>
        <w:t>111,9</w:t>
      </w:r>
      <w:r w:rsidRPr="000722EA">
        <w:t> procenti.</w:t>
      </w:r>
    </w:p>
    <w:p w:rsidR="00BB74DA" w:rsidRDefault="00BB74DA" w:rsidP="00BB74DA">
      <w:pPr>
        <w:rPr>
          <w:u w:val="single"/>
        </w:rPr>
      </w:pPr>
      <w:r w:rsidRPr="000722EA">
        <w:rPr>
          <w:u w:val="single"/>
        </w:rPr>
        <w:t>Akcīzes nodoklis</w:t>
      </w:r>
      <w:r>
        <w:rPr>
          <w:u w:val="single"/>
        </w:rPr>
        <w:t xml:space="preserve"> dabasgāzei</w:t>
      </w:r>
    </w:p>
    <w:p w:rsidR="00BB74DA" w:rsidRPr="00A0486B" w:rsidRDefault="00BB74DA" w:rsidP="00BB74DA">
      <w:r>
        <w:t>2014</w:t>
      </w:r>
      <w:r w:rsidRPr="00A0486B">
        <w:t xml:space="preserve">. gada pirmajā ceturksnī akcīzes nodokļa ieņēmumi no </w:t>
      </w:r>
      <w:r>
        <w:t>dabasgāzes</w:t>
      </w:r>
      <w:r w:rsidRPr="00A0486B">
        <w:t xml:space="preserve"> bija </w:t>
      </w:r>
      <w:r>
        <w:t>8,0</w:t>
      </w:r>
      <w:r w:rsidRPr="00A0486B">
        <w:t> milj. </w:t>
      </w:r>
      <w:proofErr w:type="spellStart"/>
      <w:r w:rsidRPr="007B07E5">
        <w:rPr>
          <w:i/>
        </w:rPr>
        <w:t>euro</w:t>
      </w:r>
      <w:proofErr w:type="spellEnd"/>
      <w:r>
        <w:t>,</w:t>
      </w:r>
      <w:r w:rsidRPr="00A0486B">
        <w:t xml:space="preserve"> kas salīdzinājumā ar 201</w:t>
      </w:r>
      <w:r>
        <w:t>3</w:t>
      </w:r>
      <w:r w:rsidRPr="00A0486B">
        <w:t xml:space="preserve">. gada pirmo ceturksni ir par </w:t>
      </w:r>
      <w:r>
        <w:t>1,8</w:t>
      </w:r>
      <w:r w:rsidRPr="00A0486B">
        <w:t> milj. </w:t>
      </w:r>
      <w:proofErr w:type="spellStart"/>
      <w:r w:rsidRPr="007B07E5">
        <w:rPr>
          <w:i/>
        </w:rPr>
        <w:t>euro</w:t>
      </w:r>
      <w:proofErr w:type="spellEnd"/>
      <w:r w:rsidRPr="00A0486B">
        <w:t xml:space="preserve"> jeb </w:t>
      </w:r>
      <w:r>
        <w:lastRenderedPageBreak/>
        <w:t>18,6</w:t>
      </w:r>
      <w:r w:rsidRPr="00A0486B">
        <w:t xml:space="preserve">% </w:t>
      </w:r>
      <w:r>
        <w:t xml:space="preserve">mazāk, savukārt pirmā ceturkšņa plāns izpildīts par 78,6 procentiem. Ieņēmumu samazinājums saistīts ar iepriekš neprognozētajiem salīdzinoši siltajiem laika apstākļiem ziemas mēnešos.  </w:t>
      </w:r>
    </w:p>
    <w:p w:rsidR="00BB74DA" w:rsidRPr="000722EA" w:rsidRDefault="00BB74DA" w:rsidP="00BB74DA">
      <w:pPr>
        <w:rPr>
          <w:u w:val="single"/>
        </w:rPr>
      </w:pPr>
      <w:r w:rsidRPr="000722EA">
        <w:rPr>
          <w:u w:val="single"/>
        </w:rPr>
        <w:t>Akcīzes nodoklis pārējām akcīzes precēm</w:t>
      </w:r>
    </w:p>
    <w:p w:rsidR="00BB74DA" w:rsidRPr="00A0486B" w:rsidRDefault="00BB74DA" w:rsidP="00BB74DA">
      <w:r>
        <w:t>2014</w:t>
      </w:r>
      <w:r w:rsidRPr="00A0486B">
        <w:t xml:space="preserve">. gada pirmajā ceturksnī akcīzes nodokļa ieņēmumi no pārējām akcīzes precēm bija </w:t>
      </w:r>
      <w:r>
        <w:t>3</w:t>
      </w:r>
      <w:r w:rsidRPr="00A0486B">
        <w:t>,3 milj. </w:t>
      </w:r>
      <w:proofErr w:type="spellStart"/>
      <w:r w:rsidRPr="007B07E5">
        <w:rPr>
          <w:i/>
        </w:rPr>
        <w:t>euro</w:t>
      </w:r>
      <w:proofErr w:type="spellEnd"/>
      <w:r w:rsidRPr="00A0486B">
        <w:t>, kas salīdzinājumā ar 201</w:t>
      </w:r>
      <w:r>
        <w:t>3</w:t>
      </w:r>
      <w:r w:rsidRPr="00A0486B">
        <w:t>. gada pirmo ceturksni ir par 0,</w:t>
      </w:r>
      <w:r>
        <w:t>1</w:t>
      </w:r>
      <w:r w:rsidRPr="00A0486B">
        <w:t> milj. </w:t>
      </w:r>
      <w:proofErr w:type="spellStart"/>
      <w:r w:rsidRPr="007B07E5">
        <w:rPr>
          <w:i/>
        </w:rPr>
        <w:t>euro</w:t>
      </w:r>
      <w:proofErr w:type="spellEnd"/>
      <w:r w:rsidRPr="00A0486B">
        <w:t xml:space="preserve"> jeb </w:t>
      </w:r>
      <w:r>
        <w:t>1,7</w:t>
      </w:r>
      <w:r w:rsidRPr="00A0486B">
        <w:t xml:space="preserve">% vairāk, savukārt pirmā ceturkšņa plāna izpilde bija </w:t>
      </w:r>
      <w:r>
        <w:t>99,8</w:t>
      </w:r>
      <w:r w:rsidRPr="00A0486B">
        <w:t> procenti.</w:t>
      </w:r>
    </w:p>
    <w:p w:rsidR="00BB74DA" w:rsidRDefault="00BB74DA" w:rsidP="00BB74DA">
      <w:r w:rsidRPr="00A0486B">
        <w:t xml:space="preserve">Akcīzes </w:t>
      </w:r>
      <w:r>
        <w:t>nodokļa ieņēmumi no kafijas 2014</w:t>
      </w:r>
      <w:r w:rsidRPr="00A0486B">
        <w:t>.</w:t>
      </w:r>
      <w:r>
        <w:t> gada pirmajā ceturksnī bija 1,7</w:t>
      </w:r>
      <w:r w:rsidRPr="00A0486B">
        <w:t> milj. </w:t>
      </w:r>
      <w:proofErr w:type="spellStart"/>
      <w:r w:rsidRPr="007B07E5">
        <w:rPr>
          <w:i/>
        </w:rPr>
        <w:t>euro</w:t>
      </w:r>
      <w:proofErr w:type="spellEnd"/>
      <w:r w:rsidRPr="00A0486B">
        <w:t xml:space="preserve">, kas ir par </w:t>
      </w:r>
      <w:r>
        <w:t>1,8</w:t>
      </w:r>
      <w:r w:rsidRPr="00A0486B">
        <w:t>% vairāk salīdzinājumā ar 201</w:t>
      </w:r>
      <w:r>
        <w:t>3</w:t>
      </w:r>
      <w:r w:rsidRPr="00A0486B">
        <w:t>. gada pirmo ceturksni.</w:t>
      </w:r>
      <w:r>
        <w:t xml:space="preserve"> Savukārt a</w:t>
      </w:r>
      <w:r w:rsidRPr="00A0486B">
        <w:t>kcīzes no</w:t>
      </w:r>
      <w:r w:rsidRPr="00A0486B">
        <w:softHyphen/>
        <w:t xml:space="preserve">dokļa ieņēmumi no bezalkoholiskajiem dzērieniem </w:t>
      </w:r>
      <w:r>
        <w:t>2014</w:t>
      </w:r>
      <w:r w:rsidRPr="00A0486B">
        <w:t>.</w:t>
      </w:r>
      <w:r>
        <w:t> gada pirmajā ceturksnī bija 1,6 milj. </w:t>
      </w:r>
      <w:proofErr w:type="spellStart"/>
      <w:r w:rsidRPr="007B07E5">
        <w:rPr>
          <w:i/>
        </w:rPr>
        <w:t>euro</w:t>
      </w:r>
      <w:proofErr w:type="spellEnd"/>
      <w:r>
        <w:t>, kas ir par 1,7% vairāk kā iepriekšējā gada atbilstošajā periodā.</w:t>
      </w:r>
    </w:p>
    <w:p w:rsidR="00BB74DA" w:rsidRPr="006B1552" w:rsidRDefault="00BB74DA" w:rsidP="00BB74DA">
      <w:pPr>
        <w:rPr>
          <w:highlight w:val="yellow"/>
        </w:rPr>
      </w:pPr>
      <w:bookmarkStart w:id="63" w:name="_Toc130004094"/>
      <w:bookmarkStart w:id="64" w:name="_Toc261947584"/>
      <w:r w:rsidRPr="00620518">
        <w:rPr>
          <w:b/>
        </w:rPr>
        <w:t>Vieglo automobiļu un motociklu nodokļa ieņēmumi</w:t>
      </w:r>
      <w:r w:rsidRPr="00620518">
        <w:t xml:space="preserve"> 2014. gada pirmajā ceturksnī bija 2,3 milj. </w:t>
      </w:r>
      <w:proofErr w:type="spellStart"/>
      <w:r w:rsidRPr="00620518">
        <w:rPr>
          <w:i/>
        </w:rPr>
        <w:t>euro</w:t>
      </w:r>
      <w:proofErr w:type="spellEnd"/>
      <w:r w:rsidRPr="00620518">
        <w:t>, kas salīdzinājumā ar 2013. gada pirmo ceturksn</w:t>
      </w:r>
      <w:r>
        <w:t>i ir par 0,3</w:t>
      </w:r>
      <w:r w:rsidRPr="00620518">
        <w:t> milj. </w:t>
      </w:r>
      <w:proofErr w:type="spellStart"/>
      <w:r w:rsidRPr="00620518">
        <w:rPr>
          <w:i/>
        </w:rPr>
        <w:t>euro</w:t>
      </w:r>
      <w:proofErr w:type="spellEnd"/>
      <w:r>
        <w:t xml:space="preserve"> jeb 15,1</w:t>
      </w:r>
      <w:r w:rsidRPr="00620518">
        <w:t>% vairāk. Vieglo automobiļu un motociklu</w:t>
      </w:r>
      <w:r w:rsidRPr="00620518">
        <w:rPr>
          <w:b/>
        </w:rPr>
        <w:t xml:space="preserve"> </w:t>
      </w:r>
      <w:r w:rsidRPr="00620518">
        <w:t>nodokļa ieņēmumu pirmā ce</w:t>
      </w:r>
      <w:r>
        <w:t>turkšņa plāna izpilde bija 104,6</w:t>
      </w:r>
      <w:r w:rsidRPr="00620518">
        <w:t> procenti.</w:t>
      </w:r>
    </w:p>
    <w:p w:rsidR="00BB74DA" w:rsidRDefault="00BB74DA" w:rsidP="00BB74DA">
      <w:r w:rsidRPr="00620518">
        <w:t>Nodokļa ieņēmumu palielināšanās pamatā galvenokārt bija pirmoreiz reģistrēto vieglo automobiļu skaita palielināšanās. Saskaņā ar Ceļu satiksmes drošības direkcijas informāciju 2014. gada pirmajā ceturksnī salīdzinājumā ar 2013. gada pirmo ceturksni pirmoreiz reģistrēto vieglo automobiļu skaits palielinājies par 1 924 mašīnām jeb 17,2 procentiem.</w:t>
      </w:r>
    </w:p>
    <w:p w:rsidR="00BB74DA" w:rsidRPr="006B1552" w:rsidRDefault="00BB74DA" w:rsidP="00BB74DA">
      <w:pPr>
        <w:ind w:firstLine="0"/>
        <w:jc w:val="left"/>
        <w:rPr>
          <w:highlight w:val="yellow"/>
        </w:rPr>
      </w:pPr>
      <w:r w:rsidRPr="002163B2">
        <w:rPr>
          <w:noProof/>
          <w:lang w:eastAsia="lv-LV"/>
        </w:rPr>
        <w:drawing>
          <wp:inline distT="0" distB="0" distL="0" distR="0" wp14:anchorId="5E423120" wp14:editId="2C63862C">
            <wp:extent cx="6152384" cy="31623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722" t="20387" r="4598" b="5187"/>
                    <a:stretch/>
                  </pic:blipFill>
                  <pic:spPr bwMode="auto">
                    <a:xfrm>
                      <a:off x="0" y="0"/>
                      <a:ext cx="6214057" cy="3194000"/>
                    </a:xfrm>
                    <a:prstGeom prst="rect">
                      <a:avLst/>
                    </a:prstGeom>
                    <a:noFill/>
                    <a:ln>
                      <a:noFill/>
                    </a:ln>
                    <a:extLst>
                      <a:ext uri="{53640926-AAD7-44D8-BBD7-CCE9431645EC}">
                        <a14:shadowObscured xmlns:a14="http://schemas.microsoft.com/office/drawing/2010/main"/>
                      </a:ext>
                    </a:extLst>
                  </pic:spPr>
                </pic:pic>
              </a:graphicData>
            </a:graphic>
          </wp:inline>
        </w:drawing>
      </w:r>
    </w:p>
    <w:p w:rsidR="00BB74DA" w:rsidRPr="00620518" w:rsidRDefault="00BB74DA" w:rsidP="00BB74DA">
      <w:pPr>
        <w:ind w:firstLine="0"/>
        <w:jc w:val="center"/>
        <w:rPr>
          <w:b/>
          <w:i/>
        </w:rPr>
      </w:pPr>
      <w:r w:rsidRPr="000161A4">
        <w:rPr>
          <w:rFonts w:cs="Times New Roman"/>
          <w:b/>
          <w:i/>
          <w:sz w:val="24"/>
        </w:rPr>
        <w:t>3</w:t>
      </w:r>
      <w:r w:rsidR="000161A4">
        <w:rPr>
          <w:rFonts w:cs="Times New Roman"/>
          <w:b/>
          <w:i/>
          <w:sz w:val="24"/>
        </w:rPr>
        <w:t>0</w:t>
      </w:r>
      <w:r w:rsidRPr="000161A4">
        <w:rPr>
          <w:rFonts w:cs="Times New Roman"/>
          <w:b/>
          <w:i/>
          <w:sz w:val="24"/>
        </w:rPr>
        <w:t xml:space="preserve">. att. Vieglo automobiļu un motociklu nodokļu ieņēmumi pa ceturkšņiem, milj. </w:t>
      </w:r>
      <w:proofErr w:type="spellStart"/>
      <w:r w:rsidRPr="000161A4">
        <w:rPr>
          <w:rFonts w:cs="Times New Roman"/>
          <w:b/>
          <w:i/>
          <w:sz w:val="24"/>
        </w:rPr>
        <w:t>euro</w:t>
      </w:r>
      <w:proofErr w:type="spellEnd"/>
      <w:r w:rsidRPr="000161A4">
        <w:rPr>
          <w:rFonts w:cs="Times New Roman"/>
          <w:b/>
          <w:i/>
          <w:sz w:val="24"/>
        </w:rPr>
        <w:t>.</w:t>
      </w:r>
    </w:p>
    <w:p w:rsidR="00BB74DA" w:rsidRDefault="00BB74DA" w:rsidP="00BB74DA">
      <w:r>
        <w:rPr>
          <w:b/>
        </w:rPr>
        <w:t>M</w:t>
      </w:r>
      <w:r w:rsidRPr="009415EE">
        <w:rPr>
          <w:b/>
        </w:rPr>
        <w:t>uitas nodokļa</w:t>
      </w:r>
      <w:r w:rsidRPr="009415EE">
        <w:t xml:space="preserve"> ieņēmumi </w:t>
      </w:r>
      <w:r>
        <w:t>2014</w:t>
      </w:r>
      <w:r w:rsidRPr="009415EE">
        <w:t xml:space="preserve">. gada pirmajā ceturksnī bija </w:t>
      </w:r>
      <w:r>
        <w:t>8,4</w:t>
      </w:r>
      <w:r w:rsidRPr="009415EE">
        <w:t xml:space="preserve"> milj. </w:t>
      </w:r>
      <w:proofErr w:type="spellStart"/>
      <w:r w:rsidRPr="007B07E5">
        <w:rPr>
          <w:i/>
        </w:rPr>
        <w:t>euro</w:t>
      </w:r>
      <w:proofErr w:type="spellEnd"/>
      <w:r w:rsidRPr="009415EE">
        <w:t xml:space="preserve"> un salīdzinā</w:t>
      </w:r>
      <w:r w:rsidRPr="009415EE">
        <w:softHyphen/>
        <w:t>jumā ar 201</w:t>
      </w:r>
      <w:r>
        <w:t>3</w:t>
      </w:r>
      <w:r w:rsidRPr="00847279">
        <w:t>. gada pirmo ceturksni tie ir palielinājušies par 2,4 milj. </w:t>
      </w:r>
      <w:proofErr w:type="spellStart"/>
      <w:r w:rsidRPr="00847279">
        <w:rPr>
          <w:i/>
        </w:rPr>
        <w:t>euro</w:t>
      </w:r>
      <w:proofErr w:type="spellEnd"/>
      <w:r w:rsidRPr="00847279">
        <w:t xml:space="preserve"> jeb </w:t>
      </w:r>
      <w:r w:rsidRPr="00847279">
        <w:lastRenderedPageBreak/>
        <w:t xml:space="preserve">39,7 procentiem. </w:t>
      </w:r>
      <w:r w:rsidRPr="009415EE">
        <w:t>Saskaņā ar Centrālās statistikas pārvaldes datiem 201</w:t>
      </w:r>
      <w:r>
        <w:t>4</w:t>
      </w:r>
      <w:r w:rsidRPr="009415EE">
        <w:t xml:space="preserve">. gada divos mēnešos salīdzinājumā ar iepriekšējā gada atbilstošo periodu imports no valstīm, kas nav </w:t>
      </w:r>
      <w:r w:rsidR="00B87469">
        <w:t>Ei</w:t>
      </w:r>
      <w:r w:rsidR="00404D8F">
        <w:t>ro</w:t>
      </w:r>
      <w:r w:rsidRPr="009415EE">
        <w:t xml:space="preserve">pas Savienības dalībvalstis, </w:t>
      </w:r>
      <w:r>
        <w:t>samazinājies</w:t>
      </w:r>
      <w:r w:rsidRPr="009415EE">
        <w:t xml:space="preserve"> par </w:t>
      </w:r>
      <w:r>
        <w:t xml:space="preserve">9,8%. Importa apjoma samazinājum negatīvo ietekmi uz muitas nodokļa ieņēmumiem spēja kompensēt </w:t>
      </w:r>
      <w:r w:rsidRPr="00847279">
        <w:t>Vispārējās preferenču sistēmas tarifa atcelšan</w:t>
      </w:r>
      <w:r>
        <w:t>a</w:t>
      </w:r>
      <w:r w:rsidRPr="00847279">
        <w:t xml:space="preserve"> ar daudzām</w:t>
      </w:r>
      <w:r>
        <w:t xml:space="preserve"> valstīm, t.sk. arī ar Krieviju, kas bija galvenais iemesls muitas nodokļa ieņēmumu plāna </w:t>
      </w:r>
      <w:proofErr w:type="spellStart"/>
      <w:r>
        <w:t>pārpildei</w:t>
      </w:r>
      <w:proofErr w:type="spellEnd"/>
      <w:r>
        <w:t xml:space="preserve"> par 1,2 milj. </w:t>
      </w:r>
      <w:proofErr w:type="spellStart"/>
      <w:r w:rsidRPr="007B07E5">
        <w:rPr>
          <w:i/>
        </w:rPr>
        <w:t>euro</w:t>
      </w:r>
      <w:proofErr w:type="spellEnd"/>
      <w:r>
        <w:t xml:space="preserve"> jeb par 16,7%. </w:t>
      </w:r>
    </w:p>
    <w:p w:rsidR="00BB74DA" w:rsidRDefault="00BB74DA" w:rsidP="00BB74DA">
      <w:pPr>
        <w:spacing w:after="0"/>
      </w:pPr>
    </w:p>
    <w:p w:rsidR="00BB74DA" w:rsidRDefault="00BB74DA" w:rsidP="00BB74DA">
      <w:pPr>
        <w:spacing w:after="0"/>
        <w:ind w:firstLine="0"/>
      </w:pPr>
      <w:r>
        <w:rPr>
          <w:noProof/>
          <w:lang w:eastAsia="lv-LV"/>
        </w:rPr>
        <w:drawing>
          <wp:inline distT="0" distB="0" distL="0" distR="0" wp14:anchorId="011F0EE5" wp14:editId="1F8B108E">
            <wp:extent cx="6132440" cy="29813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5824" t="21470" b="3715"/>
                    <a:stretch/>
                  </pic:blipFill>
                  <pic:spPr bwMode="auto">
                    <a:xfrm>
                      <a:off x="0" y="0"/>
                      <a:ext cx="6195242" cy="3011856"/>
                    </a:xfrm>
                    <a:prstGeom prst="rect">
                      <a:avLst/>
                    </a:prstGeom>
                    <a:noFill/>
                    <a:ln>
                      <a:noFill/>
                    </a:ln>
                    <a:extLst>
                      <a:ext uri="{53640926-AAD7-44D8-BBD7-CCE9431645EC}">
                        <a14:shadowObscured xmlns:a14="http://schemas.microsoft.com/office/drawing/2010/main"/>
                      </a:ext>
                    </a:extLst>
                  </pic:spPr>
                </pic:pic>
              </a:graphicData>
            </a:graphic>
          </wp:inline>
        </w:drawing>
      </w:r>
    </w:p>
    <w:p w:rsidR="00BB74DA" w:rsidRPr="000161A4" w:rsidRDefault="00BB74DA" w:rsidP="00BB74DA">
      <w:pPr>
        <w:ind w:firstLine="0"/>
        <w:jc w:val="center"/>
        <w:rPr>
          <w:rFonts w:cs="Times New Roman"/>
          <w:b/>
          <w:i/>
          <w:sz w:val="24"/>
        </w:rPr>
      </w:pPr>
      <w:r w:rsidRPr="000161A4">
        <w:rPr>
          <w:rFonts w:cs="Times New Roman"/>
          <w:b/>
          <w:i/>
          <w:sz w:val="24"/>
        </w:rPr>
        <w:t>3</w:t>
      </w:r>
      <w:r w:rsidR="000161A4">
        <w:rPr>
          <w:rFonts w:cs="Times New Roman"/>
          <w:b/>
          <w:i/>
          <w:sz w:val="24"/>
        </w:rPr>
        <w:t>1</w:t>
      </w:r>
      <w:r w:rsidRPr="000161A4">
        <w:rPr>
          <w:rFonts w:cs="Times New Roman"/>
          <w:b/>
          <w:i/>
          <w:sz w:val="24"/>
        </w:rPr>
        <w:t xml:space="preserve">. att. Muitas nodokļa ieņēmumi pa ceturkšņiem, milj. </w:t>
      </w:r>
      <w:proofErr w:type="spellStart"/>
      <w:r w:rsidRPr="000161A4">
        <w:rPr>
          <w:rFonts w:cs="Times New Roman"/>
          <w:b/>
          <w:i/>
          <w:sz w:val="24"/>
        </w:rPr>
        <w:t>euro</w:t>
      </w:r>
      <w:proofErr w:type="spellEnd"/>
      <w:r w:rsidRPr="000161A4">
        <w:rPr>
          <w:rFonts w:cs="Times New Roman"/>
          <w:b/>
          <w:i/>
          <w:sz w:val="24"/>
        </w:rPr>
        <w:t>.</w:t>
      </w:r>
    </w:p>
    <w:p w:rsidR="00BB74DA" w:rsidRPr="00695386" w:rsidRDefault="00BB74DA" w:rsidP="00BB74DA">
      <w:pPr>
        <w:ind w:firstLine="0"/>
        <w:jc w:val="center"/>
        <w:rPr>
          <w:b/>
          <w:i/>
        </w:rPr>
      </w:pPr>
    </w:p>
    <w:p w:rsidR="00BB74DA" w:rsidRDefault="00BB74DA" w:rsidP="00BB74DA">
      <w:pPr>
        <w:rPr>
          <w:rFonts w:cs="Times New Roman"/>
        </w:rPr>
      </w:pPr>
      <w:r w:rsidRPr="00695386">
        <w:rPr>
          <w:rFonts w:cs="Times New Roman"/>
          <w:b/>
        </w:rPr>
        <w:t>Elektroenerģijas nodokļa</w:t>
      </w:r>
      <w:r w:rsidRPr="00695386">
        <w:rPr>
          <w:rFonts w:cs="Times New Roman"/>
        </w:rPr>
        <w:t xml:space="preserve"> ieņēmumi valsts budžetā 201</w:t>
      </w:r>
      <w:r>
        <w:rPr>
          <w:rFonts w:cs="Times New Roman"/>
        </w:rPr>
        <w:t>4</w:t>
      </w:r>
      <w:r w:rsidRPr="00695386">
        <w:rPr>
          <w:rFonts w:cs="Times New Roman"/>
        </w:rPr>
        <w:t xml:space="preserve">. gada pirmajā ceturksnī bija </w:t>
      </w:r>
      <w:r>
        <w:rPr>
          <w:rFonts w:cs="Times New Roman"/>
        </w:rPr>
        <w:t>133,4</w:t>
      </w:r>
      <w:r w:rsidRPr="00695386">
        <w:rPr>
          <w:rFonts w:cs="Times New Roman"/>
        </w:rPr>
        <w:t xml:space="preserve"> tūkst. </w:t>
      </w:r>
      <w:proofErr w:type="spellStart"/>
      <w:r w:rsidRPr="005C1912">
        <w:rPr>
          <w:rFonts w:cs="Times New Roman"/>
          <w:i/>
        </w:rPr>
        <w:t>euro</w:t>
      </w:r>
      <w:proofErr w:type="spellEnd"/>
      <w:r>
        <w:rPr>
          <w:rFonts w:cs="Times New Roman"/>
        </w:rPr>
        <w:t>, kas salīdzinājumā ar 2013</w:t>
      </w:r>
      <w:r w:rsidRPr="00695386">
        <w:rPr>
          <w:rFonts w:cs="Times New Roman"/>
        </w:rPr>
        <w:t xml:space="preserve">. gada pirmo ceturksni ir par </w:t>
      </w:r>
      <w:r>
        <w:rPr>
          <w:rFonts w:cs="Times New Roman"/>
        </w:rPr>
        <w:t>126,1</w:t>
      </w:r>
      <w:r w:rsidRPr="00695386">
        <w:rPr>
          <w:rFonts w:cs="Times New Roman"/>
        </w:rPr>
        <w:t xml:space="preserve"> tūkst. </w:t>
      </w:r>
      <w:proofErr w:type="spellStart"/>
      <w:r w:rsidRPr="00F651FA">
        <w:rPr>
          <w:rFonts w:cs="Times New Roman"/>
          <w:i/>
        </w:rPr>
        <w:t>euro</w:t>
      </w:r>
      <w:proofErr w:type="spellEnd"/>
      <w:r>
        <w:rPr>
          <w:rFonts w:cs="Times New Roman"/>
        </w:rPr>
        <w:t xml:space="preserve"> </w:t>
      </w:r>
      <w:r w:rsidRPr="00695386">
        <w:rPr>
          <w:rFonts w:cs="Times New Roman"/>
        </w:rPr>
        <w:t xml:space="preserve">jeb </w:t>
      </w:r>
      <w:r>
        <w:rPr>
          <w:rFonts w:cs="Times New Roman"/>
        </w:rPr>
        <w:t>48,6</w:t>
      </w:r>
      <w:r w:rsidRPr="00695386">
        <w:rPr>
          <w:rFonts w:cs="Times New Roman"/>
        </w:rPr>
        <w:t xml:space="preserve">% mazāk. Elektroenerģijas nodokļa pirmā ceturkšņa ieņēmumu plāns ir izpildīts par </w:t>
      </w:r>
      <w:r>
        <w:rPr>
          <w:rFonts w:cs="Times New Roman"/>
        </w:rPr>
        <w:t xml:space="preserve">63,2 procentiem. </w:t>
      </w:r>
    </w:p>
    <w:p w:rsidR="00BB74DA" w:rsidRPr="00254F19" w:rsidRDefault="00BB74DA" w:rsidP="00BB74DA">
      <w:pPr>
        <w:rPr>
          <w:rFonts w:cs="Times New Roman"/>
          <w:sz w:val="32"/>
        </w:rPr>
      </w:pPr>
      <w:r w:rsidRPr="00254F19">
        <w:rPr>
          <w:rFonts w:cs="Times New Roman"/>
          <w:b/>
        </w:rPr>
        <w:t>Transportlīdzekļu ekspluatācijas nodokļa</w:t>
      </w:r>
      <w:r w:rsidRPr="00254F19">
        <w:rPr>
          <w:rFonts w:cs="Times New Roman"/>
        </w:rPr>
        <w:t xml:space="preserve"> ieņēmumi</w:t>
      </w:r>
      <w:r w:rsidRPr="00254F19">
        <w:rPr>
          <w:rStyle w:val="FootnoteReference"/>
          <w:rFonts w:ascii="Times New Roman" w:hAnsi="Times New Roman" w:cs="Times New Roman"/>
        </w:rPr>
        <w:footnoteReference w:id="8"/>
      </w:r>
      <w:r>
        <w:rPr>
          <w:rFonts w:cs="Times New Roman"/>
        </w:rPr>
        <w:t xml:space="preserve"> 2014. gada pirmajā ceturksnī bija</w:t>
      </w:r>
      <w:r w:rsidRPr="00254F19">
        <w:rPr>
          <w:rFonts w:cs="Times New Roman"/>
        </w:rPr>
        <w:t xml:space="preserve"> 19,1 milj. </w:t>
      </w:r>
      <w:proofErr w:type="spellStart"/>
      <w:r w:rsidRPr="00254F19">
        <w:rPr>
          <w:rFonts w:cs="Times New Roman"/>
          <w:i/>
        </w:rPr>
        <w:t>euro</w:t>
      </w:r>
      <w:proofErr w:type="spellEnd"/>
      <w:r w:rsidRPr="00254F19">
        <w:rPr>
          <w:rFonts w:cs="Times New Roman"/>
        </w:rPr>
        <w:t>, kas salīdzinājumā ar 2013. gada pirmo ceturksni ir par 0,</w:t>
      </w:r>
      <w:r>
        <w:rPr>
          <w:rFonts w:cs="Times New Roman"/>
        </w:rPr>
        <w:t>5</w:t>
      </w:r>
      <w:r w:rsidRPr="00254F19">
        <w:rPr>
          <w:rFonts w:cs="Times New Roman"/>
        </w:rPr>
        <w:t xml:space="preserve"> milj. </w:t>
      </w:r>
      <w:proofErr w:type="spellStart"/>
      <w:r w:rsidRPr="00254F19">
        <w:rPr>
          <w:rFonts w:cs="Times New Roman"/>
          <w:i/>
        </w:rPr>
        <w:t>euro</w:t>
      </w:r>
      <w:proofErr w:type="spellEnd"/>
      <w:r>
        <w:rPr>
          <w:rFonts w:cs="Times New Roman"/>
        </w:rPr>
        <w:t xml:space="preserve"> jeb 2,6</w:t>
      </w:r>
      <w:r w:rsidRPr="00254F19">
        <w:rPr>
          <w:rFonts w:cs="Times New Roman"/>
        </w:rPr>
        <w:t> % vairāk. Transportlīdzekļu ekspluatācijas nodokļa ieņēmumu plāns pirmajā ceturk</w:t>
      </w:r>
      <w:r>
        <w:rPr>
          <w:rFonts w:cs="Times New Roman"/>
        </w:rPr>
        <w:t>snī izpildīts par 101,1 procentu</w:t>
      </w:r>
      <w:r w:rsidRPr="00254F19">
        <w:rPr>
          <w:rFonts w:cs="Times New Roman"/>
        </w:rPr>
        <w:t>.</w:t>
      </w:r>
    </w:p>
    <w:p w:rsidR="00BB74DA" w:rsidRPr="00B71608" w:rsidRDefault="00BB74DA" w:rsidP="00BB74DA">
      <w:pPr>
        <w:rPr>
          <w:rFonts w:cs="Times New Roman"/>
        </w:rPr>
      </w:pPr>
      <w:r w:rsidRPr="00B71608">
        <w:rPr>
          <w:rFonts w:cs="Times New Roman"/>
        </w:rPr>
        <w:t>Saskaņā ar Ceļu satiksmes drošības direkcijas informāciju, transportlīdzekļu skaits, par kuriem ir veikta tehniskā apskate, 2014.gada pirmajā ceturksnī salīdzinājumā ar attiecīgo periodu pērn ir palielinājies par 5,0%, kas arī ietekmē nodokļa izpildi.</w:t>
      </w:r>
    </w:p>
    <w:p w:rsidR="00BB74DA" w:rsidRPr="00C30927" w:rsidRDefault="00BB74DA" w:rsidP="00BB74DA">
      <w:pPr>
        <w:rPr>
          <w:rFonts w:cs="Times New Roman"/>
        </w:rPr>
      </w:pPr>
      <w:r w:rsidRPr="00C30927">
        <w:rPr>
          <w:rFonts w:cs="Times New Roman"/>
          <w:b/>
        </w:rPr>
        <w:t xml:space="preserve">Uzņēmumu vieglo transportlīdzekļu nodokļa </w:t>
      </w:r>
      <w:r w:rsidRPr="00C30927">
        <w:rPr>
          <w:rFonts w:cs="Times New Roman"/>
        </w:rPr>
        <w:t>ieņēmumi</w:t>
      </w:r>
      <w:r>
        <w:rPr>
          <w:rFonts w:cs="Times New Roman"/>
        </w:rPr>
        <w:t xml:space="preserve"> 2014. gada pirmajā ceturksnī bija</w:t>
      </w:r>
      <w:r w:rsidRPr="00C30927">
        <w:rPr>
          <w:rFonts w:cs="Times New Roman"/>
        </w:rPr>
        <w:t xml:space="preserve"> 4,1 milj. </w:t>
      </w:r>
      <w:proofErr w:type="spellStart"/>
      <w:r w:rsidRPr="00C30927">
        <w:rPr>
          <w:rFonts w:cs="Times New Roman"/>
          <w:i/>
        </w:rPr>
        <w:t>euro</w:t>
      </w:r>
      <w:proofErr w:type="spellEnd"/>
      <w:r w:rsidRPr="00C30927">
        <w:rPr>
          <w:rFonts w:cs="Times New Roman"/>
        </w:rPr>
        <w:t>, kas salīdzinājumā ar 2013.</w:t>
      </w:r>
      <w:r>
        <w:rPr>
          <w:rFonts w:cs="Times New Roman"/>
        </w:rPr>
        <w:t> gada pirmo ceturksni ir par 0,5</w:t>
      </w:r>
      <w:r w:rsidRPr="00C30927">
        <w:rPr>
          <w:rFonts w:cs="Times New Roman"/>
        </w:rPr>
        <w:t xml:space="preserve"> milj. </w:t>
      </w:r>
      <w:proofErr w:type="spellStart"/>
      <w:r w:rsidRPr="00C30927">
        <w:rPr>
          <w:rFonts w:cs="Times New Roman"/>
          <w:i/>
        </w:rPr>
        <w:t>euro</w:t>
      </w:r>
      <w:proofErr w:type="spellEnd"/>
      <w:r w:rsidRPr="00C30927">
        <w:rPr>
          <w:rFonts w:cs="Times New Roman"/>
        </w:rPr>
        <w:t xml:space="preserve"> jeb 1</w:t>
      </w:r>
      <w:r>
        <w:rPr>
          <w:rFonts w:cs="Times New Roman"/>
        </w:rPr>
        <w:t>0</w:t>
      </w:r>
      <w:r w:rsidRPr="00C30927">
        <w:rPr>
          <w:rFonts w:cs="Times New Roman"/>
        </w:rPr>
        <w:t>,</w:t>
      </w:r>
      <w:r>
        <w:rPr>
          <w:rFonts w:cs="Times New Roman"/>
        </w:rPr>
        <w:t>9% mazāk</w:t>
      </w:r>
      <w:r w:rsidRPr="00C30927">
        <w:rPr>
          <w:rFonts w:cs="Times New Roman"/>
        </w:rPr>
        <w:t>.</w:t>
      </w:r>
    </w:p>
    <w:p w:rsidR="00BB74DA" w:rsidRDefault="00BB74DA" w:rsidP="00BB74DA">
      <w:pPr>
        <w:rPr>
          <w:rFonts w:cs="Times New Roman"/>
        </w:rPr>
      </w:pPr>
      <w:r w:rsidRPr="00C30927">
        <w:rPr>
          <w:rFonts w:cs="Times New Roman"/>
        </w:rPr>
        <w:lastRenderedPageBreak/>
        <w:t>Uzņēmumu vieglo transportlīdzekļu nodokļa ieņēmumu plāns 2014.gada pirmajā ceturksnī nav izpildīts par 14,</w:t>
      </w:r>
      <w:r w:rsidRPr="00B71608">
        <w:rPr>
          <w:rFonts w:cs="Times New Roman"/>
        </w:rPr>
        <w:t>3</w:t>
      </w:r>
      <w:r>
        <w:rPr>
          <w:rFonts w:cs="Times New Roman"/>
        </w:rPr>
        <w:t> procentiem. Neizpildi,</w:t>
      </w:r>
      <w:r w:rsidRPr="00B71608">
        <w:rPr>
          <w:rFonts w:cs="Times New Roman"/>
        </w:rPr>
        <w:t xml:space="preserve"> galvenokārt</w:t>
      </w:r>
      <w:r>
        <w:rPr>
          <w:rFonts w:cs="Times New Roman"/>
        </w:rPr>
        <w:t>,</w:t>
      </w:r>
      <w:r w:rsidRPr="00B71608">
        <w:rPr>
          <w:rFonts w:cs="Times New Roman"/>
        </w:rPr>
        <w:t xml:space="preserve"> ietekmēja janvāra (- </w:t>
      </w:r>
      <w:r>
        <w:rPr>
          <w:rFonts w:cs="Times New Roman"/>
        </w:rPr>
        <w:t>0,6 milj. </w:t>
      </w:r>
      <w:proofErr w:type="spellStart"/>
      <w:r w:rsidRPr="001C3B6A">
        <w:rPr>
          <w:rFonts w:cs="Times New Roman"/>
          <w:i/>
        </w:rPr>
        <w:t>euro</w:t>
      </w:r>
      <w:proofErr w:type="spellEnd"/>
      <w:r>
        <w:rPr>
          <w:rFonts w:cs="Times New Roman"/>
        </w:rPr>
        <w:t xml:space="preserve">) plāna </w:t>
      </w:r>
      <w:r w:rsidRPr="006104DD">
        <w:rPr>
          <w:rFonts w:cs="Times New Roman"/>
        </w:rPr>
        <w:t xml:space="preserve">neizpilde, kuru ietekmēja </w:t>
      </w:r>
      <w:r w:rsidRPr="006104DD">
        <w:t xml:space="preserve">Latvijas </w:t>
      </w:r>
      <w:r w:rsidRPr="006104DD">
        <w:rPr>
          <w:rFonts w:cs="Times New Roman"/>
        </w:rPr>
        <w:t xml:space="preserve">pievienošanās </w:t>
      </w:r>
      <w:proofErr w:type="spellStart"/>
      <w:r w:rsidR="00404D8F" w:rsidRPr="00B87469">
        <w:rPr>
          <w:rFonts w:cs="Times New Roman"/>
          <w:i/>
        </w:rPr>
        <w:t>euro</w:t>
      </w:r>
      <w:proofErr w:type="spellEnd"/>
      <w:r w:rsidR="00B87469">
        <w:rPr>
          <w:rFonts w:cs="Times New Roman"/>
        </w:rPr>
        <w:t xml:space="preserve"> </w:t>
      </w:r>
      <w:r w:rsidRPr="006104DD">
        <w:rPr>
          <w:rFonts w:cs="Times New Roman"/>
        </w:rPr>
        <w:t xml:space="preserve">zonai </w:t>
      </w:r>
      <w:r w:rsidRPr="006104DD">
        <w:t>2014.gada 1.janvārī</w:t>
      </w:r>
      <w:r w:rsidRPr="006104DD">
        <w:rPr>
          <w:rFonts w:cs="Times New Roman"/>
        </w:rPr>
        <w:t>, līdz ar to daļa nodokļu maksātāju veica iemaksas vēl latos 2013.gada decembra budžetā, lai gan likumā noteikts, ka nodoklis jāmaksā nākamajā gadā pirms transportlīdzekļu tehniskās apskates.</w:t>
      </w:r>
    </w:p>
    <w:p w:rsidR="00BB74DA" w:rsidRPr="003C7AC6" w:rsidRDefault="00BB74DA" w:rsidP="00BB74DA">
      <w:pPr>
        <w:rPr>
          <w:rFonts w:cs="Times New Roman"/>
        </w:rPr>
      </w:pPr>
      <w:r w:rsidRPr="00695386">
        <w:rPr>
          <w:rFonts w:cs="Times New Roman"/>
        </w:rPr>
        <w:t>Kopējie</w:t>
      </w:r>
      <w:r w:rsidRPr="00695386">
        <w:rPr>
          <w:rFonts w:cs="Times New Roman"/>
          <w:b/>
        </w:rPr>
        <w:t xml:space="preserve"> dabas resursu nodokļa</w:t>
      </w:r>
      <w:r w:rsidRPr="00695386">
        <w:rPr>
          <w:rFonts w:cs="Times New Roman"/>
        </w:rPr>
        <w:t xml:space="preserve"> ieņēmumi valsts pamatbudžetā un paš</w:t>
      </w:r>
      <w:r w:rsidRPr="00695386">
        <w:rPr>
          <w:rFonts w:cs="Times New Roman"/>
        </w:rPr>
        <w:softHyphen/>
        <w:t>valdību speciālajā budžetā 201</w:t>
      </w:r>
      <w:r>
        <w:rPr>
          <w:rFonts w:cs="Times New Roman"/>
        </w:rPr>
        <w:t>4</w:t>
      </w:r>
      <w:r w:rsidRPr="00695386">
        <w:rPr>
          <w:rFonts w:cs="Times New Roman"/>
        </w:rPr>
        <w:t xml:space="preserve">.gada </w:t>
      </w:r>
      <w:r w:rsidRPr="003C7AC6">
        <w:rPr>
          <w:rFonts w:cs="Times New Roman"/>
        </w:rPr>
        <w:t xml:space="preserve">pirmajā ceturksnī bija 5,4 milj. </w:t>
      </w:r>
      <w:proofErr w:type="spellStart"/>
      <w:r w:rsidRPr="003C7AC6">
        <w:rPr>
          <w:rFonts w:cs="Times New Roman"/>
          <w:i/>
        </w:rPr>
        <w:t>euro</w:t>
      </w:r>
      <w:proofErr w:type="spellEnd"/>
      <w:r w:rsidRPr="003C7AC6">
        <w:rPr>
          <w:rFonts w:cs="Times New Roman"/>
        </w:rPr>
        <w:t xml:space="preserve">, kas ir par 0,2 milj. </w:t>
      </w:r>
      <w:proofErr w:type="spellStart"/>
      <w:r w:rsidRPr="003C7AC6">
        <w:rPr>
          <w:rFonts w:cs="Times New Roman"/>
          <w:i/>
        </w:rPr>
        <w:t>euro</w:t>
      </w:r>
      <w:proofErr w:type="spellEnd"/>
      <w:r w:rsidRPr="003C7AC6">
        <w:rPr>
          <w:rFonts w:cs="Times New Roman"/>
        </w:rPr>
        <w:t xml:space="preserve"> jeb 3,0% mazāk kā 2013. gada pirmajā ceturksnī. Dabas resursu nodokļa pirmā ceturkšņa</w:t>
      </w:r>
      <w:r w:rsidRPr="00695386">
        <w:rPr>
          <w:rFonts w:cs="Times New Roman"/>
        </w:rPr>
        <w:t xml:space="preserve"> plāna izpilde bija 10</w:t>
      </w:r>
      <w:r>
        <w:rPr>
          <w:rFonts w:cs="Times New Roman"/>
        </w:rPr>
        <w:t xml:space="preserve">2,1  procents. </w:t>
      </w:r>
    </w:p>
    <w:p w:rsidR="00BB74DA" w:rsidRPr="003C7AC6" w:rsidRDefault="00BB74DA" w:rsidP="00BB74DA">
      <w:pPr>
        <w:rPr>
          <w:rFonts w:cs="Times New Roman"/>
        </w:rPr>
      </w:pPr>
      <w:r w:rsidRPr="003C7AC6">
        <w:rPr>
          <w:rFonts w:cs="Times New Roman"/>
        </w:rPr>
        <w:t xml:space="preserve">Salīdzinot ar iepriekšējā gada pirmo ceturksni, samazinājušies ieņēmumi par </w:t>
      </w:r>
      <w:r>
        <w:rPr>
          <w:rFonts w:cs="Times New Roman"/>
        </w:rPr>
        <w:t xml:space="preserve">akmeņoglēm, koksu un </w:t>
      </w:r>
      <w:proofErr w:type="spellStart"/>
      <w:r>
        <w:rPr>
          <w:rFonts w:cs="Times New Roman"/>
        </w:rPr>
        <w:t>lignītu</w:t>
      </w:r>
      <w:proofErr w:type="spellEnd"/>
      <w:r>
        <w:rPr>
          <w:rFonts w:cs="Times New Roman"/>
        </w:rPr>
        <w:t>,</w:t>
      </w:r>
      <w:r w:rsidRPr="003C7AC6">
        <w:rPr>
          <w:rFonts w:cs="Times New Roman"/>
        </w:rPr>
        <w:t xml:space="preserve"> par preču iepakojumu</w:t>
      </w:r>
      <w:r>
        <w:rPr>
          <w:rFonts w:cs="Times New Roman"/>
        </w:rPr>
        <w:t xml:space="preserve"> un par radioaktīvu vielu izmantošanu</w:t>
      </w:r>
      <w:r w:rsidRPr="003C7AC6">
        <w:rPr>
          <w:rFonts w:cs="Times New Roman"/>
        </w:rPr>
        <w:t xml:space="preserve">, bet ieņēmumi par  pirmo reizi Latvijas Republikā reģistrētajiem transportlīdzekļiem,  dabas resursu ieguvi un vides piesārņošanu, par virs limitos noteikto apjomu un soda naudas par likuma pārkāpumiem un par videi kaitīgajām precēm ir pieauguši. </w:t>
      </w:r>
    </w:p>
    <w:p w:rsidR="00BB74DA" w:rsidRDefault="00BB74DA" w:rsidP="00BB74DA">
      <w:r>
        <w:t xml:space="preserve">Dabas resursu nodokļa ieņēmumus </w:t>
      </w:r>
      <w:r w:rsidRPr="003C7AC6">
        <w:t xml:space="preserve">2014. gadā ietekmēs 2013. gadā pieņemtās likumdošanas izmaiņas – dabas resursu nodokļa likmju paaugstināšana par dabas resursu ieguvi, atkritumu apglabāšanu, gaisa un ūdeņu piesārņošanu,  par videi kaitīgām precēm, par  </w:t>
      </w:r>
      <w:r>
        <w:t>nolietotiem</w:t>
      </w:r>
      <w:r w:rsidRPr="003C7AC6">
        <w:t xml:space="preserve"> transportlīdzekļiem,</w:t>
      </w:r>
      <w:r w:rsidRPr="003C7AC6">
        <w:tab/>
      </w:r>
      <w:r>
        <w:t xml:space="preserve"> </w:t>
      </w:r>
      <w:r w:rsidRPr="003C7AC6">
        <w:t>par preču un izstrādājumu iepakojumu un vienreiz lietojamiem</w:t>
      </w:r>
      <w:r w:rsidRPr="00C834E2">
        <w:t xml:space="preserve"> galda traukiem un piederumiem</w:t>
      </w:r>
      <w:r>
        <w:t>, kā arī divu jaunu nodokļa objektu ieviešana: uguņošanas ierīces un  ūdens resursu lietošana</w:t>
      </w:r>
      <w:r w:rsidRPr="00EF4DD4">
        <w:t xml:space="preserve"> elektroenerģijas ražošanai hidroelektrostacijā, kuras hidromezgla kopējā uzstādītā jauda ir mazāka par diviem megavatiem</w:t>
      </w:r>
      <w:r>
        <w:t>.</w:t>
      </w:r>
    </w:p>
    <w:p w:rsidR="00BB74DA" w:rsidRDefault="00BB74DA" w:rsidP="00BB74DA">
      <w:pPr>
        <w:ind w:firstLine="0"/>
        <w:jc w:val="center"/>
      </w:pPr>
      <w:r>
        <w:rPr>
          <w:noProof/>
          <w:lang w:eastAsia="lv-LV"/>
        </w:rPr>
        <w:drawing>
          <wp:inline distT="0" distB="0" distL="0" distR="0" wp14:anchorId="3506D541" wp14:editId="622FF065">
            <wp:extent cx="6052913" cy="334327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6446" t="19934" r="1784" b="2454"/>
                    <a:stretch/>
                  </pic:blipFill>
                  <pic:spPr bwMode="auto">
                    <a:xfrm>
                      <a:off x="0" y="0"/>
                      <a:ext cx="6060600" cy="3347521"/>
                    </a:xfrm>
                    <a:prstGeom prst="rect">
                      <a:avLst/>
                    </a:prstGeom>
                    <a:noFill/>
                    <a:ln>
                      <a:noFill/>
                    </a:ln>
                    <a:extLst>
                      <a:ext uri="{53640926-AAD7-44D8-BBD7-CCE9431645EC}">
                        <a14:shadowObscured xmlns:a14="http://schemas.microsoft.com/office/drawing/2010/main"/>
                      </a:ext>
                    </a:extLst>
                  </pic:spPr>
                </pic:pic>
              </a:graphicData>
            </a:graphic>
          </wp:inline>
        </w:drawing>
      </w:r>
    </w:p>
    <w:p w:rsidR="00BB74DA" w:rsidRPr="000161A4" w:rsidRDefault="00BB74DA" w:rsidP="00BB74DA">
      <w:pPr>
        <w:ind w:firstLine="0"/>
        <w:jc w:val="center"/>
        <w:rPr>
          <w:rFonts w:cs="Times New Roman"/>
          <w:b/>
          <w:i/>
          <w:sz w:val="24"/>
        </w:rPr>
      </w:pPr>
      <w:r w:rsidRPr="000161A4">
        <w:rPr>
          <w:rFonts w:cs="Times New Roman"/>
          <w:b/>
          <w:i/>
          <w:sz w:val="24"/>
        </w:rPr>
        <w:t>3</w:t>
      </w:r>
      <w:r w:rsidR="000161A4">
        <w:rPr>
          <w:rFonts w:cs="Times New Roman"/>
          <w:b/>
          <w:i/>
          <w:sz w:val="24"/>
        </w:rPr>
        <w:t>2</w:t>
      </w:r>
      <w:r w:rsidRPr="000161A4">
        <w:rPr>
          <w:rFonts w:cs="Times New Roman"/>
          <w:b/>
          <w:i/>
          <w:sz w:val="24"/>
        </w:rPr>
        <w:t xml:space="preserve">. att. Dabas resursu nodokļa ieņēmumi pa ceturkšņiem, milj. </w:t>
      </w:r>
      <w:proofErr w:type="spellStart"/>
      <w:r w:rsidRPr="000161A4">
        <w:rPr>
          <w:rFonts w:cs="Times New Roman"/>
          <w:b/>
          <w:i/>
          <w:sz w:val="24"/>
        </w:rPr>
        <w:t>euro</w:t>
      </w:r>
      <w:proofErr w:type="spellEnd"/>
      <w:r w:rsidRPr="000161A4">
        <w:rPr>
          <w:rFonts w:cs="Times New Roman"/>
          <w:b/>
          <w:i/>
          <w:sz w:val="24"/>
        </w:rPr>
        <w:t>.</w:t>
      </w:r>
    </w:p>
    <w:p w:rsidR="00BB74DA" w:rsidRPr="00695386" w:rsidRDefault="00BB74DA" w:rsidP="00BB74DA">
      <w:pPr>
        <w:ind w:firstLine="0"/>
        <w:jc w:val="center"/>
        <w:rPr>
          <w:b/>
          <w:i/>
          <w:highlight w:val="lightGray"/>
        </w:rPr>
      </w:pPr>
    </w:p>
    <w:p w:rsidR="00BB74DA" w:rsidRPr="00D93C1F" w:rsidRDefault="00BB74DA" w:rsidP="00BB74DA">
      <w:pPr>
        <w:spacing w:after="0"/>
      </w:pPr>
      <w:bookmarkStart w:id="65" w:name="_Toc167254150"/>
      <w:bookmarkStart w:id="66" w:name="_Toc162076874"/>
      <w:bookmarkStart w:id="67" w:name="_Toc176077653"/>
      <w:bookmarkStart w:id="68" w:name="_Toc208039553"/>
      <w:r w:rsidRPr="007E2676">
        <w:t xml:space="preserve">Kopējie </w:t>
      </w:r>
      <w:r w:rsidRPr="007E2676">
        <w:rPr>
          <w:b/>
        </w:rPr>
        <w:t>izložu un azartspēļu nodokļu</w:t>
      </w:r>
      <w:r w:rsidRPr="007E2676">
        <w:t xml:space="preserve"> ieņēmumi valsts pamatbudžetā un pašvaldību pamatbudžetā 201</w:t>
      </w:r>
      <w:r>
        <w:t>4</w:t>
      </w:r>
      <w:r w:rsidRPr="007E2676">
        <w:t xml:space="preserve">. gada pirmajā ceturksnī bija </w:t>
      </w:r>
      <w:r>
        <w:t>7,4</w:t>
      </w:r>
      <w:r w:rsidRPr="007E2676">
        <w:t xml:space="preserve"> milj. </w:t>
      </w:r>
      <w:proofErr w:type="spellStart"/>
      <w:r w:rsidRPr="007B07E5">
        <w:rPr>
          <w:i/>
        </w:rPr>
        <w:t>euro</w:t>
      </w:r>
      <w:proofErr w:type="spellEnd"/>
      <w:r w:rsidRPr="007E2676">
        <w:t>, kas salīdzinājumā ar 201</w:t>
      </w:r>
      <w:r>
        <w:t>3</w:t>
      </w:r>
      <w:r w:rsidRPr="007E2676">
        <w:t>. gada pirmo ceturksni ir par 0,</w:t>
      </w:r>
      <w:r>
        <w:t>2</w:t>
      </w:r>
      <w:r w:rsidRPr="007E2676">
        <w:t xml:space="preserve"> milj. </w:t>
      </w:r>
      <w:proofErr w:type="spellStart"/>
      <w:r w:rsidRPr="007B07E5">
        <w:rPr>
          <w:i/>
        </w:rPr>
        <w:t>euro</w:t>
      </w:r>
      <w:proofErr w:type="spellEnd"/>
      <w:r w:rsidRPr="007E2676">
        <w:t xml:space="preserve"> jeb </w:t>
      </w:r>
      <w:r>
        <w:t>2,1</w:t>
      </w:r>
      <w:r w:rsidRPr="007E2676">
        <w:t xml:space="preserve">% vairāk. Izložu un azartspēļu nodokļu ieņēmumu pieaugumu </w:t>
      </w:r>
      <w:r w:rsidRPr="00D93C1F">
        <w:t xml:space="preserve">galvenokārt ietekmēja nozares saimnieciskās darbības rādītāju uzlabošanās. Saskaņā ar Izložu un azartspēļu uzraudzības inspekcijas sniegto informāciju 2014.gada martā, salīdzinot ar 2013.gada martu, azartspēļu automātu skaits ir pieaudzis par 100, spēļu galdu skaits samazinājies par 3, spēļu zāļu skaits par 5, </w:t>
      </w:r>
      <w:proofErr w:type="spellStart"/>
      <w:r w:rsidRPr="00D93C1F">
        <w:t>bingo</w:t>
      </w:r>
      <w:proofErr w:type="spellEnd"/>
      <w:r w:rsidRPr="00D93C1F">
        <w:t xml:space="preserve"> zāļu skaits pa</w:t>
      </w:r>
      <w:r>
        <w:t>r </w:t>
      </w:r>
      <w:r w:rsidRPr="00D93C1F">
        <w:t xml:space="preserve">1, savukārt kazino skaits palicis nemainīgs.   </w:t>
      </w:r>
    </w:p>
    <w:bookmarkEnd w:id="65"/>
    <w:bookmarkEnd w:id="66"/>
    <w:bookmarkEnd w:id="67"/>
    <w:bookmarkEnd w:id="68"/>
    <w:p w:rsidR="00BB74DA" w:rsidRPr="009C1A5D" w:rsidRDefault="00BB74DA" w:rsidP="00BB74DA">
      <w:pPr>
        <w:spacing w:after="0"/>
      </w:pPr>
      <w:r w:rsidRPr="00D93C1F">
        <w:t xml:space="preserve">Izložu un azartspēļu nodokļa pirmā ceturkšņa plāna izpilde bija </w:t>
      </w:r>
      <w:r>
        <w:rPr>
          <w:bCs/>
          <w:lang w:eastAsia="lv-LV"/>
        </w:rPr>
        <w:t xml:space="preserve">95,3 %, tajā skaitā valsts </w:t>
      </w:r>
      <w:r w:rsidRPr="009C1A5D">
        <w:rPr>
          <w:bCs/>
          <w:lang w:eastAsia="lv-LV"/>
        </w:rPr>
        <w:t xml:space="preserve">pamatbudžetā 95,0% un pašvaldību pamatbudžetā 96,2 procenti, kas saistīta ar zemāku aktivitāti izložu un azartspēļu nozarē kā </w:t>
      </w:r>
      <w:r>
        <w:rPr>
          <w:bCs/>
          <w:lang w:eastAsia="lv-LV"/>
        </w:rPr>
        <w:t>iepriekš prognozēts</w:t>
      </w:r>
      <w:r w:rsidRPr="009C1A5D">
        <w:rPr>
          <w:bCs/>
          <w:lang w:eastAsia="lv-LV"/>
        </w:rPr>
        <w:t xml:space="preserve">. </w:t>
      </w:r>
    </w:p>
    <w:p w:rsidR="00BB74DA" w:rsidRDefault="00BB74DA" w:rsidP="00BB74DA">
      <w:pPr>
        <w:rPr>
          <w:color w:val="000000" w:themeColor="text1"/>
        </w:rPr>
      </w:pPr>
      <w:r w:rsidRPr="009C1A5D">
        <w:rPr>
          <w:rFonts w:cs="Times New Roman"/>
        </w:rPr>
        <w:t>Saskaņā ar likumu</w:t>
      </w:r>
      <w:r w:rsidRPr="00683004">
        <w:rPr>
          <w:rFonts w:cs="Times New Roman"/>
        </w:rPr>
        <w:t xml:space="preserve"> „Subsidētās elektroenerģijas nodokļa lik</w:t>
      </w:r>
      <w:r>
        <w:rPr>
          <w:rFonts w:cs="Times New Roman"/>
        </w:rPr>
        <w:t>ums” ar 2014.gada 1.janvāri tika</w:t>
      </w:r>
      <w:r w:rsidRPr="00683004">
        <w:rPr>
          <w:rFonts w:cs="Times New Roman"/>
        </w:rPr>
        <w:t xml:space="preserve"> ieviests </w:t>
      </w:r>
      <w:r w:rsidRPr="00683004">
        <w:rPr>
          <w:rFonts w:cs="Times New Roman"/>
          <w:b/>
        </w:rPr>
        <w:t xml:space="preserve">subsidētās </w:t>
      </w:r>
      <w:r>
        <w:rPr>
          <w:rFonts w:cs="Times New Roman"/>
          <w:b/>
        </w:rPr>
        <w:t>elektro</w:t>
      </w:r>
      <w:r w:rsidRPr="00683004">
        <w:rPr>
          <w:rFonts w:cs="Times New Roman"/>
          <w:b/>
        </w:rPr>
        <w:t>enerģijas nodoklis</w:t>
      </w:r>
      <w:r w:rsidRPr="00683004">
        <w:rPr>
          <w:rFonts w:cs="Times New Roman"/>
        </w:rPr>
        <w:t>.</w:t>
      </w:r>
      <w:r>
        <w:rPr>
          <w:rFonts w:cs="Times New Roman"/>
        </w:rPr>
        <w:t xml:space="preserve"> </w:t>
      </w:r>
      <w:r w:rsidRPr="009F6719">
        <w:rPr>
          <w:szCs w:val="24"/>
        </w:rPr>
        <w:t>Subsidētās enerģijas nodokļa</w:t>
      </w:r>
      <w:r w:rsidRPr="009F6719">
        <w:rPr>
          <w:color w:val="000000" w:themeColor="text1"/>
        </w:rPr>
        <w:t xml:space="preserve"> mērķis ir ierobežot elektroenerģijas kopējās cenas pieaugumu, lai tādejādi nodrošinātu tautsaimniecības konkurētspēju un nepalielinātu mājsaimniecību enerģētisko nabadzību, kā arī nodrošinātu valsts budžetu ar papildu ieņēmumiem, kas ļautu finansiāli nodrošināt elektroenerģijas lietotāju atbalsta pasākumu īstenošanu. Netieši subsidētās enerģijas nodokļa mērķis ir veicināt konkurētspējīgu elektroenerģijas ražošanu no atjaunojamiem energoresursiem un efektīvā koģenerācijā, motivējot ražot enerģiju visefektīvākajā veidā un nodrošinot, ka turpmāk tirgū ienāk tikai konkurētspējīgas tehnoloģijas.</w:t>
      </w:r>
    </w:p>
    <w:p w:rsidR="00BB74DA" w:rsidRDefault="00BB74DA" w:rsidP="00BB74DA">
      <w:pPr>
        <w:rPr>
          <w:rFonts w:cs="Times New Roman"/>
          <w:i/>
        </w:rPr>
      </w:pPr>
      <w:r>
        <w:rPr>
          <w:rFonts w:cs="Times New Roman"/>
        </w:rPr>
        <w:t xml:space="preserve">Subsidētās elektroenerģijas nodokļa </w:t>
      </w:r>
      <w:r w:rsidRPr="00C30927">
        <w:rPr>
          <w:rFonts w:cs="Times New Roman"/>
        </w:rPr>
        <w:t>ieņēmumi 2014. gada pirmajā cetu</w:t>
      </w:r>
      <w:r>
        <w:rPr>
          <w:rFonts w:cs="Times New Roman"/>
        </w:rPr>
        <w:t>rksnī ir 2,8</w:t>
      </w:r>
      <w:r w:rsidRPr="00C30927">
        <w:rPr>
          <w:rFonts w:cs="Times New Roman"/>
        </w:rPr>
        <w:t xml:space="preserve"> milj. </w:t>
      </w:r>
      <w:proofErr w:type="spellStart"/>
      <w:r w:rsidRPr="00683004">
        <w:rPr>
          <w:rFonts w:cs="Times New Roman"/>
          <w:i/>
          <w:szCs w:val="24"/>
        </w:rPr>
        <w:t>euro</w:t>
      </w:r>
      <w:proofErr w:type="spellEnd"/>
      <w:r>
        <w:rPr>
          <w:rFonts w:cs="Times New Roman"/>
          <w:szCs w:val="24"/>
        </w:rPr>
        <w:t>, bet</w:t>
      </w:r>
      <w:r w:rsidRPr="00D91CC6">
        <w:rPr>
          <w:rFonts w:cs="Times New Roman"/>
          <w:szCs w:val="24"/>
        </w:rPr>
        <w:t xml:space="preserve"> </w:t>
      </w:r>
      <w:r>
        <w:rPr>
          <w:rFonts w:eastAsia="Calibri" w:cs="Times New Roman"/>
          <w:sz w:val="26"/>
          <w:szCs w:val="26"/>
        </w:rPr>
        <w:t>plāns netika izpildīts</w:t>
      </w:r>
      <w:r w:rsidRPr="00683004">
        <w:rPr>
          <w:rFonts w:eastAsia="Calibri" w:cs="Times New Roman"/>
          <w:sz w:val="26"/>
          <w:szCs w:val="26"/>
        </w:rPr>
        <w:t xml:space="preserve"> par 3,2 milj. </w:t>
      </w:r>
      <w:proofErr w:type="spellStart"/>
      <w:r w:rsidRPr="00D91CC6">
        <w:rPr>
          <w:rFonts w:eastAsia="Calibri" w:cs="Times New Roman"/>
          <w:i/>
          <w:sz w:val="26"/>
          <w:szCs w:val="24"/>
        </w:rPr>
        <w:t>euro</w:t>
      </w:r>
      <w:proofErr w:type="spellEnd"/>
      <w:r w:rsidRPr="00D91CC6">
        <w:rPr>
          <w:rFonts w:eastAsia="Calibri" w:cs="Times New Roman"/>
          <w:sz w:val="26"/>
          <w:szCs w:val="26"/>
        </w:rPr>
        <w:t>,</w:t>
      </w:r>
      <w:r>
        <w:rPr>
          <w:rFonts w:eastAsia="Calibri" w:cs="Times New Roman"/>
          <w:sz w:val="26"/>
          <w:szCs w:val="26"/>
        </w:rPr>
        <w:t xml:space="preserve"> jo</w:t>
      </w:r>
      <w:r w:rsidRPr="00683004">
        <w:rPr>
          <w:rFonts w:eastAsia="Times New Roman" w:cs="Times New Roman"/>
          <w:sz w:val="26"/>
          <w:szCs w:val="26"/>
          <w:lang w:eastAsia="lv-LV"/>
        </w:rPr>
        <w:t xml:space="preserve"> februārī nodoklis netika iekasēts (plāns 2,98 milj. </w:t>
      </w:r>
      <w:proofErr w:type="spellStart"/>
      <w:r w:rsidRPr="00683004">
        <w:rPr>
          <w:rFonts w:eastAsia="Times New Roman" w:cs="Times New Roman"/>
          <w:i/>
          <w:sz w:val="26"/>
          <w:szCs w:val="26"/>
          <w:lang w:eastAsia="lv-LV"/>
        </w:rPr>
        <w:t>euro</w:t>
      </w:r>
      <w:proofErr w:type="spellEnd"/>
      <w:r w:rsidRPr="00683004">
        <w:rPr>
          <w:rFonts w:eastAsia="Times New Roman" w:cs="Times New Roman"/>
          <w:i/>
          <w:sz w:val="26"/>
          <w:szCs w:val="26"/>
          <w:lang w:eastAsia="lv-LV"/>
        </w:rPr>
        <w:t>)</w:t>
      </w:r>
      <w:r>
        <w:rPr>
          <w:rFonts w:eastAsia="Times New Roman" w:cs="Times New Roman"/>
          <w:i/>
          <w:sz w:val="26"/>
          <w:szCs w:val="26"/>
          <w:lang w:eastAsia="lv-LV"/>
        </w:rPr>
        <w:t xml:space="preserve"> </w:t>
      </w:r>
      <w:r w:rsidRPr="00683004">
        <w:rPr>
          <w:rFonts w:eastAsia="Calibri" w:cs="Times New Roman"/>
          <w:sz w:val="26"/>
          <w:szCs w:val="26"/>
        </w:rPr>
        <w:t>administrēšanas procesa rezultātā</w:t>
      </w:r>
      <w:r>
        <w:rPr>
          <w:rFonts w:eastAsia="Calibri" w:cs="Times New Roman"/>
          <w:sz w:val="26"/>
          <w:szCs w:val="26"/>
        </w:rPr>
        <w:t>.</w:t>
      </w:r>
    </w:p>
    <w:p w:rsidR="00BB74DA" w:rsidRPr="00683004" w:rsidRDefault="00BB74DA" w:rsidP="00BB74DA">
      <w:pPr>
        <w:rPr>
          <w:rFonts w:cs="Times New Roman"/>
        </w:rPr>
      </w:pPr>
    </w:p>
    <w:p w:rsidR="00BB74DA" w:rsidRPr="00C91A4A" w:rsidRDefault="00BB74DA" w:rsidP="00BB74DA">
      <w:pPr>
        <w:pStyle w:val="Heading3"/>
        <w:numPr>
          <w:ilvl w:val="2"/>
          <w:numId w:val="26"/>
        </w:numPr>
        <w:jc w:val="center"/>
        <w:rPr>
          <w:rFonts w:ascii="Times New Roman" w:hAnsi="Times New Roman"/>
          <w:b/>
          <w:sz w:val="32"/>
        </w:rPr>
      </w:pPr>
      <w:bookmarkStart w:id="69" w:name="_Toc356399260"/>
      <w:bookmarkStart w:id="70" w:name="_Toc387845627"/>
      <w:bookmarkStart w:id="71" w:name="_Toc387911151"/>
      <w:bookmarkEnd w:id="63"/>
      <w:bookmarkEnd w:id="64"/>
      <w:r w:rsidRPr="00C91A4A">
        <w:rPr>
          <w:rFonts w:ascii="Times New Roman" w:hAnsi="Times New Roman"/>
          <w:b/>
          <w:sz w:val="32"/>
        </w:rPr>
        <w:t xml:space="preserve">Valsts pamatbudžeta </w:t>
      </w:r>
      <w:proofErr w:type="spellStart"/>
      <w:r w:rsidRPr="00C91A4A">
        <w:rPr>
          <w:rFonts w:ascii="Times New Roman" w:hAnsi="Times New Roman"/>
          <w:b/>
          <w:sz w:val="32"/>
        </w:rPr>
        <w:t>nenodokļu</w:t>
      </w:r>
      <w:proofErr w:type="spellEnd"/>
      <w:r w:rsidRPr="00C91A4A">
        <w:rPr>
          <w:rFonts w:ascii="Times New Roman" w:hAnsi="Times New Roman"/>
          <w:b/>
          <w:sz w:val="32"/>
        </w:rPr>
        <w:t xml:space="preserve"> ieņēmumu izpilde</w:t>
      </w:r>
      <w:bookmarkEnd w:id="69"/>
      <w:bookmarkEnd w:id="70"/>
      <w:bookmarkEnd w:id="71"/>
    </w:p>
    <w:p w:rsidR="00BB74DA" w:rsidRPr="00D24FBD" w:rsidRDefault="00BB74DA" w:rsidP="00BB74DA">
      <w:pPr>
        <w:rPr>
          <w:b/>
          <w:sz w:val="2"/>
        </w:rPr>
      </w:pPr>
    </w:p>
    <w:p w:rsidR="00BB74DA" w:rsidRDefault="00BB74DA" w:rsidP="00BB74DA">
      <w:proofErr w:type="spellStart"/>
      <w:r w:rsidRPr="00B42219">
        <w:rPr>
          <w:b/>
        </w:rPr>
        <w:t>Nenodokļu</w:t>
      </w:r>
      <w:proofErr w:type="spellEnd"/>
      <w:r w:rsidRPr="00B42219">
        <w:rPr>
          <w:b/>
        </w:rPr>
        <w:t xml:space="preserve"> ieņēmumi</w:t>
      </w:r>
      <w:r w:rsidRPr="00B42219">
        <w:rPr>
          <w:rFonts w:ascii="Garamond" w:hAnsi="Garamond"/>
          <w:b/>
          <w:vertAlign w:val="superscript"/>
        </w:rPr>
        <w:footnoteReference w:id="9"/>
      </w:r>
      <w:r w:rsidRPr="00B42219">
        <w:t xml:space="preserve"> 201</w:t>
      </w:r>
      <w:r>
        <w:t>4</w:t>
      </w:r>
      <w:r w:rsidRPr="00B42219">
        <w:t>. gada pirmajā ceturksnī bija 63,</w:t>
      </w:r>
      <w:r>
        <w:t>5</w:t>
      </w:r>
      <w:r w:rsidRPr="00B42219">
        <w:t> milj. </w:t>
      </w:r>
      <w:proofErr w:type="spellStart"/>
      <w:r w:rsidRPr="000A31A3">
        <w:rPr>
          <w:i/>
        </w:rPr>
        <w:t>euro</w:t>
      </w:r>
      <w:proofErr w:type="spellEnd"/>
      <w:r w:rsidRPr="00B42219">
        <w:t xml:space="preserve">, kas ir par </w:t>
      </w:r>
      <w:r>
        <w:t>26</w:t>
      </w:r>
      <w:r w:rsidRPr="00B42219">
        <w:t>,3 milj. </w:t>
      </w:r>
      <w:proofErr w:type="spellStart"/>
      <w:r w:rsidRPr="000A31A3">
        <w:rPr>
          <w:i/>
        </w:rPr>
        <w:t>euro</w:t>
      </w:r>
      <w:proofErr w:type="spellEnd"/>
      <w:r>
        <w:t xml:space="preserve"> </w:t>
      </w:r>
      <w:r w:rsidRPr="00B42219">
        <w:t>mazāk nekā 201</w:t>
      </w:r>
      <w:r>
        <w:t>3</w:t>
      </w:r>
      <w:r w:rsidRPr="00B42219">
        <w:t xml:space="preserve">. gada pirmajā ceturksnī, ko galvenokārt ietekmēja </w:t>
      </w:r>
      <w:r>
        <w:t xml:space="preserve">zemāki </w:t>
      </w:r>
      <w:r w:rsidRPr="00B42219">
        <w:t>maksājumi no budžeta iestāžu saņemto un iepriekšējos gados neizlietoto budžeta līdzekļu atmaksāšanas</w:t>
      </w:r>
      <w:r>
        <w:t>, kā arī i</w:t>
      </w:r>
      <w:r w:rsidRPr="0053688A">
        <w:t>eņēmumi no valstij piederošo siltumnīcefekta gāzu emisijas vienību tirdzniecību</w:t>
      </w:r>
      <w:r>
        <w:t>, kas 2013. gada pirmajā ceturksnī bija 13,8 milj. </w:t>
      </w:r>
      <w:proofErr w:type="spellStart"/>
      <w:r w:rsidRPr="000A31A3">
        <w:rPr>
          <w:i/>
        </w:rPr>
        <w:t>euro</w:t>
      </w:r>
      <w:proofErr w:type="spellEnd"/>
      <w:r>
        <w:t>, bet 2014. gadā netiek plānoti</w:t>
      </w:r>
      <w:r w:rsidRPr="00B42219">
        <w:t>.</w:t>
      </w:r>
    </w:p>
    <w:p w:rsidR="00BB74DA" w:rsidRPr="00B42219" w:rsidRDefault="00BB74DA" w:rsidP="00BB74DA">
      <w:proofErr w:type="spellStart"/>
      <w:r w:rsidRPr="00B42219">
        <w:t>Nenodokļu</w:t>
      </w:r>
      <w:proofErr w:type="spellEnd"/>
      <w:r w:rsidRPr="00B42219">
        <w:t xml:space="preserve"> ieņēmumu pirmā ceturkšņa plāna izpilde bija </w:t>
      </w:r>
      <w:r>
        <w:t>99</w:t>
      </w:r>
      <w:r w:rsidRPr="00B42219">
        <w:t>,</w:t>
      </w:r>
      <w:r>
        <w:t>3</w:t>
      </w:r>
      <w:r w:rsidRPr="00B42219">
        <w:t> procenti.</w:t>
      </w:r>
      <w:r w:rsidR="00D24FBD">
        <w:t xml:space="preserve"> </w:t>
      </w:r>
      <w:r w:rsidRPr="00B42219">
        <w:t>201</w:t>
      </w:r>
      <w:r>
        <w:t>4</w:t>
      </w:r>
      <w:r w:rsidRPr="00B42219">
        <w:t xml:space="preserve">. gada pirmajā ceturksnī lielākais īpatsvars valsts pamatbudžeta </w:t>
      </w:r>
      <w:proofErr w:type="spellStart"/>
      <w:r w:rsidRPr="00B42219">
        <w:t>nenodokļu</w:t>
      </w:r>
      <w:proofErr w:type="spellEnd"/>
      <w:r w:rsidRPr="00B42219">
        <w:t xml:space="preserve"> ieņēmumos bija:</w:t>
      </w:r>
    </w:p>
    <w:p w:rsidR="00BB74DA" w:rsidRPr="00CB0F58" w:rsidRDefault="00BB74DA" w:rsidP="00BB74DA">
      <w:pPr>
        <w:numPr>
          <w:ilvl w:val="0"/>
          <w:numId w:val="1"/>
        </w:numPr>
        <w:ind w:left="1080"/>
      </w:pPr>
      <w:r w:rsidRPr="00CB0F58">
        <w:lastRenderedPageBreak/>
        <w:t xml:space="preserve">ieņēmumi no valsts nodevām par valsts sniegto nodrošinājumu un juridiskajiem un citiem pakalpojumiem sasniedza 23,2 milj. </w:t>
      </w:r>
      <w:proofErr w:type="spellStart"/>
      <w:r w:rsidRPr="00CB0F58">
        <w:rPr>
          <w:i/>
        </w:rPr>
        <w:t>euro</w:t>
      </w:r>
      <w:proofErr w:type="spellEnd"/>
      <w:r w:rsidRPr="00CB0F58">
        <w:t>, kas ir par 0,9 milj. </w:t>
      </w:r>
      <w:proofErr w:type="spellStart"/>
      <w:r w:rsidRPr="00CB0F58">
        <w:rPr>
          <w:i/>
        </w:rPr>
        <w:t>euro</w:t>
      </w:r>
      <w:proofErr w:type="spellEnd"/>
      <w:r w:rsidRPr="00CB0F58">
        <w:t xml:space="preserve"> vairāk nekā 2013. gada pirmajā ceturksnī, un lielākos ieņēmumus veidoja ieņēmumi no nodevas par īpašuma tiesību un ķīlas tiesību nostiprināšanu zemesgrāmatā 11,2 milj. </w:t>
      </w:r>
      <w:proofErr w:type="spellStart"/>
      <w:r w:rsidRPr="00CB0F58">
        <w:rPr>
          <w:i/>
        </w:rPr>
        <w:t>euro</w:t>
      </w:r>
      <w:proofErr w:type="spellEnd"/>
      <w:r w:rsidRPr="00CB0F58">
        <w:t xml:space="preserve">, nodevas par juridiskiem pakalpojumiem tiesu iestādēs 3,6 milj. </w:t>
      </w:r>
      <w:proofErr w:type="spellStart"/>
      <w:r w:rsidRPr="00CB0F58">
        <w:rPr>
          <w:i/>
        </w:rPr>
        <w:t>euro</w:t>
      </w:r>
      <w:proofErr w:type="spellEnd"/>
      <w:r w:rsidRPr="00CB0F58">
        <w:t xml:space="preserve"> un nodeva par pasu izsniegšanu 2,2 milj. </w:t>
      </w:r>
      <w:proofErr w:type="spellStart"/>
      <w:r w:rsidRPr="00CB0F58">
        <w:rPr>
          <w:i/>
        </w:rPr>
        <w:t>euro</w:t>
      </w:r>
      <w:proofErr w:type="spellEnd"/>
      <w:r w:rsidRPr="00CB0F58">
        <w:t>. Ieņēmumu no valsts nodevām par valsts sniegto nodrošinājumu un juridiskajiem un citiem pakalpojumiem pirmā ceturkšņa plāns sasniedz 94,8%;</w:t>
      </w:r>
    </w:p>
    <w:p w:rsidR="00BB74DA" w:rsidRPr="005A0C9A" w:rsidRDefault="00BB74DA" w:rsidP="00BB74DA">
      <w:pPr>
        <w:numPr>
          <w:ilvl w:val="0"/>
          <w:numId w:val="1"/>
        </w:numPr>
        <w:ind w:left="1080"/>
      </w:pPr>
      <w:r w:rsidRPr="00CB0F58">
        <w:t>procentu ieņēmumi no depozītiem un kontu atlikumiem bija 9,4 milj. </w:t>
      </w:r>
      <w:proofErr w:type="spellStart"/>
      <w:r w:rsidRPr="00CB0F58">
        <w:rPr>
          <w:i/>
        </w:rPr>
        <w:t>euro</w:t>
      </w:r>
      <w:proofErr w:type="spellEnd"/>
      <w:r w:rsidRPr="00CB0F58">
        <w:t>, kas ir par 1,1 milj. </w:t>
      </w:r>
      <w:proofErr w:type="spellStart"/>
      <w:r w:rsidRPr="00CB0F58">
        <w:rPr>
          <w:i/>
        </w:rPr>
        <w:t>euro</w:t>
      </w:r>
      <w:proofErr w:type="spellEnd"/>
      <w:r w:rsidRPr="00CB0F58">
        <w:t xml:space="preserve"> vairāk kā 2013. gada pirmajā </w:t>
      </w:r>
      <w:r w:rsidRPr="005A0C9A">
        <w:t>ceturksnī;</w:t>
      </w:r>
    </w:p>
    <w:p w:rsidR="00BB74DA" w:rsidRPr="005A0C9A" w:rsidRDefault="00BB74DA" w:rsidP="00BB74DA">
      <w:pPr>
        <w:numPr>
          <w:ilvl w:val="0"/>
          <w:numId w:val="1"/>
        </w:numPr>
        <w:ind w:left="1134" w:hanging="425"/>
      </w:pPr>
      <w:r w:rsidRPr="005A0C9A">
        <w:t>ieņēmumi no speciāliem mērķiem paredzētajām valsts nodevām sasniedza 8,4 milj. </w:t>
      </w:r>
      <w:proofErr w:type="spellStart"/>
      <w:r w:rsidRPr="005A0C9A">
        <w:rPr>
          <w:i/>
        </w:rPr>
        <w:t>euro</w:t>
      </w:r>
      <w:proofErr w:type="spellEnd"/>
      <w:r w:rsidRPr="005A0C9A">
        <w:t>, no kuriem lielākos ieņēmumus veidoja nodeva par naftas produktu drošības rezervju uzturēšanu 5,7 milj. </w:t>
      </w:r>
      <w:proofErr w:type="spellStart"/>
      <w:r w:rsidRPr="005A0C9A">
        <w:rPr>
          <w:i/>
        </w:rPr>
        <w:t>euro</w:t>
      </w:r>
      <w:proofErr w:type="spellEnd"/>
      <w:r w:rsidRPr="005A0C9A">
        <w:t>.</w:t>
      </w:r>
    </w:p>
    <w:p w:rsidR="00062774" w:rsidRPr="00062774" w:rsidRDefault="004648EC" w:rsidP="00494C2B">
      <w:pPr>
        <w:keepNext/>
        <w:spacing w:before="240" w:after="60"/>
        <w:ind w:left="851" w:hanging="851"/>
        <w:jc w:val="center"/>
        <w:outlineLvl w:val="1"/>
        <w:rPr>
          <w:rFonts w:eastAsiaTheme="minorEastAsia" w:cs="Times New Roman"/>
          <w:b/>
          <w:color w:val="000000" w:themeColor="text1"/>
          <w:sz w:val="36"/>
          <w:lang w:eastAsia="lv-LV"/>
        </w:rPr>
      </w:pPr>
      <w:hyperlink w:anchor="_Toc325101926" w:history="1">
        <w:bookmarkStart w:id="72" w:name="_Toc356399261"/>
        <w:bookmarkStart w:id="73" w:name="_Toc387845628"/>
        <w:bookmarkStart w:id="74" w:name="_Toc387911152"/>
        <w:r w:rsidR="00A23274">
          <w:rPr>
            <w:rFonts w:cs="Times New Roman"/>
            <w:b/>
            <w:color w:val="000000" w:themeColor="text1"/>
            <w:sz w:val="36"/>
          </w:rPr>
          <w:t>2.3</w:t>
        </w:r>
        <w:r w:rsidR="00062774" w:rsidRPr="00062774">
          <w:rPr>
            <w:rFonts w:cs="Times New Roman"/>
            <w:b/>
            <w:color w:val="000000" w:themeColor="text1"/>
            <w:sz w:val="36"/>
          </w:rPr>
          <w:t>. Valsts konsolidētā budžeta izpilde</w:t>
        </w:r>
        <w:bookmarkEnd w:id="72"/>
        <w:bookmarkEnd w:id="73"/>
        <w:bookmarkEnd w:id="74"/>
      </w:hyperlink>
    </w:p>
    <w:p w:rsidR="00062774" w:rsidRPr="00062774" w:rsidRDefault="00062774" w:rsidP="00062774">
      <w:pPr>
        <w:spacing w:before="240" w:afterLines="60" w:after="144"/>
        <w:rPr>
          <w:rFonts w:cs="Times New Roman"/>
        </w:rPr>
      </w:pPr>
      <w:r w:rsidRPr="00062774">
        <w:rPr>
          <w:rFonts w:cs="Times New Roman"/>
        </w:rPr>
        <w:t xml:space="preserve">2014.gada pirmajā ceturksnī valsts konsolidētā budžeta izdevumi pieauga straujāk (+2,4%) nekā ieņēmumi (+0,3%), salīdzinot ar pagājušā gada attiecīgo periodu, ko pamatā noteica izdevumu pieaugums atlīdzībai, kā arī maksājumiem ES budžetā. Valsts kases oficiālā mēneša pārskata dati par 2014. gada pirmo ceturksni liecina, ka valsts konsolidētā budžeta deficīts bija 51,3 milj. </w:t>
      </w:r>
      <w:proofErr w:type="spellStart"/>
      <w:r w:rsidR="00404D8F" w:rsidRPr="00B87469">
        <w:rPr>
          <w:rFonts w:cs="Times New Roman"/>
          <w:i/>
        </w:rPr>
        <w:t>euro</w:t>
      </w:r>
      <w:proofErr w:type="spellEnd"/>
      <w:r w:rsidRPr="00062774">
        <w:rPr>
          <w:rFonts w:cs="Times New Roman"/>
        </w:rPr>
        <w:t>, kas salīdzinājumā ar iepriekšējā gada pirmo ceturksni bija par 34,6 milj. </w:t>
      </w:r>
      <w:proofErr w:type="spellStart"/>
      <w:r w:rsidR="00404D8F" w:rsidRPr="00B87469">
        <w:rPr>
          <w:rFonts w:cs="Times New Roman"/>
          <w:i/>
        </w:rPr>
        <w:t>euro</w:t>
      </w:r>
      <w:proofErr w:type="spellEnd"/>
      <w:r w:rsidRPr="00062774">
        <w:rPr>
          <w:rFonts w:cs="Times New Roman"/>
        </w:rPr>
        <w:t xml:space="preserve"> lielāks. </w:t>
      </w:r>
    </w:p>
    <w:p w:rsidR="00062774" w:rsidRPr="00062774" w:rsidRDefault="00062774" w:rsidP="00062774">
      <w:pPr>
        <w:ind w:firstLine="0"/>
        <w:jc w:val="center"/>
        <w:rPr>
          <w:b/>
          <w:i/>
        </w:rPr>
      </w:pPr>
      <w:r w:rsidRPr="00062774">
        <w:rPr>
          <w:noProof/>
          <w:lang w:eastAsia="lv-LV"/>
        </w:rPr>
        <w:drawing>
          <wp:inline distT="0" distB="0" distL="0" distR="0" wp14:anchorId="10859F9E" wp14:editId="7149290B">
            <wp:extent cx="6067425" cy="3133725"/>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62774" w:rsidRPr="000161A4" w:rsidRDefault="000161A4" w:rsidP="00062774">
      <w:pPr>
        <w:ind w:firstLine="0"/>
        <w:jc w:val="center"/>
        <w:rPr>
          <w:rFonts w:cs="Times New Roman"/>
          <w:b/>
          <w:i/>
          <w:sz w:val="24"/>
        </w:rPr>
      </w:pPr>
      <w:r>
        <w:rPr>
          <w:rFonts w:cs="Times New Roman"/>
          <w:b/>
          <w:i/>
          <w:sz w:val="24"/>
        </w:rPr>
        <w:t>33</w:t>
      </w:r>
      <w:r w:rsidR="00062774" w:rsidRPr="000161A4">
        <w:rPr>
          <w:rFonts w:cs="Times New Roman"/>
          <w:b/>
          <w:i/>
          <w:sz w:val="24"/>
        </w:rPr>
        <w:t xml:space="preserve">. att. Valsts konsolidētā budžeta finansiālā bilance, milj. </w:t>
      </w:r>
      <w:proofErr w:type="spellStart"/>
      <w:r w:rsidR="00404D8F">
        <w:rPr>
          <w:rFonts w:cs="Times New Roman"/>
          <w:b/>
          <w:i/>
          <w:sz w:val="24"/>
        </w:rPr>
        <w:t>euro</w:t>
      </w:r>
      <w:proofErr w:type="spellEnd"/>
      <w:r w:rsidR="00062774" w:rsidRPr="004C654B">
        <w:rPr>
          <w:rFonts w:cs="Times New Roman"/>
          <w:b/>
          <w:i/>
          <w:sz w:val="24"/>
          <w:vertAlign w:val="superscript"/>
        </w:rPr>
        <w:footnoteReference w:id="10"/>
      </w:r>
    </w:p>
    <w:p w:rsidR="00062774" w:rsidRPr="00062774" w:rsidRDefault="00062774" w:rsidP="00062774">
      <w:pPr>
        <w:spacing w:before="240"/>
        <w:ind w:firstLine="720"/>
      </w:pPr>
      <w:r w:rsidRPr="00062774">
        <w:lastRenderedPageBreak/>
        <w:t>2014.gada pirmajā ceturksnī valsts konsolidētā budžeta ieņēmumi</w:t>
      </w:r>
      <w:r w:rsidRPr="00062774">
        <w:rPr>
          <w:b/>
        </w:rPr>
        <w:t xml:space="preserve"> </w:t>
      </w:r>
      <w:r w:rsidRPr="00062774">
        <w:t>bija</w:t>
      </w:r>
      <w:r w:rsidRPr="00062774">
        <w:rPr>
          <w:b/>
        </w:rPr>
        <w:t xml:space="preserve"> </w:t>
      </w:r>
      <w:r w:rsidRPr="00062774">
        <w:br/>
        <w:t xml:space="preserve">1 614,3 milj. </w:t>
      </w:r>
      <w:proofErr w:type="spellStart"/>
      <w:r w:rsidR="00404D8F" w:rsidRPr="00B87469">
        <w:rPr>
          <w:i/>
        </w:rPr>
        <w:t>euro</w:t>
      </w:r>
      <w:proofErr w:type="spellEnd"/>
      <w:r w:rsidRPr="00062774">
        <w:t xml:space="preserve">, kas ir par 4,6 milj. </w:t>
      </w:r>
      <w:proofErr w:type="spellStart"/>
      <w:r w:rsidR="00404D8F" w:rsidRPr="00B87469">
        <w:rPr>
          <w:i/>
        </w:rPr>
        <w:t>euro</w:t>
      </w:r>
      <w:proofErr w:type="spellEnd"/>
      <w:r w:rsidRPr="00062774">
        <w:t xml:space="preserve"> jeb 0,3% vairāk nekā 2013.gada atbilstošajā periodā. Nodokļu ieņēmumi pieauga par 41,6 milj. </w:t>
      </w:r>
      <w:proofErr w:type="spellStart"/>
      <w:r w:rsidR="00404D8F" w:rsidRPr="00B87469">
        <w:rPr>
          <w:i/>
        </w:rPr>
        <w:t>euro</w:t>
      </w:r>
      <w:proofErr w:type="spellEnd"/>
      <w:r w:rsidRPr="00062774">
        <w:t xml:space="preserve"> jeb 3,3%, salīdzinot ar iepriekšējā gada atbilstošo periodu. Valsts konsolidētā b</w:t>
      </w:r>
      <w:r w:rsidRPr="00062774">
        <w:rPr>
          <w:rFonts w:cs="Times New Roman"/>
        </w:rPr>
        <w:t>udžeta ieņēmumu pieaugumu galvenokārt veidoja pievienotās vērtības nodokļu ieņēmumu kāpums. Salīdzinājumā ar pagājušā gada atbilstošo periodu pievienotās vērtības nodokļu ieņēmumi pieauga par 48,1 milj. </w:t>
      </w:r>
      <w:proofErr w:type="spellStart"/>
      <w:r w:rsidR="00404D8F" w:rsidRPr="00B87469">
        <w:rPr>
          <w:rFonts w:cs="Times New Roman"/>
          <w:i/>
        </w:rPr>
        <w:t>euro</w:t>
      </w:r>
      <w:proofErr w:type="spellEnd"/>
      <w:r w:rsidRPr="00062774">
        <w:rPr>
          <w:rFonts w:cs="Times New Roman"/>
        </w:rPr>
        <w:t xml:space="preserve"> jeb 11,4%, kas skaidrojams ar VID intensīvu PVN atmaksu komersantiem pagājušā gada beigās.</w:t>
      </w:r>
    </w:p>
    <w:p w:rsidR="00062774" w:rsidRDefault="00062774" w:rsidP="00062774">
      <w:pPr>
        <w:rPr>
          <w:rFonts w:cs="Times New Roman"/>
        </w:rPr>
      </w:pPr>
      <w:r w:rsidRPr="00062774">
        <w:rPr>
          <w:rFonts w:cs="Times New Roman"/>
        </w:rPr>
        <w:t>Valsts konsolidētā budžeta izdevumi 2014. gada pirmajā ceturksnī bija 1 670,7 milj. </w:t>
      </w:r>
      <w:proofErr w:type="spellStart"/>
      <w:r w:rsidR="00404D8F" w:rsidRPr="00B87469">
        <w:rPr>
          <w:rFonts w:cs="Times New Roman"/>
          <w:i/>
        </w:rPr>
        <w:t>euro</w:t>
      </w:r>
      <w:proofErr w:type="spellEnd"/>
      <w:r w:rsidRPr="00062774">
        <w:rPr>
          <w:rFonts w:cs="Times New Roman"/>
        </w:rPr>
        <w:t xml:space="preserve"> un, salīdzinot ar pagājušā gada atbilstošo periodu, pieauga par 44,3 milj. </w:t>
      </w:r>
      <w:proofErr w:type="spellStart"/>
      <w:r w:rsidR="00404D8F" w:rsidRPr="00B87469">
        <w:rPr>
          <w:rFonts w:cs="Times New Roman"/>
          <w:i/>
        </w:rPr>
        <w:t>euro</w:t>
      </w:r>
      <w:proofErr w:type="spellEnd"/>
      <w:r w:rsidRPr="00062774">
        <w:rPr>
          <w:rFonts w:cs="Times New Roman"/>
        </w:rPr>
        <w:t xml:space="preserve"> jeb 2,6 procentiem. Valsts konsolidētā budžeta izdevumu pieaugumu galvenokārt veidoja izdevumu kāpums subsīdijām un dotācijām, kā arī ar atlīdzību saistītajiem izdevumiem.</w:t>
      </w:r>
    </w:p>
    <w:p w:rsidR="00D24FBD" w:rsidRDefault="00D24FBD" w:rsidP="00062774">
      <w:pPr>
        <w:rPr>
          <w:rFonts w:cs="Times New Roman"/>
        </w:rPr>
      </w:pPr>
    </w:p>
    <w:p w:rsidR="006247F6" w:rsidRPr="00C91A4A" w:rsidRDefault="004648EC" w:rsidP="005C7D14">
      <w:pPr>
        <w:jc w:val="center"/>
        <w:rPr>
          <w:rStyle w:val="Hyperlink"/>
          <w:b/>
          <w:color w:val="auto"/>
          <w:sz w:val="32"/>
          <w:u w:val="none"/>
        </w:rPr>
      </w:pPr>
      <w:hyperlink w:anchor="_Toc325101927" w:history="1">
        <w:bookmarkStart w:id="75" w:name="_Toc356399262"/>
        <w:r w:rsidR="00A23274">
          <w:rPr>
            <w:rStyle w:val="Hyperlink"/>
            <w:b/>
            <w:color w:val="auto"/>
            <w:sz w:val="32"/>
            <w:u w:val="none"/>
          </w:rPr>
          <w:t>2.3</w:t>
        </w:r>
        <w:r w:rsidR="006247F6" w:rsidRPr="00C91A4A">
          <w:rPr>
            <w:rStyle w:val="Hyperlink"/>
            <w:b/>
            <w:color w:val="auto"/>
            <w:sz w:val="32"/>
            <w:u w:val="none"/>
          </w:rPr>
          <w:t>.1. Valsts pamatbudžeta izpilde</w:t>
        </w:r>
        <w:bookmarkEnd w:id="75"/>
      </w:hyperlink>
    </w:p>
    <w:p w:rsidR="006247F6" w:rsidRPr="005C00B2" w:rsidRDefault="006247F6" w:rsidP="005C00B2">
      <w:pPr>
        <w:rPr>
          <w:rFonts w:cs="Times New Roman"/>
          <w:b/>
          <w:i/>
          <w:sz w:val="24"/>
        </w:rPr>
      </w:pPr>
    </w:p>
    <w:p w:rsidR="006247F6" w:rsidRPr="005C00B2" w:rsidRDefault="005C00B2" w:rsidP="005C00B2">
      <w:pPr>
        <w:ind w:firstLine="0"/>
        <w:rPr>
          <w:rFonts w:cs="Times New Roman"/>
          <w:b/>
          <w:i/>
          <w:sz w:val="24"/>
        </w:rPr>
      </w:pPr>
      <w:r>
        <w:rPr>
          <w:rFonts w:cs="Times New Roman"/>
          <w:b/>
          <w:i/>
          <w:sz w:val="24"/>
        </w:rPr>
        <w:t xml:space="preserve">        5.</w:t>
      </w:r>
      <w:r w:rsidR="006247F6" w:rsidRPr="005C00B2">
        <w:rPr>
          <w:rFonts w:cs="Times New Roman"/>
          <w:b/>
          <w:i/>
          <w:sz w:val="24"/>
        </w:rPr>
        <w:t xml:space="preserve">tabula. Valsts pamatbudžeta izdevumi atbilstoši ekonomiskajām kategorijām, tūkst. </w:t>
      </w:r>
      <w:proofErr w:type="spellStart"/>
      <w:r w:rsidR="006247F6" w:rsidRPr="005C00B2">
        <w:rPr>
          <w:rFonts w:cs="Times New Roman"/>
          <w:b/>
          <w:i/>
          <w:sz w:val="24"/>
        </w:rPr>
        <w:t>euro</w:t>
      </w:r>
      <w:proofErr w:type="spellEnd"/>
    </w:p>
    <w:tbl>
      <w:tblPr>
        <w:tblW w:w="9391" w:type="dxa"/>
        <w:tblInd w:w="-5" w:type="dxa"/>
        <w:tblLayout w:type="fixed"/>
        <w:tblLook w:val="04A0" w:firstRow="1" w:lastRow="0" w:firstColumn="1" w:lastColumn="0" w:noHBand="0" w:noVBand="1"/>
      </w:tblPr>
      <w:tblGrid>
        <w:gridCol w:w="2269"/>
        <w:gridCol w:w="1134"/>
        <w:gridCol w:w="1134"/>
        <w:gridCol w:w="1134"/>
        <w:gridCol w:w="1083"/>
        <w:gridCol w:w="879"/>
        <w:gridCol w:w="879"/>
        <w:gridCol w:w="879"/>
      </w:tblGrid>
      <w:tr w:rsidR="006247F6" w:rsidRPr="008A19B2" w:rsidTr="000C2E3B">
        <w:trPr>
          <w:trHeight w:val="1680"/>
          <w:tblHeader/>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47F6" w:rsidRPr="008A19B2" w:rsidRDefault="006247F6" w:rsidP="005C7D14">
            <w:pPr>
              <w:spacing w:after="0"/>
              <w:ind w:firstLine="0"/>
              <w:jc w:val="center"/>
              <w:rPr>
                <w:rFonts w:eastAsia="Times New Roman" w:cs="Times New Roman"/>
                <w:sz w:val="20"/>
                <w:szCs w:val="20"/>
                <w:lang w:eastAsia="lv-LV"/>
              </w:rPr>
            </w:pPr>
            <w:r w:rsidRPr="008A19B2">
              <w:rPr>
                <w:rFonts w:eastAsia="Times New Roman" w:cs="Times New Roman"/>
                <w:sz w:val="20"/>
                <w:szCs w:val="20"/>
                <w:lang w:eastAsia="lv-LV"/>
              </w:rPr>
              <w:t xml:space="preserve">Rādītāji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247F6" w:rsidRPr="008A19B2" w:rsidRDefault="006247F6" w:rsidP="005C7D14">
            <w:pPr>
              <w:spacing w:after="0"/>
              <w:ind w:firstLine="0"/>
              <w:jc w:val="center"/>
              <w:rPr>
                <w:rFonts w:eastAsia="Times New Roman" w:cs="Times New Roman"/>
                <w:sz w:val="16"/>
                <w:szCs w:val="16"/>
                <w:lang w:eastAsia="lv-LV"/>
              </w:rPr>
            </w:pPr>
            <w:r w:rsidRPr="008A19B2">
              <w:rPr>
                <w:rFonts w:eastAsia="Times New Roman" w:cs="Times New Roman"/>
                <w:sz w:val="16"/>
                <w:szCs w:val="16"/>
                <w:lang w:eastAsia="lv-LV"/>
              </w:rPr>
              <w:t>2013.gada</w:t>
            </w:r>
            <w:r w:rsidRPr="008A19B2">
              <w:rPr>
                <w:rFonts w:eastAsia="Times New Roman" w:cs="Times New Roman"/>
                <w:sz w:val="16"/>
                <w:szCs w:val="16"/>
                <w:lang w:eastAsia="lv-LV"/>
              </w:rPr>
              <w:br/>
              <w:t>3 mēnešu</w:t>
            </w:r>
            <w:r w:rsidRPr="008A19B2">
              <w:rPr>
                <w:rFonts w:eastAsia="Times New Roman" w:cs="Times New Roman"/>
                <w:sz w:val="16"/>
                <w:szCs w:val="16"/>
                <w:lang w:eastAsia="lv-LV"/>
              </w:rPr>
              <w:br/>
              <w:t>izpilde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247F6" w:rsidRPr="008A19B2" w:rsidRDefault="006247F6" w:rsidP="005C7D14">
            <w:pPr>
              <w:spacing w:after="0"/>
              <w:ind w:firstLine="0"/>
              <w:jc w:val="center"/>
              <w:rPr>
                <w:rFonts w:eastAsia="Times New Roman" w:cs="Times New Roman"/>
                <w:sz w:val="16"/>
                <w:szCs w:val="16"/>
                <w:lang w:eastAsia="lv-LV"/>
              </w:rPr>
            </w:pPr>
            <w:r w:rsidRPr="008A19B2">
              <w:rPr>
                <w:rFonts w:eastAsia="Times New Roman" w:cs="Times New Roman"/>
                <w:sz w:val="16"/>
                <w:szCs w:val="16"/>
                <w:lang w:eastAsia="lv-LV"/>
              </w:rPr>
              <w:t>2014.gada</w:t>
            </w:r>
            <w:r w:rsidRPr="008A19B2">
              <w:rPr>
                <w:rFonts w:eastAsia="Times New Roman" w:cs="Times New Roman"/>
                <w:sz w:val="16"/>
                <w:szCs w:val="16"/>
                <w:lang w:eastAsia="lv-LV"/>
              </w:rPr>
              <w:br/>
              <w:t>3 mēnešu plāns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247F6" w:rsidRPr="008A19B2" w:rsidRDefault="006247F6" w:rsidP="005C7D14">
            <w:pPr>
              <w:spacing w:after="0"/>
              <w:ind w:firstLine="0"/>
              <w:jc w:val="center"/>
              <w:rPr>
                <w:rFonts w:eastAsia="Times New Roman" w:cs="Times New Roman"/>
                <w:sz w:val="16"/>
                <w:szCs w:val="16"/>
                <w:lang w:eastAsia="lv-LV"/>
              </w:rPr>
            </w:pPr>
            <w:r w:rsidRPr="008A19B2">
              <w:rPr>
                <w:rFonts w:eastAsia="Times New Roman" w:cs="Times New Roman"/>
                <w:sz w:val="16"/>
                <w:szCs w:val="16"/>
                <w:lang w:eastAsia="lv-LV"/>
              </w:rPr>
              <w:t>2014.gada</w:t>
            </w:r>
            <w:r w:rsidRPr="008A19B2">
              <w:rPr>
                <w:rFonts w:eastAsia="Times New Roman" w:cs="Times New Roman"/>
                <w:sz w:val="16"/>
                <w:szCs w:val="16"/>
                <w:lang w:eastAsia="lv-LV"/>
              </w:rPr>
              <w:br/>
              <w:t>3 mēnešu</w:t>
            </w:r>
            <w:r w:rsidRPr="008A19B2">
              <w:rPr>
                <w:rFonts w:eastAsia="Times New Roman" w:cs="Times New Roman"/>
                <w:sz w:val="16"/>
                <w:szCs w:val="16"/>
                <w:lang w:eastAsia="lv-LV"/>
              </w:rPr>
              <w:br/>
              <w:t>izpilde</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rsidR="006247F6" w:rsidRPr="008A19B2" w:rsidRDefault="006247F6" w:rsidP="005C7D14">
            <w:pPr>
              <w:spacing w:after="0"/>
              <w:ind w:firstLine="0"/>
              <w:jc w:val="center"/>
              <w:rPr>
                <w:rFonts w:eastAsia="Times New Roman" w:cs="Times New Roman"/>
                <w:sz w:val="16"/>
                <w:szCs w:val="16"/>
                <w:lang w:eastAsia="lv-LV"/>
              </w:rPr>
            </w:pPr>
            <w:r w:rsidRPr="008A19B2">
              <w:rPr>
                <w:rFonts w:eastAsia="Times New Roman" w:cs="Times New Roman"/>
                <w:sz w:val="16"/>
                <w:szCs w:val="16"/>
                <w:lang w:eastAsia="lv-LV"/>
              </w:rPr>
              <w:t>Likumā apstiprinātais 2014.gada plāns*</w:t>
            </w:r>
          </w:p>
        </w:tc>
        <w:tc>
          <w:tcPr>
            <w:tcW w:w="879" w:type="dxa"/>
            <w:tcBorders>
              <w:top w:val="single" w:sz="4" w:space="0" w:color="auto"/>
              <w:left w:val="nil"/>
              <w:bottom w:val="single" w:sz="4" w:space="0" w:color="auto"/>
              <w:right w:val="single" w:sz="4" w:space="0" w:color="auto"/>
            </w:tcBorders>
            <w:shd w:val="clear" w:color="auto" w:fill="auto"/>
            <w:vAlign w:val="center"/>
            <w:hideMark/>
          </w:tcPr>
          <w:p w:rsidR="006247F6" w:rsidRPr="008A19B2" w:rsidRDefault="00BD6E6C" w:rsidP="005C7D14">
            <w:pPr>
              <w:spacing w:after="0"/>
              <w:ind w:firstLine="0"/>
              <w:jc w:val="center"/>
              <w:rPr>
                <w:rFonts w:eastAsia="Times New Roman" w:cs="Times New Roman"/>
                <w:sz w:val="16"/>
                <w:szCs w:val="16"/>
                <w:lang w:eastAsia="lv-LV"/>
              </w:rPr>
            </w:pPr>
            <w:r>
              <w:rPr>
                <w:rFonts w:eastAsia="Times New Roman" w:cs="Times New Roman"/>
                <w:sz w:val="16"/>
                <w:szCs w:val="16"/>
                <w:lang w:eastAsia="lv-LV"/>
              </w:rPr>
              <w:t>2014.gada</w:t>
            </w:r>
            <w:r>
              <w:rPr>
                <w:rFonts w:eastAsia="Times New Roman" w:cs="Times New Roman"/>
                <w:sz w:val="16"/>
                <w:szCs w:val="16"/>
                <w:lang w:eastAsia="lv-LV"/>
              </w:rPr>
              <w:br/>
              <w:t>3 mēnešu</w:t>
            </w:r>
            <w:r>
              <w:rPr>
                <w:rFonts w:eastAsia="Times New Roman" w:cs="Times New Roman"/>
                <w:sz w:val="16"/>
                <w:szCs w:val="16"/>
                <w:lang w:eastAsia="lv-LV"/>
              </w:rPr>
              <w:br/>
              <w:t>izpilde/</w:t>
            </w:r>
            <w:r w:rsidR="006247F6" w:rsidRPr="008A19B2">
              <w:rPr>
                <w:rFonts w:eastAsia="Times New Roman" w:cs="Times New Roman"/>
                <w:sz w:val="16"/>
                <w:szCs w:val="16"/>
                <w:lang w:eastAsia="lv-LV"/>
              </w:rPr>
              <w:t xml:space="preserve"> 2013.gada</w:t>
            </w:r>
            <w:r w:rsidR="006247F6" w:rsidRPr="008A19B2">
              <w:rPr>
                <w:rFonts w:eastAsia="Times New Roman" w:cs="Times New Roman"/>
                <w:sz w:val="16"/>
                <w:szCs w:val="16"/>
                <w:lang w:eastAsia="lv-LV"/>
              </w:rPr>
              <w:br/>
              <w:t>3 mēnešu</w:t>
            </w:r>
            <w:r w:rsidR="006247F6" w:rsidRPr="008A19B2">
              <w:rPr>
                <w:rFonts w:eastAsia="Times New Roman" w:cs="Times New Roman"/>
                <w:sz w:val="16"/>
                <w:szCs w:val="16"/>
                <w:lang w:eastAsia="lv-LV"/>
              </w:rPr>
              <w:br/>
              <w:t xml:space="preserve">izpildi </w:t>
            </w:r>
            <w:r w:rsidR="006247F6" w:rsidRPr="008A19B2">
              <w:rPr>
                <w:rFonts w:eastAsia="Times New Roman" w:cs="Times New Roman"/>
                <w:sz w:val="16"/>
                <w:szCs w:val="16"/>
                <w:lang w:eastAsia="lv-LV"/>
              </w:rPr>
              <w:br/>
              <w:t>%</w:t>
            </w:r>
          </w:p>
        </w:tc>
        <w:tc>
          <w:tcPr>
            <w:tcW w:w="879" w:type="dxa"/>
            <w:tcBorders>
              <w:top w:val="single" w:sz="4" w:space="0" w:color="auto"/>
              <w:left w:val="nil"/>
              <w:bottom w:val="single" w:sz="4" w:space="0" w:color="auto"/>
              <w:right w:val="single" w:sz="4" w:space="0" w:color="auto"/>
            </w:tcBorders>
            <w:shd w:val="clear" w:color="auto" w:fill="auto"/>
            <w:vAlign w:val="center"/>
            <w:hideMark/>
          </w:tcPr>
          <w:p w:rsidR="006247F6" w:rsidRPr="008A19B2" w:rsidRDefault="00BD6E6C" w:rsidP="005C7D14">
            <w:pPr>
              <w:spacing w:after="0"/>
              <w:ind w:firstLine="0"/>
              <w:jc w:val="center"/>
              <w:rPr>
                <w:rFonts w:eastAsia="Times New Roman" w:cs="Times New Roman"/>
                <w:sz w:val="16"/>
                <w:szCs w:val="16"/>
                <w:lang w:eastAsia="lv-LV"/>
              </w:rPr>
            </w:pPr>
            <w:r>
              <w:rPr>
                <w:rFonts w:eastAsia="Times New Roman" w:cs="Times New Roman"/>
                <w:sz w:val="16"/>
                <w:szCs w:val="16"/>
                <w:lang w:eastAsia="lv-LV"/>
              </w:rPr>
              <w:t>2014.gada</w:t>
            </w:r>
            <w:r>
              <w:rPr>
                <w:rFonts w:eastAsia="Times New Roman" w:cs="Times New Roman"/>
                <w:sz w:val="16"/>
                <w:szCs w:val="16"/>
                <w:lang w:eastAsia="lv-LV"/>
              </w:rPr>
              <w:br/>
              <w:t>3 mēnešu</w:t>
            </w:r>
            <w:r>
              <w:rPr>
                <w:rFonts w:eastAsia="Times New Roman" w:cs="Times New Roman"/>
                <w:sz w:val="16"/>
                <w:szCs w:val="16"/>
                <w:lang w:eastAsia="lv-LV"/>
              </w:rPr>
              <w:br/>
              <w:t>izpilde/</w:t>
            </w:r>
            <w:r w:rsidR="006247F6" w:rsidRPr="008A19B2">
              <w:rPr>
                <w:rFonts w:eastAsia="Times New Roman" w:cs="Times New Roman"/>
                <w:sz w:val="16"/>
                <w:szCs w:val="16"/>
                <w:lang w:eastAsia="lv-LV"/>
              </w:rPr>
              <w:t xml:space="preserve"> 2014.gada</w:t>
            </w:r>
            <w:r w:rsidR="006247F6" w:rsidRPr="008A19B2">
              <w:rPr>
                <w:rFonts w:eastAsia="Times New Roman" w:cs="Times New Roman"/>
                <w:sz w:val="16"/>
                <w:szCs w:val="16"/>
                <w:lang w:eastAsia="lv-LV"/>
              </w:rPr>
              <w:br/>
              <w:t>3 mēnešu</w:t>
            </w:r>
            <w:r w:rsidR="006247F6" w:rsidRPr="008A19B2">
              <w:rPr>
                <w:rFonts w:eastAsia="Times New Roman" w:cs="Times New Roman"/>
                <w:sz w:val="16"/>
                <w:szCs w:val="16"/>
                <w:lang w:eastAsia="lv-LV"/>
              </w:rPr>
              <w:br/>
              <w:t>plānu %</w:t>
            </w:r>
          </w:p>
        </w:tc>
        <w:tc>
          <w:tcPr>
            <w:tcW w:w="879" w:type="dxa"/>
            <w:tcBorders>
              <w:top w:val="single" w:sz="4" w:space="0" w:color="auto"/>
              <w:left w:val="nil"/>
              <w:bottom w:val="single" w:sz="4" w:space="0" w:color="auto"/>
              <w:right w:val="single" w:sz="4" w:space="0" w:color="auto"/>
            </w:tcBorders>
            <w:shd w:val="clear" w:color="auto" w:fill="auto"/>
            <w:vAlign w:val="center"/>
            <w:hideMark/>
          </w:tcPr>
          <w:p w:rsidR="006247F6" w:rsidRPr="008A19B2" w:rsidRDefault="006247F6" w:rsidP="005C7D14">
            <w:pPr>
              <w:spacing w:after="0"/>
              <w:ind w:firstLine="0"/>
              <w:jc w:val="center"/>
              <w:rPr>
                <w:rFonts w:eastAsia="Times New Roman" w:cs="Times New Roman"/>
                <w:sz w:val="16"/>
                <w:szCs w:val="16"/>
                <w:lang w:eastAsia="lv-LV"/>
              </w:rPr>
            </w:pPr>
            <w:r w:rsidRPr="008A19B2">
              <w:rPr>
                <w:rFonts w:eastAsia="Times New Roman" w:cs="Times New Roman"/>
                <w:sz w:val="16"/>
                <w:szCs w:val="16"/>
                <w:lang w:eastAsia="lv-LV"/>
              </w:rPr>
              <w:t>2014.gada</w:t>
            </w:r>
            <w:r w:rsidRPr="008A19B2">
              <w:rPr>
                <w:rFonts w:eastAsia="Times New Roman" w:cs="Times New Roman"/>
                <w:sz w:val="16"/>
                <w:szCs w:val="16"/>
                <w:lang w:eastAsia="lv-LV"/>
              </w:rPr>
              <w:br/>
              <w:t>3 mēnešu</w:t>
            </w:r>
            <w:r w:rsidRPr="008A19B2">
              <w:rPr>
                <w:rFonts w:eastAsia="Times New Roman" w:cs="Times New Roman"/>
                <w:sz w:val="16"/>
                <w:szCs w:val="16"/>
                <w:lang w:eastAsia="lv-LV"/>
              </w:rPr>
              <w:br/>
              <w:t>izpilde</w:t>
            </w:r>
            <w:r w:rsidRPr="008A19B2">
              <w:rPr>
                <w:rFonts w:eastAsia="Times New Roman" w:cs="Times New Roman"/>
                <w:sz w:val="16"/>
                <w:szCs w:val="16"/>
                <w:lang w:eastAsia="lv-LV"/>
              </w:rPr>
              <w:br/>
              <w:t>no gada *</w:t>
            </w:r>
            <w:r w:rsidRPr="008A19B2">
              <w:rPr>
                <w:rFonts w:eastAsia="Times New Roman" w:cs="Times New Roman"/>
                <w:sz w:val="16"/>
                <w:szCs w:val="16"/>
                <w:lang w:eastAsia="lv-LV"/>
              </w:rPr>
              <w:br/>
              <w:t>plāna %</w:t>
            </w:r>
          </w:p>
        </w:tc>
      </w:tr>
      <w:tr w:rsidR="006247F6" w:rsidRPr="00637924" w:rsidTr="000C2E3B">
        <w:trPr>
          <w:trHeight w:val="375"/>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0C2E3B" w:rsidRDefault="006247F6" w:rsidP="005C7D14">
            <w:pPr>
              <w:spacing w:after="0"/>
              <w:ind w:firstLine="0"/>
              <w:jc w:val="left"/>
              <w:rPr>
                <w:rFonts w:eastAsia="Times New Roman" w:cs="Times New Roman"/>
                <w:b/>
                <w:bCs/>
                <w:sz w:val="20"/>
                <w:szCs w:val="20"/>
                <w:lang w:eastAsia="lv-LV"/>
              </w:rPr>
            </w:pPr>
            <w:r w:rsidRPr="00637924">
              <w:rPr>
                <w:rFonts w:eastAsia="Times New Roman" w:cs="Times New Roman"/>
                <w:b/>
                <w:bCs/>
                <w:sz w:val="20"/>
                <w:szCs w:val="20"/>
                <w:lang w:eastAsia="lv-LV"/>
              </w:rPr>
              <w:t xml:space="preserve">1.  Izdevumi – kopā </w:t>
            </w:r>
          </w:p>
          <w:p w:rsidR="006247F6" w:rsidRPr="00637924" w:rsidRDefault="006247F6" w:rsidP="000C2E3B">
            <w:pPr>
              <w:spacing w:after="0"/>
              <w:ind w:firstLine="0"/>
              <w:jc w:val="right"/>
              <w:rPr>
                <w:rFonts w:eastAsia="Times New Roman" w:cs="Times New Roman"/>
                <w:b/>
                <w:bCs/>
                <w:sz w:val="20"/>
                <w:szCs w:val="20"/>
                <w:lang w:eastAsia="lv-LV"/>
              </w:rPr>
            </w:pPr>
            <w:r w:rsidRPr="000C2E3B">
              <w:rPr>
                <w:rFonts w:eastAsia="Times New Roman" w:cs="Times New Roman"/>
                <w:b/>
                <w:bCs/>
                <w:sz w:val="16"/>
                <w:szCs w:val="20"/>
                <w:lang w:eastAsia="lv-LV"/>
              </w:rPr>
              <w:t>(1.1. + 1.2.)</w:t>
            </w:r>
          </w:p>
        </w:tc>
        <w:tc>
          <w:tcPr>
            <w:tcW w:w="1134" w:type="dxa"/>
            <w:tcBorders>
              <w:top w:val="nil"/>
              <w:left w:val="nil"/>
              <w:bottom w:val="single" w:sz="4" w:space="0" w:color="auto"/>
              <w:right w:val="single" w:sz="4" w:space="0" w:color="auto"/>
            </w:tcBorders>
            <w:shd w:val="clear" w:color="auto" w:fill="auto"/>
            <w:noWrap/>
            <w:vAlign w:val="bottom"/>
            <w:hideMark/>
          </w:tcPr>
          <w:p w:rsidR="006247F6" w:rsidRPr="00637924" w:rsidRDefault="006247F6" w:rsidP="005C7D14">
            <w:pPr>
              <w:spacing w:after="0"/>
              <w:ind w:firstLine="0"/>
              <w:jc w:val="right"/>
              <w:rPr>
                <w:rFonts w:eastAsia="Times New Roman" w:cs="Times New Roman"/>
                <w:b/>
                <w:sz w:val="20"/>
                <w:szCs w:val="20"/>
                <w:lang w:eastAsia="lv-LV"/>
              </w:rPr>
            </w:pPr>
            <w:r w:rsidRPr="00637924">
              <w:rPr>
                <w:rFonts w:eastAsia="Times New Roman" w:cs="Times New Roman"/>
                <w:b/>
                <w:sz w:val="20"/>
                <w:szCs w:val="20"/>
                <w:lang w:eastAsia="lv-LV"/>
              </w:rPr>
              <w:t>1 124 519</w:t>
            </w:r>
          </w:p>
        </w:tc>
        <w:tc>
          <w:tcPr>
            <w:tcW w:w="1134" w:type="dxa"/>
            <w:tcBorders>
              <w:top w:val="nil"/>
              <w:left w:val="nil"/>
              <w:bottom w:val="single" w:sz="4" w:space="0" w:color="auto"/>
              <w:right w:val="single" w:sz="4" w:space="0" w:color="auto"/>
            </w:tcBorders>
            <w:shd w:val="clear" w:color="auto" w:fill="auto"/>
            <w:noWrap/>
            <w:vAlign w:val="bottom"/>
            <w:hideMark/>
          </w:tcPr>
          <w:p w:rsidR="006247F6" w:rsidRPr="00637924" w:rsidRDefault="006247F6" w:rsidP="005C7D14">
            <w:pPr>
              <w:spacing w:after="0"/>
              <w:ind w:firstLine="0"/>
              <w:jc w:val="right"/>
              <w:rPr>
                <w:rFonts w:eastAsia="Times New Roman" w:cs="Times New Roman"/>
                <w:b/>
                <w:sz w:val="20"/>
                <w:szCs w:val="20"/>
                <w:lang w:eastAsia="lv-LV"/>
              </w:rPr>
            </w:pPr>
            <w:r w:rsidRPr="00637924">
              <w:rPr>
                <w:rFonts w:eastAsia="Times New Roman" w:cs="Times New Roman"/>
                <w:b/>
                <w:sz w:val="20"/>
                <w:szCs w:val="20"/>
                <w:lang w:eastAsia="lv-LV"/>
              </w:rPr>
              <w:t>1 269 210</w:t>
            </w:r>
          </w:p>
        </w:tc>
        <w:tc>
          <w:tcPr>
            <w:tcW w:w="1134" w:type="dxa"/>
            <w:tcBorders>
              <w:top w:val="nil"/>
              <w:left w:val="nil"/>
              <w:bottom w:val="single" w:sz="4" w:space="0" w:color="auto"/>
              <w:right w:val="single" w:sz="4" w:space="0" w:color="auto"/>
            </w:tcBorders>
            <w:shd w:val="clear" w:color="auto" w:fill="auto"/>
            <w:noWrap/>
            <w:vAlign w:val="bottom"/>
            <w:hideMark/>
          </w:tcPr>
          <w:p w:rsidR="006247F6" w:rsidRPr="00637924" w:rsidRDefault="006247F6" w:rsidP="005C7D14">
            <w:pPr>
              <w:spacing w:after="0"/>
              <w:ind w:firstLine="0"/>
              <w:jc w:val="right"/>
              <w:rPr>
                <w:rFonts w:eastAsia="Times New Roman" w:cs="Times New Roman"/>
                <w:b/>
                <w:sz w:val="20"/>
                <w:szCs w:val="20"/>
                <w:lang w:eastAsia="lv-LV"/>
              </w:rPr>
            </w:pPr>
            <w:r w:rsidRPr="00637924">
              <w:rPr>
                <w:rFonts w:eastAsia="Times New Roman" w:cs="Times New Roman"/>
                <w:b/>
                <w:sz w:val="20"/>
                <w:szCs w:val="20"/>
                <w:lang w:eastAsia="lv-LV"/>
              </w:rPr>
              <w:t>1 232 361</w:t>
            </w:r>
          </w:p>
        </w:tc>
        <w:tc>
          <w:tcPr>
            <w:tcW w:w="1083" w:type="dxa"/>
            <w:tcBorders>
              <w:top w:val="nil"/>
              <w:left w:val="nil"/>
              <w:bottom w:val="single" w:sz="4" w:space="0" w:color="auto"/>
              <w:right w:val="single" w:sz="4" w:space="0" w:color="auto"/>
            </w:tcBorders>
            <w:shd w:val="clear" w:color="auto" w:fill="auto"/>
            <w:noWrap/>
            <w:vAlign w:val="bottom"/>
            <w:hideMark/>
          </w:tcPr>
          <w:p w:rsidR="006247F6" w:rsidRPr="00637924" w:rsidRDefault="006247F6" w:rsidP="005C7D14">
            <w:pPr>
              <w:spacing w:after="0"/>
              <w:ind w:firstLine="0"/>
              <w:jc w:val="right"/>
              <w:rPr>
                <w:rFonts w:eastAsia="Times New Roman" w:cs="Times New Roman"/>
                <w:b/>
                <w:sz w:val="20"/>
                <w:szCs w:val="20"/>
                <w:lang w:eastAsia="lv-LV"/>
              </w:rPr>
            </w:pPr>
            <w:r w:rsidRPr="00637924">
              <w:rPr>
                <w:rFonts w:eastAsia="Times New Roman" w:cs="Times New Roman"/>
                <w:b/>
                <w:sz w:val="20"/>
                <w:szCs w:val="20"/>
                <w:lang w:eastAsia="lv-LV"/>
              </w:rPr>
              <w:t>5 344 998</w:t>
            </w:r>
          </w:p>
        </w:tc>
        <w:tc>
          <w:tcPr>
            <w:tcW w:w="879" w:type="dxa"/>
            <w:tcBorders>
              <w:top w:val="nil"/>
              <w:left w:val="nil"/>
              <w:bottom w:val="single" w:sz="4" w:space="0" w:color="auto"/>
              <w:right w:val="single" w:sz="4" w:space="0" w:color="auto"/>
            </w:tcBorders>
            <w:shd w:val="clear" w:color="auto" w:fill="auto"/>
            <w:noWrap/>
            <w:vAlign w:val="bottom"/>
            <w:hideMark/>
          </w:tcPr>
          <w:p w:rsidR="006247F6" w:rsidRPr="00637924" w:rsidRDefault="006247F6" w:rsidP="005C7D14">
            <w:pPr>
              <w:spacing w:after="0"/>
              <w:ind w:firstLine="0"/>
              <w:jc w:val="center"/>
              <w:rPr>
                <w:rFonts w:eastAsia="Times New Roman" w:cs="Times New Roman"/>
                <w:b/>
                <w:sz w:val="20"/>
                <w:szCs w:val="20"/>
                <w:lang w:eastAsia="lv-LV"/>
              </w:rPr>
            </w:pPr>
            <w:r w:rsidRPr="00637924">
              <w:rPr>
                <w:rFonts w:eastAsia="Times New Roman" w:cs="Times New Roman"/>
                <w:b/>
                <w:sz w:val="20"/>
                <w:szCs w:val="20"/>
                <w:lang w:eastAsia="lv-LV"/>
              </w:rPr>
              <w:t>109,6</w:t>
            </w:r>
          </w:p>
        </w:tc>
        <w:tc>
          <w:tcPr>
            <w:tcW w:w="879" w:type="dxa"/>
            <w:tcBorders>
              <w:top w:val="nil"/>
              <w:left w:val="nil"/>
              <w:bottom w:val="single" w:sz="4" w:space="0" w:color="auto"/>
              <w:right w:val="single" w:sz="4" w:space="0" w:color="auto"/>
            </w:tcBorders>
            <w:shd w:val="clear" w:color="auto" w:fill="auto"/>
            <w:noWrap/>
            <w:vAlign w:val="bottom"/>
            <w:hideMark/>
          </w:tcPr>
          <w:p w:rsidR="006247F6" w:rsidRPr="00637924" w:rsidRDefault="006247F6" w:rsidP="005C7D14">
            <w:pPr>
              <w:spacing w:after="0"/>
              <w:ind w:firstLine="0"/>
              <w:jc w:val="center"/>
              <w:rPr>
                <w:rFonts w:eastAsia="Times New Roman" w:cs="Times New Roman"/>
                <w:b/>
                <w:sz w:val="20"/>
                <w:szCs w:val="20"/>
                <w:lang w:eastAsia="lv-LV"/>
              </w:rPr>
            </w:pPr>
            <w:r w:rsidRPr="00637924">
              <w:rPr>
                <w:rFonts w:eastAsia="Times New Roman" w:cs="Times New Roman"/>
                <w:b/>
                <w:sz w:val="20"/>
                <w:szCs w:val="20"/>
                <w:lang w:eastAsia="lv-LV"/>
              </w:rPr>
              <w:t>97,1</w:t>
            </w:r>
          </w:p>
        </w:tc>
        <w:tc>
          <w:tcPr>
            <w:tcW w:w="879" w:type="dxa"/>
            <w:tcBorders>
              <w:top w:val="nil"/>
              <w:left w:val="nil"/>
              <w:bottom w:val="single" w:sz="4" w:space="0" w:color="auto"/>
              <w:right w:val="single" w:sz="4" w:space="0" w:color="auto"/>
            </w:tcBorders>
            <w:shd w:val="clear" w:color="auto" w:fill="auto"/>
            <w:noWrap/>
            <w:vAlign w:val="bottom"/>
            <w:hideMark/>
          </w:tcPr>
          <w:p w:rsidR="006247F6" w:rsidRPr="00637924" w:rsidRDefault="006247F6" w:rsidP="005C7D14">
            <w:pPr>
              <w:spacing w:after="0"/>
              <w:ind w:firstLine="0"/>
              <w:jc w:val="center"/>
              <w:rPr>
                <w:rFonts w:eastAsia="Times New Roman" w:cs="Times New Roman"/>
                <w:b/>
                <w:sz w:val="20"/>
                <w:szCs w:val="20"/>
                <w:lang w:eastAsia="lv-LV"/>
              </w:rPr>
            </w:pPr>
            <w:r w:rsidRPr="00637924">
              <w:rPr>
                <w:rFonts w:eastAsia="Times New Roman" w:cs="Times New Roman"/>
                <w:b/>
                <w:sz w:val="20"/>
                <w:szCs w:val="20"/>
                <w:lang w:eastAsia="lv-LV"/>
              </w:rPr>
              <w:t>23,1</w:t>
            </w:r>
          </w:p>
        </w:tc>
      </w:tr>
      <w:tr w:rsidR="006247F6" w:rsidRPr="00637924" w:rsidTr="000C2E3B">
        <w:trPr>
          <w:trHeight w:val="285"/>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6247F6" w:rsidRPr="00637924" w:rsidRDefault="006247F6" w:rsidP="005C7D14">
            <w:pPr>
              <w:pStyle w:val="ListParagraph"/>
              <w:numPr>
                <w:ilvl w:val="1"/>
                <w:numId w:val="15"/>
              </w:numPr>
              <w:spacing w:after="0"/>
              <w:jc w:val="left"/>
              <w:rPr>
                <w:rFonts w:eastAsia="Times New Roman" w:cs="Times New Roman"/>
                <w:b/>
                <w:sz w:val="20"/>
                <w:szCs w:val="20"/>
                <w:lang w:eastAsia="lv-LV"/>
              </w:rPr>
            </w:pPr>
            <w:r w:rsidRPr="00637924">
              <w:rPr>
                <w:rFonts w:eastAsia="Times New Roman" w:cs="Times New Roman"/>
                <w:b/>
                <w:sz w:val="20"/>
                <w:szCs w:val="20"/>
                <w:lang w:eastAsia="lv-LV"/>
              </w:rPr>
              <w:t>Uzturēšanas izdevumi</w:t>
            </w:r>
          </w:p>
        </w:tc>
        <w:tc>
          <w:tcPr>
            <w:tcW w:w="1134" w:type="dxa"/>
            <w:tcBorders>
              <w:top w:val="nil"/>
              <w:left w:val="nil"/>
              <w:bottom w:val="single" w:sz="4" w:space="0" w:color="auto"/>
              <w:right w:val="single" w:sz="4" w:space="0" w:color="auto"/>
            </w:tcBorders>
            <w:shd w:val="clear" w:color="auto" w:fill="auto"/>
            <w:noWrap/>
            <w:vAlign w:val="bottom"/>
            <w:hideMark/>
          </w:tcPr>
          <w:p w:rsidR="006247F6" w:rsidRPr="00637924" w:rsidRDefault="006247F6" w:rsidP="005C7D14">
            <w:pPr>
              <w:spacing w:after="0"/>
              <w:ind w:firstLine="0"/>
              <w:jc w:val="right"/>
              <w:rPr>
                <w:rFonts w:eastAsia="Times New Roman" w:cs="Times New Roman"/>
                <w:b/>
                <w:sz w:val="20"/>
                <w:szCs w:val="20"/>
                <w:lang w:eastAsia="lv-LV"/>
              </w:rPr>
            </w:pPr>
            <w:r w:rsidRPr="00637924">
              <w:rPr>
                <w:rFonts w:eastAsia="Times New Roman" w:cs="Times New Roman"/>
                <w:b/>
                <w:sz w:val="20"/>
                <w:szCs w:val="20"/>
                <w:lang w:eastAsia="lv-LV"/>
              </w:rPr>
              <w:t>1 071 976</w:t>
            </w:r>
          </w:p>
        </w:tc>
        <w:tc>
          <w:tcPr>
            <w:tcW w:w="1134" w:type="dxa"/>
            <w:tcBorders>
              <w:top w:val="nil"/>
              <w:left w:val="nil"/>
              <w:bottom w:val="single" w:sz="4" w:space="0" w:color="auto"/>
              <w:right w:val="single" w:sz="4" w:space="0" w:color="auto"/>
            </w:tcBorders>
            <w:shd w:val="clear" w:color="auto" w:fill="auto"/>
            <w:noWrap/>
            <w:vAlign w:val="bottom"/>
            <w:hideMark/>
          </w:tcPr>
          <w:p w:rsidR="006247F6" w:rsidRPr="00637924" w:rsidRDefault="006247F6" w:rsidP="005C7D14">
            <w:pPr>
              <w:spacing w:after="0"/>
              <w:ind w:firstLine="0"/>
              <w:jc w:val="right"/>
              <w:rPr>
                <w:rFonts w:eastAsia="Times New Roman" w:cs="Times New Roman"/>
                <w:b/>
                <w:sz w:val="20"/>
                <w:szCs w:val="20"/>
                <w:lang w:eastAsia="lv-LV"/>
              </w:rPr>
            </w:pPr>
            <w:r w:rsidRPr="00637924">
              <w:rPr>
                <w:rFonts w:eastAsia="Times New Roman" w:cs="Times New Roman"/>
                <w:b/>
                <w:sz w:val="20"/>
                <w:szCs w:val="20"/>
                <w:lang w:eastAsia="lv-LV"/>
              </w:rPr>
              <w:t>1 201 412</w:t>
            </w:r>
          </w:p>
        </w:tc>
        <w:tc>
          <w:tcPr>
            <w:tcW w:w="1134" w:type="dxa"/>
            <w:tcBorders>
              <w:top w:val="nil"/>
              <w:left w:val="nil"/>
              <w:bottom w:val="single" w:sz="4" w:space="0" w:color="auto"/>
              <w:right w:val="single" w:sz="4" w:space="0" w:color="auto"/>
            </w:tcBorders>
            <w:shd w:val="clear" w:color="auto" w:fill="auto"/>
            <w:noWrap/>
            <w:vAlign w:val="bottom"/>
            <w:hideMark/>
          </w:tcPr>
          <w:p w:rsidR="006247F6" w:rsidRPr="00637924" w:rsidRDefault="006247F6" w:rsidP="005C7D14">
            <w:pPr>
              <w:spacing w:after="0"/>
              <w:ind w:firstLine="0"/>
              <w:jc w:val="right"/>
              <w:rPr>
                <w:rFonts w:eastAsia="Times New Roman" w:cs="Times New Roman"/>
                <w:b/>
                <w:sz w:val="20"/>
                <w:szCs w:val="20"/>
                <w:lang w:eastAsia="lv-LV"/>
              </w:rPr>
            </w:pPr>
            <w:r w:rsidRPr="00637924">
              <w:rPr>
                <w:rFonts w:eastAsia="Times New Roman" w:cs="Times New Roman"/>
                <w:b/>
                <w:sz w:val="20"/>
                <w:szCs w:val="20"/>
                <w:lang w:eastAsia="lv-LV"/>
              </w:rPr>
              <w:t>1 168 161</w:t>
            </w:r>
          </w:p>
        </w:tc>
        <w:tc>
          <w:tcPr>
            <w:tcW w:w="1083" w:type="dxa"/>
            <w:tcBorders>
              <w:top w:val="nil"/>
              <w:left w:val="nil"/>
              <w:bottom w:val="single" w:sz="4" w:space="0" w:color="auto"/>
              <w:right w:val="single" w:sz="4" w:space="0" w:color="auto"/>
            </w:tcBorders>
            <w:shd w:val="clear" w:color="auto" w:fill="auto"/>
            <w:noWrap/>
            <w:vAlign w:val="bottom"/>
            <w:hideMark/>
          </w:tcPr>
          <w:p w:rsidR="006247F6" w:rsidRPr="00637924" w:rsidRDefault="006247F6" w:rsidP="005C7D14">
            <w:pPr>
              <w:spacing w:after="0"/>
              <w:ind w:firstLine="0"/>
              <w:jc w:val="right"/>
              <w:rPr>
                <w:rFonts w:eastAsia="Times New Roman" w:cs="Times New Roman"/>
                <w:b/>
                <w:sz w:val="20"/>
                <w:szCs w:val="20"/>
                <w:lang w:eastAsia="lv-LV"/>
              </w:rPr>
            </w:pPr>
            <w:r w:rsidRPr="00637924">
              <w:rPr>
                <w:rFonts w:eastAsia="Times New Roman" w:cs="Times New Roman"/>
                <w:b/>
                <w:sz w:val="20"/>
                <w:szCs w:val="20"/>
                <w:lang w:eastAsia="lv-LV"/>
              </w:rPr>
              <w:t>4 923 413</w:t>
            </w:r>
          </w:p>
        </w:tc>
        <w:tc>
          <w:tcPr>
            <w:tcW w:w="879" w:type="dxa"/>
            <w:tcBorders>
              <w:top w:val="nil"/>
              <w:left w:val="nil"/>
              <w:bottom w:val="single" w:sz="4" w:space="0" w:color="auto"/>
              <w:right w:val="single" w:sz="4" w:space="0" w:color="auto"/>
            </w:tcBorders>
            <w:shd w:val="clear" w:color="auto" w:fill="auto"/>
            <w:noWrap/>
            <w:vAlign w:val="bottom"/>
            <w:hideMark/>
          </w:tcPr>
          <w:p w:rsidR="006247F6" w:rsidRPr="00637924" w:rsidRDefault="006247F6" w:rsidP="005C7D14">
            <w:pPr>
              <w:spacing w:after="0"/>
              <w:ind w:firstLine="0"/>
              <w:jc w:val="center"/>
              <w:rPr>
                <w:rFonts w:eastAsia="Times New Roman" w:cs="Times New Roman"/>
                <w:b/>
                <w:sz w:val="20"/>
                <w:szCs w:val="20"/>
                <w:lang w:eastAsia="lv-LV"/>
              </w:rPr>
            </w:pPr>
            <w:r w:rsidRPr="00637924">
              <w:rPr>
                <w:rFonts w:eastAsia="Times New Roman" w:cs="Times New Roman"/>
                <w:b/>
                <w:sz w:val="20"/>
                <w:szCs w:val="20"/>
                <w:lang w:eastAsia="lv-LV"/>
              </w:rPr>
              <w:t>109,0</w:t>
            </w:r>
          </w:p>
        </w:tc>
        <w:tc>
          <w:tcPr>
            <w:tcW w:w="879" w:type="dxa"/>
            <w:tcBorders>
              <w:top w:val="nil"/>
              <w:left w:val="nil"/>
              <w:bottom w:val="single" w:sz="4" w:space="0" w:color="auto"/>
              <w:right w:val="single" w:sz="4" w:space="0" w:color="auto"/>
            </w:tcBorders>
            <w:shd w:val="clear" w:color="auto" w:fill="auto"/>
            <w:noWrap/>
            <w:vAlign w:val="bottom"/>
            <w:hideMark/>
          </w:tcPr>
          <w:p w:rsidR="006247F6" w:rsidRPr="00637924" w:rsidRDefault="006247F6" w:rsidP="005C7D14">
            <w:pPr>
              <w:spacing w:after="0"/>
              <w:ind w:firstLine="0"/>
              <w:jc w:val="center"/>
              <w:rPr>
                <w:rFonts w:eastAsia="Times New Roman" w:cs="Times New Roman"/>
                <w:b/>
                <w:sz w:val="20"/>
                <w:szCs w:val="20"/>
                <w:lang w:eastAsia="lv-LV"/>
              </w:rPr>
            </w:pPr>
            <w:r w:rsidRPr="00637924">
              <w:rPr>
                <w:rFonts w:eastAsia="Times New Roman" w:cs="Times New Roman"/>
                <w:b/>
                <w:sz w:val="20"/>
                <w:szCs w:val="20"/>
                <w:lang w:eastAsia="lv-LV"/>
              </w:rPr>
              <w:t>97,2</w:t>
            </w:r>
          </w:p>
        </w:tc>
        <w:tc>
          <w:tcPr>
            <w:tcW w:w="879" w:type="dxa"/>
            <w:tcBorders>
              <w:top w:val="nil"/>
              <w:left w:val="nil"/>
              <w:bottom w:val="single" w:sz="4" w:space="0" w:color="auto"/>
              <w:right w:val="single" w:sz="4" w:space="0" w:color="auto"/>
            </w:tcBorders>
            <w:shd w:val="clear" w:color="auto" w:fill="auto"/>
            <w:noWrap/>
            <w:vAlign w:val="bottom"/>
            <w:hideMark/>
          </w:tcPr>
          <w:p w:rsidR="006247F6" w:rsidRPr="00637924" w:rsidRDefault="006247F6" w:rsidP="005C7D14">
            <w:pPr>
              <w:spacing w:after="0"/>
              <w:ind w:firstLine="0"/>
              <w:jc w:val="center"/>
              <w:rPr>
                <w:rFonts w:eastAsia="Times New Roman" w:cs="Times New Roman"/>
                <w:b/>
                <w:sz w:val="20"/>
                <w:szCs w:val="20"/>
                <w:lang w:eastAsia="lv-LV"/>
              </w:rPr>
            </w:pPr>
            <w:r w:rsidRPr="00637924">
              <w:rPr>
                <w:rFonts w:eastAsia="Times New Roman" w:cs="Times New Roman"/>
                <w:b/>
                <w:sz w:val="20"/>
                <w:szCs w:val="20"/>
                <w:lang w:eastAsia="lv-LV"/>
              </w:rPr>
              <w:t>23,7</w:t>
            </w:r>
          </w:p>
        </w:tc>
      </w:tr>
      <w:tr w:rsidR="006247F6" w:rsidRPr="00637924" w:rsidTr="000C2E3B">
        <w:trPr>
          <w:trHeight w:val="365"/>
        </w:trPr>
        <w:tc>
          <w:tcPr>
            <w:tcW w:w="2269" w:type="dxa"/>
            <w:tcBorders>
              <w:top w:val="single" w:sz="4" w:space="0" w:color="auto"/>
              <w:left w:val="single" w:sz="4" w:space="0" w:color="auto"/>
              <w:right w:val="single" w:sz="4" w:space="0" w:color="auto"/>
            </w:tcBorders>
            <w:shd w:val="clear" w:color="auto" w:fill="auto"/>
            <w:vAlign w:val="bottom"/>
            <w:hideMark/>
          </w:tcPr>
          <w:p w:rsidR="006247F6" w:rsidRPr="00637924" w:rsidRDefault="006247F6" w:rsidP="005C7D14">
            <w:pPr>
              <w:spacing w:after="0"/>
              <w:ind w:firstLine="0"/>
              <w:jc w:val="left"/>
              <w:rPr>
                <w:rFonts w:eastAsia="Times New Roman" w:cs="Times New Roman"/>
                <w:b/>
                <w:sz w:val="20"/>
                <w:szCs w:val="20"/>
                <w:lang w:eastAsia="lv-LV"/>
              </w:rPr>
            </w:pPr>
            <w:r w:rsidRPr="00637924">
              <w:rPr>
                <w:rFonts w:eastAsia="Times New Roman" w:cs="Times New Roman"/>
                <w:b/>
                <w:sz w:val="20"/>
                <w:szCs w:val="20"/>
                <w:lang w:eastAsia="lv-LV"/>
              </w:rPr>
              <w:t>Kārtējie izdevumi</w:t>
            </w:r>
          </w:p>
        </w:tc>
        <w:tc>
          <w:tcPr>
            <w:tcW w:w="1134" w:type="dxa"/>
            <w:tcBorders>
              <w:top w:val="single" w:sz="4" w:space="0" w:color="auto"/>
              <w:left w:val="nil"/>
              <w:right w:val="single" w:sz="4" w:space="0" w:color="auto"/>
            </w:tcBorders>
            <w:shd w:val="clear" w:color="auto" w:fill="auto"/>
            <w:noWrap/>
            <w:vAlign w:val="bottom"/>
            <w:hideMark/>
          </w:tcPr>
          <w:p w:rsidR="006247F6" w:rsidRPr="00637924" w:rsidRDefault="006247F6" w:rsidP="005C7D14">
            <w:pPr>
              <w:spacing w:after="0"/>
              <w:ind w:firstLine="0"/>
              <w:jc w:val="right"/>
              <w:rPr>
                <w:rFonts w:eastAsia="Times New Roman" w:cs="Times New Roman"/>
                <w:b/>
                <w:sz w:val="20"/>
                <w:szCs w:val="20"/>
                <w:lang w:eastAsia="lv-LV"/>
              </w:rPr>
            </w:pPr>
            <w:r w:rsidRPr="00637924">
              <w:rPr>
                <w:rFonts w:eastAsia="Times New Roman" w:cs="Times New Roman"/>
                <w:b/>
                <w:sz w:val="20"/>
                <w:szCs w:val="20"/>
                <w:lang w:eastAsia="lv-LV"/>
              </w:rPr>
              <w:t>271 032</w:t>
            </w:r>
          </w:p>
        </w:tc>
        <w:tc>
          <w:tcPr>
            <w:tcW w:w="1134" w:type="dxa"/>
            <w:tcBorders>
              <w:top w:val="single" w:sz="4" w:space="0" w:color="auto"/>
              <w:left w:val="nil"/>
              <w:right w:val="single" w:sz="4" w:space="0" w:color="auto"/>
            </w:tcBorders>
            <w:shd w:val="clear" w:color="auto" w:fill="auto"/>
            <w:noWrap/>
            <w:vAlign w:val="bottom"/>
            <w:hideMark/>
          </w:tcPr>
          <w:p w:rsidR="006247F6" w:rsidRPr="00637924" w:rsidRDefault="006247F6" w:rsidP="005C7D14">
            <w:pPr>
              <w:spacing w:after="0"/>
              <w:ind w:firstLine="0"/>
              <w:jc w:val="right"/>
              <w:rPr>
                <w:rFonts w:eastAsia="Times New Roman" w:cs="Times New Roman"/>
                <w:b/>
                <w:sz w:val="20"/>
                <w:szCs w:val="20"/>
                <w:lang w:eastAsia="lv-LV"/>
              </w:rPr>
            </w:pPr>
            <w:r w:rsidRPr="00637924">
              <w:rPr>
                <w:rFonts w:eastAsia="Times New Roman" w:cs="Times New Roman"/>
                <w:b/>
                <w:sz w:val="20"/>
                <w:szCs w:val="20"/>
                <w:lang w:eastAsia="lv-LV"/>
              </w:rPr>
              <w:t>309 883</w:t>
            </w:r>
          </w:p>
        </w:tc>
        <w:tc>
          <w:tcPr>
            <w:tcW w:w="1134" w:type="dxa"/>
            <w:tcBorders>
              <w:top w:val="single" w:sz="4" w:space="0" w:color="auto"/>
              <w:left w:val="nil"/>
              <w:right w:val="single" w:sz="4" w:space="0" w:color="auto"/>
            </w:tcBorders>
            <w:shd w:val="clear" w:color="auto" w:fill="auto"/>
            <w:noWrap/>
            <w:vAlign w:val="bottom"/>
            <w:hideMark/>
          </w:tcPr>
          <w:p w:rsidR="006247F6" w:rsidRPr="00637924" w:rsidRDefault="006247F6" w:rsidP="005C7D14">
            <w:pPr>
              <w:spacing w:after="0"/>
              <w:ind w:firstLine="0"/>
              <w:jc w:val="right"/>
              <w:rPr>
                <w:rFonts w:eastAsia="Times New Roman" w:cs="Times New Roman"/>
                <w:b/>
                <w:sz w:val="20"/>
                <w:szCs w:val="20"/>
                <w:lang w:eastAsia="lv-LV"/>
              </w:rPr>
            </w:pPr>
            <w:r w:rsidRPr="00637924">
              <w:rPr>
                <w:rFonts w:eastAsia="Times New Roman" w:cs="Times New Roman"/>
                <w:b/>
                <w:sz w:val="20"/>
                <w:szCs w:val="20"/>
                <w:lang w:eastAsia="lv-LV"/>
              </w:rPr>
              <w:t>291 589</w:t>
            </w:r>
          </w:p>
        </w:tc>
        <w:tc>
          <w:tcPr>
            <w:tcW w:w="1083" w:type="dxa"/>
            <w:tcBorders>
              <w:top w:val="single" w:sz="4" w:space="0" w:color="auto"/>
              <w:left w:val="nil"/>
              <w:right w:val="single" w:sz="4" w:space="0" w:color="auto"/>
            </w:tcBorders>
            <w:shd w:val="clear" w:color="auto" w:fill="auto"/>
            <w:noWrap/>
            <w:vAlign w:val="bottom"/>
            <w:hideMark/>
          </w:tcPr>
          <w:p w:rsidR="006247F6" w:rsidRPr="00637924" w:rsidRDefault="006247F6" w:rsidP="005C7D14">
            <w:pPr>
              <w:spacing w:after="0"/>
              <w:ind w:firstLine="0"/>
              <w:jc w:val="right"/>
              <w:rPr>
                <w:rFonts w:eastAsia="Times New Roman" w:cs="Times New Roman"/>
                <w:b/>
                <w:sz w:val="20"/>
                <w:szCs w:val="20"/>
                <w:lang w:eastAsia="lv-LV"/>
              </w:rPr>
            </w:pPr>
            <w:r w:rsidRPr="00637924">
              <w:rPr>
                <w:rFonts w:eastAsia="Times New Roman" w:cs="Times New Roman"/>
                <w:b/>
                <w:sz w:val="20"/>
                <w:szCs w:val="20"/>
                <w:lang w:eastAsia="lv-LV"/>
              </w:rPr>
              <w:t>1 395 832</w:t>
            </w:r>
          </w:p>
        </w:tc>
        <w:tc>
          <w:tcPr>
            <w:tcW w:w="879" w:type="dxa"/>
            <w:tcBorders>
              <w:top w:val="single" w:sz="4" w:space="0" w:color="auto"/>
              <w:left w:val="nil"/>
              <w:right w:val="single" w:sz="4" w:space="0" w:color="auto"/>
            </w:tcBorders>
            <w:shd w:val="clear" w:color="auto" w:fill="auto"/>
            <w:noWrap/>
            <w:vAlign w:val="bottom"/>
            <w:hideMark/>
          </w:tcPr>
          <w:p w:rsidR="006247F6" w:rsidRPr="00637924" w:rsidRDefault="006247F6" w:rsidP="005C7D14">
            <w:pPr>
              <w:spacing w:after="0"/>
              <w:ind w:firstLine="0"/>
              <w:jc w:val="center"/>
              <w:rPr>
                <w:rFonts w:eastAsia="Times New Roman" w:cs="Times New Roman"/>
                <w:b/>
                <w:sz w:val="20"/>
                <w:szCs w:val="20"/>
                <w:lang w:eastAsia="lv-LV"/>
              </w:rPr>
            </w:pPr>
            <w:r w:rsidRPr="00637924">
              <w:rPr>
                <w:rFonts w:eastAsia="Times New Roman" w:cs="Times New Roman"/>
                <w:b/>
                <w:sz w:val="20"/>
                <w:szCs w:val="20"/>
                <w:lang w:eastAsia="lv-LV"/>
              </w:rPr>
              <w:t>107,6</w:t>
            </w:r>
          </w:p>
        </w:tc>
        <w:tc>
          <w:tcPr>
            <w:tcW w:w="879" w:type="dxa"/>
            <w:tcBorders>
              <w:top w:val="single" w:sz="4" w:space="0" w:color="auto"/>
              <w:left w:val="nil"/>
              <w:right w:val="single" w:sz="4" w:space="0" w:color="auto"/>
            </w:tcBorders>
            <w:shd w:val="clear" w:color="auto" w:fill="auto"/>
            <w:noWrap/>
            <w:vAlign w:val="bottom"/>
            <w:hideMark/>
          </w:tcPr>
          <w:p w:rsidR="006247F6" w:rsidRPr="00637924" w:rsidRDefault="006247F6" w:rsidP="005C7D14">
            <w:pPr>
              <w:spacing w:after="0"/>
              <w:ind w:firstLine="0"/>
              <w:jc w:val="center"/>
              <w:rPr>
                <w:rFonts w:eastAsia="Times New Roman" w:cs="Times New Roman"/>
                <w:b/>
                <w:sz w:val="20"/>
                <w:szCs w:val="20"/>
                <w:lang w:eastAsia="lv-LV"/>
              </w:rPr>
            </w:pPr>
            <w:r w:rsidRPr="00637924">
              <w:rPr>
                <w:rFonts w:eastAsia="Times New Roman" w:cs="Times New Roman"/>
                <w:b/>
                <w:sz w:val="20"/>
                <w:szCs w:val="20"/>
                <w:lang w:eastAsia="lv-LV"/>
              </w:rPr>
              <w:t>94,1</w:t>
            </w:r>
          </w:p>
        </w:tc>
        <w:tc>
          <w:tcPr>
            <w:tcW w:w="879" w:type="dxa"/>
            <w:tcBorders>
              <w:top w:val="single" w:sz="4" w:space="0" w:color="auto"/>
              <w:left w:val="nil"/>
              <w:right w:val="single" w:sz="4" w:space="0" w:color="auto"/>
            </w:tcBorders>
            <w:shd w:val="clear" w:color="auto" w:fill="auto"/>
            <w:noWrap/>
            <w:vAlign w:val="bottom"/>
            <w:hideMark/>
          </w:tcPr>
          <w:p w:rsidR="006247F6" w:rsidRPr="00637924" w:rsidRDefault="006247F6" w:rsidP="005C7D14">
            <w:pPr>
              <w:spacing w:after="0"/>
              <w:ind w:firstLine="0"/>
              <w:jc w:val="center"/>
              <w:rPr>
                <w:rFonts w:eastAsia="Times New Roman" w:cs="Times New Roman"/>
                <w:b/>
                <w:sz w:val="20"/>
                <w:szCs w:val="20"/>
                <w:lang w:eastAsia="lv-LV"/>
              </w:rPr>
            </w:pPr>
            <w:r w:rsidRPr="00637924">
              <w:rPr>
                <w:rFonts w:eastAsia="Times New Roman" w:cs="Times New Roman"/>
                <w:b/>
                <w:sz w:val="20"/>
                <w:szCs w:val="20"/>
                <w:lang w:eastAsia="lv-LV"/>
              </w:rPr>
              <w:t>20,9</w:t>
            </w:r>
          </w:p>
        </w:tc>
      </w:tr>
      <w:tr w:rsidR="006247F6" w:rsidRPr="008A19B2" w:rsidTr="000C2E3B">
        <w:trPr>
          <w:trHeight w:val="345"/>
        </w:trPr>
        <w:tc>
          <w:tcPr>
            <w:tcW w:w="2269" w:type="dxa"/>
            <w:tcBorders>
              <w:top w:val="nil"/>
              <w:left w:val="single" w:sz="4" w:space="0" w:color="auto"/>
              <w:right w:val="single" w:sz="4" w:space="0" w:color="auto"/>
            </w:tcBorders>
            <w:shd w:val="clear" w:color="auto" w:fill="auto"/>
            <w:vAlign w:val="bottom"/>
            <w:hideMark/>
          </w:tcPr>
          <w:p w:rsidR="006247F6" w:rsidRPr="008A19B2" w:rsidRDefault="006247F6" w:rsidP="005C7D14">
            <w:pPr>
              <w:spacing w:after="0"/>
              <w:ind w:firstLine="0"/>
              <w:jc w:val="left"/>
              <w:rPr>
                <w:rFonts w:eastAsia="Times New Roman" w:cs="Times New Roman"/>
                <w:sz w:val="20"/>
                <w:szCs w:val="20"/>
                <w:lang w:eastAsia="lv-LV"/>
              </w:rPr>
            </w:pPr>
            <w:r w:rsidRPr="008A19B2">
              <w:rPr>
                <w:rFonts w:eastAsia="Times New Roman" w:cs="Times New Roman"/>
                <w:sz w:val="20"/>
                <w:szCs w:val="20"/>
                <w:lang w:eastAsia="lv-LV"/>
              </w:rPr>
              <w:t>Atlīdzība</w:t>
            </w:r>
          </w:p>
        </w:tc>
        <w:tc>
          <w:tcPr>
            <w:tcW w:w="1134" w:type="dxa"/>
            <w:tcBorders>
              <w:top w:val="nil"/>
              <w:left w:val="nil"/>
              <w:right w:val="single" w:sz="4" w:space="0" w:color="auto"/>
            </w:tcBorders>
            <w:shd w:val="clear" w:color="auto" w:fill="auto"/>
            <w:noWrap/>
            <w:vAlign w:val="bottom"/>
            <w:hideMark/>
          </w:tcPr>
          <w:p w:rsidR="006247F6" w:rsidRPr="008A19B2" w:rsidRDefault="006247F6" w:rsidP="005C7D14">
            <w:pPr>
              <w:spacing w:after="0"/>
              <w:ind w:firstLine="0"/>
              <w:jc w:val="right"/>
              <w:rPr>
                <w:rFonts w:eastAsia="Times New Roman" w:cs="Times New Roman"/>
                <w:sz w:val="20"/>
                <w:szCs w:val="20"/>
                <w:lang w:eastAsia="lv-LV"/>
              </w:rPr>
            </w:pPr>
            <w:r w:rsidRPr="008A19B2">
              <w:rPr>
                <w:rFonts w:eastAsia="Times New Roman" w:cs="Times New Roman"/>
                <w:sz w:val="20"/>
                <w:szCs w:val="20"/>
                <w:lang w:eastAsia="lv-LV"/>
              </w:rPr>
              <w:t>154 563</w:t>
            </w:r>
          </w:p>
        </w:tc>
        <w:tc>
          <w:tcPr>
            <w:tcW w:w="1134" w:type="dxa"/>
            <w:tcBorders>
              <w:top w:val="nil"/>
              <w:left w:val="nil"/>
              <w:right w:val="single" w:sz="4" w:space="0" w:color="auto"/>
            </w:tcBorders>
            <w:shd w:val="clear" w:color="auto" w:fill="auto"/>
            <w:noWrap/>
            <w:vAlign w:val="bottom"/>
            <w:hideMark/>
          </w:tcPr>
          <w:p w:rsidR="006247F6" w:rsidRPr="008A19B2" w:rsidRDefault="006247F6" w:rsidP="005C7D14">
            <w:pPr>
              <w:spacing w:after="0"/>
              <w:ind w:firstLine="0"/>
              <w:jc w:val="right"/>
              <w:rPr>
                <w:rFonts w:eastAsia="Times New Roman" w:cs="Times New Roman"/>
                <w:sz w:val="20"/>
                <w:szCs w:val="20"/>
                <w:lang w:eastAsia="lv-LV"/>
              </w:rPr>
            </w:pPr>
            <w:r w:rsidRPr="008A19B2">
              <w:rPr>
                <w:rFonts w:eastAsia="Times New Roman" w:cs="Times New Roman"/>
                <w:sz w:val="20"/>
                <w:szCs w:val="20"/>
                <w:lang w:eastAsia="lv-LV"/>
              </w:rPr>
              <w:t>179 694</w:t>
            </w:r>
          </w:p>
        </w:tc>
        <w:tc>
          <w:tcPr>
            <w:tcW w:w="1134" w:type="dxa"/>
            <w:tcBorders>
              <w:top w:val="nil"/>
              <w:left w:val="nil"/>
              <w:right w:val="single" w:sz="4" w:space="0" w:color="auto"/>
            </w:tcBorders>
            <w:shd w:val="clear" w:color="auto" w:fill="auto"/>
            <w:noWrap/>
            <w:vAlign w:val="bottom"/>
            <w:hideMark/>
          </w:tcPr>
          <w:p w:rsidR="006247F6" w:rsidRPr="008A19B2" w:rsidRDefault="006247F6" w:rsidP="005C7D14">
            <w:pPr>
              <w:spacing w:after="0"/>
              <w:ind w:firstLine="0"/>
              <w:jc w:val="right"/>
              <w:rPr>
                <w:rFonts w:eastAsia="Times New Roman" w:cs="Times New Roman"/>
                <w:sz w:val="20"/>
                <w:szCs w:val="20"/>
                <w:lang w:eastAsia="lv-LV"/>
              </w:rPr>
            </w:pPr>
            <w:r w:rsidRPr="008A19B2">
              <w:rPr>
                <w:rFonts w:eastAsia="Times New Roman" w:cs="Times New Roman"/>
                <w:sz w:val="20"/>
                <w:szCs w:val="20"/>
                <w:lang w:eastAsia="lv-LV"/>
              </w:rPr>
              <w:t>173 872</w:t>
            </w:r>
          </w:p>
        </w:tc>
        <w:tc>
          <w:tcPr>
            <w:tcW w:w="1083" w:type="dxa"/>
            <w:tcBorders>
              <w:top w:val="nil"/>
              <w:left w:val="nil"/>
              <w:right w:val="single" w:sz="4" w:space="0" w:color="auto"/>
            </w:tcBorders>
            <w:shd w:val="clear" w:color="auto" w:fill="auto"/>
            <w:noWrap/>
            <w:vAlign w:val="bottom"/>
            <w:hideMark/>
          </w:tcPr>
          <w:p w:rsidR="006247F6" w:rsidRPr="008A19B2" w:rsidRDefault="006247F6" w:rsidP="005C7D14">
            <w:pPr>
              <w:spacing w:after="0"/>
              <w:ind w:firstLine="0"/>
              <w:jc w:val="right"/>
              <w:rPr>
                <w:rFonts w:eastAsia="Times New Roman" w:cs="Times New Roman"/>
                <w:sz w:val="20"/>
                <w:szCs w:val="20"/>
                <w:lang w:eastAsia="lv-LV"/>
              </w:rPr>
            </w:pPr>
            <w:r w:rsidRPr="008A19B2">
              <w:rPr>
                <w:rFonts w:eastAsia="Times New Roman" w:cs="Times New Roman"/>
                <w:sz w:val="20"/>
                <w:szCs w:val="20"/>
                <w:lang w:eastAsia="lv-LV"/>
              </w:rPr>
              <w:t>800 561</w:t>
            </w:r>
          </w:p>
        </w:tc>
        <w:tc>
          <w:tcPr>
            <w:tcW w:w="879" w:type="dxa"/>
            <w:tcBorders>
              <w:top w:val="nil"/>
              <w:left w:val="nil"/>
              <w:right w:val="single" w:sz="4" w:space="0" w:color="auto"/>
            </w:tcBorders>
            <w:shd w:val="clear" w:color="auto" w:fill="auto"/>
            <w:noWrap/>
            <w:vAlign w:val="bottom"/>
            <w:hideMark/>
          </w:tcPr>
          <w:p w:rsidR="006247F6" w:rsidRPr="008A19B2" w:rsidRDefault="006247F6" w:rsidP="005C7D14">
            <w:pPr>
              <w:spacing w:after="0"/>
              <w:ind w:firstLine="0"/>
              <w:jc w:val="center"/>
              <w:rPr>
                <w:rFonts w:eastAsia="Times New Roman" w:cs="Times New Roman"/>
                <w:sz w:val="20"/>
                <w:szCs w:val="20"/>
                <w:lang w:eastAsia="lv-LV"/>
              </w:rPr>
            </w:pPr>
            <w:r w:rsidRPr="008A19B2">
              <w:rPr>
                <w:rFonts w:eastAsia="Times New Roman" w:cs="Times New Roman"/>
                <w:sz w:val="20"/>
                <w:szCs w:val="20"/>
                <w:lang w:eastAsia="lv-LV"/>
              </w:rPr>
              <w:t>112,5</w:t>
            </w:r>
          </w:p>
        </w:tc>
        <w:tc>
          <w:tcPr>
            <w:tcW w:w="879" w:type="dxa"/>
            <w:tcBorders>
              <w:top w:val="nil"/>
              <w:left w:val="nil"/>
              <w:right w:val="single" w:sz="4" w:space="0" w:color="auto"/>
            </w:tcBorders>
            <w:shd w:val="clear" w:color="auto" w:fill="auto"/>
            <w:noWrap/>
            <w:vAlign w:val="bottom"/>
            <w:hideMark/>
          </w:tcPr>
          <w:p w:rsidR="006247F6" w:rsidRPr="008A19B2" w:rsidRDefault="006247F6" w:rsidP="005C7D14">
            <w:pPr>
              <w:spacing w:after="0"/>
              <w:ind w:firstLine="0"/>
              <w:jc w:val="center"/>
              <w:rPr>
                <w:rFonts w:eastAsia="Times New Roman" w:cs="Times New Roman"/>
                <w:sz w:val="20"/>
                <w:szCs w:val="20"/>
                <w:lang w:eastAsia="lv-LV"/>
              </w:rPr>
            </w:pPr>
            <w:r w:rsidRPr="008A19B2">
              <w:rPr>
                <w:rFonts w:eastAsia="Times New Roman" w:cs="Times New Roman"/>
                <w:sz w:val="20"/>
                <w:szCs w:val="20"/>
                <w:lang w:eastAsia="lv-LV"/>
              </w:rPr>
              <w:t>96,8</w:t>
            </w:r>
          </w:p>
        </w:tc>
        <w:tc>
          <w:tcPr>
            <w:tcW w:w="879" w:type="dxa"/>
            <w:tcBorders>
              <w:top w:val="nil"/>
              <w:left w:val="nil"/>
              <w:right w:val="single" w:sz="4" w:space="0" w:color="auto"/>
            </w:tcBorders>
            <w:shd w:val="clear" w:color="auto" w:fill="auto"/>
            <w:noWrap/>
            <w:vAlign w:val="bottom"/>
            <w:hideMark/>
          </w:tcPr>
          <w:p w:rsidR="006247F6" w:rsidRPr="008A19B2" w:rsidRDefault="006247F6" w:rsidP="005C7D14">
            <w:pPr>
              <w:spacing w:after="0"/>
              <w:ind w:firstLine="0"/>
              <w:jc w:val="center"/>
              <w:rPr>
                <w:rFonts w:eastAsia="Times New Roman" w:cs="Times New Roman"/>
                <w:sz w:val="20"/>
                <w:szCs w:val="20"/>
                <w:lang w:eastAsia="lv-LV"/>
              </w:rPr>
            </w:pPr>
            <w:r w:rsidRPr="008A19B2">
              <w:rPr>
                <w:rFonts w:eastAsia="Times New Roman" w:cs="Times New Roman"/>
                <w:sz w:val="20"/>
                <w:szCs w:val="20"/>
                <w:lang w:eastAsia="lv-LV"/>
              </w:rPr>
              <w:t>21,7</w:t>
            </w:r>
          </w:p>
        </w:tc>
      </w:tr>
      <w:tr w:rsidR="006247F6" w:rsidRPr="008A19B2" w:rsidTr="000C2E3B">
        <w:trPr>
          <w:trHeight w:val="255"/>
        </w:trPr>
        <w:tc>
          <w:tcPr>
            <w:tcW w:w="2269" w:type="dxa"/>
            <w:tcBorders>
              <w:top w:val="nil"/>
              <w:left w:val="single" w:sz="4" w:space="0" w:color="auto"/>
              <w:right w:val="single" w:sz="4" w:space="0" w:color="auto"/>
            </w:tcBorders>
            <w:shd w:val="clear" w:color="auto" w:fill="auto"/>
            <w:vAlign w:val="bottom"/>
            <w:hideMark/>
          </w:tcPr>
          <w:p w:rsidR="006247F6" w:rsidRPr="008A19B2" w:rsidRDefault="006247F6" w:rsidP="005C7D14">
            <w:pPr>
              <w:spacing w:after="0"/>
              <w:ind w:firstLine="0"/>
              <w:jc w:val="left"/>
              <w:rPr>
                <w:rFonts w:eastAsia="Times New Roman" w:cs="Times New Roman"/>
                <w:i/>
                <w:sz w:val="20"/>
                <w:szCs w:val="20"/>
                <w:lang w:eastAsia="lv-LV"/>
              </w:rPr>
            </w:pPr>
            <w:r w:rsidRPr="008A19B2">
              <w:rPr>
                <w:rFonts w:eastAsia="Times New Roman" w:cs="Times New Roman"/>
                <w:i/>
                <w:sz w:val="20"/>
                <w:szCs w:val="20"/>
                <w:lang w:eastAsia="lv-LV"/>
              </w:rPr>
              <w:t xml:space="preserve"> </w:t>
            </w:r>
            <w:r>
              <w:rPr>
                <w:rFonts w:eastAsia="Times New Roman" w:cs="Times New Roman"/>
                <w:i/>
                <w:sz w:val="20"/>
                <w:szCs w:val="20"/>
                <w:lang w:eastAsia="lv-LV"/>
              </w:rPr>
              <w:t xml:space="preserve">   </w:t>
            </w:r>
            <w:r w:rsidRPr="008A19B2">
              <w:rPr>
                <w:rFonts w:eastAsia="Times New Roman" w:cs="Times New Roman"/>
                <w:i/>
                <w:sz w:val="20"/>
                <w:szCs w:val="20"/>
                <w:lang w:eastAsia="lv-LV"/>
              </w:rPr>
              <w:t>Atalgojums</w:t>
            </w:r>
          </w:p>
        </w:tc>
        <w:tc>
          <w:tcPr>
            <w:tcW w:w="1134" w:type="dxa"/>
            <w:tcBorders>
              <w:top w:val="nil"/>
              <w:left w:val="nil"/>
              <w:right w:val="single" w:sz="4" w:space="0" w:color="auto"/>
            </w:tcBorders>
            <w:shd w:val="clear" w:color="auto" w:fill="auto"/>
            <w:noWrap/>
            <w:vAlign w:val="bottom"/>
            <w:hideMark/>
          </w:tcPr>
          <w:p w:rsidR="006247F6" w:rsidRPr="008A19B2" w:rsidRDefault="006247F6" w:rsidP="005C7D14">
            <w:pPr>
              <w:spacing w:after="0"/>
              <w:ind w:firstLine="0"/>
              <w:jc w:val="right"/>
              <w:rPr>
                <w:rFonts w:eastAsia="Times New Roman" w:cs="Times New Roman"/>
                <w:i/>
                <w:sz w:val="20"/>
                <w:szCs w:val="20"/>
                <w:lang w:eastAsia="lv-LV"/>
              </w:rPr>
            </w:pPr>
            <w:r w:rsidRPr="008A19B2">
              <w:rPr>
                <w:rFonts w:eastAsia="Times New Roman" w:cs="Times New Roman"/>
                <w:i/>
                <w:sz w:val="20"/>
                <w:szCs w:val="20"/>
                <w:lang w:eastAsia="lv-LV"/>
              </w:rPr>
              <w:t>116 052</w:t>
            </w:r>
          </w:p>
        </w:tc>
        <w:tc>
          <w:tcPr>
            <w:tcW w:w="1134" w:type="dxa"/>
            <w:tcBorders>
              <w:top w:val="nil"/>
              <w:left w:val="nil"/>
              <w:right w:val="single" w:sz="4" w:space="0" w:color="auto"/>
            </w:tcBorders>
            <w:shd w:val="clear" w:color="auto" w:fill="auto"/>
            <w:noWrap/>
            <w:vAlign w:val="bottom"/>
            <w:hideMark/>
          </w:tcPr>
          <w:p w:rsidR="006247F6" w:rsidRPr="008A19B2" w:rsidRDefault="006247F6" w:rsidP="005C7D14">
            <w:pPr>
              <w:spacing w:after="0"/>
              <w:ind w:firstLine="0"/>
              <w:jc w:val="right"/>
              <w:rPr>
                <w:rFonts w:eastAsia="Times New Roman" w:cs="Times New Roman"/>
                <w:i/>
                <w:sz w:val="20"/>
                <w:szCs w:val="20"/>
                <w:lang w:eastAsia="lv-LV"/>
              </w:rPr>
            </w:pPr>
            <w:r w:rsidRPr="008A19B2">
              <w:rPr>
                <w:rFonts w:eastAsia="Times New Roman" w:cs="Times New Roman"/>
                <w:i/>
                <w:sz w:val="20"/>
                <w:szCs w:val="20"/>
                <w:lang w:eastAsia="lv-LV"/>
              </w:rPr>
              <w:t>133 673</w:t>
            </w:r>
          </w:p>
        </w:tc>
        <w:tc>
          <w:tcPr>
            <w:tcW w:w="1134" w:type="dxa"/>
            <w:tcBorders>
              <w:top w:val="nil"/>
              <w:left w:val="nil"/>
              <w:right w:val="single" w:sz="4" w:space="0" w:color="auto"/>
            </w:tcBorders>
            <w:shd w:val="clear" w:color="auto" w:fill="auto"/>
            <w:noWrap/>
            <w:vAlign w:val="bottom"/>
            <w:hideMark/>
          </w:tcPr>
          <w:p w:rsidR="006247F6" w:rsidRPr="008A19B2" w:rsidRDefault="006247F6" w:rsidP="005C7D14">
            <w:pPr>
              <w:spacing w:after="0"/>
              <w:ind w:firstLine="0"/>
              <w:jc w:val="right"/>
              <w:rPr>
                <w:rFonts w:eastAsia="Times New Roman" w:cs="Times New Roman"/>
                <w:i/>
                <w:sz w:val="20"/>
                <w:szCs w:val="20"/>
                <w:lang w:eastAsia="lv-LV"/>
              </w:rPr>
            </w:pPr>
            <w:r w:rsidRPr="008A19B2">
              <w:rPr>
                <w:rFonts w:eastAsia="Times New Roman" w:cs="Times New Roman"/>
                <w:i/>
                <w:sz w:val="20"/>
                <w:szCs w:val="20"/>
                <w:lang w:eastAsia="lv-LV"/>
              </w:rPr>
              <w:t>129 684</w:t>
            </w:r>
          </w:p>
        </w:tc>
        <w:tc>
          <w:tcPr>
            <w:tcW w:w="1083" w:type="dxa"/>
            <w:tcBorders>
              <w:top w:val="nil"/>
              <w:left w:val="nil"/>
              <w:right w:val="single" w:sz="4" w:space="0" w:color="auto"/>
            </w:tcBorders>
            <w:shd w:val="clear" w:color="auto" w:fill="auto"/>
            <w:noWrap/>
            <w:vAlign w:val="bottom"/>
            <w:hideMark/>
          </w:tcPr>
          <w:p w:rsidR="006247F6" w:rsidRPr="008A19B2" w:rsidRDefault="006247F6" w:rsidP="005C7D14">
            <w:pPr>
              <w:spacing w:after="0"/>
              <w:ind w:firstLine="0"/>
              <w:jc w:val="right"/>
              <w:rPr>
                <w:rFonts w:eastAsia="Times New Roman" w:cs="Times New Roman"/>
                <w:i/>
                <w:sz w:val="20"/>
                <w:szCs w:val="20"/>
                <w:lang w:eastAsia="lv-LV"/>
              </w:rPr>
            </w:pPr>
            <w:r w:rsidRPr="008A19B2">
              <w:rPr>
                <w:rFonts w:eastAsia="Times New Roman" w:cs="Times New Roman"/>
                <w:i/>
                <w:sz w:val="20"/>
                <w:szCs w:val="20"/>
                <w:lang w:eastAsia="lv-LV"/>
              </w:rPr>
              <w:t>599 936</w:t>
            </w:r>
          </w:p>
        </w:tc>
        <w:tc>
          <w:tcPr>
            <w:tcW w:w="879" w:type="dxa"/>
            <w:tcBorders>
              <w:top w:val="nil"/>
              <w:left w:val="nil"/>
              <w:right w:val="single" w:sz="4" w:space="0" w:color="auto"/>
            </w:tcBorders>
            <w:shd w:val="clear" w:color="auto" w:fill="auto"/>
            <w:noWrap/>
            <w:vAlign w:val="bottom"/>
            <w:hideMark/>
          </w:tcPr>
          <w:p w:rsidR="006247F6" w:rsidRPr="008A19B2" w:rsidRDefault="006247F6" w:rsidP="005C7D14">
            <w:pPr>
              <w:spacing w:after="0"/>
              <w:ind w:firstLine="0"/>
              <w:jc w:val="center"/>
              <w:rPr>
                <w:rFonts w:eastAsia="Times New Roman" w:cs="Times New Roman"/>
                <w:i/>
                <w:sz w:val="20"/>
                <w:szCs w:val="20"/>
                <w:lang w:eastAsia="lv-LV"/>
              </w:rPr>
            </w:pPr>
            <w:r w:rsidRPr="008A19B2">
              <w:rPr>
                <w:rFonts w:eastAsia="Times New Roman" w:cs="Times New Roman"/>
                <w:i/>
                <w:sz w:val="20"/>
                <w:szCs w:val="20"/>
                <w:lang w:eastAsia="lv-LV"/>
              </w:rPr>
              <w:t>111,7</w:t>
            </w:r>
          </w:p>
        </w:tc>
        <w:tc>
          <w:tcPr>
            <w:tcW w:w="879" w:type="dxa"/>
            <w:tcBorders>
              <w:top w:val="nil"/>
              <w:left w:val="nil"/>
              <w:right w:val="single" w:sz="4" w:space="0" w:color="auto"/>
            </w:tcBorders>
            <w:shd w:val="clear" w:color="auto" w:fill="auto"/>
            <w:noWrap/>
            <w:vAlign w:val="bottom"/>
            <w:hideMark/>
          </w:tcPr>
          <w:p w:rsidR="006247F6" w:rsidRPr="008A19B2" w:rsidRDefault="006247F6" w:rsidP="005C7D14">
            <w:pPr>
              <w:spacing w:after="0"/>
              <w:ind w:firstLine="0"/>
              <w:jc w:val="center"/>
              <w:rPr>
                <w:rFonts w:eastAsia="Times New Roman" w:cs="Times New Roman"/>
                <w:i/>
                <w:sz w:val="20"/>
                <w:szCs w:val="20"/>
                <w:lang w:eastAsia="lv-LV"/>
              </w:rPr>
            </w:pPr>
            <w:r w:rsidRPr="008A19B2">
              <w:rPr>
                <w:rFonts w:eastAsia="Times New Roman" w:cs="Times New Roman"/>
                <w:i/>
                <w:sz w:val="20"/>
                <w:szCs w:val="20"/>
                <w:lang w:eastAsia="lv-LV"/>
              </w:rPr>
              <w:t>97,0</w:t>
            </w:r>
          </w:p>
        </w:tc>
        <w:tc>
          <w:tcPr>
            <w:tcW w:w="879" w:type="dxa"/>
            <w:tcBorders>
              <w:top w:val="nil"/>
              <w:left w:val="nil"/>
              <w:right w:val="single" w:sz="4" w:space="0" w:color="auto"/>
            </w:tcBorders>
            <w:shd w:val="clear" w:color="auto" w:fill="auto"/>
            <w:noWrap/>
            <w:vAlign w:val="bottom"/>
            <w:hideMark/>
          </w:tcPr>
          <w:p w:rsidR="006247F6" w:rsidRPr="008A19B2" w:rsidRDefault="006247F6" w:rsidP="005C7D14">
            <w:pPr>
              <w:spacing w:after="0"/>
              <w:ind w:firstLine="0"/>
              <w:jc w:val="center"/>
              <w:rPr>
                <w:rFonts w:eastAsia="Times New Roman" w:cs="Times New Roman"/>
                <w:i/>
                <w:sz w:val="20"/>
                <w:szCs w:val="20"/>
                <w:lang w:eastAsia="lv-LV"/>
              </w:rPr>
            </w:pPr>
            <w:r w:rsidRPr="008A19B2">
              <w:rPr>
                <w:rFonts w:eastAsia="Times New Roman" w:cs="Times New Roman"/>
                <w:i/>
                <w:sz w:val="20"/>
                <w:szCs w:val="20"/>
                <w:lang w:eastAsia="lv-LV"/>
              </w:rPr>
              <w:t>21,6</w:t>
            </w:r>
          </w:p>
        </w:tc>
      </w:tr>
      <w:tr w:rsidR="006247F6" w:rsidRPr="008A19B2" w:rsidTr="000C2E3B">
        <w:trPr>
          <w:trHeight w:val="510"/>
        </w:trPr>
        <w:tc>
          <w:tcPr>
            <w:tcW w:w="2269" w:type="dxa"/>
            <w:tcBorders>
              <w:top w:val="nil"/>
              <w:left w:val="single" w:sz="4" w:space="0" w:color="auto"/>
              <w:right w:val="single" w:sz="4" w:space="0" w:color="auto"/>
            </w:tcBorders>
            <w:shd w:val="clear" w:color="auto" w:fill="auto"/>
            <w:vAlign w:val="bottom"/>
            <w:hideMark/>
          </w:tcPr>
          <w:p w:rsidR="006247F6" w:rsidRPr="008A19B2" w:rsidRDefault="006247F6" w:rsidP="005C7D14">
            <w:pPr>
              <w:spacing w:after="0"/>
              <w:ind w:firstLine="0"/>
              <w:jc w:val="left"/>
              <w:rPr>
                <w:rFonts w:eastAsia="Times New Roman" w:cs="Times New Roman"/>
                <w:i/>
                <w:sz w:val="20"/>
                <w:szCs w:val="20"/>
                <w:lang w:eastAsia="lv-LV"/>
              </w:rPr>
            </w:pPr>
            <w:r>
              <w:rPr>
                <w:rFonts w:eastAsia="Times New Roman" w:cs="Times New Roman"/>
                <w:i/>
                <w:sz w:val="20"/>
                <w:szCs w:val="20"/>
                <w:lang w:eastAsia="lv-LV"/>
              </w:rPr>
              <w:t xml:space="preserve">    </w:t>
            </w:r>
            <w:r w:rsidRPr="008A19B2">
              <w:rPr>
                <w:rFonts w:eastAsia="Times New Roman" w:cs="Times New Roman"/>
                <w:i/>
                <w:sz w:val="20"/>
                <w:szCs w:val="20"/>
                <w:lang w:eastAsia="lv-LV"/>
              </w:rPr>
              <w:t>Darba devēja valsts sociālās apdrošināšanas obligātās iemaksas, pabalsti un kompensācijas</w:t>
            </w:r>
          </w:p>
        </w:tc>
        <w:tc>
          <w:tcPr>
            <w:tcW w:w="1134" w:type="dxa"/>
            <w:tcBorders>
              <w:top w:val="nil"/>
              <w:left w:val="nil"/>
              <w:right w:val="single" w:sz="4" w:space="0" w:color="auto"/>
            </w:tcBorders>
            <w:shd w:val="clear" w:color="auto" w:fill="auto"/>
            <w:noWrap/>
            <w:vAlign w:val="bottom"/>
            <w:hideMark/>
          </w:tcPr>
          <w:p w:rsidR="006247F6" w:rsidRPr="008A19B2" w:rsidRDefault="006247F6" w:rsidP="005C7D14">
            <w:pPr>
              <w:spacing w:after="0"/>
              <w:ind w:firstLine="0"/>
              <w:jc w:val="right"/>
              <w:rPr>
                <w:rFonts w:eastAsia="Times New Roman" w:cs="Times New Roman"/>
                <w:i/>
                <w:sz w:val="20"/>
                <w:szCs w:val="20"/>
                <w:lang w:eastAsia="lv-LV"/>
              </w:rPr>
            </w:pPr>
            <w:r w:rsidRPr="008A19B2">
              <w:rPr>
                <w:rFonts w:eastAsia="Times New Roman" w:cs="Times New Roman"/>
                <w:i/>
                <w:sz w:val="20"/>
                <w:szCs w:val="20"/>
                <w:lang w:eastAsia="lv-LV"/>
              </w:rPr>
              <w:t>38 511</w:t>
            </w:r>
          </w:p>
        </w:tc>
        <w:tc>
          <w:tcPr>
            <w:tcW w:w="1134" w:type="dxa"/>
            <w:tcBorders>
              <w:top w:val="nil"/>
              <w:left w:val="nil"/>
              <w:right w:val="single" w:sz="4" w:space="0" w:color="auto"/>
            </w:tcBorders>
            <w:shd w:val="clear" w:color="auto" w:fill="auto"/>
            <w:noWrap/>
            <w:vAlign w:val="bottom"/>
            <w:hideMark/>
          </w:tcPr>
          <w:p w:rsidR="006247F6" w:rsidRPr="008A19B2" w:rsidRDefault="006247F6" w:rsidP="005C7D14">
            <w:pPr>
              <w:spacing w:after="0"/>
              <w:ind w:firstLine="0"/>
              <w:jc w:val="right"/>
              <w:rPr>
                <w:rFonts w:eastAsia="Times New Roman" w:cs="Times New Roman"/>
                <w:i/>
                <w:sz w:val="20"/>
                <w:szCs w:val="20"/>
                <w:lang w:eastAsia="lv-LV"/>
              </w:rPr>
            </w:pPr>
            <w:r w:rsidRPr="008A19B2">
              <w:rPr>
                <w:rFonts w:eastAsia="Times New Roman" w:cs="Times New Roman"/>
                <w:i/>
                <w:sz w:val="20"/>
                <w:szCs w:val="20"/>
                <w:lang w:eastAsia="lv-LV"/>
              </w:rPr>
              <w:t> </w:t>
            </w:r>
          </w:p>
        </w:tc>
        <w:tc>
          <w:tcPr>
            <w:tcW w:w="1134" w:type="dxa"/>
            <w:tcBorders>
              <w:top w:val="nil"/>
              <w:left w:val="nil"/>
              <w:right w:val="single" w:sz="4" w:space="0" w:color="auto"/>
            </w:tcBorders>
            <w:shd w:val="clear" w:color="auto" w:fill="auto"/>
            <w:noWrap/>
            <w:vAlign w:val="bottom"/>
            <w:hideMark/>
          </w:tcPr>
          <w:p w:rsidR="006247F6" w:rsidRPr="008A19B2" w:rsidRDefault="006247F6" w:rsidP="005C7D14">
            <w:pPr>
              <w:spacing w:after="0"/>
              <w:ind w:firstLine="0"/>
              <w:jc w:val="right"/>
              <w:rPr>
                <w:rFonts w:eastAsia="Times New Roman" w:cs="Times New Roman"/>
                <w:i/>
                <w:sz w:val="20"/>
                <w:szCs w:val="20"/>
                <w:lang w:eastAsia="lv-LV"/>
              </w:rPr>
            </w:pPr>
            <w:r w:rsidRPr="008A19B2">
              <w:rPr>
                <w:rFonts w:eastAsia="Times New Roman" w:cs="Times New Roman"/>
                <w:i/>
                <w:sz w:val="20"/>
                <w:szCs w:val="20"/>
                <w:lang w:eastAsia="lv-LV"/>
              </w:rPr>
              <w:t>44 188</w:t>
            </w:r>
          </w:p>
        </w:tc>
        <w:tc>
          <w:tcPr>
            <w:tcW w:w="1083" w:type="dxa"/>
            <w:tcBorders>
              <w:top w:val="nil"/>
              <w:left w:val="nil"/>
              <w:right w:val="single" w:sz="4" w:space="0" w:color="auto"/>
            </w:tcBorders>
            <w:shd w:val="clear" w:color="auto" w:fill="auto"/>
            <w:noWrap/>
            <w:vAlign w:val="bottom"/>
            <w:hideMark/>
          </w:tcPr>
          <w:p w:rsidR="006247F6" w:rsidRPr="008A19B2" w:rsidRDefault="006247F6" w:rsidP="005C7D14">
            <w:pPr>
              <w:spacing w:after="0"/>
              <w:ind w:firstLine="0"/>
              <w:jc w:val="right"/>
              <w:rPr>
                <w:rFonts w:eastAsia="Times New Roman" w:cs="Times New Roman"/>
                <w:i/>
                <w:sz w:val="20"/>
                <w:szCs w:val="20"/>
                <w:lang w:eastAsia="lv-LV"/>
              </w:rPr>
            </w:pPr>
            <w:r w:rsidRPr="008A19B2">
              <w:rPr>
                <w:rFonts w:eastAsia="Times New Roman" w:cs="Times New Roman"/>
                <w:i/>
                <w:sz w:val="20"/>
                <w:szCs w:val="20"/>
                <w:lang w:eastAsia="lv-LV"/>
              </w:rPr>
              <w:t> </w:t>
            </w:r>
          </w:p>
        </w:tc>
        <w:tc>
          <w:tcPr>
            <w:tcW w:w="879" w:type="dxa"/>
            <w:tcBorders>
              <w:top w:val="nil"/>
              <w:left w:val="nil"/>
              <w:right w:val="single" w:sz="4" w:space="0" w:color="auto"/>
            </w:tcBorders>
            <w:shd w:val="clear" w:color="auto" w:fill="auto"/>
            <w:noWrap/>
            <w:vAlign w:val="bottom"/>
            <w:hideMark/>
          </w:tcPr>
          <w:p w:rsidR="006247F6" w:rsidRPr="008A19B2" w:rsidRDefault="006247F6" w:rsidP="005C7D14">
            <w:pPr>
              <w:spacing w:after="0"/>
              <w:ind w:firstLine="0"/>
              <w:jc w:val="center"/>
              <w:rPr>
                <w:rFonts w:eastAsia="Times New Roman" w:cs="Times New Roman"/>
                <w:i/>
                <w:sz w:val="20"/>
                <w:szCs w:val="20"/>
                <w:lang w:eastAsia="lv-LV"/>
              </w:rPr>
            </w:pPr>
            <w:r w:rsidRPr="008A19B2">
              <w:rPr>
                <w:rFonts w:eastAsia="Times New Roman" w:cs="Times New Roman"/>
                <w:i/>
                <w:sz w:val="20"/>
                <w:szCs w:val="20"/>
                <w:lang w:eastAsia="lv-LV"/>
              </w:rPr>
              <w:t>114,7</w:t>
            </w:r>
          </w:p>
        </w:tc>
        <w:tc>
          <w:tcPr>
            <w:tcW w:w="879" w:type="dxa"/>
            <w:tcBorders>
              <w:top w:val="nil"/>
              <w:left w:val="nil"/>
              <w:right w:val="single" w:sz="4" w:space="0" w:color="auto"/>
            </w:tcBorders>
            <w:shd w:val="clear" w:color="auto" w:fill="auto"/>
            <w:noWrap/>
            <w:vAlign w:val="bottom"/>
            <w:hideMark/>
          </w:tcPr>
          <w:p w:rsidR="006247F6" w:rsidRPr="008A19B2" w:rsidRDefault="006247F6" w:rsidP="005C7D14">
            <w:pPr>
              <w:spacing w:after="0"/>
              <w:ind w:firstLine="0"/>
              <w:jc w:val="center"/>
              <w:rPr>
                <w:rFonts w:eastAsia="Times New Roman" w:cs="Times New Roman"/>
                <w:i/>
                <w:sz w:val="20"/>
                <w:szCs w:val="20"/>
                <w:lang w:eastAsia="lv-LV"/>
              </w:rPr>
            </w:pPr>
            <w:r w:rsidRPr="008A19B2">
              <w:rPr>
                <w:rFonts w:eastAsia="Times New Roman" w:cs="Times New Roman"/>
                <w:i/>
                <w:sz w:val="20"/>
                <w:szCs w:val="20"/>
                <w:lang w:eastAsia="lv-LV"/>
              </w:rPr>
              <w:t> </w:t>
            </w:r>
          </w:p>
        </w:tc>
        <w:tc>
          <w:tcPr>
            <w:tcW w:w="879" w:type="dxa"/>
            <w:tcBorders>
              <w:top w:val="nil"/>
              <w:left w:val="nil"/>
              <w:right w:val="single" w:sz="4" w:space="0" w:color="auto"/>
            </w:tcBorders>
            <w:shd w:val="clear" w:color="auto" w:fill="auto"/>
            <w:noWrap/>
            <w:vAlign w:val="bottom"/>
            <w:hideMark/>
          </w:tcPr>
          <w:p w:rsidR="006247F6" w:rsidRPr="008A19B2" w:rsidRDefault="006247F6" w:rsidP="005C7D14">
            <w:pPr>
              <w:spacing w:after="0"/>
              <w:ind w:firstLine="0"/>
              <w:jc w:val="center"/>
              <w:rPr>
                <w:rFonts w:eastAsia="Times New Roman" w:cs="Times New Roman"/>
                <w:i/>
                <w:sz w:val="20"/>
                <w:szCs w:val="20"/>
                <w:lang w:eastAsia="lv-LV"/>
              </w:rPr>
            </w:pPr>
            <w:r w:rsidRPr="008A19B2">
              <w:rPr>
                <w:rFonts w:eastAsia="Times New Roman" w:cs="Times New Roman"/>
                <w:i/>
                <w:sz w:val="20"/>
                <w:szCs w:val="20"/>
                <w:lang w:eastAsia="lv-LV"/>
              </w:rPr>
              <w:t> </w:t>
            </w:r>
          </w:p>
        </w:tc>
      </w:tr>
      <w:tr w:rsidR="006247F6" w:rsidRPr="008A19B2" w:rsidTr="000C2E3B">
        <w:trPr>
          <w:trHeight w:val="270"/>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6247F6" w:rsidRPr="008A19B2" w:rsidRDefault="006247F6" w:rsidP="005C7D14">
            <w:pPr>
              <w:spacing w:after="0"/>
              <w:ind w:firstLine="0"/>
              <w:jc w:val="left"/>
              <w:rPr>
                <w:rFonts w:eastAsia="Times New Roman" w:cs="Times New Roman"/>
                <w:sz w:val="20"/>
                <w:szCs w:val="20"/>
                <w:lang w:eastAsia="lv-LV"/>
              </w:rPr>
            </w:pPr>
            <w:r w:rsidRPr="008A19B2">
              <w:rPr>
                <w:rFonts w:eastAsia="Times New Roman" w:cs="Times New Roman"/>
                <w:sz w:val="20"/>
                <w:szCs w:val="20"/>
                <w:lang w:eastAsia="lv-LV"/>
              </w:rPr>
              <w:t>Preces un pakalpojumi</w:t>
            </w:r>
          </w:p>
        </w:tc>
        <w:tc>
          <w:tcPr>
            <w:tcW w:w="1134" w:type="dxa"/>
            <w:tcBorders>
              <w:top w:val="nil"/>
              <w:left w:val="nil"/>
              <w:bottom w:val="single" w:sz="4" w:space="0" w:color="auto"/>
              <w:right w:val="single" w:sz="4" w:space="0" w:color="auto"/>
            </w:tcBorders>
            <w:shd w:val="clear" w:color="auto" w:fill="auto"/>
            <w:noWrap/>
            <w:vAlign w:val="bottom"/>
            <w:hideMark/>
          </w:tcPr>
          <w:p w:rsidR="006247F6" w:rsidRPr="008A19B2" w:rsidRDefault="006247F6" w:rsidP="005C7D14">
            <w:pPr>
              <w:spacing w:after="0"/>
              <w:ind w:firstLine="0"/>
              <w:jc w:val="right"/>
              <w:rPr>
                <w:rFonts w:eastAsia="Times New Roman" w:cs="Times New Roman"/>
                <w:sz w:val="20"/>
                <w:szCs w:val="20"/>
                <w:lang w:eastAsia="lv-LV"/>
              </w:rPr>
            </w:pPr>
            <w:r w:rsidRPr="008A19B2">
              <w:rPr>
                <w:rFonts w:eastAsia="Times New Roman" w:cs="Times New Roman"/>
                <w:sz w:val="20"/>
                <w:szCs w:val="20"/>
                <w:lang w:eastAsia="lv-LV"/>
              </w:rPr>
              <w:t>116 469</w:t>
            </w:r>
          </w:p>
        </w:tc>
        <w:tc>
          <w:tcPr>
            <w:tcW w:w="1134" w:type="dxa"/>
            <w:tcBorders>
              <w:top w:val="nil"/>
              <w:left w:val="nil"/>
              <w:bottom w:val="single" w:sz="4" w:space="0" w:color="auto"/>
              <w:right w:val="single" w:sz="4" w:space="0" w:color="auto"/>
            </w:tcBorders>
            <w:shd w:val="clear" w:color="auto" w:fill="auto"/>
            <w:noWrap/>
            <w:vAlign w:val="bottom"/>
            <w:hideMark/>
          </w:tcPr>
          <w:p w:rsidR="006247F6" w:rsidRPr="008A19B2" w:rsidRDefault="006247F6" w:rsidP="005C7D14">
            <w:pPr>
              <w:spacing w:after="0"/>
              <w:ind w:firstLine="0"/>
              <w:jc w:val="right"/>
              <w:rPr>
                <w:rFonts w:eastAsia="Times New Roman" w:cs="Times New Roman"/>
                <w:sz w:val="20"/>
                <w:szCs w:val="20"/>
                <w:lang w:eastAsia="lv-LV"/>
              </w:rPr>
            </w:pPr>
            <w:r w:rsidRPr="008A19B2">
              <w:rPr>
                <w:rFonts w:eastAsia="Times New Roman" w:cs="Times New Roman"/>
                <w:sz w:val="20"/>
                <w:szCs w:val="20"/>
                <w:lang w:eastAsia="lv-LV"/>
              </w:rPr>
              <w:t>130 189</w:t>
            </w:r>
          </w:p>
        </w:tc>
        <w:tc>
          <w:tcPr>
            <w:tcW w:w="1134" w:type="dxa"/>
            <w:tcBorders>
              <w:top w:val="nil"/>
              <w:left w:val="nil"/>
              <w:bottom w:val="single" w:sz="4" w:space="0" w:color="auto"/>
              <w:right w:val="single" w:sz="4" w:space="0" w:color="auto"/>
            </w:tcBorders>
            <w:shd w:val="clear" w:color="auto" w:fill="auto"/>
            <w:noWrap/>
            <w:vAlign w:val="bottom"/>
            <w:hideMark/>
          </w:tcPr>
          <w:p w:rsidR="006247F6" w:rsidRPr="008A19B2" w:rsidRDefault="006247F6" w:rsidP="005C7D14">
            <w:pPr>
              <w:spacing w:after="0"/>
              <w:ind w:firstLine="0"/>
              <w:jc w:val="right"/>
              <w:rPr>
                <w:rFonts w:eastAsia="Times New Roman" w:cs="Times New Roman"/>
                <w:sz w:val="20"/>
                <w:szCs w:val="20"/>
                <w:lang w:eastAsia="lv-LV"/>
              </w:rPr>
            </w:pPr>
            <w:r w:rsidRPr="008A19B2">
              <w:rPr>
                <w:rFonts w:eastAsia="Times New Roman" w:cs="Times New Roman"/>
                <w:sz w:val="20"/>
                <w:szCs w:val="20"/>
                <w:lang w:eastAsia="lv-LV"/>
              </w:rPr>
              <w:t>117 717</w:t>
            </w:r>
          </w:p>
        </w:tc>
        <w:tc>
          <w:tcPr>
            <w:tcW w:w="1083" w:type="dxa"/>
            <w:tcBorders>
              <w:top w:val="nil"/>
              <w:left w:val="nil"/>
              <w:bottom w:val="single" w:sz="4" w:space="0" w:color="auto"/>
              <w:right w:val="single" w:sz="4" w:space="0" w:color="auto"/>
            </w:tcBorders>
            <w:shd w:val="clear" w:color="auto" w:fill="auto"/>
            <w:noWrap/>
            <w:vAlign w:val="bottom"/>
            <w:hideMark/>
          </w:tcPr>
          <w:p w:rsidR="006247F6" w:rsidRPr="008A19B2" w:rsidRDefault="006247F6" w:rsidP="005C7D14">
            <w:pPr>
              <w:spacing w:after="0"/>
              <w:ind w:firstLine="0"/>
              <w:jc w:val="right"/>
              <w:rPr>
                <w:rFonts w:eastAsia="Times New Roman" w:cs="Times New Roman"/>
                <w:sz w:val="20"/>
                <w:szCs w:val="20"/>
                <w:lang w:eastAsia="lv-LV"/>
              </w:rPr>
            </w:pPr>
            <w:r w:rsidRPr="008A19B2">
              <w:rPr>
                <w:rFonts w:eastAsia="Times New Roman" w:cs="Times New Roman"/>
                <w:sz w:val="20"/>
                <w:szCs w:val="20"/>
                <w:lang w:eastAsia="lv-LV"/>
              </w:rPr>
              <w:t>595 271</w:t>
            </w:r>
          </w:p>
        </w:tc>
        <w:tc>
          <w:tcPr>
            <w:tcW w:w="879" w:type="dxa"/>
            <w:tcBorders>
              <w:top w:val="nil"/>
              <w:left w:val="nil"/>
              <w:bottom w:val="single" w:sz="4" w:space="0" w:color="auto"/>
              <w:right w:val="single" w:sz="4" w:space="0" w:color="auto"/>
            </w:tcBorders>
            <w:shd w:val="clear" w:color="auto" w:fill="auto"/>
            <w:noWrap/>
            <w:vAlign w:val="bottom"/>
            <w:hideMark/>
          </w:tcPr>
          <w:p w:rsidR="006247F6" w:rsidRPr="008A19B2" w:rsidRDefault="006247F6" w:rsidP="005C7D14">
            <w:pPr>
              <w:spacing w:after="0"/>
              <w:ind w:firstLine="0"/>
              <w:jc w:val="center"/>
              <w:rPr>
                <w:rFonts w:eastAsia="Times New Roman" w:cs="Times New Roman"/>
                <w:sz w:val="20"/>
                <w:szCs w:val="20"/>
                <w:lang w:eastAsia="lv-LV"/>
              </w:rPr>
            </w:pPr>
            <w:r w:rsidRPr="008A19B2">
              <w:rPr>
                <w:rFonts w:eastAsia="Times New Roman" w:cs="Times New Roman"/>
                <w:sz w:val="20"/>
                <w:szCs w:val="20"/>
                <w:lang w:eastAsia="lv-LV"/>
              </w:rPr>
              <w:t>101,1</w:t>
            </w:r>
          </w:p>
        </w:tc>
        <w:tc>
          <w:tcPr>
            <w:tcW w:w="879" w:type="dxa"/>
            <w:tcBorders>
              <w:top w:val="nil"/>
              <w:left w:val="nil"/>
              <w:bottom w:val="single" w:sz="4" w:space="0" w:color="auto"/>
              <w:right w:val="single" w:sz="4" w:space="0" w:color="auto"/>
            </w:tcBorders>
            <w:shd w:val="clear" w:color="auto" w:fill="auto"/>
            <w:noWrap/>
            <w:vAlign w:val="bottom"/>
            <w:hideMark/>
          </w:tcPr>
          <w:p w:rsidR="006247F6" w:rsidRPr="008A19B2" w:rsidRDefault="006247F6" w:rsidP="005C7D14">
            <w:pPr>
              <w:spacing w:after="0"/>
              <w:ind w:firstLine="0"/>
              <w:jc w:val="center"/>
              <w:rPr>
                <w:rFonts w:eastAsia="Times New Roman" w:cs="Times New Roman"/>
                <w:sz w:val="20"/>
                <w:szCs w:val="20"/>
                <w:lang w:eastAsia="lv-LV"/>
              </w:rPr>
            </w:pPr>
            <w:r w:rsidRPr="008A19B2">
              <w:rPr>
                <w:rFonts w:eastAsia="Times New Roman" w:cs="Times New Roman"/>
                <w:sz w:val="20"/>
                <w:szCs w:val="20"/>
                <w:lang w:eastAsia="lv-LV"/>
              </w:rPr>
              <w:t>90,4</w:t>
            </w:r>
          </w:p>
        </w:tc>
        <w:tc>
          <w:tcPr>
            <w:tcW w:w="879" w:type="dxa"/>
            <w:tcBorders>
              <w:top w:val="nil"/>
              <w:left w:val="nil"/>
              <w:bottom w:val="single" w:sz="4" w:space="0" w:color="auto"/>
              <w:right w:val="single" w:sz="4" w:space="0" w:color="auto"/>
            </w:tcBorders>
            <w:shd w:val="clear" w:color="auto" w:fill="auto"/>
            <w:noWrap/>
            <w:vAlign w:val="bottom"/>
            <w:hideMark/>
          </w:tcPr>
          <w:p w:rsidR="006247F6" w:rsidRPr="008A19B2" w:rsidRDefault="006247F6" w:rsidP="005C7D14">
            <w:pPr>
              <w:spacing w:after="0"/>
              <w:ind w:firstLine="0"/>
              <w:jc w:val="center"/>
              <w:rPr>
                <w:rFonts w:eastAsia="Times New Roman" w:cs="Times New Roman"/>
                <w:sz w:val="20"/>
                <w:szCs w:val="20"/>
                <w:lang w:eastAsia="lv-LV"/>
              </w:rPr>
            </w:pPr>
            <w:r w:rsidRPr="008A19B2">
              <w:rPr>
                <w:rFonts w:eastAsia="Times New Roman" w:cs="Times New Roman"/>
                <w:sz w:val="20"/>
                <w:szCs w:val="20"/>
                <w:lang w:eastAsia="lv-LV"/>
              </w:rPr>
              <w:t>19,8</w:t>
            </w:r>
          </w:p>
        </w:tc>
      </w:tr>
      <w:tr w:rsidR="006247F6" w:rsidRPr="00637924" w:rsidTr="000C2E3B">
        <w:trPr>
          <w:trHeight w:val="425"/>
        </w:trPr>
        <w:tc>
          <w:tcPr>
            <w:tcW w:w="2269" w:type="dxa"/>
            <w:tcBorders>
              <w:top w:val="single" w:sz="4" w:space="0" w:color="auto"/>
              <w:left w:val="single" w:sz="4" w:space="0" w:color="auto"/>
              <w:right w:val="single" w:sz="4" w:space="0" w:color="auto"/>
            </w:tcBorders>
            <w:shd w:val="clear" w:color="auto" w:fill="auto"/>
            <w:vAlign w:val="bottom"/>
            <w:hideMark/>
          </w:tcPr>
          <w:p w:rsidR="006247F6" w:rsidRPr="00637924" w:rsidRDefault="006247F6" w:rsidP="005C7D14">
            <w:pPr>
              <w:spacing w:after="0"/>
              <w:ind w:firstLine="0"/>
              <w:jc w:val="left"/>
              <w:rPr>
                <w:rFonts w:eastAsia="Times New Roman" w:cs="Times New Roman"/>
                <w:b/>
                <w:sz w:val="20"/>
                <w:szCs w:val="20"/>
                <w:lang w:eastAsia="lv-LV"/>
              </w:rPr>
            </w:pPr>
            <w:r w:rsidRPr="00637924">
              <w:rPr>
                <w:rFonts w:eastAsia="Times New Roman" w:cs="Times New Roman"/>
                <w:b/>
                <w:sz w:val="20"/>
                <w:szCs w:val="20"/>
                <w:lang w:eastAsia="lv-LV"/>
              </w:rPr>
              <w:t>Procentu izdevumi</w:t>
            </w:r>
          </w:p>
        </w:tc>
        <w:tc>
          <w:tcPr>
            <w:tcW w:w="1134" w:type="dxa"/>
            <w:tcBorders>
              <w:top w:val="single" w:sz="4" w:space="0" w:color="auto"/>
              <w:left w:val="nil"/>
              <w:right w:val="single" w:sz="4" w:space="0" w:color="auto"/>
            </w:tcBorders>
            <w:shd w:val="clear" w:color="auto" w:fill="auto"/>
            <w:noWrap/>
            <w:vAlign w:val="bottom"/>
            <w:hideMark/>
          </w:tcPr>
          <w:p w:rsidR="006247F6" w:rsidRPr="00637924" w:rsidRDefault="006247F6" w:rsidP="005C7D14">
            <w:pPr>
              <w:spacing w:after="0"/>
              <w:ind w:firstLine="0"/>
              <w:jc w:val="right"/>
              <w:rPr>
                <w:rFonts w:eastAsia="Times New Roman" w:cs="Times New Roman"/>
                <w:b/>
                <w:sz w:val="20"/>
                <w:szCs w:val="20"/>
                <w:lang w:eastAsia="lv-LV"/>
              </w:rPr>
            </w:pPr>
            <w:r w:rsidRPr="00637924">
              <w:rPr>
                <w:rFonts w:eastAsia="Times New Roman" w:cs="Times New Roman"/>
                <w:b/>
                <w:sz w:val="20"/>
                <w:szCs w:val="20"/>
                <w:lang w:eastAsia="lv-LV"/>
              </w:rPr>
              <w:t>140 057</w:t>
            </w:r>
          </w:p>
        </w:tc>
        <w:tc>
          <w:tcPr>
            <w:tcW w:w="1134" w:type="dxa"/>
            <w:tcBorders>
              <w:top w:val="single" w:sz="4" w:space="0" w:color="auto"/>
              <w:left w:val="nil"/>
              <w:right w:val="single" w:sz="4" w:space="0" w:color="auto"/>
            </w:tcBorders>
            <w:shd w:val="clear" w:color="auto" w:fill="auto"/>
            <w:noWrap/>
            <w:vAlign w:val="bottom"/>
            <w:hideMark/>
          </w:tcPr>
          <w:p w:rsidR="006247F6" w:rsidRPr="00637924" w:rsidRDefault="006247F6" w:rsidP="005C7D14">
            <w:pPr>
              <w:spacing w:after="0"/>
              <w:ind w:firstLine="0"/>
              <w:jc w:val="right"/>
              <w:rPr>
                <w:rFonts w:eastAsia="Times New Roman" w:cs="Times New Roman"/>
                <w:b/>
                <w:sz w:val="20"/>
                <w:szCs w:val="20"/>
                <w:lang w:eastAsia="lv-LV"/>
              </w:rPr>
            </w:pPr>
            <w:r w:rsidRPr="00637924">
              <w:rPr>
                <w:rFonts w:eastAsia="Times New Roman" w:cs="Times New Roman"/>
                <w:b/>
                <w:sz w:val="20"/>
                <w:szCs w:val="20"/>
                <w:lang w:eastAsia="lv-LV"/>
              </w:rPr>
              <w:t>142 436</w:t>
            </w:r>
          </w:p>
        </w:tc>
        <w:tc>
          <w:tcPr>
            <w:tcW w:w="1134" w:type="dxa"/>
            <w:tcBorders>
              <w:top w:val="single" w:sz="4" w:space="0" w:color="auto"/>
              <w:left w:val="nil"/>
              <w:right w:val="single" w:sz="4" w:space="0" w:color="auto"/>
            </w:tcBorders>
            <w:shd w:val="clear" w:color="auto" w:fill="auto"/>
            <w:noWrap/>
            <w:vAlign w:val="bottom"/>
            <w:hideMark/>
          </w:tcPr>
          <w:p w:rsidR="006247F6" w:rsidRPr="00637924" w:rsidRDefault="006247F6" w:rsidP="005C7D14">
            <w:pPr>
              <w:spacing w:after="0"/>
              <w:ind w:firstLine="0"/>
              <w:jc w:val="right"/>
              <w:rPr>
                <w:rFonts w:eastAsia="Times New Roman" w:cs="Times New Roman"/>
                <w:b/>
                <w:sz w:val="20"/>
                <w:szCs w:val="20"/>
                <w:lang w:eastAsia="lv-LV"/>
              </w:rPr>
            </w:pPr>
            <w:r w:rsidRPr="00637924">
              <w:rPr>
                <w:rFonts w:eastAsia="Times New Roman" w:cs="Times New Roman"/>
                <w:b/>
                <w:sz w:val="20"/>
                <w:szCs w:val="20"/>
                <w:lang w:eastAsia="lv-LV"/>
              </w:rPr>
              <w:t>142 388</w:t>
            </w:r>
          </w:p>
        </w:tc>
        <w:tc>
          <w:tcPr>
            <w:tcW w:w="1083" w:type="dxa"/>
            <w:tcBorders>
              <w:top w:val="single" w:sz="4" w:space="0" w:color="auto"/>
              <w:left w:val="nil"/>
              <w:right w:val="single" w:sz="4" w:space="0" w:color="auto"/>
            </w:tcBorders>
            <w:shd w:val="clear" w:color="auto" w:fill="auto"/>
            <w:noWrap/>
            <w:vAlign w:val="bottom"/>
            <w:hideMark/>
          </w:tcPr>
          <w:p w:rsidR="006247F6" w:rsidRPr="00637924" w:rsidRDefault="006247F6" w:rsidP="005C7D14">
            <w:pPr>
              <w:spacing w:after="0"/>
              <w:ind w:firstLine="0"/>
              <w:jc w:val="right"/>
              <w:rPr>
                <w:rFonts w:eastAsia="Times New Roman" w:cs="Times New Roman"/>
                <w:b/>
                <w:sz w:val="20"/>
                <w:szCs w:val="20"/>
                <w:lang w:eastAsia="lv-LV"/>
              </w:rPr>
            </w:pPr>
            <w:r w:rsidRPr="00637924">
              <w:rPr>
                <w:rFonts w:eastAsia="Times New Roman" w:cs="Times New Roman"/>
                <w:b/>
                <w:sz w:val="20"/>
                <w:szCs w:val="20"/>
                <w:lang w:eastAsia="lv-LV"/>
              </w:rPr>
              <w:t>365 406</w:t>
            </w:r>
          </w:p>
        </w:tc>
        <w:tc>
          <w:tcPr>
            <w:tcW w:w="879" w:type="dxa"/>
            <w:tcBorders>
              <w:top w:val="single" w:sz="4" w:space="0" w:color="auto"/>
              <w:left w:val="nil"/>
              <w:right w:val="single" w:sz="4" w:space="0" w:color="auto"/>
            </w:tcBorders>
            <w:shd w:val="clear" w:color="auto" w:fill="auto"/>
            <w:noWrap/>
            <w:vAlign w:val="bottom"/>
            <w:hideMark/>
          </w:tcPr>
          <w:p w:rsidR="006247F6" w:rsidRPr="00637924" w:rsidRDefault="006247F6" w:rsidP="005C7D14">
            <w:pPr>
              <w:spacing w:after="0"/>
              <w:ind w:firstLine="0"/>
              <w:jc w:val="center"/>
              <w:rPr>
                <w:rFonts w:eastAsia="Times New Roman" w:cs="Times New Roman"/>
                <w:b/>
                <w:sz w:val="20"/>
                <w:szCs w:val="20"/>
                <w:lang w:eastAsia="lv-LV"/>
              </w:rPr>
            </w:pPr>
            <w:r w:rsidRPr="00637924">
              <w:rPr>
                <w:rFonts w:eastAsia="Times New Roman" w:cs="Times New Roman"/>
                <w:b/>
                <w:sz w:val="20"/>
                <w:szCs w:val="20"/>
                <w:lang w:eastAsia="lv-LV"/>
              </w:rPr>
              <w:t>101,7</w:t>
            </w:r>
          </w:p>
        </w:tc>
        <w:tc>
          <w:tcPr>
            <w:tcW w:w="879" w:type="dxa"/>
            <w:tcBorders>
              <w:top w:val="single" w:sz="4" w:space="0" w:color="auto"/>
              <w:left w:val="nil"/>
              <w:right w:val="single" w:sz="4" w:space="0" w:color="auto"/>
            </w:tcBorders>
            <w:shd w:val="clear" w:color="auto" w:fill="auto"/>
            <w:noWrap/>
            <w:vAlign w:val="bottom"/>
            <w:hideMark/>
          </w:tcPr>
          <w:p w:rsidR="006247F6" w:rsidRPr="00637924" w:rsidRDefault="006247F6" w:rsidP="005C7D14">
            <w:pPr>
              <w:spacing w:after="0"/>
              <w:ind w:firstLine="0"/>
              <w:jc w:val="center"/>
              <w:rPr>
                <w:rFonts w:eastAsia="Times New Roman" w:cs="Times New Roman"/>
                <w:b/>
                <w:sz w:val="20"/>
                <w:szCs w:val="20"/>
                <w:lang w:eastAsia="lv-LV"/>
              </w:rPr>
            </w:pPr>
            <w:r w:rsidRPr="00637924">
              <w:rPr>
                <w:rFonts w:eastAsia="Times New Roman" w:cs="Times New Roman"/>
                <w:b/>
                <w:sz w:val="20"/>
                <w:szCs w:val="20"/>
                <w:lang w:eastAsia="lv-LV"/>
              </w:rPr>
              <w:t>100,0</w:t>
            </w:r>
          </w:p>
        </w:tc>
        <w:tc>
          <w:tcPr>
            <w:tcW w:w="879" w:type="dxa"/>
            <w:tcBorders>
              <w:top w:val="single" w:sz="4" w:space="0" w:color="auto"/>
              <w:left w:val="nil"/>
              <w:right w:val="single" w:sz="4" w:space="0" w:color="auto"/>
            </w:tcBorders>
            <w:shd w:val="clear" w:color="auto" w:fill="auto"/>
            <w:noWrap/>
            <w:vAlign w:val="bottom"/>
            <w:hideMark/>
          </w:tcPr>
          <w:p w:rsidR="006247F6" w:rsidRPr="00637924" w:rsidRDefault="006247F6" w:rsidP="005C7D14">
            <w:pPr>
              <w:spacing w:after="0"/>
              <w:ind w:firstLine="0"/>
              <w:jc w:val="center"/>
              <w:rPr>
                <w:rFonts w:eastAsia="Times New Roman" w:cs="Times New Roman"/>
                <w:b/>
                <w:sz w:val="20"/>
                <w:szCs w:val="20"/>
                <w:lang w:eastAsia="lv-LV"/>
              </w:rPr>
            </w:pPr>
            <w:r w:rsidRPr="00637924">
              <w:rPr>
                <w:rFonts w:eastAsia="Times New Roman" w:cs="Times New Roman"/>
                <w:b/>
                <w:sz w:val="20"/>
                <w:szCs w:val="20"/>
                <w:lang w:eastAsia="lv-LV"/>
              </w:rPr>
              <w:t>39,0</w:t>
            </w:r>
          </w:p>
        </w:tc>
      </w:tr>
      <w:tr w:rsidR="006247F6" w:rsidRPr="00637924" w:rsidTr="000C2E3B">
        <w:trPr>
          <w:trHeight w:val="528"/>
        </w:trPr>
        <w:tc>
          <w:tcPr>
            <w:tcW w:w="2269" w:type="dxa"/>
            <w:tcBorders>
              <w:top w:val="nil"/>
              <w:left w:val="single" w:sz="4" w:space="0" w:color="auto"/>
              <w:right w:val="single" w:sz="4" w:space="0" w:color="auto"/>
            </w:tcBorders>
            <w:shd w:val="clear" w:color="auto" w:fill="auto"/>
            <w:vAlign w:val="bottom"/>
            <w:hideMark/>
          </w:tcPr>
          <w:p w:rsidR="006247F6" w:rsidRPr="00637924" w:rsidRDefault="006247F6" w:rsidP="005C7D14">
            <w:pPr>
              <w:spacing w:after="0"/>
              <w:ind w:firstLine="0"/>
              <w:jc w:val="left"/>
              <w:rPr>
                <w:rFonts w:eastAsia="Times New Roman" w:cs="Times New Roman"/>
                <w:i/>
                <w:sz w:val="20"/>
                <w:szCs w:val="20"/>
                <w:lang w:eastAsia="lv-LV"/>
              </w:rPr>
            </w:pPr>
            <w:r>
              <w:rPr>
                <w:rFonts w:eastAsia="Times New Roman" w:cs="Times New Roman"/>
                <w:i/>
                <w:sz w:val="20"/>
                <w:szCs w:val="20"/>
                <w:lang w:eastAsia="lv-LV"/>
              </w:rPr>
              <w:t xml:space="preserve">   </w:t>
            </w:r>
            <w:r w:rsidRPr="00637924">
              <w:rPr>
                <w:rFonts w:eastAsia="Times New Roman" w:cs="Times New Roman"/>
                <w:i/>
                <w:sz w:val="20"/>
                <w:szCs w:val="20"/>
                <w:lang w:eastAsia="lv-LV"/>
              </w:rPr>
              <w:t>Procentu maksājumi ārvalstu un starptautiskajām finanšu institūcijām</w:t>
            </w:r>
          </w:p>
        </w:tc>
        <w:tc>
          <w:tcPr>
            <w:tcW w:w="1134" w:type="dxa"/>
            <w:tcBorders>
              <w:top w:val="nil"/>
              <w:left w:val="nil"/>
              <w:right w:val="single" w:sz="4" w:space="0" w:color="auto"/>
            </w:tcBorders>
            <w:shd w:val="clear" w:color="auto" w:fill="auto"/>
            <w:noWrap/>
            <w:vAlign w:val="bottom"/>
            <w:hideMark/>
          </w:tcPr>
          <w:p w:rsidR="006247F6" w:rsidRPr="00637924" w:rsidRDefault="006247F6" w:rsidP="005C7D14">
            <w:pPr>
              <w:spacing w:after="0"/>
              <w:ind w:firstLine="0"/>
              <w:jc w:val="right"/>
              <w:rPr>
                <w:rFonts w:eastAsia="Times New Roman" w:cs="Times New Roman"/>
                <w:i/>
                <w:sz w:val="20"/>
                <w:szCs w:val="20"/>
                <w:lang w:eastAsia="lv-LV"/>
              </w:rPr>
            </w:pPr>
            <w:r w:rsidRPr="00637924">
              <w:rPr>
                <w:rFonts w:eastAsia="Times New Roman" w:cs="Times New Roman"/>
                <w:i/>
                <w:sz w:val="20"/>
                <w:szCs w:val="20"/>
                <w:lang w:eastAsia="lv-LV"/>
              </w:rPr>
              <w:t>120 033</w:t>
            </w:r>
          </w:p>
        </w:tc>
        <w:tc>
          <w:tcPr>
            <w:tcW w:w="1134" w:type="dxa"/>
            <w:tcBorders>
              <w:top w:val="nil"/>
              <w:left w:val="nil"/>
              <w:right w:val="single" w:sz="4" w:space="0" w:color="auto"/>
            </w:tcBorders>
            <w:shd w:val="clear" w:color="auto" w:fill="auto"/>
            <w:noWrap/>
            <w:vAlign w:val="bottom"/>
            <w:hideMark/>
          </w:tcPr>
          <w:p w:rsidR="006247F6" w:rsidRPr="00637924" w:rsidRDefault="006247F6" w:rsidP="005C7D14">
            <w:pPr>
              <w:spacing w:after="0"/>
              <w:ind w:firstLine="0"/>
              <w:jc w:val="right"/>
              <w:rPr>
                <w:rFonts w:eastAsia="Times New Roman" w:cs="Times New Roman"/>
                <w:i/>
                <w:sz w:val="20"/>
                <w:szCs w:val="20"/>
                <w:lang w:eastAsia="lv-LV"/>
              </w:rPr>
            </w:pPr>
            <w:r w:rsidRPr="00637924">
              <w:rPr>
                <w:rFonts w:eastAsia="Times New Roman" w:cs="Times New Roman"/>
                <w:i/>
                <w:sz w:val="20"/>
                <w:szCs w:val="20"/>
                <w:lang w:eastAsia="lv-LV"/>
              </w:rPr>
              <w:t> </w:t>
            </w:r>
          </w:p>
        </w:tc>
        <w:tc>
          <w:tcPr>
            <w:tcW w:w="1134" w:type="dxa"/>
            <w:tcBorders>
              <w:top w:val="nil"/>
              <w:left w:val="nil"/>
              <w:right w:val="single" w:sz="4" w:space="0" w:color="auto"/>
            </w:tcBorders>
            <w:shd w:val="clear" w:color="auto" w:fill="auto"/>
            <w:noWrap/>
            <w:vAlign w:val="bottom"/>
            <w:hideMark/>
          </w:tcPr>
          <w:p w:rsidR="006247F6" w:rsidRPr="00637924" w:rsidRDefault="006247F6" w:rsidP="005C7D14">
            <w:pPr>
              <w:spacing w:after="0"/>
              <w:ind w:firstLine="0"/>
              <w:jc w:val="right"/>
              <w:rPr>
                <w:rFonts w:eastAsia="Times New Roman" w:cs="Times New Roman"/>
                <w:i/>
                <w:sz w:val="20"/>
                <w:szCs w:val="20"/>
                <w:lang w:eastAsia="lv-LV"/>
              </w:rPr>
            </w:pPr>
            <w:r w:rsidRPr="00637924">
              <w:rPr>
                <w:rFonts w:eastAsia="Times New Roman" w:cs="Times New Roman"/>
                <w:i/>
                <w:sz w:val="20"/>
                <w:szCs w:val="20"/>
                <w:lang w:eastAsia="lv-LV"/>
              </w:rPr>
              <w:t>130 866</w:t>
            </w:r>
          </w:p>
        </w:tc>
        <w:tc>
          <w:tcPr>
            <w:tcW w:w="1083" w:type="dxa"/>
            <w:tcBorders>
              <w:top w:val="nil"/>
              <w:left w:val="nil"/>
              <w:right w:val="single" w:sz="4" w:space="0" w:color="auto"/>
            </w:tcBorders>
            <w:shd w:val="clear" w:color="auto" w:fill="auto"/>
            <w:noWrap/>
            <w:vAlign w:val="bottom"/>
            <w:hideMark/>
          </w:tcPr>
          <w:p w:rsidR="006247F6" w:rsidRPr="00637924" w:rsidRDefault="006247F6" w:rsidP="005C7D14">
            <w:pPr>
              <w:spacing w:after="0"/>
              <w:ind w:firstLine="0"/>
              <w:jc w:val="right"/>
              <w:rPr>
                <w:rFonts w:eastAsia="Times New Roman" w:cs="Times New Roman"/>
                <w:i/>
                <w:sz w:val="20"/>
                <w:szCs w:val="20"/>
                <w:lang w:eastAsia="lv-LV"/>
              </w:rPr>
            </w:pPr>
            <w:r w:rsidRPr="00637924">
              <w:rPr>
                <w:rFonts w:eastAsia="Times New Roman" w:cs="Times New Roman"/>
                <w:i/>
                <w:sz w:val="20"/>
                <w:szCs w:val="20"/>
                <w:lang w:eastAsia="lv-LV"/>
              </w:rPr>
              <w:t> </w:t>
            </w:r>
          </w:p>
        </w:tc>
        <w:tc>
          <w:tcPr>
            <w:tcW w:w="879" w:type="dxa"/>
            <w:tcBorders>
              <w:top w:val="nil"/>
              <w:left w:val="nil"/>
              <w:right w:val="single" w:sz="4" w:space="0" w:color="auto"/>
            </w:tcBorders>
            <w:shd w:val="clear" w:color="auto" w:fill="auto"/>
            <w:noWrap/>
            <w:vAlign w:val="bottom"/>
            <w:hideMark/>
          </w:tcPr>
          <w:p w:rsidR="006247F6" w:rsidRPr="00637924" w:rsidRDefault="006247F6" w:rsidP="005C7D14">
            <w:pPr>
              <w:spacing w:after="0"/>
              <w:ind w:firstLine="0"/>
              <w:jc w:val="center"/>
              <w:rPr>
                <w:rFonts w:eastAsia="Times New Roman" w:cs="Times New Roman"/>
                <w:i/>
                <w:sz w:val="20"/>
                <w:szCs w:val="20"/>
                <w:lang w:eastAsia="lv-LV"/>
              </w:rPr>
            </w:pPr>
            <w:r w:rsidRPr="00637924">
              <w:rPr>
                <w:rFonts w:eastAsia="Times New Roman" w:cs="Times New Roman"/>
                <w:i/>
                <w:sz w:val="20"/>
                <w:szCs w:val="20"/>
                <w:lang w:eastAsia="lv-LV"/>
              </w:rPr>
              <w:t> 109,0</w:t>
            </w:r>
          </w:p>
        </w:tc>
        <w:tc>
          <w:tcPr>
            <w:tcW w:w="879" w:type="dxa"/>
            <w:tcBorders>
              <w:top w:val="nil"/>
              <w:left w:val="nil"/>
              <w:right w:val="single" w:sz="4" w:space="0" w:color="auto"/>
            </w:tcBorders>
            <w:shd w:val="clear" w:color="auto" w:fill="auto"/>
            <w:noWrap/>
            <w:vAlign w:val="bottom"/>
            <w:hideMark/>
          </w:tcPr>
          <w:p w:rsidR="006247F6" w:rsidRPr="00637924" w:rsidRDefault="006247F6" w:rsidP="005C7D14">
            <w:pPr>
              <w:spacing w:after="0"/>
              <w:ind w:firstLine="0"/>
              <w:jc w:val="center"/>
              <w:rPr>
                <w:rFonts w:eastAsia="Times New Roman" w:cs="Times New Roman"/>
                <w:i/>
                <w:sz w:val="20"/>
                <w:szCs w:val="20"/>
                <w:lang w:eastAsia="lv-LV"/>
              </w:rPr>
            </w:pPr>
            <w:r w:rsidRPr="00637924">
              <w:rPr>
                <w:rFonts w:eastAsia="Times New Roman" w:cs="Times New Roman"/>
                <w:i/>
                <w:sz w:val="20"/>
                <w:szCs w:val="20"/>
                <w:lang w:eastAsia="lv-LV"/>
              </w:rPr>
              <w:t> </w:t>
            </w:r>
          </w:p>
        </w:tc>
        <w:tc>
          <w:tcPr>
            <w:tcW w:w="879" w:type="dxa"/>
            <w:tcBorders>
              <w:top w:val="nil"/>
              <w:left w:val="nil"/>
              <w:right w:val="single" w:sz="4" w:space="0" w:color="auto"/>
            </w:tcBorders>
            <w:shd w:val="clear" w:color="auto" w:fill="auto"/>
            <w:noWrap/>
            <w:vAlign w:val="bottom"/>
            <w:hideMark/>
          </w:tcPr>
          <w:p w:rsidR="006247F6" w:rsidRPr="00637924" w:rsidRDefault="006247F6" w:rsidP="005C7D14">
            <w:pPr>
              <w:spacing w:after="0"/>
              <w:ind w:firstLine="0"/>
              <w:jc w:val="center"/>
              <w:rPr>
                <w:rFonts w:eastAsia="Times New Roman" w:cs="Times New Roman"/>
                <w:i/>
                <w:sz w:val="20"/>
                <w:szCs w:val="20"/>
                <w:lang w:eastAsia="lv-LV"/>
              </w:rPr>
            </w:pPr>
            <w:r w:rsidRPr="00637924">
              <w:rPr>
                <w:rFonts w:eastAsia="Times New Roman" w:cs="Times New Roman"/>
                <w:i/>
                <w:sz w:val="20"/>
                <w:szCs w:val="20"/>
                <w:lang w:eastAsia="lv-LV"/>
              </w:rPr>
              <w:t> </w:t>
            </w:r>
          </w:p>
        </w:tc>
      </w:tr>
      <w:tr w:rsidR="006247F6" w:rsidRPr="00637924" w:rsidTr="000C2E3B">
        <w:trPr>
          <w:trHeight w:val="264"/>
        </w:trPr>
        <w:tc>
          <w:tcPr>
            <w:tcW w:w="2269" w:type="dxa"/>
            <w:tcBorders>
              <w:top w:val="nil"/>
              <w:left w:val="single" w:sz="4" w:space="0" w:color="auto"/>
              <w:right w:val="single" w:sz="4" w:space="0" w:color="auto"/>
            </w:tcBorders>
            <w:shd w:val="clear" w:color="auto" w:fill="auto"/>
            <w:vAlign w:val="bottom"/>
            <w:hideMark/>
          </w:tcPr>
          <w:p w:rsidR="006247F6" w:rsidRPr="00637924" w:rsidRDefault="006247F6" w:rsidP="005C7D14">
            <w:pPr>
              <w:spacing w:after="0"/>
              <w:ind w:firstLine="0"/>
              <w:jc w:val="left"/>
              <w:rPr>
                <w:rFonts w:eastAsia="Times New Roman" w:cs="Times New Roman"/>
                <w:i/>
                <w:sz w:val="20"/>
                <w:szCs w:val="20"/>
                <w:lang w:eastAsia="lv-LV"/>
              </w:rPr>
            </w:pPr>
            <w:r>
              <w:rPr>
                <w:rFonts w:eastAsia="Times New Roman" w:cs="Times New Roman"/>
                <w:i/>
                <w:sz w:val="20"/>
                <w:szCs w:val="20"/>
                <w:lang w:eastAsia="lv-LV"/>
              </w:rPr>
              <w:t xml:space="preserve">   </w:t>
            </w:r>
            <w:r w:rsidRPr="00637924">
              <w:rPr>
                <w:rFonts w:eastAsia="Times New Roman" w:cs="Times New Roman"/>
                <w:i/>
                <w:sz w:val="20"/>
                <w:szCs w:val="20"/>
                <w:lang w:eastAsia="lv-LV"/>
              </w:rPr>
              <w:t>Procentu maksājumi iekšzemes kredītiestādēm</w:t>
            </w:r>
          </w:p>
        </w:tc>
        <w:tc>
          <w:tcPr>
            <w:tcW w:w="1134" w:type="dxa"/>
            <w:tcBorders>
              <w:top w:val="nil"/>
              <w:left w:val="nil"/>
              <w:right w:val="single" w:sz="4" w:space="0" w:color="auto"/>
            </w:tcBorders>
            <w:shd w:val="clear" w:color="auto" w:fill="auto"/>
            <w:noWrap/>
            <w:vAlign w:val="bottom"/>
            <w:hideMark/>
          </w:tcPr>
          <w:p w:rsidR="006247F6" w:rsidRPr="00637924" w:rsidRDefault="006247F6" w:rsidP="005C7D14">
            <w:pPr>
              <w:spacing w:after="0"/>
              <w:ind w:firstLine="0"/>
              <w:jc w:val="right"/>
              <w:rPr>
                <w:rFonts w:eastAsia="Times New Roman" w:cs="Times New Roman"/>
                <w:i/>
                <w:sz w:val="20"/>
                <w:szCs w:val="20"/>
                <w:lang w:eastAsia="lv-LV"/>
              </w:rPr>
            </w:pPr>
            <w:r w:rsidRPr="00637924">
              <w:rPr>
                <w:rFonts w:eastAsia="Times New Roman" w:cs="Times New Roman"/>
                <w:i/>
                <w:sz w:val="20"/>
                <w:szCs w:val="20"/>
                <w:lang w:eastAsia="lv-LV"/>
              </w:rPr>
              <w:t>16 887</w:t>
            </w:r>
          </w:p>
        </w:tc>
        <w:tc>
          <w:tcPr>
            <w:tcW w:w="1134" w:type="dxa"/>
            <w:tcBorders>
              <w:top w:val="nil"/>
              <w:left w:val="nil"/>
              <w:right w:val="single" w:sz="4" w:space="0" w:color="auto"/>
            </w:tcBorders>
            <w:shd w:val="clear" w:color="auto" w:fill="auto"/>
            <w:noWrap/>
            <w:vAlign w:val="bottom"/>
            <w:hideMark/>
          </w:tcPr>
          <w:p w:rsidR="006247F6" w:rsidRPr="00637924" w:rsidRDefault="006247F6" w:rsidP="005C7D14">
            <w:pPr>
              <w:spacing w:after="0"/>
              <w:ind w:firstLine="0"/>
              <w:jc w:val="right"/>
              <w:rPr>
                <w:rFonts w:eastAsia="Times New Roman" w:cs="Times New Roman"/>
                <w:i/>
                <w:sz w:val="20"/>
                <w:szCs w:val="20"/>
                <w:lang w:eastAsia="lv-LV"/>
              </w:rPr>
            </w:pPr>
            <w:r w:rsidRPr="00637924">
              <w:rPr>
                <w:rFonts w:eastAsia="Times New Roman" w:cs="Times New Roman"/>
                <w:i/>
                <w:sz w:val="20"/>
                <w:szCs w:val="20"/>
                <w:lang w:eastAsia="lv-LV"/>
              </w:rPr>
              <w:t> </w:t>
            </w:r>
          </w:p>
        </w:tc>
        <w:tc>
          <w:tcPr>
            <w:tcW w:w="1134" w:type="dxa"/>
            <w:tcBorders>
              <w:top w:val="nil"/>
              <w:left w:val="nil"/>
              <w:right w:val="single" w:sz="4" w:space="0" w:color="auto"/>
            </w:tcBorders>
            <w:shd w:val="clear" w:color="auto" w:fill="auto"/>
            <w:noWrap/>
            <w:vAlign w:val="bottom"/>
            <w:hideMark/>
          </w:tcPr>
          <w:p w:rsidR="006247F6" w:rsidRPr="00637924" w:rsidRDefault="006247F6" w:rsidP="005C7D14">
            <w:pPr>
              <w:spacing w:after="0"/>
              <w:ind w:firstLine="0"/>
              <w:jc w:val="right"/>
              <w:rPr>
                <w:rFonts w:eastAsia="Times New Roman" w:cs="Times New Roman"/>
                <w:i/>
                <w:sz w:val="20"/>
                <w:szCs w:val="20"/>
                <w:lang w:eastAsia="lv-LV"/>
              </w:rPr>
            </w:pPr>
            <w:r w:rsidRPr="00637924">
              <w:rPr>
                <w:rFonts w:eastAsia="Times New Roman" w:cs="Times New Roman"/>
                <w:i/>
                <w:sz w:val="20"/>
                <w:szCs w:val="20"/>
                <w:lang w:eastAsia="lv-LV"/>
              </w:rPr>
              <w:t>10 504</w:t>
            </w:r>
          </w:p>
        </w:tc>
        <w:tc>
          <w:tcPr>
            <w:tcW w:w="1083" w:type="dxa"/>
            <w:tcBorders>
              <w:top w:val="nil"/>
              <w:left w:val="nil"/>
              <w:right w:val="single" w:sz="4" w:space="0" w:color="auto"/>
            </w:tcBorders>
            <w:shd w:val="clear" w:color="auto" w:fill="auto"/>
            <w:noWrap/>
            <w:vAlign w:val="bottom"/>
            <w:hideMark/>
          </w:tcPr>
          <w:p w:rsidR="006247F6" w:rsidRPr="00637924" w:rsidRDefault="006247F6" w:rsidP="005C7D14">
            <w:pPr>
              <w:spacing w:after="0"/>
              <w:ind w:firstLine="0"/>
              <w:jc w:val="right"/>
              <w:rPr>
                <w:rFonts w:eastAsia="Times New Roman" w:cs="Times New Roman"/>
                <w:i/>
                <w:sz w:val="20"/>
                <w:szCs w:val="20"/>
                <w:lang w:eastAsia="lv-LV"/>
              </w:rPr>
            </w:pPr>
            <w:r w:rsidRPr="00637924">
              <w:rPr>
                <w:rFonts w:eastAsia="Times New Roman" w:cs="Times New Roman"/>
                <w:i/>
                <w:sz w:val="20"/>
                <w:szCs w:val="20"/>
                <w:lang w:eastAsia="lv-LV"/>
              </w:rPr>
              <w:t> </w:t>
            </w:r>
          </w:p>
        </w:tc>
        <w:tc>
          <w:tcPr>
            <w:tcW w:w="879" w:type="dxa"/>
            <w:tcBorders>
              <w:top w:val="nil"/>
              <w:left w:val="nil"/>
              <w:right w:val="single" w:sz="4" w:space="0" w:color="auto"/>
            </w:tcBorders>
            <w:shd w:val="clear" w:color="auto" w:fill="auto"/>
            <w:noWrap/>
            <w:vAlign w:val="bottom"/>
            <w:hideMark/>
          </w:tcPr>
          <w:p w:rsidR="006247F6" w:rsidRPr="00637924" w:rsidRDefault="006247F6" w:rsidP="005C7D14">
            <w:pPr>
              <w:spacing w:after="0"/>
              <w:ind w:firstLine="0"/>
              <w:jc w:val="center"/>
              <w:rPr>
                <w:rFonts w:eastAsia="Times New Roman" w:cs="Times New Roman"/>
                <w:i/>
                <w:sz w:val="20"/>
                <w:szCs w:val="20"/>
                <w:lang w:eastAsia="lv-LV"/>
              </w:rPr>
            </w:pPr>
            <w:r w:rsidRPr="00637924">
              <w:rPr>
                <w:rFonts w:eastAsia="Times New Roman" w:cs="Times New Roman"/>
                <w:i/>
                <w:sz w:val="20"/>
                <w:szCs w:val="20"/>
                <w:lang w:eastAsia="lv-LV"/>
              </w:rPr>
              <w:t>62,2</w:t>
            </w:r>
          </w:p>
        </w:tc>
        <w:tc>
          <w:tcPr>
            <w:tcW w:w="879" w:type="dxa"/>
            <w:tcBorders>
              <w:top w:val="nil"/>
              <w:left w:val="nil"/>
              <w:right w:val="single" w:sz="4" w:space="0" w:color="auto"/>
            </w:tcBorders>
            <w:shd w:val="clear" w:color="auto" w:fill="auto"/>
            <w:noWrap/>
            <w:vAlign w:val="bottom"/>
            <w:hideMark/>
          </w:tcPr>
          <w:p w:rsidR="006247F6" w:rsidRPr="00637924" w:rsidRDefault="006247F6" w:rsidP="005C7D14">
            <w:pPr>
              <w:spacing w:after="0"/>
              <w:ind w:firstLine="0"/>
              <w:jc w:val="center"/>
              <w:rPr>
                <w:rFonts w:eastAsia="Times New Roman" w:cs="Times New Roman"/>
                <w:i/>
                <w:sz w:val="20"/>
                <w:szCs w:val="20"/>
                <w:lang w:eastAsia="lv-LV"/>
              </w:rPr>
            </w:pPr>
            <w:r w:rsidRPr="00637924">
              <w:rPr>
                <w:rFonts w:eastAsia="Times New Roman" w:cs="Times New Roman"/>
                <w:i/>
                <w:sz w:val="20"/>
                <w:szCs w:val="20"/>
                <w:lang w:eastAsia="lv-LV"/>
              </w:rPr>
              <w:t> </w:t>
            </w:r>
          </w:p>
        </w:tc>
        <w:tc>
          <w:tcPr>
            <w:tcW w:w="879" w:type="dxa"/>
            <w:tcBorders>
              <w:top w:val="nil"/>
              <w:left w:val="nil"/>
              <w:right w:val="single" w:sz="4" w:space="0" w:color="auto"/>
            </w:tcBorders>
            <w:shd w:val="clear" w:color="auto" w:fill="auto"/>
            <w:noWrap/>
            <w:vAlign w:val="bottom"/>
            <w:hideMark/>
          </w:tcPr>
          <w:p w:rsidR="006247F6" w:rsidRPr="00637924" w:rsidRDefault="006247F6" w:rsidP="005C7D14">
            <w:pPr>
              <w:spacing w:after="0"/>
              <w:ind w:firstLine="0"/>
              <w:jc w:val="center"/>
              <w:rPr>
                <w:rFonts w:eastAsia="Times New Roman" w:cs="Times New Roman"/>
                <w:i/>
                <w:sz w:val="20"/>
                <w:szCs w:val="20"/>
                <w:lang w:eastAsia="lv-LV"/>
              </w:rPr>
            </w:pPr>
            <w:r w:rsidRPr="00637924">
              <w:rPr>
                <w:rFonts w:eastAsia="Times New Roman" w:cs="Times New Roman"/>
                <w:i/>
                <w:sz w:val="20"/>
                <w:szCs w:val="20"/>
                <w:lang w:eastAsia="lv-LV"/>
              </w:rPr>
              <w:t> </w:t>
            </w:r>
          </w:p>
        </w:tc>
      </w:tr>
      <w:tr w:rsidR="006247F6" w:rsidRPr="00637924" w:rsidTr="000C2E3B">
        <w:trPr>
          <w:trHeight w:val="300"/>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6247F6" w:rsidRPr="00637924" w:rsidRDefault="006247F6" w:rsidP="005C7D14">
            <w:pPr>
              <w:spacing w:after="0"/>
              <w:ind w:firstLine="0"/>
              <w:jc w:val="left"/>
              <w:rPr>
                <w:rFonts w:eastAsia="Times New Roman" w:cs="Times New Roman"/>
                <w:i/>
                <w:sz w:val="20"/>
                <w:szCs w:val="20"/>
                <w:lang w:eastAsia="lv-LV"/>
              </w:rPr>
            </w:pPr>
            <w:r>
              <w:rPr>
                <w:rFonts w:eastAsia="Times New Roman" w:cs="Times New Roman"/>
                <w:i/>
                <w:sz w:val="20"/>
                <w:szCs w:val="20"/>
                <w:lang w:eastAsia="lv-LV"/>
              </w:rPr>
              <w:t xml:space="preserve">   </w:t>
            </w:r>
            <w:r w:rsidRPr="00637924">
              <w:rPr>
                <w:rFonts w:eastAsia="Times New Roman" w:cs="Times New Roman"/>
                <w:i/>
                <w:sz w:val="20"/>
                <w:szCs w:val="20"/>
                <w:lang w:eastAsia="lv-LV"/>
              </w:rPr>
              <w:t>Pārējie procentu maksājumi</w:t>
            </w:r>
          </w:p>
        </w:tc>
        <w:tc>
          <w:tcPr>
            <w:tcW w:w="1134" w:type="dxa"/>
            <w:tcBorders>
              <w:top w:val="nil"/>
              <w:left w:val="nil"/>
              <w:bottom w:val="single" w:sz="4" w:space="0" w:color="auto"/>
              <w:right w:val="single" w:sz="4" w:space="0" w:color="auto"/>
            </w:tcBorders>
            <w:shd w:val="clear" w:color="auto" w:fill="auto"/>
            <w:noWrap/>
            <w:vAlign w:val="bottom"/>
            <w:hideMark/>
          </w:tcPr>
          <w:p w:rsidR="006247F6" w:rsidRPr="00637924" w:rsidRDefault="006247F6" w:rsidP="005C7D14">
            <w:pPr>
              <w:spacing w:after="0"/>
              <w:ind w:firstLine="0"/>
              <w:jc w:val="right"/>
              <w:rPr>
                <w:rFonts w:eastAsia="Times New Roman" w:cs="Times New Roman"/>
                <w:i/>
                <w:sz w:val="20"/>
                <w:szCs w:val="20"/>
                <w:lang w:eastAsia="lv-LV"/>
              </w:rPr>
            </w:pPr>
            <w:r w:rsidRPr="00637924">
              <w:rPr>
                <w:rFonts w:eastAsia="Times New Roman" w:cs="Times New Roman"/>
                <w:i/>
                <w:sz w:val="20"/>
                <w:szCs w:val="20"/>
                <w:lang w:eastAsia="lv-LV"/>
              </w:rPr>
              <w:t>3 137</w:t>
            </w:r>
          </w:p>
        </w:tc>
        <w:tc>
          <w:tcPr>
            <w:tcW w:w="1134" w:type="dxa"/>
            <w:tcBorders>
              <w:top w:val="nil"/>
              <w:left w:val="nil"/>
              <w:bottom w:val="single" w:sz="4" w:space="0" w:color="auto"/>
              <w:right w:val="single" w:sz="4" w:space="0" w:color="auto"/>
            </w:tcBorders>
            <w:shd w:val="clear" w:color="auto" w:fill="auto"/>
            <w:noWrap/>
            <w:vAlign w:val="bottom"/>
            <w:hideMark/>
          </w:tcPr>
          <w:p w:rsidR="006247F6" w:rsidRPr="00637924" w:rsidRDefault="006247F6" w:rsidP="005C7D14">
            <w:pPr>
              <w:spacing w:after="0"/>
              <w:ind w:firstLine="0"/>
              <w:jc w:val="right"/>
              <w:rPr>
                <w:rFonts w:eastAsia="Times New Roman" w:cs="Times New Roman"/>
                <w:i/>
                <w:sz w:val="20"/>
                <w:szCs w:val="20"/>
                <w:lang w:eastAsia="lv-LV"/>
              </w:rPr>
            </w:pPr>
            <w:r w:rsidRPr="00637924">
              <w:rPr>
                <w:rFonts w:eastAsia="Times New Roman" w:cs="Times New Roman"/>
                <w:i/>
                <w:sz w:val="20"/>
                <w:szCs w:val="20"/>
                <w:lang w:eastAsia="lv-LV"/>
              </w:rPr>
              <w:t> </w:t>
            </w:r>
          </w:p>
        </w:tc>
        <w:tc>
          <w:tcPr>
            <w:tcW w:w="1134" w:type="dxa"/>
            <w:tcBorders>
              <w:top w:val="nil"/>
              <w:left w:val="nil"/>
              <w:bottom w:val="single" w:sz="4" w:space="0" w:color="auto"/>
              <w:right w:val="single" w:sz="4" w:space="0" w:color="auto"/>
            </w:tcBorders>
            <w:shd w:val="clear" w:color="auto" w:fill="auto"/>
            <w:noWrap/>
            <w:vAlign w:val="bottom"/>
            <w:hideMark/>
          </w:tcPr>
          <w:p w:rsidR="006247F6" w:rsidRPr="00637924" w:rsidRDefault="006247F6" w:rsidP="005C7D14">
            <w:pPr>
              <w:spacing w:after="0"/>
              <w:ind w:firstLine="0"/>
              <w:jc w:val="right"/>
              <w:rPr>
                <w:rFonts w:eastAsia="Times New Roman" w:cs="Times New Roman"/>
                <w:i/>
                <w:sz w:val="20"/>
                <w:szCs w:val="20"/>
                <w:lang w:eastAsia="lv-LV"/>
              </w:rPr>
            </w:pPr>
            <w:r w:rsidRPr="00637924">
              <w:rPr>
                <w:rFonts w:eastAsia="Times New Roman" w:cs="Times New Roman"/>
                <w:i/>
                <w:sz w:val="20"/>
                <w:szCs w:val="20"/>
                <w:lang w:eastAsia="lv-LV"/>
              </w:rPr>
              <w:t>1 019</w:t>
            </w:r>
          </w:p>
        </w:tc>
        <w:tc>
          <w:tcPr>
            <w:tcW w:w="1083" w:type="dxa"/>
            <w:tcBorders>
              <w:top w:val="nil"/>
              <w:left w:val="nil"/>
              <w:bottom w:val="single" w:sz="4" w:space="0" w:color="auto"/>
              <w:right w:val="single" w:sz="4" w:space="0" w:color="auto"/>
            </w:tcBorders>
            <w:shd w:val="clear" w:color="auto" w:fill="auto"/>
            <w:noWrap/>
            <w:vAlign w:val="bottom"/>
            <w:hideMark/>
          </w:tcPr>
          <w:p w:rsidR="006247F6" w:rsidRPr="00637924" w:rsidRDefault="006247F6" w:rsidP="005C7D14">
            <w:pPr>
              <w:spacing w:after="0"/>
              <w:ind w:firstLine="0"/>
              <w:jc w:val="right"/>
              <w:rPr>
                <w:rFonts w:eastAsia="Times New Roman" w:cs="Times New Roman"/>
                <w:i/>
                <w:sz w:val="20"/>
                <w:szCs w:val="20"/>
                <w:lang w:eastAsia="lv-LV"/>
              </w:rPr>
            </w:pPr>
            <w:r w:rsidRPr="00637924">
              <w:rPr>
                <w:rFonts w:eastAsia="Times New Roman" w:cs="Times New Roman"/>
                <w:i/>
                <w:sz w:val="20"/>
                <w:szCs w:val="20"/>
                <w:lang w:eastAsia="lv-LV"/>
              </w:rPr>
              <w:t> </w:t>
            </w:r>
          </w:p>
        </w:tc>
        <w:tc>
          <w:tcPr>
            <w:tcW w:w="879" w:type="dxa"/>
            <w:tcBorders>
              <w:top w:val="nil"/>
              <w:left w:val="nil"/>
              <w:bottom w:val="single" w:sz="4" w:space="0" w:color="auto"/>
              <w:right w:val="single" w:sz="4" w:space="0" w:color="auto"/>
            </w:tcBorders>
            <w:shd w:val="clear" w:color="auto" w:fill="auto"/>
            <w:noWrap/>
            <w:vAlign w:val="bottom"/>
            <w:hideMark/>
          </w:tcPr>
          <w:p w:rsidR="006247F6" w:rsidRPr="00637924" w:rsidRDefault="006247F6" w:rsidP="005C7D14">
            <w:pPr>
              <w:spacing w:after="0"/>
              <w:ind w:firstLine="0"/>
              <w:jc w:val="center"/>
              <w:rPr>
                <w:rFonts w:eastAsia="Times New Roman" w:cs="Times New Roman"/>
                <w:i/>
                <w:sz w:val="20"/>
                <w:szCs w:val="20"/>
                <w:lang w:eastAsia="lv-LV"/>
              </w:rPr>
            </w:pPr>
            <w:r w:rsidRPr="00637924">
              <w:rPr>
                <w:rFonts w:eastAsia="Times New Roman" w:cs="Times New Roman"/>
                <w:i/>
                <w:sz w:val="20"/>
                <w:szCs w:val="20"/>
                <w:lang w:eastAsia="lv-LV"/>
              </w:rPr>
              <w:t>32,5</w:t>
            </w:r>
          </w:p>
        </w:tc>
        <w:tc>
          <w:tcPr>
            <w:tcW w:w="879" w:type="dxa"/>
            <w:tcBorders>
              <w:top w:val="nil"/>
              <w:left w:val="nil"/>
              <w:bottom w:val="single" w:sz="4" w:space="0" w:color="auto"/>
              <w:right w:val="single" w:sz="4" w:space="0" w:color="auto"/>
            </w:tcBorders>
            <w:shd w:val="clear" w:color="auto" w:fill="auto"/>
            <w:noWrap/>
            <w:vAlign w:val="bottom"/>
            <w:hideMark/>
          </w:tcPr>
          <w:p w:rsidR="006247F6" w:rsidRPr="00637924" w:rsidRDefault="006247F6" w:rsidP="005C7D14">
            <w:pPr>
              <w:spacing w:after="0"/>
              <w:ind w:firstLine="0"/>
              <w:jc w:val="center"/>
              <w:rPr>
                <w:rFonts w:eastAsia="Times New Roman" w:cs="Times New Roman"/>
                <w:i/>
                <w:sz w:val="20"/>
                <w:szCs w:val="20"/>
                <w:lang w:eastAsia="lv-LV"/>
              </w:rPr>
            </w:pPr>
            <w:r w:rsidRPr="00637924">
              <w:rPr>
                <w:rFonts w:eastAsia="Times New Roman" w:cs="Times New Roman"/>
                <w:i/>
                <w:sz w:val="20"/>
                <w:szCs w:val="20"/>
                <w:lang w:eastAsia="lv-LV"/>
              </w:rPr>
              <w:t> </w:t>
            </w:r>
          </w:p>
        </w:tc>
        <w:tc>
          <w:tcPr>
            <w:tcW w:w="879" w:type="dxa"/>
            <w:tcBorders>
              <w:top w:val="nil"/>
              <w:left w:val="nil"/>
              <w:bottom w:val="single" w:sz="4" w:space="0" w:color="auto"/>
              <w:right w:val="single" w:sz="4" w:space="0" w:color="auto"/>
            </w:tcBorders>
            <w:shd w:val="clear" w:color="auto" w:fill="auto"/>
            <w:noWrap/>
            <w:vAlign w:val="bottom"/>
            <w:hideMark/>
          </w:tcPr>
          <w:p w:rsidR="006247F6" w:rsidRPr="00637924" w:rsidRDefault="006247F6" w:rsidP="005C7D14">
            <w:pPr>
              <w:spacing w:after="0"/>
              <w:ind w:firstLine="0"/>
              <w:jc w:val="center"/>
              <w:rPr>
                <w:rFonts w:eastAsia="Times New Roman" w:cs="Times New Roman"/>
                <w:i/>
                <w:sz w:val="20"/>
                <w:szCs w:val="20"/>
                <w:lang w:eastAsia="lv-LV"/>
              </w:rPr>
            </w:pPr>
            <w:r w:rsidRPr="00637924">
              <w:rPr>
                <w:rFonts w:eastAsia="Times New Roman" w:cs="Times New Roman"/>
                <w:i/>
                <w:sz w:val="20"/>
                <w:szCs w:val="20"/>
                <w:lang w:eastAsia="lv-LV"/>
              </w:rPr>
              <w:t> </w:t>
            </w:r>
          </w:p>
        </w:tc>
      </w:tr>
      <w:tr w:rsidR="006247F6" w:rsidRPr="00637924" w:rsidTr="000C2E3B">
        <w:trPr>
          <w:trHeight w:val="465"/>
        </w:trPr>
        <w:tc>
          <w:tcPr>
            <w:tcW w:w="2269" w:type="dxa"/>
            <w:tcBorders>
              <w:top w:val="single" w:sz="4" w:space="0" w:color="auto"/>
              <w:left w:val="single" w:sz="4" w:space="0" w:color="auto"/>
              <w:right w:val="single" w:sz="4" w:space="0" w:color="auto"/>
            </w:tcBorders>
            <w:shd w:val="clear" w:color="auto" w:fill="auto"/>
            <w:vAlign w:val="bottom"/>
            <w:hideMark/>
          </w:tcPr>
          <w:p w:rsidR="006247F6" w:rsidRPr="00637924" w:rsidRDefault="006247F6" w:rsidP="005C7D14">
            <w:pPr>
              <w:spacing w:after="0"/>
              <w:ind w:firstLine="0"/>
              <w:jc w:val="left"/>
              <w:rPr>
                <w:rFonts w:eastAsia="Times New Roman" w:cs="Times New Roman"/>
                <w:b/>
                <w:sz w:val="20"/>
                <w:szCs w:val="20"/>
                <w:lang w:eastAsia="lv-LV"/>
              </w:rPr>
            </w:pPr>
            <w:r w:rsidRPr="00637924">
              <w:rPr>
                <w:rFonts w:eastAsia="Times New Roman" w:cs="Times New Roman"/>
                <w:b/>
                <w:sz w:val="20"/>
                <w:szCs w:val="20"/>
                <w:lang w:eastAsia="lv-LV"/>
              </w:rPr>
              <w:t>Subsīdijas, dotācijas un sociālie pabalsti</w:t>
            </w:r>
          </w:p>
        </w:tc>
        <w:tc>
          <w:tcPr>
            <w:tcW w:w="1134" w:type="dxa"/>
            <w:tcBorders>
              <w:top w:val="single" w:sz="4" w:space="0" w:color="auto"/>
              <w:left w:val="nil"/>
              <w:right w:val="single" w:sz="4" w:space="0" w:color="auto"/>
            </w:tcBorders>
            <w:shd w:val="clear" w:color="auto" w:fill="auto"/>
            <w:noWrap/>
            <w:vAlign w:val="bottom"/>
            <w:hideMark/>
          </w:tcPr>
          <w:p w:rsidR="006247F6" w:rsidRPr="00637924" w:rsidRDefault="006247F6" w:rsidP="005C7D14">
            <w:pPr>
              <w:spacing w:after="0"/>
              <w:ind w:firstLine="0"/>
              <w:jc w:val="right"/>
              <w:rPr>
                <w:rFonts w:eastAsia="Times New Roman" w:cs="Times New Roman"/>
                <w:b/>
                <w:sz w:val="20"/>
                <w:szCs w:val="20"/>
                <w:lang w:eastAsia="lv-LV"/>
              </w:rPr>
            </w:pPr>
            <w:r w:rsidRPr="00637924">
              <w:rPr>
                <w:rFonts w:eastAsia="Times New Roman" w:cs="Times New Roman"/>
                <w:b/>
                <w:sz w:val="20"/>
                <w:szCs w:val="20"/>
                <w:lang w:eastAsia="lv-LV"/>
              </w:rPr>
              <w:t>400 779</w:t>
            </w:r>
          </w:p>
        </w:tc>
        <w:tc>
          <w:tcPr>
            <w:tcW w:w="1134" w:type="dxa"/>
            <w:tcBorders>
              <w:top w:val="single" w:sz="4" w:space="0" w:color="auto"/>
              <w:left w:val="nil"/>
              <w:right w:val="single" w:sz="4" w:space="0" w:color="auto"/>
            </w:tcBorders>
            <w:shd w:val="clear" w:color="auto" w:fill="auto"/>
            <w:noWrap/>
            <w:vAlign w:val="bottom"/>
            <w:hideMark/>
          </w:tcPr>
          <w:p w:rsidR="006247F6" w:rsidRPr="00637924" w:rsidRDefault="006247F6" w:rsidP="005C7D14">
            <w:pPr>
              <w:spacing w:after="0"/>
              <w:ind w:firstLine="0"/>
              <w:jc w:val="right"/>
              <w:rPr>
                <w:rFonts w:eastAsia="Times New Roman" w:cs="Times New Roman"/>
                <w:b/>
                <w:sz w:val="20"/>
                <w:szCs w:val="20"/>
                <w:lang w:eastAsia="lv-LV"/>
              </w:rPr>
            </w:pPr>
            <w:r w:rsidRPr="00637924">
              <w:rPr>
                <w:rFonts w:eastAsia="Times New Roman" w:cs="Times New Roman"/>
                <w:b/>
                <w:sz w:val="20"/>
                <w:szCs w:val="20"/>
                <w:lang w:eastAsia="lv-LV"/>
              </w:rPr>
              <w:t>427 107</w:t>
            </w:r>
          </w:p>
        </w:tc>
        <w:tc>
          <w:tcPr>
            <w:tcW w:w="1134" w:type="dxa"/>
            <w:tcBorders>
              <w:top w:val="single" w:sz="4" w:space="0" w:color="auto"/>
              <w:left w:val="nil"/>
              <w:right w:val="single" w:sz="4" w:space="0" w:color="auto"/>
            </w:tcBorders>
            <w:shd w:val="clear" w:color="auto" w:fill="auto"/>
            <w:noWrap/>
            <w:vAlign w:val="bottom"/>
            <w:hideMark/>
          </w:tcPr>
          <w:p w:rsidR="006247F6" w:rsidRPr="00637924" w:rsidRDefault="006247F6" w:rsidP="005C7D14">
            <w:pPr>
              <w:spacing w:after="0"/>
              <w:ind w:firstLine="0"/>
              <w:jc w:val="right"/>
              <w:rPr>
                <w:rFonts w:eastAsia="Times New Roman" w:cs="Times New Roman"/>
                <w:b/>
                <w:sz w:val="20"/>
                <w:szCs w:val="20"/>
                <w:lang w:eastAsia="lv-LV"/>
              </w:rPr>
            </w:pPr>
            <w:r w:rsidRPr="00637924">
              <w:rPr>
                <w:rFonts w:eastAsia="Times New Roman" w:cs="Times New Roman"/>
                <w:b/>
                <w:sz w:val="20"/>
                <w:szCs w:val="20"/>
                <w:lang w:eastAsia="lv-LV"/>
              </w:rPr>
              <w:t>415 469</w:t>
            </w:r>
          </w:p>
        </w:tc>
        <w:tc>
          <w:tcPr>
            <w:tcW w:w="1083" w:type="dxa"/>
            <w:tcBorders>
              <w:top w:val="single" w:sz="4" w:space="0" w:color="auto"/>
              <w:left w:val="nil"/>
              <w:right w:val="single" w:sz="4" w:space="0" w:color="auto"/>
            </w:tcBorders>
            <w:shd w:val="clear" w:color="auto" w:fill="auto"/>
            <w:noWrap/>
            <w:vAlign w:val="bottom"/>
            <w:hideMark/>
          </w:tcPr>
          <w:p w:rsidR="006247F6" w:rsidRPr="00637924" w:rsidRDefault="006247F6" w:rsidP="005C7D14">
            <w:pPr>
              <w:spacing w:after="0"/>
              <w:ind w:firstLine="0"/>
              <w:jc w:val="right"/>
              <w:rPr>
                <w:rFonts w:eastAsia="Times New Roman" w:cs="Times New Roman"/>
                <w:b/>
                <w:sz w:val="20"/>
                <w:szCs w:val="20"/>
                <w:lang w:eastAsia="lv-LV"/>
              </w:rPr>
            </w:pPr>
            <w:r w:rsidRPr="00637924">
              <w:rPr>
                <w:rFonts w:eastAsia="Times New Roman" w:cs="Times New Roman"/>
                <w:b/>
                <w:sz w:val="20"/>
                <w:szCs w:val="20"/>
                <w:lang w:eastAsia="lv-LV"/>
              </w:rPr>
              <w:t>1 985 515</w:t>
            </w:r>
          </w:p>
        </w:tc>
        <w:tc>
          <w:tcPr>
            <w:tcW w:w="879" w:type="dxa"/>
            <w:tcBorders>
              <w:top w:val="single" w:sz="4" w:space="0" w:color="auto"/>
              <w:left w:val="nil"/>
              <w:right w:val="single" w:sz="4" w:space="0" w:color="auto"/>
            </w:tcBorders>
            <w:shd w:val="clear" w:color="auto" w:fill="auto"/>
            <w:noWrap/>
            <w:vAlign w:val="bottom"/>
            <w:hideMark/>
          </w:tcPr>
          <w:p w:rsidR="006247F6" w:rsidRPr="00637924" w:rsidRDefault="006247F6" w:rsidP="005C7D14">
            <w:pPr>
              <w:spacing w:after="0"/>
              <w:ind w:firstLine="0"/>
              <w:jc w:val="center"/>
              <w:rPr>
                <w:rFonts w:eastAsia="Times New Roman" w:cs="Times New Roman"/>
                <w:b/>
                <w:sz w:val="20"/>
                <w:szCs w:val="20"/>
                <w:lang w:eastAsia="lv-LV"/>
              </w:rPr>
            </w:pPr>
            <w:r w:rsidRPr="00637924">
              <w:rPr>
                <w:rFonts w:eastAsia="Times New Roman" w:cs="Times New Roman"/>
                <w:b/>
                <w:sz w:val="20"/>
                <w:szCs w:val="20"/>
                <w:lang w:eastAsia="lv-LV"/>
              </w:rPr>
              <w:t>103,7</w:t>
            </w:r>
          </w:p>
        </w:tc>
        <w:tc>
          <w:tcPr>
            <w:tcW w:w="879" w:type="dxa"/>
            <w:tcBorders>
              <w:top w:val="single" w:sz="4" w:space="0" w:color="auto"/>
              <w:left w:val="nil"/>
              <w:right w:val="single" w:sz="4" w:space="0" w:color="auto"/>
            </w:tcBorders>
            <w:shd w:val="clear" w:color="auto" w:fill="auto"/>
            <w:noWrap/>
            <w:vAlign w:val="bottom"/>
            <w:hideMark/>
          </w:tcPr>
          <w:p w:rsidR="006247F6" w:rsidRPr="00637924" w:rsidRDefault="006247F6" w:rsidP="005C7D14">
            <w:pPr>
              <w:spacing w:after="0"/>
              <w:ind w:firstLine="0"/>
              <w:jc w:val="center"/>
              <w:rPr>
                <w:rFonts w:eastAsia="Times New Roman" w:cs="Times New Roman"/>
                <w:b/>
                <w:sz w:val="20"/>
                <w:szCs w:val="20"/>
                <w:lang w:eastAsia="lv-LV"/>
              </w:rPr>
            </w:pPr>
            <w:r w:rsidRPr="00637924">
              <w:rPr>
                <w:rFonts w:eastAsia="Times New Roman" w:cs="Times New Roman"/>
                <w:b/>
                <w:sz w:val="20"/>
                <w:szCs w:val="20"/>
                <w:lang w:eastAsia="lv-LV"/>
              </w:rPr>
              <w:t>97,3</w:t>
            </w:r>
          </w:p>
        </w:tc>
        <w:tc>
          <w:tcPr>
            <w:tcW w:w="879" w:type="dxa"/>
            <w:tcBorders>
              <w:top w:val="single" w:sz="4" w:space="0" w:color="auto"/>
              <w:left w:val="nil"/>
              <w:right w:val="single" w:sz="4" w:space="0" w:color="auto"/>
            </w:tcBorders>
            <w:shd w:val="clear" w:color="auto" w:fill="auto"/>
            <w:noWrap/>
            <w:vAlign w:val="bottom"/>
            <w:hideMark/>
          </w:tcPr>
          <w:p w:rsidR="006247F6" w:rsidRPr="00637924" w:rsidRDefault="006247F6" w:rsidP="005C7D14">
            <w:pPr>
              <w:spacing w:after="0"/>
              <w:ind w:firstLine="0"/>
              <w:jc w:val="center"/>
              <w:rPr>
                <w:rFonts w:eastAsia="Times New Roman" w:cs="Times New Roman"/>
                <w:b/>
                <w:sz w:val="20"/>
                <w:szCs w:val="20"/>
                <w:lang w:eastAsia="lv-LV"/>
              </w:rPr>
            </w:pPr>
            <w:r w:rsidRPr="00637924">
              <w:rPr>
                <w:rFonts w:eastAsia="Times New Roman" w:cs="Times New Roman"/>
                <w:b/>
                <w:sz w:val="20"/>
                <w:szCs w:val="20"/>
                <w:lang w:eastAsia="lv-LV"/>
              </w:rPr>
              <w:t>20,9</w:t>
            </w:r>
          </w:p>
        </w:tc>
      </w:tr>
      <w:tr w:rsidR="006247F6" w:rsidRPr="008A19B2" w:rsidTr="000C2E3B">
        <w:trPr>
          <w:trHeight w:val="330"/>
        </w:trPr>
        <w:tc>
          <w:tcPr>
            <w:tcW w:w="2269" w:type="dxa"/>
            <w:tcBorders>
              <w:top w:val="nil"/>
              <w:left w:val="single" w:sz="4" w:space="0" w:color="auto"/>
              <w:right w:val="single" w:sz="4" w:space="0" w:color="auto"/>
            </w:tcBorders>
            <w:shd w:val="clear" w:color="auto" w:fill="auto"/>
            <w:vAlign w:val="bottom"/>
            <w:hideMark/>
          </w:tcPr>
          <w:p w:rsidR="006247F6" w:rsidRPr="008A19B2" w:rsidRDefault="006247F6" w:rsidP="005C7D14">
            <w:pPr>
              <w:spacing w:after="0"/>
              <w:ind w:firstLine="0"/>
              <w:jc w:val="left"/>
              <w:rPr>
                <w:rFonts w:eastAsia="Times New Roman" w:cs="Times New Roman"/>
                <w:sz w:val="20"/>
                <w:szCs w:val="20"/>
                <w:lang w:eastAsia="lv-LV"/>
              </w:rPr>
            </w:pPr>
            <w:r w:rsidRPr="008A19B2">
              <w:rPr>
                <w:rFonts w:eastAsia="Times New Roman" w:cs="Times New Roman"/>
                <w:sz w:val="20"/>
                <w:szCs w:val="20"/>
                <w:lang w:eastAsia="lv-LV"/>
              </w:rPr>
              <w:lastRenderedPageBreak/>
              <w:t>Subsīdijas un dotācijas</w:t>
            </w:r>
          </w:p>
        </w:tc>
        <w:tc>
          <w:tcPr>
            <w:tcW w:w="1134" w:type="dxa"/>
            <w:tcBorders>
              <w:top w:val="nil"/>
              <w:left w:val="nil"/>
              <w:right w:val="single" w:sz="4" w:space="0" w:color="auto"/>
            </w:tcBorders>
            <w:shd w:val="clear" w:color="auto" w:fill="auto"/>
            <w:noWrap/>
            <w:vAlign w:val="bottom"/>
            <w:hideMark/>
          </w:tcPr>
          <w:p w:rsidR="006247F6" w:rsidRPr="008A19B2" w:rsidRDefault="006247F6" w:rsidP="005C7D14">
            <w:pPr>
              <w:spacing w:after="0"/>
              <w:ind w:firstLine="0"/>
              <w:jc w:val="right"/>
              <w:rPr>
                <w:rFonts w:eastAsia="Times New Roman" w:cs="Times New Roman"/>
                <w:sz w:val="20"/>
                <w:szCs w:val="20"/>
                <w:lang w:eastAsia="lv-LV"/>
              </w:rPr>
            </w:pPr>
            <w:r w:rsidRPr="008A19B2">
              <w:rPr>
                <w:rFonts w:eastAsia="Times New Roman" w:cs="Times New Roman"/>
                <w:sz w:val="20"/>
                <w:szCs w:val="20"/>
                <w:lang w:eastAsia="lv-LV"/>
              </w:rPr>
              <w:t>346 723</w:t>
            </w:r>
          </w:p>
        </w:tc>
        <w:tc>
          <w:tcPr>
            <w:tcW w:w="1134" w:type="dxa"/>
            <w:tcBorders>
              <w:top w:val="nil"/>
              <w:left w:val="nil"/>
              <w:right w:val="single" w:sz="4" w:space="0" w:color="auto"/>
            </w:tcBorders>
            <w:shd w:val="clear" w:color="auto" w:fill="auto"/>
            <w:noWrap/>
            <w:vAlign w:val="bottom"/>
            <w:hideMark/>
          </w:tcPr>
          <w:p w:rsidR="006247F6" w:rsidRPr="008A19B2" w:rsidRDefault="006247F6" w:rsidP="005C7D14">
            <w:pPr>
              <w:spacing w:after="0"/>
              <w:ind w:firstLine="0"/>
              <w:jc w:val="right"/>
              <w:rPr>
                <w:rFonts w:eastAsia="Times New Roman" w:cs="Times New Roman"/>
                <w:sz w:val="20"/>
                <w:szCs w:val="20"/>
                <w:lang w:eastAsia="lv-LV"/>
              </w:rPr>
            </w:pPr>
            <w:r w:rsidRPr="008A19B2">
              <w:rPr>
                <w:rFonts w:eastAsia="Times New Roman" w:cs="Times New Roman"/>
                <w:sz w:val="20"/>
                <w:szCs w:val="20"/>
                <w:lang w:eastAsia="lv-LV"/>
              </w:rPr>
              <w:t>366 999</w:t>
            </w:r>
          </w:p>
        </w:tc>
        <w:tc>
          <w:tcPr>
            <w:tcW w:w="1134" w:type="dxa"/>
            <w:tcBorders>
              <w:top w:val="nil"/>
              <w:left w:val="nil"/>
              <w:right w:val="single" w:sz="4" w:space="0" w:color="auto"/>
            </w:tcBorders>
            <w:shd w:val="clear" w:color="auto" w:fill="auto"/>
            <w:noWrap/>
            <w:vAlign w:val="bottom"/>
            <w:hideMark/>
          </w:tcPr>
          <w:p w:rsidR="006247F6" w:rsidRPr="008A19B2" w:rsidRDefault="006247F6" w:rsidP="005C7D14">
            <w:pPr>
              <w:spacing w:after="0"/>
              <w:ind w:firstLine="0"/>
              <w:jc w:val="right"/>
              <w:rPr>
                <w:rFonts w:eastAsia="Times New Roman" w:cs="Times New Roman"/>
                <w:sz w:val="20"/>
                <w:szCs w:val="20"/>
                <w:lang w:eastAsia="lv-LV"/>
              </w:rPr>
            </w:pPr>
            <w:r w:rsidRPr="008A19B2">
              <w:rPr>
                <w:rFonts w:eastAsia="Times New Roman" w:cs="Times New Roman"/>
                <w:sz w:val="20"/>
                <w:szCs w:val="20"/>
                <w:lang w:eastAsia="lv-LV"/>
              </w:rPr>
              <w:t>357 070</w:t>
            </w:r>
          </w:p>
        </w:tc>
        <w:tc>
          <w:tcPr>
            <w:tcW w:w="1083" w:type="dxa"/>
            <w:tcBorders>
              <w:top w:val="nil"/>
              <w:left w:val="nil"/>
              <w:right w:val="single" w:sz="4" w:space="0" w:color="auto"/>
            </w:tcBorders>
            <w:shd w:val="clear" w:color="auto" w:fill="auto"/>
            <w:noWrap/>
            <w:vAlign w:val="bottom"/>
            <w:hideMark/>
          </w:tcPr>
          <w:p w:rsidR="006247F6" w:rsidRPr="008A19B2" w:rsidRDefault="006247F6" w:rsidP="005C7D14">
            <w:pPr>
              <w:spacing w:after="0"/>
              <w:ind w:firstLine="0"/>
              <w:jc w:val="right"/>
              <w:rPr>
                <w:rFonts w:eastAsia="Times New Roman" w:cs="Times New Roman"/>
                <w:sz w:val="20"/>
                <w:szCs w:val="20"/>
                <w:lang w:eastAsia="lv-LV"/>
              </w:rPr>
            </w:pPr>
            <w:r w:rsidRPr="008A19B2">
              <w:rPr>
                <w:rFonts w:eastAsia="Times New Roman" w:cs="Times New Roman"/>
                <w:sz w:val="20"/>
                <w:szCs w:val="20"/>
                <w:lang w:eastAsia="lv-LV"/>
              </w:rPr>
              <w:t>1 730 352</w:t>
            </w:r>
          </w:p>
        </w:tc>
        <w:tc>
          <w:tcPr>
            <w:tcW w:w="879" w:type="dxa"/>
            <w:tcBorders>
              <w:top w:val="nil"/>
              <w:left w:val="nil"/>
              <w:right w:val="single" w:sz="4" w:space="0" w:color="auto"/>
            </w:tcBorders>
            <w:shd w:val="clear" w:color="auto" w:fill="auto"/>
            <w:noWrap/>
            <w:vAlign w:val="bottom"/>
            <w:hideMark/>
          </w:tcPr>
          <w:p w:rsidR="006247F6" w:rsidRPr="008A19B2" w:rsidRDefault="006247F6" w:rsidP="005C7D14">
            <w:pPr>
              <w:spacing w:after="0"/>
              <w:ind w:firstLine="0"/>
              <w:jc w:val="center"/>
              <w:rPr>
                <w:rFonts w:eastAsia="Times New Roman" w:cs="Times New Roman"/>
                <w:sz w:val="20"/>
                <w:szCs w:val="20"/>
                <w:lang w:eastAsia="lv-LV"/>
              </w:rPr>
            </w:pPr>
            <w:r w:rsidRPr="008A19B2">
              <w:rPr>
                <w:rFonts w:eastAsia="Times New Roman" w:cs="Times New Roman"/>
                <w:sz w:val="20"/>
                <w:szCs w:val="20"/>
                <w:lang w:eastAsia="lv-LV"/>
              </w:rPr>
              <w:t>103,0</w:t>
            </w:r>
          </w:p>
        </w:tc>
        <w:tc>
          <w:tcPr>
            <w:tcW w:w="879" w:type="dxa"/>
            <w:tcBorders>
              <w:top w:val="nil"/>
              <w:left w:val="nil"/>
              <w:right w:val="single" w:sz="4" w:space="0" w:color="auto"/>
            </w:tcBorders>
            <w:shd w:val="clear" w:color="auto" w:fill="auto"/>
            <w:noWrap/>
            <w:vAlign w:val="bottom"/>
            <w:hideMark/>
          </w:tcPr>
          <w:p w:rsidR="006247F6" w:rsidRPr="008A19B2" w:rsidRDefault="006247F6" w:rsidP="005C7D14">
            <w:pPr>
              <w:spacing w:after="0"/>
              <w:ind w:firstLine="0"/>
              <w:jc w:val="center"/>
              <w:rPr>
                <w:rFonts w:eastAsia="Times New Roman" w:cs="Times New Roman"/>
                <w:sz w:val="20"/>
                <w:szCs w:val="20"/>
                <w:lang w:eastAsia="lv-LV"/>
              </w:rPr>
            </w:pPr>
            <w:r w:rsidRPr="008A19B2">
              <w:rPr>
                <w:rFonts w:eastAsia="Times New Roman" w:cs="Times New Roman"/>
                <w:sz w:val="20"/>
                <w:szCs w:val="20"/>
                <w:lang w:eastAsia="lv-LV"/>
              </w:rPr>
              <w:t>97,3</w:t>
            </w:r>
          </w:p>
        </w:tc>
        <w:tc>
          <w:tcPr>
            <w:tcW w:w="879" w:type="dxa"/>
            <w:tcBorders>
              <w:top w:val="nil"/>
              <w:left w:val="nil"/>
              <w:right w:val="single" w:sz="4" w:space="0" w:color="auto"/>
            </w:tcBorders>
            <w:shd w:val="clear" w:color="auto" w:fill="auto"/>
            <w:noWrap/>
            <w:vAlign w:val="bottom"/>
            <w:hideMark/>
          </w:tcPr>
          <w:p w:rsidR="006247F6" w:rsidRPr="008A19B2" w:rsidRDefault="006247F6" w:rsidP="005C7D14">
            <w:pPr>
              <w:spacing w:after="0"/>
              <w:ind w:firstLine="0"/>
              <w:jc w:val="center"/>
              <w:rPr>
                <w:rFonts w:eastAsia="Times New Roman" w:cs="Times New Roman"/>
                <w:sz w:val="20"/>
                <w:szCs w:val="20"/>
                <w:lang w:eastAsia="lv-LV"/>
              </w:rPr>
            </w:pPr>
            <w:r w:rsidRPr="008A19B2">
              <w:rPr>
                <w:rFonts w:eastAsia="Times New Roman" w:cs="Times New Roman"/>
                <w:sz w:val="20"/>
                <w:szCs w:val="20"/>
                <w:lang w:eastAsia="lv-LV"/>
              </w:rPr>
              <w:t>20,6</w:t>
            </w:r>
          </w:p>
        </w:tc>
      </w:tr>
      <w:tr w:rsidR="006247F6" w:rsidRPr="008A19B2" w:rsidTr="000C2E3B">
        <w:trPr>
          <w:trHeight w:val="264"/>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6247F6" w:rsidRPr="008A19B2" w:rsidRDefault="006247F6" w:rsidP="005C7D14">
            <w:pPr>
              <w:spacing w:after="0"/>
              <w:ind w:firstLine="0"/>
              <w:jc w:val="left"/>
              <w:rPr>
                <w:rFonts w:eastAsia="Times New Roman" w:cs="Times New Roman"/>
                <w:sz w:val="20"/>
                <w:szCs w:val="20"/>
                <w:lang w:eastAsia="lv-LV"/>
              </w:rPr>
            </w:pPr>
            <w:r w:rsidRPr="008A19B2">
              <w:rPr>
                <w:rFonts w:eastAsia="Times New Roman" w:cs="Times New Roman"/>
                <w:sz w:val="20"/>
                <w:szCs w:val="20"/>
                <w:lang w:eastAsia="lv-LV"/>
              </w:rPr>
              <w:t>Sociālie pabalsti</w:t>
            </w:r>
          </w:p>
        </w:tc>
        <w:tc>
          <w:tcPr>
            <w:tcW w:w="1134" w:type="dxa"/>
            <w:tcBorders>
              <w:top w:val="nil"/>
              <w:left w:val="nil"/>
              <w:bottom w:val="single" w:sz="4" w:space="0" w:color="auto"/>
              <w:right w:val="single" w:sz="4" w:space="0" w:color="auto"/>
            </w:tcBorders>
            <w:shd w:val="clear" w:color="auto" w:fill="auto"/>
            <w:noWrap/>
            <w:vAlign w:val="bottom"/>
            <w:hideMark/>
          </w:tcPr>
          <w:p w:rsidR="006247F6" w:rsidRPr="008A19B2" w:rsidRDefault="006247F6" w:rsidP="005C7D14">
            <w:pPr>
              <w:spacing w:after="0"/>
              <w:ind w:firstLine="0"/>
              <w:jc w:val="right"/>
              <w:rPr>
                <w:rFonts w:eastAsia="Times New Roman" w:cs="Times New Roman"/>
                <w:sz w:val="20"/>
                <w:szCs w:val="20"/>
                <w:lang w:eastAsia="lv-LV"/>
              </w:rPr>
            </w:pPr>
            <w:r w:rsidRPr="008A19B2">
              <w:rPr>
                <w:rFonts w:eastAsia="Times New Roman" w:cs="Times New Roman"/>
                <w:sz w:val="20"/>
                <w:szCs w:val="20"/>
                <w:lang w:eastAsia="lv-LV"/>
              </w:rPr>
              <w:t>54 056</w:t>
            </w:r>
          </w:p>
        </w:tc>
        <w:tc>
          <w:tcPr>
            <w:tcW w:w="1134" w:type="dxa"/>
            <w:tcBorders>
              <w:top w:val="nil"/>
              <w:left w:val="nil"/>
              <w:bottom w:val="single" w:sz="4" w:space="0" w:color="auto"/>
              <w:right w:val="single" w:sz="4" w:space="0" w:color="auto"/>
            </w:tcBorders>
            <w:shd w:val="clear" w:color="auto" w:fill="auto"/>
            <w:noWrap/>
            <w:vAlign w:val="bottom"/>
            <w:hideMark/>
          </w:tcPr>
          <w:p w:rsidR="006247F6" w:rsidRPr="008A19B2" w:rsidRDefault="006247F6" w:rsidP="005C7D14">
            <w:pPr>
              <w:spacing w:after="0"/>
              <w:ind w:firstLine="0"/>
              <w:jc w:val="right"/>
              <w:rPr>
                <w:rFonts w:eastAsia="Times New Roman" w:cs="Times New Roman"/>
                <w:sz w:val="20"/>
                <w:szCs w:val="20"/>
                <w:lang w:eastAsia="lv-LV"/>
              </w:rPr>
            </w:pPr>
            <w:r w:rsidRPr="008A19B2">
              <w:rPr>
                <w:rFonts w:eastAsia="Times New Roman" w:cs="Times New Roman"/>
                <w:sz w:val="20"/>
                <w:szCs w:val="20"/>
                <w:lang w:eastAsia="lv-LV"/>
              </w:rPr>
              <w:t>60 109</w:t>
            </w:r>
          </w:p>
        </w:tc>
        <w:tc>
          <w:tcPr>
            <w:tcW w:w="1134" w:type="dxa"/>
            <w:tcBorders>
              <w:top w:val="nil"/>
              <w:left w:val="nil"/>
              <w:bottom w:val="single" w:sz="4" w:space="0" w:color="auto"/>
              <w:right w:val="single" w:sz="4" w:space="0" w:color="auto"/>
            </w:tcBorders>
            <w:shd w:val="clear" w:color="auto" w:fill="auto"/>
            <w:noWrap/>
            <w:vAlign w:val="bottom"/>
            <w:hideMark/>
          </w:tcPr>
          <w:p w:rsidR="006247F6" w:rsidRPr="008A19B2" w:rsidRDefault="006247F6" w:rsidP="005C7D14">
            <w:pPr>
              <w:spacing w:after="0"/>
              <w:ind w:firstLine="0"/>
              <w:jc w:val="right"/>
              <w:rPr>
                <w:rFonts w:eastAsia="Times New Roman" w:cs="Times New Roman"/>
                <w:sz w:val="20"/>
                <w:szCs w:val="20"/>
                <w:lang w:eastAsia="lv-LV"/>
              </w:rPr>
            </w:pPr>
            <w:r w:rsidRPr="008A19B2">
              <w:rPr>
                <w:rFonts w:eastAsia="Times New Roman" w:cs="Times New Roman"/>
                <w:sz w:val="20"/>
                <w:szCs w:val="20"/>
                <w:lang w:eastAsia="lv-LV"/>
              </w:rPr>
              <w:t>58 399</w:t>
            </w:r>
          </w:p>
        </w:tc>
        <w:tc>
          <w:tcPr>
            <w:tcW w:w="1083" w:type="dxa"/>
            <w:tcBorders>
              <w:top w:val="nil"/>
              <w:left w:val="nil"/>
              <w:bottom w:val="single" w:sz="4" w:space="0" w:color="auto"/>
              <w:right w:val="single" w:sz="4" w:space="0" w:color="auto"/>
            </w:tcBorders>
            <w:shd w:val="clear" w:color="auto" w:fill="auto"/>
            <w:noWrap/>
            <w:vAlign w:val="bottom"/>
            <w:hideMark/>
          </w:tcPr>
          <w:p w:rsidR="006247F6" w:rsidRPr="008A19B2" w:rsidRDefault="006247F6" w:rsidP="005C7D14">
            <w:pPr>
              <w:spacing w:after="0"/>
              <w:ind w:firstLine="0"/>
              <w:jc w:val="right"/>
              <w:rPr>
                <w:rFonts w:eastAsia="Times New Roman" w:cs="Times New Roman"/>
                <w:sz w:val="20"/>
                <w:szCs w:val="20"/>
                <w:lang w:eastAsia="lv-LV"/>
              </w:rPr>
            </w:pPr>
            <w:r w:rsidRPr="008A19B2">
              <w:rPr>
                <w:rFonts w:eastAsia="Times New Roman" w:cs="Times New Roman"/>
                <w:sz w:val="20"/>
                <w:szCs w:val="20"/>
                <w:lang w:eastAsia="lv-LV"/>
              </w:rPr>
              <w:t>255 163</w:t>
            </w:r>
          </w:p>
        </w:tc>
        <w:tc>
          <w:tcPr>
            <w:tcW w:w="879" w:type="dxa"/>
            <w:tcBorders>
              <w:top w:val="nil"/>
              <w:left w:val="nil"/>
              <w:bottom w:val="single" w:sz="4" w:space="0" w:color="auto"/>
              <w:right w:val="single" w:sz="4" w:space="0" w:color="auto"/>
            </w:tcBorders>
            <w:shd w:val="clear" w:color="auto" w:fill="auto"/>
            <w:noWrap/>
            <w:vAlign w:val="bottom"/>
            <w:hideMark/>
          </w:tcPr>
          <w:p w:rsidR="006247F6" w:rsidRPr="008A19B2" w:rsidRDefault="006247F6" w:rsidP="005C7D14">
            <w:pPr>
              <w:spacing w:after="0"/>
              <w:ind w:firstLine="0"/>
              <w:jc w:val="center"/>
              <w:rPr>
                <w:rFonts w:eastAsia="Times New Roman" w:cs="Times New Roman"/>
                <w:sz w:val="20"/>
                <w:szCs w:val="20"/>
                <w:lang w:eastAsia="lv-LV"/>
              </w:rPr>
            </w:pPr>
            <w:r>
              <w:rPr>
                <w:rFonts w:eastAsia="Times New Roman" w:cs="Times New Roman"/>
                <w:sz w:val="20"/>
                <w:szCs w:val="20"/>
                <w:lang w:eastAsia="lv-LV"/>
              </w:rPr>
              <w:t>108,0</w:t>
            </w:r>
            <w:r w:rsidRPr="008A19B2">
              <w:rPr>
                <w:rFonts w:eastAsia="Times New Roman" w:cs="Times New Roman"/>
                <w:sz w:val="20"/>
                <w:szCs w:val="20"/>
                <w:lang w:eastAsia="lv-LV"/>
              </w:rPr>
              <w:t> </w:t>
            </w:r>
          </w:p>
        </w:tc>
        <w:tc>
          <w:tcPr>
            <w:tcW w:w="879" w:type="dxa"/>
            <w:tcBorders>
              <w:top w:val="nil"/>
              <w:left w:val="nil"/>
              <w:bottom w:val="single" w:sz="4" w:space="0" w:color="auto"/>
              <w:right w:val="single" w:sz="4" w:space="0" w:color="auto"/>
            </w:tcBorders>
            <w:shd w:val="clear" w:color="auto" w:fill="auto"/>
            <w:noWrap/>
            <w:vAlign w:val="bottom"/>
            <w:hideMark/>
          </w:tcPr>
          <w:p w:rsidR="006247F6" w:rsidRPr="008A19B2" w:rsidRDefault="006247F6" w:rsidP="005C7D14">
            <w:pPr>
              <w:spacing w:after="0"/>
              <w:ind w:firstLine="0"/>
              <w:jc w:val="center"/>
              <w:rPr>
                <w:rFonts w:eastAsia="Times New Roman" w:cs="Times New Roman"/>
                <w:sz w:val="20"/>
                <w:szCs w:val="20"/>
                <w:lang w:eastAsia="lv-LV"/>
              </w:rPr>
            </w:pPr>
            <w:r w:rsidRPr="008A19B2">
              <w:rPr>
                <w:rFonts w:eastAsia="Times New Roman" w:cs="Times New Roman"/>
                <w:sz w:val="20"/>
                <w:szCs w:val="20"/>
                <w:lang w:eastAsia="lv-LV"/>
              </w:rPr>
              <w:t>97,2</w:t>
            </w:r>
          </w:p>
        </w:tc>
        <w:tc>
          <w:tcPr>
            <w:tcW w:w="879" w:type="dxa"/>
            <w:tcBorders>
              <w:top w:val="nil"/>
              <w:left w:val="nil"/>
              <w:bottom w:val="single" w:sz="4" w:space="0" w:color="auto"/>
              <w:right w:val="single" w:sz="4" w:space="0" w:color="auto"/>
            </w:tcBorders>
            <w:shd w:val="clear" w:color="auto" w:fill="auto"/>
            <w:noWrap/>
            <w:vAlign w:val="bottom"/>
            <w:hideMark/>
          </w:tcPr>
          <w:p w:rsidR="006247F6" w:rsidRPr="008A19B2" w:rsidRDefault="006247F6" w:rsidP="005C7D14">
            <w:pPr>
              <w:spacing w:after="0"/>
              <w:ind w:firstLine="0"/>
              <w:jc w:val="center"/>
              <w:rPr>
                <w:rFonts w:eastAsia="Times New Roman" w:cs="Times New Roman"/>
                <w:sz w:val="20"/>
                <w:szCs w:val="20"/>
                <w:lang w:eastAsia="lv-LV"/>
              </w:rPr>
            </w:pPr>
            <w:r w:rsidRPr="008A19B2">
              <w:rPr>
                <w:rFonts w:eastAsia="Times New Roman" w:cs="Times New Roman"/>
                <w:sz w:val="20"/>
                <w:szCs w:val="20"/>
                <w:lang w:eastAsia="lv-LV"/>
              </w:rPr>
              <w:t>22,9</w:t>
            </w:r>
          </w:p>
        </w:tc>
      </w:tr>
      <w:tr w:rsidR="006247F6" w:rsidRPr="0092040F" w:rsidTr="000C2E3B">
        <w:trPr>
          <w:trHeight w:val="528"/>
        </w:trPr>
        <w:tc>
          <w:tcPr>
            <w:tcW w:w="2269" w:type="dxa"/>
            <w:tcBorders>
              <w:top w:val="single" w:sz="4" w:space="0" w:color="auto"/>
              <w:left w:val="single" w:sz="4" w:space="0" w:color="auto"/>
              <w:right w:val="single" w:sz="4" w:space="0" w:color="auto"/>
            </w:tcBorders>
            <w:shd w:val="clear" w:color="auto" w:fill="auto"/>
            <w:vAlign w:val="bottom"/>
            <w:hideMark/>
          </w:tcPr>
          <w:p w:rsidR="006247F6" w:rsidRPr="0092040F" w:rsidRDefault="006247F6" w:rsidP="005C7D14">
            <w:pPr>
              <w:spacing w:after="0"/>
              <w:ind w:firstLine="0"/>
              <w:jc w:val="left"/>
              <w:rPr>
                <w:rFonts w:eastAsia="Times New Roman" w:cs="Times New Roman"/>
                <w:b/>
                <w:sz w:val="20"/>
                <w:szCs w:val="20"/>
                <w:lang w:eastAsia="lv-LV"/>
              </w:rPr>
            </w:pPr>
            <w:r w:rsidRPr="0092040F">
              <w:rPr>
                <w:rFonts w:eastAsia="Times New Roman" w:cs="Times New Roman"/>
                <w:b/>
                <w:sz w:val="20"/>
                <w:szCs w:val="20"/>
                <w:lang w:eastAsia="lv-LV"/>
              </w:rPr>
              <w:t>Kārtējie maksājumi Eiropas Savienības budžetā un starptautiskā sadarbība</w:t>
            </w:r>
          </w:p>
        </w:tc>
        <w:tc>
          <w:tcPr>
            <w:tcW w:w="1134" w:type="dxa"/>
            <w:tcBorders>
              <w:top w:val="single" w:sz="4" w:space="0" w:color="auto"/>
              <w:left w:val="nil"/>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b/>
                <w:sz w:val="20"/>
                <w:szCs w:val="20"/>
                <w:lang w:eastAsia="lv-LV"/>
              </w:rPr>
            </w:pPr>
            <w:r w:rsidRPr="0092040F">
              <w:rPr>
                <w:rFonts w:eastAsia="Times New Roman" w:cs="Times New Roman"/>
                <w:b/>
                <w:sz w:val="20"/>
                <w:szCs w:val="20"/>
                <w:lang w:eastAsia="lv-LV"/>
              </w:rPr>
              <w:t>98 734</w:t>
            </w:r>
          </w:p>
        </w:tc>
        <w:tc>
          <w:tcPr>
            <w:tcW w:w="1134" w:type="dxa"/>
            <w:tcBorders>
              <w:top w:val="single" w:sz="4" w:space="0" w:color="auto"/>
              <w:left w:val="nil"/>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b/>
                <w:sz w:val="20"/>
                <w:szCs w:val="20"/>
                <w:lang w:eastAsia="lv-LV"/>
              </w:rPr>
            </w:pPr>
            <w:r w:rsidRPr="0092040F">
              <w:rPr>
                <w:rFonts w:eastAsia="Times New Roman" w:cs="Times New Roman"/>
                <w:b/>
                <w:sz w:val="20"/>
                <w:szCs w:val="20"/>
                <w:lang w:eastAsia="lv-LV"/>
              </w:rPr>
              <w:t>114 733</w:t>
            </w:r>
          </w:p>
        </w:tc>
        <w:tc>
          <w:tcPr>
            <w:tcW w:w="1134" w:type="dxa"/>
            <w:tcBorders>
              <w:top w:val="single" w:sz="4" w:space="0" w:color="auto"/>
              <w:left w:val="nil"/>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b/>
                <w:sz w:val="20"/>
                <w:szCs w:val="20"/>
                <w:lang w:eastAsia="lv-LV"/>
              </w:rPr>
            </w:pPr>
            <w:r w:rsidRPr="0092040F">
              <w:rPr>
                <w:rFonts w:eastAsia="Times New Roman" w:cs="Times New Roman"/>
                <w:b/>
                <w:sz w:val="20"/>
                <w:szCs w:val="20"/>
                <w:lang w:eastAsia="lv-LV"/>
              </w:rPr>
              <w:t>112 928</w:t>
            </w:r>
          </w:p>
        </w:tc>
        <w:tc>
          <w:tcPr>
            <w:tcW w:w="1083" w:type="dxa"/>
            <w:tcBorders>
              <w:top w:val="single" w:sz="4" w:space="0" w:color="auto"/>
              <w:left w:val="nil"/>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b/>
                <w:sz w:val="20"/>
                <w:szCs w:val="20"/>
                <w:lang w:eastAsia="lv-LV"/>
              </w:rPr>
            </w:pPr>
            <w:r w:rsidRPr="0092040F">
              <w:rPr>
                <w:rFonts w:eastAsia="Times New Roman" w:cs="Times New Roman"/>
                <w:b/>
                <w:sz w:val="20"/>
                <w:szCs w:val="20"/>
                <w:lang w:eastAsia="lv-LV"/>
              </w:rPr>
              <w:t>297 094</w:t>
            </w:r>
          </w:p>
        </w:tc>
        <w:tc>
          <w:tcPr>
            <w:tcW w:w="879" w:type="dxa"/>
            <w:tcBorders>
              <w:top w:val="single" w:sz="4" w:space="0" w:color="auto"/>
              <w:left w:val="nil"/>
              <w:right w:val="single" w:sz="4" w:space="0" w:color="auto"/>
            </w:tcBorders>
            <w:shd w:val="clear" w:color="auto" w:fill="auto"/>
            <w:noWrap/>
            <w:vAlign w:val="bottom"/>
            <w:hideMark/>
          </w:tcPr>
          <w:p w:rsidR="006247F6" w:rsidRPr="0092040F" w:rsidRDefault="006247F6" w:rsidP="005C7D14">
            <w:pPr>
              <w:spacing w:after="0"/>
              <w:ind w:firstLine="0"/>
              <w:jc w:val="center"/>
              <w:rPr>
                <w:rFonts w:eastAsia="Times New Roman" w:cs="Times New Roman"/>
                <w:b/>
                <w:sz w:val="20"/>
                <w:szCs w:val="20"/>
                <w:lang w:eastAsia="lv-LV"/>
              </w:rPr>
            </w:pPr>
            <w:r w:rsidRPr="0092040F">
              <w:rPr>
                <w:rFonts w:eastAsia="Times New Roman" w:cs="Times New Roman"/>
                <w:b/>
                <w:sz w:val="20"/>
                <w:szCs w:val="20"/>
                <w:lang w:eastAsia="lv-LV"/>
              </w:rPr>
              <w:t>114,4</w:t>
            </w:r>
          </w:p>
        </w:tc>
        <w:tc>
          <w:tcPr>
            <w:tcW w:w="879" w:type="dxa"/>
            <w:tcBorders>
              <w:top w:val="single" w:sz="4" w:space="0" w:color="auto"/>
              <w:left w:val="nil"/>
              <w:right w:val="single" w:sz="4" w:space="0" w:color="auto"/>
            </w:tcBorders>
            <w:shd w:val="clear" w:color="auto" w:fill="auto"/>
            <w:noWrap/>
            <w:vAlign w:val="bottom"/>
            <w:hideMark/>
          </w:tcPr>
          <w:p w:rsidR="006247F6" w:rsidRPr="0092040F" w:rsidRDefault="006247F6" w:rsidP="005C7D14">
            <w:pPr>
              <w:spacing w:after="0"/>
              <w:ind w:firstLine="0"/>
              <w:jc w:val="center"/>
              <w:rPr>
                <w:rFonts w:eastAsia="Times New Roman" w:cs="Times New Roman"/>
                <w:b/>
                <w:sz w:val="20"/>
                <w:szCs w:val="20"/>
                <w:lang w:eastAsia="lv-LV"/>
              </w:rPr>
            </w:pPr>
            <w:r w:rsidRPr="0092040F">
              <w:rPr>
                <w:rFonts w:eastAsia="Times New Roman" w:cs="Times New Roman"/>
                <w:b/>
                <w:sz w:val="20"/>
                <w:szCs w:val="20"/>
                <w:lang w:eastAsia="lv-LV"/>
              </w:rPr>
              <w:t>98,4</w:t>
            </w:r>
          </w:p>
        </w:tc>
        <w:tc>
          <w:tcPr>
            <w:tcW w:w="879" w:type="dxa"/>
            <w:tcBorders>
              <w:top w:val="single" w:sz="4" w:space="0" w:color="auto"/>
              <w:left w:val="nil"/>
              <w:right w:val="single" w:sz="4" w:space="0" w:color="auto"/>
            </w:tcBorders>
            <w:shd w:val="clear" w:color="auto" w:fill="auto"/>
            <w:noWrap/>
            <w:vAlign w:val="bottom"/>
            <w:hideMark/>
          </w:tcPr>
          <w:p w:rsidR="006247F6" w:rsidRPr="0092040F" w:rsidRDefault="006247F6" w:rsidP="005C7D14">
            <w:pPr>
              <w:spacing w:after="0"/>
              <w:ind w:firstLine="0"/>
              <w:jc w:val="center"/>
              <w:rPr>
                <w:rFonts w:eastAsia="Times New Roman" w:cs="Times New Roman"/>
                <w:b/>
                <w:sz w:val="20"/>
                <w:szCs w:val="20"/>
                <w:lang w:eastAsia="lv-LV"/>
              </w:rPr>
            </w:pPr>
            <w:r w:rsidRPr="0092040F">
              <w:rPr>
                <w:rFonts w:eastAsia="Times New Roman" w:cs="Times New Roman"/>
                <w:b/>
                <w:sz w:val="20"/>
                <w:szCs w:val="20"/>
                <w:lang w:eastAsia="lv-LV"/>
              </w:rPr>
              <w:t>38,0</w:t>
            </w:r>
          </w:p>
        </w:tc>
      </w:tr>
      <w:tr w:rsidR="006247F6" w:rsidRPr="0092040F" w:rsidTr="000C2E3B">
        <w:trPr>
          <w:trHeight w:val="264"/>
        </w:trPr>
        <w:tc>
          <w:tcPr>
            <w:tcW w:w="2269" w:type="dxa"/>
            <w:tcBorders>
              <w:top w:val="nil"/>
              <w:left w:val="single" w:sz="4" w:space="0" w:color="auto"/>
              <w:right w:val="single" w:sz="4" w:space="0" w:color="auto"/>
            </w:tcBorders>
            <w:shd w:val="clear" w:color="auto" w:fill="auto"/>
            <w:vAlign w:val="bottom"/>
            <w:hideMark/>
          </w:tcPr>
          <w:p w:rsidR="006247F6" w:rsidRPr="0092040F" w:rsidRDefault="006247F6" w:rsidP="005C7D14">
            <w:pPr>
              <w:spacing w:after="0"/>
              <w:ind w:firstLine="0"/>
              <w:jc w:val="left"/>
              <w:rPr>
                <w:rFonts w:eastAsia="Times New Roman" w:cs="Times New Roman"/>
                <w:sz w:val="20"/>
                <w:szCs w:val="20"/>
                <w:lang w:eastAsia="lv-LV"/>
              </w:rPr>
            </w:pPr>
            <w:r w:rsidRPr="0092040F">
              <w:rPr>
                <w:rFonts w:eastAsia="Times New Roman" w:cs="Times New Roman"/>
                <w:sz w:val="20"/>
                <w:szCs w:val="20"/>
                <w:lang w:eastAsia="lv-LV"/>
              </w:rPr>
              <w:t>Kārtējie maksājumi Eiropas Savienības budžetā</w:t>
            </w:r>
          </w:p>
        </w:tc>
        <w:tc>
          <w:tcPr>
            <w:tcW w:w="1134" w:type="dxa"/>
            <w:tcBorders>
              <w:top w:val="nil"/>
              <w:left w:val="nil"/>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sz w:val="20"/>
                <w:szCs w:val="20"/>
                <w:lang w:eastAsia="lv-LV"/>
              </w:rPr>
            </w:pPr>
            <w:r w:rsidRPr="0092040F">
              <w:rPr>
                <w:rFonts w:eastAsia="Times New Roman" w:cs="Times New Roman"/>
                <w:sz w:val="20"/>
                <w:szCs w:val="20"/>
                <w:lang w:eastAsia="lv-LV"/>
              </w:rPr>
              <w:t>92 563</w:t>
            </w:r>
          </w:p>
        </w:tc>
        <w:tc>
          <w:tcPr>
            <w:tcW w:w="1134" w:type="dxa"/>
            <w:tcBorders>
              <w:top w:val="nil"/>
              <w:left w:val="nil"/>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sz w:val="20"/>
                <w:szCs w:val="20"/>
                <w:lang w:eastAsia="lv-LV"/>
              </w:rPr>
            </w:pPr>
            <w:r w:rsidRPr="0092040F">
              <w:rPr>
                <w:rFonts w:eastAsia="Times New Roman" w:cs="Times New Roman"/>
                <w:sz w:val="20"/>
                <w:szCs w:val="20"/>
                <w:lang w:eastAsia="lv-LV"/>
              </w:rPr>
              <w:t>107 072</w:t>
            </w:r>
          </w:p>
        </w:tc>
        <w:tc>
          <w:tcPr>
            <w:tcW w:w="1134" w:type="dxa"/>
            <w:tcBorders>
              <w:top w:val="nil"/>
              <w:left w:val="nil"/>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sz w:val="20"/>
                <w:szCs w:val="20"/>
                <w:lang w:eastAsia="lv-LV"/>
              </w:rPr>
            </w:pPr>
            <w:r w:rsidRPr="0092040F">
              <w:rPr>
                <w:rFonts w:eastAsia="Times New Roman" w:cs="Times New Roman"/>
                <w:sz w:val="20"/>
                <w:szCs w:val="20"/>
                <w:lang w:eastAsia="lv-LV"/>
              </w:rPr>
              <w:t>106 872</w:t>
            </w:r>
          </w:p>
        </w:tc>
        <w:tc>
          <w:tcPr>
            <w:tcW w:w="1083" w:type="dxa"/>
            <w:tcBorders>
              <w:top w:val="nil"/>
              <w:left w:val="nil"/>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sz w:val="20"/>
                <w:szCs w:val="20"/>
                <w:lang w:eastAsia="lv-LV"/>
              </w:rPr>
            </w:pPr>
            <w:r w:rsidRPr="0092040F">
              <w:rPr>
                <w:rFonts w:eastAsia="Times New Roman" w:cs="Times New Roman"/>
                <w:sz w:val="20"/>
                <w:szCs w:val="20"/>
                <w:lang w:eastAsia="lv-LV"/>
              </w:rPr>
              <w:t>255 038</w:t>
            </w:r>
          </w:p>
        </w:tc>
        <w:tc>
          <w:tcPr>
            <w:tcW w:w="879" w:type="dxa"/>
            <w:tcBorders>
              <w:top w:val="nil"/>
              <w:left w:val="nil"/>
              <w:right w:val="single" w:sz="4" w:space="0" w:color="auto"/>
            </w:tcBorders>
            <w:shd w:val="clear" w:color="auto" w:fill="auto"/>
            <w:noWrap/>
            <w:vAlign w:val="bottom"/>
            <w:hideMark/>
          </w:tcPr>
          <w:p w:rsidR="006247F6" w:rsidRPr="0092040F" w:rsidRDefault="006247F6" w:rsidP="005C7D14">
            <w:pPr>
              <w:spacing w:after="0"/>
              <w:ind w:firstLine="0"/>
              <w:jc w:val="center"/>
              <w:rPr>
                <w:rFonts w:eastAsia="Times New Roman" w:cs="Times New Roman"/>
                <w:sz w:val="20"/>
                <w:szCs w:val="20"/>
                <w:lang w:eastAsia="lv-LV"/>
              </w:rPr>
            </w:pPr>
            <w:r w:rsidRPr="0092040F">
              <w:rPr>
                <w:rFonts w:eastAsia="Times New Roman" w:cs="Times New Roman"/>
                <w:sz w:val="20"/>
                <w:szCs w:val="20"/>
                <w:lang w:eastAsia="lv-LV"/>
              </w:rPr>
              <w:t>115,5</w:t>
            </w:r>
          </w:p>
        </w:tc>
        <w:tc>
          <w:tcPr>
            <w:tcW w:w="879" w:type="dxa"/>
            <w:tcBorders>
              <w:top w:val="nil"/>
              <w:left w:val="nil"/>
              <w:right w:val="single" w:sz="4" w:space="0" w:color="auto"/>
            </w:tcBorders>
            <w:shd w:val="clear" w:color="auto" w:fill="auto"/>
            <w:noWrap/>
            <w:vAlign w:val="bottom"/>
            <w:hideMark/>
          </w:tcPr>
          <w:p w:rsidR="006247F6" w:rsidRPr="0092040F" w:rsidRDefault="006247F6" w:rsidP="005C7D14">
            <w:pPr>
              <w:spacing w:after="0"/>
              <w:ind w:firstLine="0"/>
              <w:jc w:val="center"/>
              <w:rPr>
                <w:rFonts w:eastAsia="Times New Roman" w:cs="Times New Roman"/>
                <w:sz w:val="20"/>
                <w:szCs w:val="20"/>
                <w:lang w:eastAsia="lv-LV"/>
              </w:rPr>
            </w:pPr>
            <w:r w:rsidRPr="0092040F">
              <w:rPr>
                <w:rFonts w:eastAsia="Times New Roman" w:cs="Times New Roman"/>
                <w:sz w:val="20"/>
                <w:szCs w:val="20"/>
                <w:lang w:eastAsia="lv-LV"/>
              </w:rPr>
              <w:t>99,8</w:t>
            </w:r>
          </w:p>
        </w:tc>
        <w:tc>
          <w:tcPr>
            <w:tcW w:w="879" w:type="dxa"/>
            <w:tcBorders>
              <w:top w:val="nil"/>
              <w:left w:val="nil"/>
              <w:right w:val="single" w:sz="4" w:space="0" w:color="auto"/>
            </w:tcBorders>
            <w:shd w:val="clear" w:color="auto" w:fill="auto"/>
            <w:noWrap/>
            <w:vAlign w:val="bottom"/>
            <w:hideMark/>
          </w:tcPr>
          <w:p w:rsidR="006247F6" w:rsidRPr="0092040F" w:rsidRDefault="006247F6" w:rsidP="005C7D14">
            <w:pPr>
              <w:spacing w:after="0"/>
              <w:ind w:firstLine="0"/>
              <w:jc w:val="center"/>
              <w:rPr>
                <w:rFonts w:eastAsia="Times New Roman" w:cs="Times New Roman"/>
                <w:sz w:val="20"/>
                <w:szCs w:val="20"/>
                <w:lang w:eastAsia="lv-LV"/>
              </w:rPr>
            </w:pPr>
            <w:r w:rsidRPr="0092040F">
              <w:rPr>
                <w:rFonts w:eastAsia="Times New Roman" w:cs="Times New Roman"/>
                <w:sz w:val="20"/>
                <w:szCs w:val="20"/>
                <w:lang w:eastAsia="lv-LV"/>
              </w:rPr>
              <w:t>41,9</w:t>
            </w:r>
          </w:p>
        </w:tc>
      </w:tr>
      <w:tr w:rsidR="006247F6" w:rsidRPr="0092040F" w:rsidTr="000C2E3B">
        <w:trPr>
          <w:trHeight w:val="264"/>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6247F6" w:rsidRPr="0092040F" w:rsidRDefault="006247F6" w:rsidP="005C7D14">
            <w:pPr>
              <w:spacing w:after="0"/>
              <w:ind w:firstLine="0"/>
              <w:jc w:val="left"/>
              <w:rPr>
                <w:rFonts w:eastAsia="Times New Roman" w:cs="Times New Roman"/>
                <w:sz w:val="20"/>
                <w:szCs w:val="20"/>
                <w:lang w:eastAsia="lv-LV"/>
              </w:rPr>
            </w:pPr>
            <w:r w:rsidRPr="0092040F">
              <w:rPr>
                <w:rFonts w:eastAsia="Times New Roman" w:cs="Times New Roman"/>
                <w:sz w:val="20"/>
                <w:szCs w:val="20"/>
                <w:lang w:eastAsia="lv-LV"/>
              </w:rPr>
              <w:t>Starptautiskā sadarbība</w:t>
            </w:r>
          </w:p>
        </w:tc>
        <w:tc>
          <w:tcPr>
            <w:tcW w:w="1134" w:type="dxa"/>
            <w:tcBorders>
              <w:top w:val="nil"/>
              <w:left w:val="nil"/>
              <w:bottom w:val="single" w:sz="4" w:space="0" w:color="auto"/>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sz w:val="20"/>
                <w:szCs w:val="20"/>
                <w:lang w:eastAsia="lv-LV"/>
              </w:rPr>
            </w:pPr>
            <w:r w:rsidRPr="0092040F">
              <w:rPr>
                <w:rFonts w:eastAsia="Times New Roman" w:cs="Times New Roman"/>
                <w:sz w:val="20"/>
                <w:szCs w:val="20"/>
                <w:lang w:eastAsia="lv-LV"/>
              </w:rPr>
              <w:t>6 171</w:t>
            </w:r>
          </w:p>
        </w:tc>
        <w:tc>
          <w:tcPr>
            <w:tcW w:w="1134" w:type="dxa"/>
            <w:tcBorders>
              <w:top w:val="nil"/>
              <w:left w:val="nil"/>
              <w:bottom w:val="single" w:sz="4" w:space="0" w:color="auto"/>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sz w:val="20"/>
                <w:szCs w:val="20"/>
                <w:lang w:eastAsia="lv-LV"/>
              </w:rPr>
            </w:pPr>
            <w:r w:rsidRPr="0092040F">
              <w:rPr>
                <w:rFonts w:eastAsia="Times New Roman" w:cs="Times New Roman"/>
                <w:sz w:val="20"/>
                <w:szCs w:val="20"/>
                <w:lang w:eastAsia="lv-LV"/>
              </w:rPr>
              <w:t>7 661</w:t>
            </w:r>
          </w:p>
        </w:tc>
        <w:tc>
          <w:tcPr>
            <w:tcW w:w="1134" w:type="dxa"/>
            <w:tcBorders>
              <w:top w:val="nil"/>
              <w:left w:val="nil"/>
              <w:bottom w:val="single" w:sz="4" w:space="0" w:color="auto"/>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sz w:val="20"/>
                <w:szCs w:val="20"/>
                <w:lang w:eastAsia="lv-LV"/>
              </w:rPr>
            </w:pPr>
            <w:r w:rsidRPr="0092040F">
              <w:rPr>
                <w:rFonts w:eastAsia="Times New Roman" w:cs="Times New Roman"/>
                <w:sz w:val="20"/>
                <w:szCs w:val="20"/>
                <w:lang w:eastAsia="lv-LV"/>
              </w:rPr>
              <w:t>6 055</w:t>
            </w:r>
          </w:p>
        </w:tc>
        <w:tc>
          <w:tcPr>
            <w:tcW w:w="1083" w:type="dxa"/>
            <w:tcBorders>
              <w:top w:val="nil"/>
              <w:left w:val="nil"/>
              <w:bottom w:val="single" w:sz="4" w:space="0" w:color="auto"/>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sz w:val="20"/>
                <w:szCs w:val="20"/>
                <w:lang w:eastAsia="lv-LV"/>
              </w:rPr>
            </w:pPr>
            <w:r w:rsidRPr="0092040F">
              <w:rPr>
                <w:rFonts w:eastAsia="Times New Roman" w:cs="Times New Roman"/>
                <w:sz w:val="20"/>
                <w:szCs w:val="20"/>
                <w:lang w:eastAsia="lv-LV"/>
              </w:rPr>
              <w:t>42 056</w:t>
            </w:r>
          </w:p>
        </w:tc>
        <w:tc>
          <w:tcPr>
            <w:tcW w:w="879" w:type="dxa"/>
            <w:tcBorders>
              <w:top w:val="nil"/>
              <w:left w:val="nil"/>
              <w:bottom w:val="single" w:sz="4" w:space="0" w:color="auto"/>
              <w:right w:val="single" w:sz="4" w:space="0" w:color="auto"/>
            </w:tcBorders>
            <w:shd w:val="clear" w:color="auto" w:fill="auto"/>
            <w:noWrap/>
            <w:vAlign w:val="bottom"/>
            <w:hideMark/>
          </w:tcPr>
          <w:p w:rsidR="006247F6" w:rsidRPr="0092040F" w:rsidRDefault="006247F6" w:rsidP="005C7D14">
            <w:pPr>
              <w:spacing w:after="0"/>
              <w:ind w:firstLine="0"/>
              <w:jc w:val="center"/>
              <w:rPr>
                <w:rFonts w:eastAsia="Times New Roman" w:cs="Times New Roman"/>
                <w:sz w:val="20"/>
                <w:szCs w:val="20"/>
                <w:lang w:eastAsia="lv-LV"/>
              </w:rPr>
            </w:pPr>
            <w:r w:rsidRPr="0092040F">
              <w:rPr>
                <w:rFonts w:eastAsia="Times New Roman" w:cs="Times New Roman"/>
                <w:sz w:val="20"/>
                <w:szCs w:val="20"/>
                <w:lang w:eastAsia="lv-LV"/>
              </w:rPr>
              <w:t>98,1</w:t>
            </w:r>
          </w:p>
        </w:tc>
        <w:tc>
          <w:tcPr>
            <w:tcW w:w="879" w:type="dxa"/>
            <w:tcBorders>
              <w:top w:val="nil"/>
              <w:left w:val="nil"/>
              <w:bottom w:val="single" w:sz="4" w:space="0" w:color="auto"/>
              <w:right w:val="single" w:sz="4" w:space="0" w:color="auto"/>
            </w:tcBorders>
            <w:shd w:val="clear" w:color="auto" w:fill="auto"/>
            <w:noWrap/>
            <w:vAlign w:val="bottom"/>
            <w:hideMark/>
          </w:tcPr>
          <w:p w:rsidR="006247F6" w:rsidRPr="0092040F" w:rsidRDefault="006247F6" w:rsidP="005C7D14">
            <w:pPr>
              <w:spacing w:after="0"/>
              <w:ind w:firstLine="0"/>
              <w:jc w:val="center"/>
              <w:rPr>
                <w:rFonts w:eastAsia="Times New Roman" w:cs="Times New Roman"/>
                <w:sz w:val="20"/>
                <w:szCs w:val="20"/>
                <w:lang w:eastAsia="lv-LV"/>
              </w:rPr>
            </w:pPr>
            <w:r w:rsidRPr="0092040F">
              <w:rPr>
                <w:rFonts w:eastAsia="Times New Roman" w:cs="Times New Roman"/>
                <w:sz w:val="20"/>
                <w:szCs w:val="20"/>
                <w:lang w:eastAsia="lv-LV"/>
              </w:rPr>
              <w:t>79,0</w:t>
            </w:r>
          </w:p>
        </w:tc>
        <w:tc>
          <w:tcPr>
            <w:tcW w:w="879" w:type="dxa"/>
            <w:tcBorders>
              <w:top w:val="nil"/>
              <w:left w:val="nil"/>
              <w:bottom w:val="single" w:sz="4" w:space="0" w:color="auto"/>
              <w:right w:val="single" w:sz="4" w:space="0" w:color="auto"/>
            </w:tcBorders>
            <w:shd w:val="clear" w:color="auto" w:fill="auto"/>
            <w:noWrap/>
            <w:vAlign w:val="bottom"/>
            <w:hideMark/>
          </w:tcPr>
          <w:p w:rsidR="006247F6" w:rsidRPr="0092040F" w:rsidRDefault="006247F6" w:rsidP="005C7D14">
            <w:pPr>
              <w:spacing w:after="0"/>
              <w:ind w:firstLine="0"/>
              <w:jc w:val="center"/>
              <w:rPr>
                <w:rFonts w:eastAsia="Times New Roman" w:cs="Times New Roman"/>
                <w:sz w:val="20"/>
                <w:szCs w:val="20"/>
                <w:lang w:eastAsia="lv-LV"/>
              </w:rPr>
            </w:pPr>
            <w:r w:rsidRPr="0092040F">
              <w:rPr>
                <w:rFonts w:eastAsia="Times New Roman" w:cs="Times New Roman"/>
                <w:sz w:val="20"/>
                <w:szCs w:val="20"/>
                <w:lang w:eastAsia="lv-LV"/>
              </w:rPr>
              <w:t>14,4</w:t>
            </w:r>
          </w:p>
        </w:tc>
      </w:tr>
      <w:tr w:rsidR="006247F6" w:rsidRPr="0092040F" w:rsidTr="000C2E3B">
        <w:trPr>
          <w:trHeight w:val="528"/>
        </w:trPr>
        <w:tc>
          <w:tcPr>
            <w:tcW w:w="2269" w:type="dxa"/>
            <w:tcBorders>
              <w:top w:val="single" w:sz="4" w:space="0" w:color="auto"/>
              <w:left w:val="single" w:sz="4" w:space="0" w:color="auto"/>
              <w:right w:val="single" w:sz="4" w:space="0" w:color="auto"/>
            </w:tcBorders>
            <w:shd w:val="clear" w:color="auto" w:fill="auto"/>
            <w:vAlign w:val="bottom"/>
            <w:hideMark/>
          </w:tcPr>
          <w:p w:rsidR="006247F6" w:rsidRPr="0092040F" w:rsidRDefault="006247F6" w:rsidP="005C7D14">
            <w:pPr>
              <w:spacing w:after="0"/>
              <w:ind w:firstLine="0"/>
              <w:jc w:val="left"/>
              <w:rPr>
                <w:rFonts w:eastAsia="Times New Roman" w:cs="Times New Roman"/>
                <w:b/>
                <w:sz w:val="20"/>
                <w:szCs w:val="20"/>
                <w:lang w:eastAsia="lv-LV"/>
              </w:rPr>
            </w:pPr>
            <w:r w:rsidRPr="0092040F">
              <w:rPr>
                <w:rFonts w:eastAsia="Times New Roman" w:cs="Times New Roman"/>
                <w:b/>
                <w:sz w:val="20"/>
                <w:szCs w:val="20"/>
                <w:lang w:eastAsia="lv-LV"/>
              </w:rPr>
              <w:t xml:space="preserve">Uzturēšanas izdevumu </w:t>
            </w:r>
            <w:proofErr w:type="spellStart"/>
            <w:r w:rsidRPr="0092040F">
              <w:rPr>
                <w:rFonts w:eastAsia="Times New Roman" w:cs="Times New Roman"/>
                <w:b/>
                <w:sz w:val="20"/>
                <w:szCs w:val="20"/>
                <w:lang w:eastAsia="lv-LV"/>
              </w:rPr>
              <w:t>transferti</w:t>
            </w:r>
            <w:proofErr w:type="spellEnd"/>
          </w:p>
        </w:tc>
        <w:tc>
          <w:tcPr>
            <w:tcW w:w="1134" w:type="dxa"/>
            <w:tcBorders>
              <w:top w:val="single" w:sz="4" w:space="0" w:color="auto"/>
              <w:left w:val="nil"/>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b/>
                <w:sz w:val="20"/>
                <w:szCs w:val="20"/>
                <w:lang w:eastAsia="lv-LV"/>
              </w:rPr>
            </w:pPr>
            <w:r w:rsidRPr="0092040F">
              <w:rPr>
                <w:rFonts w:eastAsia="Times New Roman" w:cs="Times New Roman"/>
                <w:b/>
                <w:sz w:val="20"/>
                <w:szCs w:val="20"/>
                <w:lang w:eastAsia="lv-LV"/>
              </w:rPr>
              <w:t>161 374</w:t>
            </w:r>
          </w:p>
        </w:tc>
        <w:tc>
          <w:tcPr>
            <w:tcW w:w="1134" w:type="dxa"/>
            <w:tcBorders>
              <w:top w:val="single" w:sz="4" w:space="0" w:color="auto"/>
              <w:left w:val="nil"/>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b/>
                <w:sz w:val="20"/>
                <w:szCs w:val="20"/>
                <w:lang w:eastAsia="lv-LV"/>
              </w:rPr>
            </w:pPr>
            <w:r w:rsidRPr="0092040F">
              <w:rPr>
                <w:rFonts w:eastAsia="Times New Roman" w:cs="Times New Roman"/>
                <w:b/>
                <w:sz w:val="20"/>
                <w:szCs w:val="20"/>
                <w:lang w:eastAsia="lv-LV"/>
              </w:rPr>
              <w:t>207 252</w:t>
            </w:r>
          </w:p>
        </w:tc>
        <w:tc>
          <w:tcPr>
            <w:tcW w:w="1134" w:type="dxa"/>
            <w:tcBorders>
              <w:top w:val="single" w:sz="4" w:space="0" w:color="auto"/>
              <w:left w:val="nil"/>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b/>
                <w:sz w:val="20"/>
                <w:szCs w:val="20"/>
                <w:lang w:eastAsia="lv-LV"/>
              </w:rPr>
            </w:pPr>
            <w:r w:rsidRPr="0092040F">
              <w:rPr>
                <w:rFonts w:eastAsia="Times New Roman" w:cs="Times New Roman"/>
                <w:b/>
                <w:sz w:val="20"/>
                <w:szCs w:val="20"/>
                <w:lang w:eastAsia="lv-LV"/>
              </w:rPr>
              <w:t>205 788</w:t>
            </w:r>
          </w:p>
        </w:tc>
        <w:tc>
          <w:tcPr>
            <w:tcW w:w="1083" w:type="dxa"/>
            <w:tcBorders>
              <w:top w:val="single" w:sz="4" w:space="0" w:color="auto"/>
              <w:left w:val="nil"/>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b/>
                <w:sz w:val="20"/>
                <w:szCs w:val="20"/>
                <w:lang w:eastAsia="lv-LV"/>
              </w:rPr>
            </w:pPr>
            <w:r w:rsidRPr="0092040F">
              <w:rPr>
                <w:rFonts w:eastAsia="Times New Roman" w:cs="Times New Roman"/>
                <w:b/>
                <w:sz w:val="20"/>
                <w:szCs w:val="20"/>
                <w:lang w:eastAsia="lv-LV"/>
              </w:rPr>
              <w:t>879 565</w:t>
            </w:r>
          </w:p>
        </w:tc>
        <w:tc>
          <w:tcPr>
            <w:tcW w:w="879" w:type="dxa"/>
            <w:tcBorders>
              <w:top w:val="single" w:sz="4" w:space="0" w:color="auto"/>
              <w:left w:val="nil"/>
              <w:right w:val="single" w:sz="4" w:space="0" w:color="auto"/>
            </w:tcBorders>
            <w:shd w:val="clear" w:color="auto" w:fill="auto"/>
            <w:noWrap/>
            <w:vAlign w:val="bottom"/>
            <w:hideMark/>
          </w:tcPr>
          <w:p w:rsidR="006247F6" w:rsidRPr="0092040F" w:rsidRDefault="006247F6" w:rsidP="005C7D14">
            <w:pPr>
              <w:spacing w:after="0"/>
              <w:ind w:firstLine="0"/>
              <w:jc w:val="center"/>
              <w:rPr>
                <w:rFonts w:eastAsia="Times New Roman" w:cs="Times New Roman"/>
                <w:b/>
                <w:sz w:val="20"/>
                <w:szCs w:val="20"/>
                <w:lang w:eastAsia="lv-LV"/>
              </w:rPr>
            </w:pPr>
            <w:r w:rsidRPr="0092040F">
              <w:rPr>
                <w:rFonts w:eastAsia="Times New Roman" w:cs="Times New Roman"/>
                <w:b/>
                <w:sz w:val="20"/>
                <w:szCs w:val="20"/>
                <w:lang w:eastAsia="lv-LV"/>
              </w:rPr>
              <w:t>127,5</w:t>
            </w:r>
          </w:p>
        </w:tc>
        <w:tc>
          <w:tcPr>
            <w:tcW w:w="879" w:type="dxa"/>
            <w:tcBorders>
              <w:top w:val="single" w:sz="4" w:space="0" w:color="auto"/>
              <w:left w:val="nil"/>
              <w:right w:val="single" w:sz="4" w:space="0" w:color="auto"/>
            </w:tcBorders>
            <w:shd w:val="clear" w:color="auto" w:fill="auto"/>
            <w:noWrap/>
            <w:vAlign w:val="bottom"/>
            <w:hideMark/>
          </w:tcPr>
          <w:p w:rsidR="006247F6" w:rsidRPr="0092040F" w:rsidRDefault="006247F6" w:rsidP="005C7D14">
            <w:pPr>
              <w:spacing w:after="0"/>
              <w:ind w:firstLine="0"/>
              <w:jc w:val="center"/>
              <w:rPr>
                <w:rFonts w:eastAsia="Times New Roman" w:cs="Times New Roman"/>
                <w:b/>
                <w:sz w:val="20"/>
                <w:szCs w:val="20"/>
                <w:lang w:eastAsia="lv-LV"/>
              </w:rPr>
            </w:pPr>
            <w:r w:rsidRPr="0092040F">
              <w:rPr>
                <w:rFonts w:eastAsia="Times New Roman" w:cs="Times New Roman"/>
                <w:b/>
                <w:sz w:val="20"/>
                <w:szCs w:val="20"/>
                <w:lang w:eastAsia="lv-LV"/>
              </w:rPr>
              <w:t>99,3</w:t>
            </w:r>
          </w:p>
        </w:tc>
        <w:tc>
          <w:tcPr>
            <w:tcW w:w="879" w:type="dxa"/>
            <w:tcBorders>
              <w:top w:val="single" w:sz="4" w:space="0" w:color="auto"/>
              <w:left w:val="nil"/>
              <w:right w:val="single" w:sz="4" w:space="0" w:color="auto"/>
            </w:tcBorders>
            <w:shd w:val="clear" w:color="auto" w:fill="auto"/>
            <w:noWrap/>
            <w:vAlign w:val="bottom"/>
            <w:hideMark/>
          </w:tcPr>
          <w:p w:rsidR="006247F6" w:rsidRPr="0092040F" w:rsidRDefault="006247F6" w:rsidP="005C7D14">
            <w:pPr>
              <w:spacing w:after="0"/>
              <w:ind w:firstLine="0"/>
              <w:jc w:val="center"/>
              <w:rPr>
                <w:rFonts w:eastAsia="Times New Roman" w:cs="Times New Roman"/>
                <w:b/>
                <w:sz w:val="20"/>
                <w:szCs w:val="20"/>
                <w:lang w:eastAsia="lv-LV"/>
              </w:rPr>
            </w:pPr>
            <w:r w:rsidRPr="0092040F">
              <w:rPr>
                <w:rFonts w:eastAsia="Times New Roman" w:cs="Times New Roman"/>
                <w:b/>
                <w:sz w:val="20"/>
                <w:szCs w:val="20"/>
                <w:lang w:eastAsia="lv-LV"/>
              </w:rPr>
              <w:t>23,4</w:t>
            </w:r>
          </w:p>
        </w:tc>
      </w:tr>
      <w:tr w:rsidR="006247F6" w:rsidRPr="008A19B2" w:rsidTr="000C2E3B">
        <w:trPr>
          <w:trHeight w:val="480"/>
        </w:trPr>
        <w:tc>
          <w:tcPr>
            <w:tcW w:w="2269" w:type="dxa"/>
            <w:tcBorders>
              <w:top w:val="nil"/>
              <w:left w:val="single" w:sz="4" w:space="0" w:color="auto"/>
              <w:right w:val="single" w:sz="4" w:space="0" w:color="auto"/>
            </w:tcBorders>
            <w:shd w:val="clear" w:color="auto" w:fill="auto"/>
            <w:vAlign w:val="bottom"/>
            <w:hideMark/>
          </w:tcPr>
          <w:p w:rsidR="006247F6" w:rsidRPr="008A19B2" w:rsidRDefault="006247F6" w:rsidP="005C7D14">
            <w:pPr>
              <w:spacing w:after="0"/>
              <w:ind w:firstLine="0"/>
              <w:jc w:val="left"/>
              <w:rPr>
                <w:rFonts w:eastAsia="Times New Roman" w:cs="Times New Roman"/>
                <w:sz w:val="20"/>
                <w:szCs w:val="20"/>
                <w:lang w:eastAsia="lv-LV"/>
              </w:rPr>
            </w:pPr>
            <w:r w:rsidRPr="008A19B2">
              <w:rPr>
                <w:rFonts w:eastAsia="Times New Roman" w:cs="Times New Roman"/>
                <w:sz w:val="20"/>
                <w:szCs w:val="20"/>
                <w:lang w:eastAsia="lv-LV"/>
              </w:rPr>
              <w:t xml:space="preserve">Valsts budžeta uzturēšanas izdevumu </w:t>
            </w:r>
            <w:proofErr w:type="spellStart"/>
            <w:r w:rsidRPr="008A19B2">
              <w:rPr>
                <w:rFonts w:eastAsia="Times New Roman" w:cs="Times New Roman"/>
                <w:sz w:val="20"/>
                <w:szCs w:val="20"/>
                <w:lang w:eastAsia="lv-LV"/>
              </w:rPr>
              <w:t>transferti</w:t>
            </w:r>
            <w:proofErr w:type="spellEnd"/>
          </w:p>
        </w:tc>
        <w:tc>
          <w:tcPr>
            <w:tcW w:w="1134" w:type="dxa"/>
            <w:tcBorders>
              <w:top w:val="nil"/>
              <w:left w:val="nil"/>
              <w:right w:val="single" w:sz="4" w:space="0" w:color="auto"/>
            </w:tcBorders>
            <w:shd w:val="clear" w:color="auto" w:fill="auto"/>
            <w:noWrap/>
            <w:vAlign w:val="bottom"/>
            <w:hideMark/>
          </w:tcPr>
          <w:p w:rsidR="006247F6" w:rsidRPr="008A19B2" w:rsidRDefault="006247F6" w:rsidP="005C7D14">
            <w:pPr>
              <w:spacing w:after="0"/>
              <w:ind w:firstLine="0"/>
              <w:jc w:val="right"/>
              <w:rPr>
                <w:rFonts w:eastAsia="Times New Roman" w:cs="Times New Roman"/>
                <w:sz w:val="20"/>
                <w:szCs w:val="20"/>
                <w:lang w:eastAsia="lv-LV"/>
              </w:rPr>
            </w:pPr>
            <w:r w:rsidRPr="008A19B2">
              <w:rPr>
                <w:rFonts w:eastAsia="Times New Roman" w:cs="Times New Roman"/>
                <w:sz w:val="20"/>
                <w:szCs w:val="20"/>
                <w:lang w:eastAsia="lv-LV"/>
              </w:rPr>
              <w:t>6 581</w:t>
            </w:r>
          </w:p>
        </w:tc>
        <w:tc>
          <w:tcPr>
            <w:tcW w:w="1134" w:type="dxa"/>
            <w:tcBorders>
              <w:top w:val="nil"/>
              <w:left w:val="nil"/>
              <w:right w:val="single" w:sz="4" w:space="0" w:color="auto"/>
            </w:tcBorders>
            <w:shd w:val="clear" w:color="auto" w:fill="auto"/>
            <w:noWrap/>
            <w:vAlign w:val="bottom"/>
            <w:hideMark/>
          </w:tcPr>
          <w:p w:rsidR="006247F6" w:rsidRPr="008A19B2" w:rsidRDefault="006247F6" w:rsidP="005C7D14">
            <w:pPr>
              <w:spacing w:after="0"/>
              <w:ind w:firstLine="0"/>
              <w:jc w:val="right"/>
              <w:rPr>
                <w:rFonts w:eastAsia="Times New Roman" w:cs="Times New Roman"/>
                <w:sz w:val="20"/>
                <w:szCs w:val="20"/>
                <w:lang w:eastAsia="lv-LV"/>
              </w:rPr>
            </w:pPr>
            <w:r w:rsidRPr="008A19B2">
              <w:rPr>
                <w:rFonts w:eastAsia="Times New Roman" w:cs="Times New Roman"/>
                <w:sz w:val="20"/>
                <w:szCs w:val="20"/>
                <w:lang w:eastAsia="lv-LV"/>
              </w:rPr>
              <w:t>52 270</w:t>
            </w:r>
          </w:p>
        </w:tc>
        <w:tc>
          <w:tcPr>
            <w:tcW w:w="1134" w:type="dxa"/>
            <w:tcBorders>
              <w:top w:val="nil"/>
              <w:left w:val="nil"/>
              <w:right w:val="single" w:sz="4" w:space="0" w:color="auto"/>
            </w:tcBorders>
            <w:shd w:val="clear" w:color="auto" w:fill="auto"/>
            <w:noWrap/>
            <w:vAlign w:val="bottom"/>
            <w:hideMark/>
          </w:tcPr>
          <w:p w:rsidR="006247F6" w:rsidRPr="008A19B2" w:rsidRDefault="006247F6" w:rsidP="005C7D14">
            <w:pPr>
              <w:spacing w:after="0"/>
              <w:ind w:firstLine="0"/>
              <w:jc w:val="right"/>
              <w:rPr>
                <w:rFonts w:eastAsia="Times New Roman" w:cs="Times New Roman"/>
                <w:sz w:val="20"/>
                <w:szCs w:val="20"/>
                <w:lang w:eastAsia="lv-LV"/>
              </w:rPr>
            </w:pPr>
            <w:r w:rsidRPr="008A19B2">
              <w:rPr>
                <w:rFonts w:eastAsia="Times New Roman" w:cs="Times New Roman"/>
                <w:sz w:val="20"/>
                <w:szCs w:val="20"/>
                <w:lang w:eastAsia="lv-LV"/>
              </w:rPr>
              <w:t>52 269</w:t>
            </w:r>
          </w:p>
        </w:tc>
        <w:tc>
          <w:tcPr>
            <w:tcW w:w="1083" w:type="dxa"/>
            <w:tcBorders>
              <w:top w:val="nil"/>
              <w:left w:val="nil"/>
              <w:right w:val="single" w:sz="4" w:space="0" w:color="auto"/>
            </w:tcBorders>
            <w:shd w:val="clear" w:color="auto" w:fill="auto"/>
            <w:noWrap/>
            <w:vAlign w:val="bottom"/>
            <w:hideMark/>
          </w:tcPr>
          <w:p w:rsidR="006247F6" w:rsidRPr="008A19B2" w:rsidRDefault="006247F6" w:rsidP="005C7D14">
            <w:pPr>
              <w:spacing w:after="0"/>
              <w:ind w:firstLine="0"/>
              <w:jc w:val="right"/>
              <w:rPr>
                <w:rFonts w:eastAsia="Times New Roman" w:cs="Times New Roman"/>
                <w:sz w:val="20"/>
                <w:szCs w:val="20"/>
                <w:lang w:eastAsia="lv-LV"/>
              </w:rPr>
            </w:pPr>
            <w:r w:rsidRPr="008A19B2">
              <w:rPr>
                <w:rFonts w:eastAsia="Times New Roman" w:cs="Times New Roman"/>
                <w:sz w:val="20"/>
                <w:szCs w:val="20"/>
                <w:lang w:eastAsia="lv-LV"/>
              </w:rPr>
              <w:t>209 587</w:t>
            </w:r>
          </w:p>
        </w:tc>
        <w:tc>
          <w:tcPr>
            <w:tcW w:w="879" w:type="dxa"/>
            <w:tcBorders>
              <w:top w:val="nil"/>
              <w:left w:val="nil"/>
              <w:right w:val="single" w:sz="4" w:space="0" w:color="auto"/>
            </w:tcBorders>
            <w:shd w:val="clear" w:color="auto" w:fill="auto"/>
            <w:noWrap/>
            <w:vAlign w:val="bottom"/>
            <w:hideMark/>
          </w:tcPr>
          <w:p w:rsidR="006247F6" w:rsidRPr="008A19B2" w:rsidRDefault="006247F6" w:rsidP="005C7D14">
            <w:pPr>
              <w:spacing w:after="0"/>
              <w:ind w:firstLine="0"/>
              <w:jc w:val="center"/>
              <w:rPr>
                <w:rFonts w:eastAsia="Times New Roman" w:cs="Times New Roman"/>
                <w:sz w:val="20"/>
                <w:szCs w:val="20"/>
                <w:lang w:eastAsia="lv-LV"/>
              </w:rPr>
            </w:pPr>
            <w:r w:rsidRPr="008A19B2">
              <w:rPr>
                <w:rFonts w:eastAsia="Times New Roman" w:cs="Times New Roman"/>
                <w:sz w:val="20"/>
                <w:szCs w:val="20"/>
                <w:lang w:eastAsia="lv-LV"/>
              </w:rPr>
              <w:t>794,3</w:t>
            </w:r>
          </w:p>
        </w:tc>
        <w:tc>
          <w:tcPr>
            <w:tcW w:w="879" w:type="dxa"/>
            <w:tcBorders>
              <w:top w:val="nil"/>
              <w:left w:val="nil"/>
              <w:right w:val="single" w:sz="4" w:space="0" w:color="auto"/>
            </w:tcBorders>
            <w:shd w:val="clear" w:color="auto" w:fill="auto"/>
            <w:noWrap/>
            <w:vAlign w:val="bottom"/>
            <w:hideMark/>
          </w:tcPr>
          <w:p w:rsidR="006247F6" w:rsidRPr="008A19B2" w:rsidRDefault="006247F6" w:rsidP="005C7D14">
            <w:pPr>
              <w:spacing w:after="0"/>
              <w:ind w:firstLine="0"/>
              <w:jc w:val="center"/>
              <w:rPr>
                <w:rFonts w:eastAsia="Times New Roman" w:cs="Times New Roman"/>
                <w:sz w:val="20"/>
                <w:szCs w:val="20"/>
                <w:lang w:eastAsia="lv-LV"/>
              </w:rPr>
            </w:pPr>
            <w:r w:rsidRPr="008A19B2">
              <w:rPr>
                <w:rFonts w:eastAsia="Times New Roman" w:cs="Times New Roman"/>
                <w:sz w:val="20"/>
                <w:szCs w:val="20"/>
                <w:lang w:eastAsia="lv-LV"/>
              </w:rPr>
              <w:t>100,0</w:t>
            </w:r>
          </w:p>
        </w:tc>
        <w:tc>
          <w:tcPr>
            <w:tcW w:w="879" w:type="dxa"/>
            <w:tcBorders>
              <w:top w:val="nil"/>
              <w:left w:val="nil"/>
              <w:right w:val="single" w:sz="4" w:space="0" w:color="auto"/>
            </w:tcBorders>
            <w:shd w:val="clear" w:color="auto" w:fill="auto"/>
            <w:noWrap/>
            <w:vAlign w:val="bottom"/>
            <w:hideMark/>
          </w:tcPr>
          <w:p w:rsidR="006247F6" w:rsidRPr="008A19B2" w:rsidRDefault="006247F6" w:rsidP="005C7D14">
            <w:pPr>
              <w:spacing w:after="0"/>
              <w:ind w:firstLine="0"/>
              <w:jc w:val="center"/>
              <w:rPr>
                <w:rFonts w:eastAsia="Times New Roman" w:cs="Times New Roman"/>
                <w:sz w:val="20"/>
                <w:szCs w:val="20"/>
                <w:lang w:eastAsia="lv-LV"/>
              </w:rPr>
            </w:pPr>
            <w:r w:rsidRPr="008A19B2">
              <w:rPr>
                <w:rFonts w:eastAsia="Times New Roman" w:cs="Times New Roman"/>
                <w:sz w:val="20"/>
                <w:szCs w:val="20"/>
                <w:lang w:eastAsia="lv-LV"/>
              </w:rPr>
              <w:t>24,9</w:t>
            </w:r>
          </w:p>
        </w:tc>
      </w:tr>
      <w:tr w:rsidR="006247F6" w:rsidRPr="0092040F" w:rsidTr="000C2E3B">
        <w:trPr>
          <w:trHeight w:val="528"/>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6247F6" w:rsidRPr="0092040F" w:rsidRDefault="006247F6" w:rsidP="005C7D14">
            <w:pPr>
              <w:spacing w:after="0"/>
              <w:ind w:firstLine="0"/>
              <w:jc w:val="left"/>
              <w:rPr>
                <w:rFonts w:eastAsia="Times New Roman" w:cs="Times New Roman"/>
                <w:i/>
                <w:sz w:val="20"/>
                <w:szCs w:val="20"/>
                <w:lang w:eastAsia="lv-LV"/>
              </w:rPr>
            </w:pPr>
            <w:r>
              <w:rPr>
                <w:rFonts w:eastAsia="Times New Roman" w:cs="Times New Roman"/>
                <w:i/>
                <w:sz w:val="20"/>
                <w:szCs w:val="20"/>
                <w:lang w:eastAsia="lv-LV"/>
              </w:rPr>
              <w:t xml:space="preserve">   </w:t>
            </w:r>
            <w:r w:rsidRPr="0092040F">
              <w:rPr>
                <w:rFonts w:eastAsia="Times New Roman" w:cs="Times New Roman"/>
                <w:i/>
                <w:sz w:val="20"/>
                <w:szCs w:val="20"/>
                <w:lang w:eastAsia="lv-LV"/>
              </w:rPr>
              <w:t xml:space="preserve">Valsts budžeta uzturēšanas izdevumu </w:t>
            </w:r>
            <w:proofErr w:type="spellStart"/>
            <w:r w:rsidRPr="0092040F">
              <w:rPr>
                <w:rFonts w:eastAsia="Times New Roman" w:cs="Times New Roman"/>
                <w:i/>
                <w:sz w:val="20"/>
                <w:szCs w:val="20"/>
                <w:lang w:eastAsia="lv-LV"/>
              </w:rPr>
              <w:t>transferti</w:t>
            </w:r>
            <w:proofErr w:type="spellEnd"/>
            <w:r w:rsidRPr="0092040F">
              <w:rPr>
                <w:rFonts w:eastAsia="Times New Roman" w:cs="Times New Roman"/>
                <w:i/>
                <w:sz w:val="20"/>
                <w:szCs w:val="20"/>
                <w:lang w:eastAsia="lv-LV"/>
              </w:rPr>
              <w:t xml:space="preserve"> no valsts pamatbudžeta uz valsts speciālo budžetu</w:t>
            </w:r>
          </w:p>
        </w:tc>
        <w:tc>
          <w:tcPr>
            <w:tcW w:w="1134" w:type="dxa"/>
            <w:tcBorders>
              <w:top w:val="nil"/>
              <w:left w:val="nil"/>
              <w:bottom w:val="single" w:sz="4" w:space="0" w:color="auto"/>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i/>
                <w:sz w:val="20"/>
                <w:szCs w:val="20"/>
                <w:lang w:eastAsia="lv-LV"/>
              </w:rPr>
            </w:pPr>
            <w:r w:rsidRPr="0092040F">
              <w:rPr>
                <w:rFonts w:eastAsia="Times New Roman" w:cs="Times New Roman"/>
                <w:i/>
                <w:sz w:val="20"/>
                <w:szCs w:val="20"/>
                <w:lang w:eastAsia="lv-LV"/>
              </w:rPr>
              <w:t>6 581</w:t>
            </w:r>
          </w:p>
        </w:tc>
        <w:tc>
          <w:tcPr>
            <w:tcW w:w="1134" w:type="dxa"/>
            <w:tcBorders>
              <w:top w:val="nil"/>
              <w:left w:val="nil"/>
              <w:bottom w:val="single" w:sz="4" w:space="0" w:color="auto"/>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i/>
                <w:sz w:val="20"/>
                <w:szCs w:val="20"/>
                <w:lang w:eastAsia="lv-LV"/>
              </w:rPr>
            </w:pPr>
            <w:r w:rsidRPr="0092040F">
              <w:rPr>
                <w:rFonts w:eastAsia="Times New Roman" w:cs="Times New Roman"/>
                <w:i/>
                <w:sz w:val="20"/>
                <w:szCs w:val="20"/>
                <w:lang w:eastAsia="lv-LV"/>
              </w:rPr>
              <w:t>52 270</w:t>
            </w:r>
          </w:p>
        </w:tc>
        <w:tc>
          <w:tcPr>
            <w:tcW w:w="1134" w:type="dxa"/>
            <w:tcBorders>
              <w:top w:val="nil"/>
              <w:left w:val="nil"/>
              <w:bottom w:val="single" w:sz="4" w:space="0" w:color="auto"/>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i/>
                <w:sz w:val="20"/>
                <w:szCs w:val="20"/>
                <w:lang w:eastAsia="lv-LV"/>
              </w:rPr>
            </w:pPr>
            <w:r w:rsidRPr="0092040F">
              <w:rPr>
                <w:rFonts w:eastAsia="Times New Roman" w:cs="Times New Roman"/>
                <w:i/>
                <w:sz w:val="20"/>
                <w:szCs w:val="20"/>
                <w:lang w:eastAsia="lv-LV"/>
              </w:rPr>
              <w:t>52 269</w:t>
            </w:r>
          </w:p>
        </w:tc>
        <w:tc>
          <w:tcPr>
            <w:tcW w:w="1083" w:type="dxa"/>
            <w:tcBorders>
              <w:top w:val="nil"/>
              <w:left w:val="nil"/>
              <w:bottom w:val="single" w:sz="4" w:space="0" w:color="auto"/>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i/>
                <w:sz w:val="20"/>
                <w:szCs w:val="20"/>
                <w:lang w:eastAsia="lv-LV"/>
              </w:rPr>
            </w:pPr>
            <w:r w:rsidRPr="0092040F">
              <w:rPr>
                <w:rFonts w:eastAsia="Times New Roman" w:cs="Times New Roman"/>
                <w:i/>
                <w:sz w:val="20"/>
                <w:szCs w:val="20"/>
                <w:lang w:eastAsia="lv-LV"/>
              </w:rPr>
              <w:t>209 587</w:t>
            </w:r>
          </w:p>
        </w:tc>
        <w:tc>
          <w:tcPr>
            <w:tcW w:w="879" w:type="dxa"/>
            <w:tcBorders>
              <w:top w:val="nil"/>
              <w:left w:val="nil"/>
              <w:bottom w:val="single" w:sz="4" w:space="0" w:color="auto"/>
              <w:right w:val="single" w:sz="4" w:space="0" w:color="auto"/>
            </w:tcBorders>
            <w:shd w:val="clear" w:color="auto" w:fill="auto"/>
            <w:noWrap/>
            <w:vAlign w:val="bottom"/>
            <w:hideMark/>
          </w:tcPr>
          <w:p w:rsidR="006247F6" w:rsidRPr="0092040F" w:rsidRDefault="006247F6" w:rsidP="005C7D14">
            <w:pPr>
              <w:spacing w:after="0"/>
              <w:ind w:firstLine="0"/>
              <w:jc w:val="center"/>
              <w:rPr>
                <w:rFonts w:eastAsia="Times New Roman" w:cs="Times New Roman"/>
                <w:i/>
                <w:sz w:val="20"/>
                <w:szCs w:val="20"/>
                <w:lang w:eastAsia="lv-LV"/>
              </w:rPr>
            </w:pPr>
            <w:r w:rsidRPr="0092040F">
              <w:rPr>
                <w:rFonts w:eastAsia="Times New Roman" w:cs="Times New Roman"/>
                <w:i/>
                <w:sz w:val="20"/>
                <w:szCs w:val="20"/>
                <w:lang w:eastAsia="lv-LV"/>
              </w:rPr>
              <w:t>794,3</w:t>
            </w:r>
          </w:p>
        </w:tc>
        <w:tc>
          <w:tcPr>
            <w:tcW w:w="879" w:type="dxa"/>
            <w:tcBorders>
              <w:top w:val="nil"/>
              <w:left w:val="nil"/>
              <w:bottom w:val="single" w:sz="4" w:space="0" w:color="auto"/>
              <w:right w:val="single" w:sz="4" w:space="0" w:color="auto"/>
            </w:tcBorders>
            <w:shd w:val="clear" w:color="auto" w:fill="auto"/>
            <w:noWrap/>
            <w:vAlign w:val="bottom"/>
            <w:hideMark/>
          </w:tcPr>
          <w:p w:rsidR="006247F6" w:rsidRPr="0092040F" w:rsidRDefault="006247F6" w:rsidP="005C7D14">
            <w:pPr>
              <w:spacing w:after="0"/>
              <w:ind w:firstLine="0"/>
              <w:jc w:val="center"/>
              <w:rPr>
                <w:rFonts w:eastAsia="Times New Roman" w:cs="Times New Roman"/>
                <w:i/>
                <w:sz w:val="20"/>
                <w:szCs w:val="20"/>
                <w:lang w:eastAsia="lv-LV"/>
              </w:rPr>
            </w:pPr>
            <w:r w:rsidRPr="0092040F">
              <w:rPr>
                <w:rFonts w:eastAsia="Times New Roman" w:cs="Times New Roman"/>
                <w:i/>
                <w:sz w:val="20"/>
                <w:szCs w:val="20"/>
                <w:lang w:eastAsia="lv-LV"/>
              </w:rPr>
              <w:t>100,0</w:t>
            </w:r>
          </w:p>
        </w:tc>
        <w:tc>
          <w:tcPr>
            <w:tcW w:w="879" w:type="dxa"/>
            <w:tcBorders>
              <w:top w:val="nil"/>
              <w:left w:val="nil"/>
              <w:bottom w:val="single" w:sz="4" w:space="0" w:color="auto"/>
              <w:right w:val="single" w:sz="4" w:space="0" w:color="auto"/>
            </w:tcBorders>
            <w:shd w:val="clear" w:color="auto" w:fill="auto"/>
            <w:noWrap/>
            <w:vAlign w:val="bottom"/>
            <w:hideMark/>
          </w:tcPr>
          <w:p w:rsidR="006247F6" w:rsidRPr="0092040F" w:rsidRDefault="006247F6" w:rsidP="005C7D14">
            <w:pPr>
              <w:spacing w:after="0"/>
              <w:ind w:firstLine="0"/>
              <w:jc w:val="center"/>
              <w:rPr>
                <w:rFonts w:eastAsia="Times New Roman" w:cs="Times New Roman"/>
                <w:i/>
                <w:sz w:val="20"/>
                <w:szCs w:val="20"/>
                <w:lang w:eastAsia="lv-LV"/>
              </w:rPr>
            </w:pPr>
            <w:r w:rsidRPr="0092040F">
              <w:rPr>
                <w:rFonts w:eastAsia="Times New Roman" w:cs="Times New Roman"/>
                <w:i/>
                <w:sz w:val="20"/>
                <w:szCs w:val="20"/>
                <w:lang w:eastAsia="lv-LV"/>
              </w:rPr>
              <w:t>24,9</w:t>
            </w:r>
          </w:p>
        </w:tc>
      </w:tr>
      <w:tr w:rsidR="006247F6" w:rsidRPr="008A19B2" w:rsidTr="000C2E3B">
        <w:trPr>
          <w:trHeight w:val="528"/>
        </w:trPr>
        <w:tc>
          <w:tcPr>
            <w:tcW w:w="2269" w:type="dxa"/>
            <w:tcBorders>
              <w:top w:val="single" w:sz="4" w:space="0" w:color="auto"/>
              <w:left w:val="single" w:sz="4" w:space="0" w:color="auto"/>
              <w:right w:val="single" w:sz="4" w:space="0" w:color="auto"/>
            </w:tcBorders>
            <w:shd w:val="clear" w:color="auto" w:fill="auto"/>
            <w:vAlign w:val="bottom"/>
            <w:hideMark/>
          </w:tcPr>
          <w:p w:rsidR="006247F6" w:rsidRPr="008A19B2" w:rsidRDefault="006247F6" w:rsidP="005C7D14">
            <w:pPr>
              <w:spacing w:after="0"/>
              <w:ind w:firstLine="0"/>
              <w:jc w:val="left"/>
              <w:rPr>
                <w:rFonts w:eastAsia="Times New Roman" w:cs="Times New Roman"/>
                <w:sz w:val="20"/>
                <w:szCs w:val="20"/>
                <w:lang w:eastAsia="lv-LV"/>
              </w:rPr>
            </w:pPr>
            <w:r w:rsidRPr="008A19B2">
              <w:rPr>
                <w:rFonts w:eastAsia="Times New Roman" w:cs="Times New Roman"/>
                <w:sz w:val="20"/>
                <w:szCs w:val="20"/>
                <w:lang w:eastAsia="lv-LV"/>
              </w:rPr>
              <w:t xml:space="preserve">Valsts budžeta uzturēšanas izdevumu </w:t>
            </w:r>
            <w:proofErr w:type="spellStart"/>
            <w:r w:rsidRPr="008A19B2">
              <w:rPr>
                <w:rFonts w:eastAsia="Times New Roman" w:cs="Times New Roman"/>
                <w:sz w:val="20"/>
                <w:szCs w:val="20"/>
                <w:lang w:eastAsia="lv-LV"/>
              </w:rPr>
              <w:t>transferti</w:t>
            </w:r>
            <w:proofErr w:type="spellEnd"/>
            <w:r w:rsidRPr="008A19B2">
              <w:rPr>
                <w:rFonts w:eastAsia="Times New Roman" w:cs="Times New Roman"/>
                <w:sz w:val="20"/>
                <w:szCs w:val="20"/>
                <w:lang w:eastAsia="lv-LV"/>
              </w:rPr>
              <w:t xml:space="preserve"> citiem budžetiem noteiktam mērķim</w:t>
            </w:r>
          </w:p>
        </w:tc>
        <w:tc>
          <w:tcPr>
            <w:tcW w:w="1134" w:type="dxa"/>
            <w:tcBorders>
              <w:top w:val="single" w:sz="4" w:space="0" w:color="auto"/>
              <w:left w:val="nil"/>
              <w:right w:val="single" w:sz="4" w:space="0" w:color="auto"/>
            </w:tcBorders>
            <w:shd w:val="clear" w:color="auto" w:fill="auto"/>
            <w:noWrap/>
            <w:vAlign w:val="bottom"/>
            <w:hideMark/>
          </w:tcPr>
          <w:p w:rsidR="006247F6" w:rsidRPr="008A19B2" w:rsidRDefault="006247F6" w:rsidP="005C7D14">
            <w:pPr>
              <w:spacing w:after="0"/>
              <w:ind w:firstLine="0"/>
              <w:jc w:val="right"/>
              <w:rPr>
                <w:rFonts w:eastAsia="Times New Roman" w:cs="Times New Roman"/>
                <w:sz w:val="20"/>
                <w:szCs w:val="20"/>
                <w:lang w:eastAsia="lv-LV"/>
              </w:rPr>
            </w:pPr>
            <w:r w:rsidRPr="008A19B2">
              <w:rPr>
                <w:rFonts w:eastAsia="Times New Roman" w:cs="Times New Roman"/>
                <w:sz w:val="20"/>
                <w:szCs w:val="20"/>
                <w:lang w:eastAsia="lv-LV"/>
              </w:rPr>
              <w:t>142 650</w:t>
            </w:r>
          </w:p>
        </w:tc>
        <w:tc>
          <w:tcPr>
            <w:tcW w:w="1134" w:type="dxa"/>
            <w:tcBorders>
              <w:top w:val="single" w:sz="4" w:space="0" w:color="auto"/>
              <w:left w:val="nil"/>
              <w:right w:val="single" w:sz="4" w:space="0" w:color="auto"/>
            </w:tcBorders>
            <w:shd w:val="clear" w:color="auto" w:fill="auto"/>
            <w:noWrap/>
            <w:vAlign w:val="bottom"/>
            <w:hideMark/>
          </w:tcPr>
          <w:p w:rsidR="006247F6" w:rsidRPr="008A19B2" w:rsidRDefault="006247F6" w:rsidP="005C7D14">
            <w:pPr>
              <w:spacing w:after="0"/>
              <w:ind w:firstLine="0"/>
              <w:jc w:val="right"/>
              <w:rPr>
                <w:rFonts w:eastAsia="Times New Roman" w:cs="Times New Roman"/>
                <w:sz w:val="20"/>
                <w:szCs w:val="20"/>
                <w:lang w:eastAsia="lv-LV"/>
              </w:rPr>
            </w:pPr>
            <w:r w:rsidRPr="008A19B2">
              <w:rPr>
                <w:rFonts w:eastAsia="Times New Roman" w:cs="Times New Roman"/>
                <w:sz w:val="20"/>
                <w:szCs w:val="20"/>
                <w:lang w:eastAsia="lv-LV"/>
              </w:rPr>
              <w:t>146 865</w:t>
            </w:r>
          </w:p>
        </w:tc>
        <w:tc>
          <w:tcPr>
            <w:tcW w:w="1134" w:type="dxa"/>
            <w:tcBorders>
              <w:top w:val="single" w:sz="4" w:space="0" w:color="auto"/>
              <w:left w:val="nil"/>
              <w:right w:val="single" w:sz="4" w:space="0" w:color="auto"/>
            </w:tcBorders>
            <w:shd w:val="clear" w:color="auto" w:fill="auto"/>
            <w:noWrap/>
            <w:vAlign w:val="bottom"/>
            <w:hideMark/>
          </w:tcPr>
          <w:p w:rsidR="006247F6" w:rsidRPr="008A19B2" w:rsidRDefault="006247F6" w:rsidP="005C7D14">
            <w:pPr>
              <w:spacing w:after="0"/>
              <w:ind w:firstLine="0"/>
              <w:jc w:val="right"/>
              <w:rPr>
                <w:rFonts w:eastAsia="Times New Roman" w:cs="Times New Roman"/>
                <w:sz w:val="20"/>
                <w:szCs w:val="20"/>
                <w:lang w:eastAsia="lv-LV"/>
              </w:rPr>
            </w:pPr>
            <w:r w:rsidRPr="008A19B2">
              <w:rPr>
                <w:rFonts w:eastAsia="Times New Roman" w:cs="Times New Roman"/>
                <w:sz w:val="20"/>
                <w:szCs w:val="20"/>
                <w:lang w:eastAsia="lv-LV"/>
              </w:rPr>
              <w:t>145 408</w:t>
            </w:r>
          </w:p>
        </w:tc>
        <w:tc>
          <w:tcPr>
            <w:tcW w:w="1083" w:type="dxa"/>
            <w:tcBorders>
              <w:top w:val="single" w:sz="4" w:space="0" w:color="auto"/>
              <w:left w:val="nil"/>
              <w:right w:val="single" w:sz="4" w:space="0" w:color="auto"/>
            </w:tcBorders>
            <w:shd w:val="clear" w:color="auto" w:fill="auto"/>
            <w:noWrap/>
            <w:vAlign w:val="bottom"/>
            <w:hideMark/>
          </w:tcPr>
          <w:p w:rsidR="006247F6" w:rsidRPr="008A19B2" w:rsidRDefault="006247F6" w:rsidP="005C7D14">
            <w:pPr>
              <w:spacing w:after="0"/>
              <w:ind w:firstLine="0"/>
              <w:jc w:val="right"/>
              <w:rPr>
                <w:rFonts w:eastAsia="Times New Roman" w:cs="Times New Roman"/>
                <w:sz w:val="20"/>
                <w:szCs w:val="20"/>
                <w:lang w:eastAsia="lv-LV"/>
              </w:rPr>
            </w:pPr>
            <w:r w:rsidRPr="008A19B2">
              <w:rPr>
                <w:rFonts w:eastAsia="Times New Roman" w:cs="Times New Roman"/>
                <w:sz w:val="20"/>
                <w:szCs w:val="20"/>
                <w:lang w:eastAsia="lv-LV"/>
              </w:rPr>
              <w:t>618 289</w:t>
            </w:r>
          </w:p>
        </w:tc>
        <w:tc>
          <w:tcPr>
            <w:tcW w:w="879" w:type="dxa"/>
            <w:tcBorders>
              <w:top w:val="single" w:sz="4" w:space="0" w:color="auto"/>
              <w:left w:val="nil"/>
              <w:right w:val="single" w:sz="4" w:space="0" w:color="auto"/>
            </w:tcBorders>
            <w:shd w:val="clear" w:color="auto" w:fill="auto"/>
            <w:noWrap/>
            <w:vAlign w:val="bottom"/>
            <w:hideMark/>
          </w:tcPr>
          <w:p w:rsidR="006247F6" w:rsidRPr="008A19B2" w:rsidRDefault="006247F6" w:rsidP="005C7D14">
            <w:pPr>
              <w:spacing w:after="0"/>
              <w:ind w:firstLine="0"/>
              <w:jc w:val="center"/>
              <w:rPr>
                <w:rFonts w:eastAsia="Times New Roman" w:cs="Times New Roman"/>
                <w:sz w:val="20"/>
                <w:szCs w:val="20"/>
                <w:lang w:eastAsia="lv-LV"/>
              </w:rPr>
            </w:pPr>
            <w:r w:rsidRPr="008A19B2">
              <w:rPr>
                <w:rFonts w:eastAsia="Times New Roman" w:cs="Times New Roman"/>
                <w:sz w:val="20"/>
                <w:szCs w:val="20"/>
                <w:lang w:eastAsia="lv-LV"/>
              </w:rPr>
              <w:t>101,9</w:t>
            </w:r>
          </w:p>
        </w:tc>
        <w:tc>
          <w:tcPr>
            <w:tcW w:w="879" w:type="dxa"/>
            <w:tcBorders>
              <w:top w:val="single" w:sz="4" w:space="0" w:color="auto"/>
              <w:left w:val="nil"/>
              <w:right w:val="single" w:sz="4" w:space="0" w:color="auto"/>
            </w:tcBorders>
            <w:shd w:val="clear" w:color="auto" w:fill="auto"/>
            <w:noWrap/>
            <w:vAlign w:val="bottom"/>
            <w:hideMark/>
          </w:tcPr>
          <w:p w:rsidR="006247F6" w:rsidRPr="008A19B2" w:rsidRDefault="006247F6" w:rsidP="005C7D14">
            <w:pPr>
              <w:spacing w:after="0"/>
              <w:ind w:firstLine="0"/>
              <w:jc w:val="center"/>
              <w:rPr>
                <w:rFonts w:eastAsia="Times New Roman" w:cs="Times New Roman"/>
                <w:sz w:val="20"/>
                <w:szCs w:val="20"/>
                <w:lang w:eastAsia="lv-LV"/>
              </w:rPr>
            </w:pPr>
            <w:r w:rsidRPr="008A19B2">
              <w:rPr>
                <w:rFonts w:eastAsia="Times New Roman" w:cs="Times New Roman"/>
                <w:sz w:val="20"/>
                <w:szCs w:val="20"/>
                <w:lang w:eastAsia="lv-LV"/>
              </w:rPr>
              <w:t>99,0</w:t>
            </w:r>
          </w:p>
        </w:tc>
        <w:tc>
          <w:tcPr>
            <w:tcW w:w="879" w:type="dxa"/>
            <w:tcBorders>
              <w:top w:val="single" w:sz="4" w:space="0" w:color="auto"/>
              <w:left w:val="nil"/>
              <w:right w:val="single" w:sz="4" w:space="0" w:color="auto"/>
            </w:tcBorders>
            <w:shd w:val="clear" w:color="auto" w:fill="auto"/>
            <w:noWrap/>
            <w:vAlign w:val="bottom"/>
            <w:hideMark/>
          </w:tcPr>
          <w:p w:rsidR="006247F6" w:rsidRPr="008A19B2" w:rsidRDefault="006247F6" w:rsidP="005C7D14">
            <w:pPr>
              <w:spacing w:after="0"/>
              <w:ind w:firstLine="0"/>
              <w:jc w:val="center"/>
              <w:rPr>
                <w:rFonts w:eastAsia="Times New Roman" w:cs="Times New Roman"/>
                <w:sz w:val="20"/>
                <w:szCs w:val="20"/>
                <w:lang w:eastAsia="lv-LV"/>
              </w:rPr>
            </w:pPr>
            <w:r w:rsidRPr="008A19B2">
              <w:rPr>
                <w:rFonts w:eastAsia="Times New Roman" w:cs="Times New Roman"/>
                <w:sz w:val="20"/>
                <w:szCs w:val="20"/>
                <w:lang w:eastAsia="lv-LV"/>
              </w:rPr>
              <w:t>23,5</w:t>
            </w:r>
          </w:p>
        </w:tc>
      </w:tr>
      <w:tr w:rsidR="006247F6" w:rsidRPr="0092040F" w:rsidTr="000C2E3B">
        <w:trPr>
          <w:trHeight w:val="528"/>
        </w:trPr>
        <w:tc>
          <w:tcPr>
            <w:tcW w:w="2269" w:type="dxa"/>
            <w:tcBorders>
              <w:top w:val="nil"/>
              <w:left w:val="single" w:sz="4" w:space="0" w:color="auto"/>
              <w:right w:val="single" w:sz="4" w:space="0" w:color="auto"/>
            </w:tcBorders>
            <w:shd w:val="clear" w:color="auto" w:fill="auto"/>
            <w:vAlign w:val="bottom"/>
            <w:hideMark/>
          </w:tcPr>
          <w:p w:rsidR="006247F6" w:rsidRPr="0092040F" w:rsidRDefault="006247F6" w:rsidP="005C7D14">
            <w:pPr>
              <w:spacing w:after="0"/>
              <w:ind w:firstLine="0"/>
              <w:jc w:val="left"/>
              <w:rPr>
                <w:rFonts w:eastAsia="Times New Roman" w:cs="Times New Roman"/>
                <w:i/>
                <w:sz w:val="20"/>
                <w:szCs w:val="20"/>
                <w:lang w:eastAsia="lv-LV"/>
              </w:rPr>
            </w:pPr>
            <w:r>
              <w:rPr>
                <w:rFonts w:eastAsia="Times New Roman" w:cs="Times New Roman"/>
                <w:i/>
                <w:sz w:val="20"/>
                <w:szCs w:val="20"/>
                <w:lang w:eastAsia="lv-LV"/>
              </w:rPr>
              <w:t xml:space="preserve">   </w:t>
            </w:r>
            <w:r w:rsidRPr="0092040F">
              <w:rPr>
                <w:rFonts w:eastAsia="Times New Roman" w:cs="Times New Roman"/>
                <w:i/>
                <w:sz w:val="20"/>
                <w:szCs w:val="20"/>
                <w:lang w:eastAsia="lv-LV"/>
              </w:rPr>
              <w:t xml:space="preserve">Valsts budžeta uzturēšanas izdevumu </w:t>
            </w:r>
            <w:proofErr w:type="spellStart"/>
            <w:r w:rsidRPr="0092040F">
              <w:rPr>
                <w:rFonts w:eastAsia="Times New Roman" w:cs="Times New Roman"/>
                <w:i/>
                <w:sz w:val="20"/>
                <w:szCs w:val="20"/>
                <w:lang w:eastAsia="lv-LV"/>
              </w:rPr>
              <w:t>transferti</w:t>
            </w:r>
            <w:proofErr w:type="spellEnd"/>
            <w:r w:rsidRPr="0092040F">
              <w:rPr>
                <w:rFonts w:eastAsia="Times New Roman" w:cs="Times New Roman"/>
                <w:i/>
                <w:sz w:val="20"/>
                <w:szCs w:val="20"/>
                <w:lang w:eastAsia="lv-LV"/>
              </w:rPr>
              <w:t xml:space="preserve"> pašvaldībām noteiktam mērķim</w:t>
            </w:r>
          </w:p>
        </w:tc>
        <w:tc>
          <w:tcPr>
            <w:tcW w:w="1134" w:type="dxa"/>
            <w:tcBorders>
              <w:top w:val="nil"/>
              <w:left w:val="nil"/>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i/>
                <w:sz w:val="20"/>
                <w:szCs w:val="20"/>
                <w:lang w:eastAsia="lv-LV"/>
              </w:rPr>
            </w:pPr>
            <w:r w:rsidRPr="0092040F">
              <w:rPr>
                <w:rFonts w:eastAsia="Times New Roman" w:cs="Times New Roman"/>
                <w:i/>
                <w:sz w:val="20"/>
                <w:szCs w:val="20"/>
                <w:lang w:eastAsia="lv-LV"/>
              </w:rPr>
              <w:t>100 136</w:t>
            </w:r>
          </w:p>
        </w:tc>
        <w:tc>
          <w:tcPr>
            <w:tcW w:w="1134" w:type="dxa"/>
            <w:tcBorders>
              <w:top w:val="nil"/>
              <w:left w:val="nil"/>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i/>
                <w:sz w:val="20"/>
                <w:szCs w:val="20"/>
                <w:lang w:eastAsia="lv-LV"/>
              </w:rPr>
            </w:pPr>
            <w:r w:rsidRPr="0092040F">
              <w:rPr>
                <w:rFonts w:eastAsia="Times New Roman" w:cs="Times New Roman"/>
                <w:i/>
                <w:sz w:val="20"/>
                <w:szCs w:val="20"/>
                <w:lang w:eastAsia="lv-LV"/>
              </w:rPr>
              <w:t>105 165</w:t>
            </w:r>
          </w:p>
        </w:tc>
        <w:tc>
          <w:tcPr>
            <w:tcW w:w="1134" w:type="dxa"/>
            <w:tcBorders>
              <w:top w:val="nil"/>
              <w:left w:val="nil"/>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i/>
                <w:sz w:val="20"/>
                <w:szCs w:val="20"/>
                <w:lang w:eastAsia="lv-LV"/>
              </w:rPr>
            </w:pPr>
            <w:r w:rsidRPr="0092040F">
              <w:rPr>
                <w:rFonts w:eastAsia="Times New Roman" w:cs="Times New Roman"/>
                <w:i/>
                <w:sz w:val="20"/>
                <w:szCs w:val="20"/>
                <w:lang w:eastAsia="lv-LV"/>
              </w:rPr>
              <w:t>104 820</w:t>
            </w:r>
          </w:p>
        </w:tc>
        <w:tc>
          <w:tcPr>
            <w:tcW w:w="1083" w:type="dxa"/>
            <w:tcBorders>
              <w:top w:val="nil"/>
              <w:left w:val="nil"/>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i/>
                <w:sz w:val="20"/>
                <w:szCs w:val="20"/>
                <w:lang w:eastAsia="lv-LV"/>
              </w:rPr>
            </w:pPr>
            <w:r w:rsidRPr="0092040F">
              <w:rPr>
                <w:rFonts w:eastAsia="Times New Roman" w:cs="Times New Roman"/>
                <w:i/>
                <w:sz w:val="20"/>
                <w:szCs w:val="20"/>
                <w:lang w:eastAsia="lv-LV"/>
              </w:rPr>
              <w:t>439 081</w:t>
            </w:r>
          </w:p>
        </w:tc>
        <w:tc>
          <w:tcPr>
            <w:tcW w:w="879" w:type="dxa"/>
            <w:tcBorders>
              <w:top w:val="nil"/>
              <w:left w:val="nil"/>
              <w:right w:val="single" w:sz="4" w:space="0" w:color="auto"/>
            </w:tcBorders>
            <w:shd w:val="clear" w:color="auto" w:fill="auto"/>
            <w:noWrap/>
            <w:vAlign w:val="bottom"/>
            <w:hideMark/>
          </w:tcPr>
          <w:p w:rsidR="006247F6" w:rsidRPr="0092040F" w:rsidRDefault="006247F6" w:rsidP="005C7D14">
            <w:pPr>
              <w:spacing w:after="0"/>
              <w:ind w:firstLine="0"/>
              <w:jc w:val="center"/>
              <w:rPr>
                <w:rFonts w:eastAsia="Times New Roman" w:cs="Times New Roman"/>
                <w:i/>
                <w:sz w:val="20"/>
                <w:szCs w:val="20"/>
                <w:lang w:eastAsia="lv-LV"/>
              </w:rPr>
            </w:pPr>
            <w:r w:rsidRPr="0092040F">
              <w:rPr>
                <w:rFonts w:eastAsia="Times New Roman" w:cs="Times New Roman"/>
                <w:i/>
                <w:sz w:val="20"/>
                <w:szCs w:val="20"/>
                <w:lang w:eastAsia="lv-LV"/>
              </w:rPr>
              <w:t>104,7</w:t>
            </w:r>
          </w:p>
        </w:tc>
        <w:tc>
          <w:tcPr>
            <w:tcW w:w="879" w:type="dxa"/>
            <w:tcBorders>
              <w:top w:val="nil"/>
              <w:left w:val="nil"/>
              <w:right w:val="single" w:sz="4" w:space="0" w:color="auto"/>
            </w:tcBorders>
            <w:shd w:val="clear" w:color="auto" w:fill="auto"/>
            <w:noWrap/>
            <w:vAlign w:val="bottom"/>
            <w:hideMark/>
          </w:tcPr>
          <w:p w:rsidR="006247F6" w:rsidRPr="0092040F" w:rsidRDefault="006247F6" w:rsidP="005C7D14">
            <w:pPr>
              <w:spacing w:after="0"/>
              <w:ind w:firstLine="0"/>
              <w:jc w:val="center"/>
              <w:rPr>
                <w:rFonts w:eastAsia="Times New Roman" w:cs="Times New Roman"/>
                <w:i/>
                <w:sz w:val="20"/>
                <w:szCs w:val="20"/>
                <w:lang w:eastAsia="lv-LV"/>
              </w:rPr>
            </w:pPr>
            <w:r w:rsidRPr="0092040F">
              <w:rPr>
                <w:rFonts w:eastAsia="Times New Roman" w:cs="Times New Roman"/>
                <w:i/>
                <w:sz w:val="20"/>
                <w:szCs w:val="20"/>
                <w:lang w:eastAsia="lv-LV"/>
              </w:rPr>
              <w:t>99,7</w:t>
            </w:r>
          </w:p>
        </w:tc>
        <w:tc>
          <w:tcPr>
            <w:tcW w:w="879" w:type="dxa"/>
            <w:tcBorders>
              <w:top w:val="nil"/>
              <w:left w:val="nil"/>
              <w:right w:val="single" w:sz="4" w:space="0" w:color="auto"/>
            </w:tcBorders>
            <w:shd w:val="clear" w:color="auto" w:fill="auto"/>
            <w:noWrap/>
            <w:vAlign w:val="bottom"/>
            <w:hideMark/>
          </w:tcPr>
          <w:p w:rsidR="006247F6" w:rsidRPr="0092040F" w:rsidRDefault="006247F6" w:rsidP="005C7D14">
            <w:pPr>
              <w:spacing w:after="0"/>
              <w:ind w:firstLine="0"/>
              <w:jc w:val="center"/>
              <w:rPr>
                <w:rFonts w:eastAsia="Times New Roman" w:cs="Times New Roman"/>
                <w:i/>
                <w:sz w:val="20"/>
                <w:szCs w:val="20"/>
                <w:lang w:eastAsia="lv-LV"/>
              </w:rPr>
            </w:pPr>
            <w:r w:rsidRPr="0092040F">
              <w:rPr>
                <w:rFonts w:eastAsia="Times New Roman" w:cs="Times New Roman"/>
                <w:i/>
                <w:sz w:val="20"/>
                <w:szCs w:val="20"/>
                <w:lang w:eastAsia="lv-LV"/>
              </w:rPr>
              <w:t>23,9</w:t>
            </w:r>
          </w:p>
        </w:tc>
      </w:tr>
      <w:tr w:rsidR="006247F6" w:rsidRPr="0092040F" w:rsidTr="000C2E3B">
        <w:trPr>
          <w:trHeight w:val="1056"/>
        </w:trPr>
        <w:tc>
          <w:tcPr>
            <w:tcW w:w="2269" w:type="dxa"/>
            <w:tcBorders>
              <w:top w:val="nil"/>
              <w:left w:val="single" w:sz="4" w:space="0" w:color="auto"/>
              <w:right w:val="single" w:sz="4" w:space="0" w:color="auto"/>
            </w:tcBorders>
            <w:shd w:val="clear" w:color="auto" w:fill="auto"/>
            <w:vAlign w:val="bottom"/>
            <w:hideMark/>
          </w:tcPr>
          <w:p w:rsidR="006247F6" w:rsidRPr="0092040F" w:rsidRDefault="006247F6" w:rsidP="005C7D14">
            <w:pPr>
              <w:spacing w:after="0"/>
              <w:ind w:firstLine="0"/>
              <w:jc w:val="left"/>
              <w:rPr>
                <w:rFonts w:eastAsia="Times New Roman" w:cs="Times New Roman"/>
                <w:i/>
                <w:sz w:val="20"/>
                <w:szCs w:val="20"/>
                <w:lang w:eastAsia="lv-LV"/>
              </w:rPr>
            </w:pPr>
            <w:r>
              <w:rPr>
                <w:rFonts w:eastAsia="Times New Roman" w:cs="Times New Roman"/>
                <w:i/>
                <w:sz w:val="20"/>
                <w:szCs w:val="20"/>
                <w:lang w:eastAsia="lv-LV"/>
              </w:rPr>
              <w:t xml:space="preserve">   </w:t>
            </w:r>
            <w:r w:rsidRPr="0092040F">
              <w:rPr>
                <w:rFonts w:eastAsia="Times New Roman" w:cs="Times New Roman"/>
                <w:i/>
                <w:sz w:val="20"/>
                <w:szCs w:val="20"/>
                <w:lang w:eastAsia="lv-LV"/>
              </w:rPr>
              <w:t xml:space="preserve">Valsts budžeta uzturēšanas izdevumu </w:t>
            </w:r>
            <w:proofErr w:type="spellStart"/>
            <w:r w:rsidRPr="0092040F">
              <w:rPr>
                <w:rFonts w:eastAsia="Times New Roman" w:cs="Times New Roman"/>
                <w:i/>
                <w:sz w:val="20"/>
                <w:szCs w:val="20"/>
                <w:lang w:eastAsia="lv-LV"/>
              </w:rPr>
              <w:t>transferti</w:t>
            </w:r>
            <w:proofErr w:type="spellEnd"/>
            <w:r w:rsidRPr="0092040F">
              <w:rPr>
                <w:rFonts w:eastAsia="Times New Roman" w:cs="Times New Roman"/>
                <w:i/>
                <w:sz w:val="20"/>
                <w:szCs w:val="20"/>
                <w:lang w:eastAsia="lv-LV"/>
              </w:rPr>
              <w:t xml:space="preserve"> pašvaldībām Eiropas Savienības politiku instrumentu un pārējās ārvalstu finanšu palīdzības līdzfinansētajiem projektiem (pasākumiem)</w:t>
            </w:r>
          </w:p>
        </w:tc>
        <w:tc>
          <w:tcPr>
            <w:tcW w:w="1134" w:type="dxa"/>
            <w:tcBorders>
              <w:top w:val="nil"/>
              <w:left w:val="nil"/>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i/>
                <w:sz w:val="20"/>
                <w:szCs w:val="20"/>
                <w:lang w:eastAsia="lv-LV"/>
              </w:rPr>
            </w:pPr>
            <w:r w:rsidRPr="0092040F">
              <w:rPr>
                <w:rFonts w:eastAsia="Times New Roman" w:cs="Times New Roman"/>
                <w:i/>
                <w:sz w:val="20"/>
                <w:szCs w:val="20"/>
                <w:lang w:eastAsia="lv-LV"/>
              </w:rPr>
              <w:t>6 039</w:t>
            </w:r>
          </w:p>
        </w:tc>
        <w:tc>
          <w:tcPr>
            <w:tcW w:w="1134" w:type="dxa"/>
            <w:tcBorders>
              <w:top w:val="nil"/>
              <w:left w:val="nil"/>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i/>
                <w:sz w:val="20"/>
                <w:szCs w:val="20"/>
                <w:lang w:eastAsia="lv-LV"/>
              </w:rPr>
            </w:pPr>
            <w:r w:rsidRPr="0092040F">
              <w:rPr>
                <w:rFonts w:eastAsia="Times New Roman" w:cs="Times New Roman"/>
                <w:i/>
                <w:sz w:val="20"/>
                <w:szCs w:val="20"/>
                <w:lang w:eastAsia="lv-LV"/>
              </w:rPr>
              <w:t>5 737</w:t>
            </w:r>
          </w:p>
        </w:tc>
        <w:tc>
          <w:tcPr>
            <w:tcW w:w="1134" w:type="dxa"/>
            <w:tcBorders>
              <w:top w:val="nil"/>
              <w:left w:val="nil"/>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i/>
                <w:sz w:val="20"/>
                <w:szCs w:val="20"/>
                <w:lang w:eastAsia="lv-LV"/>
              </w:rPr>
            </w:pPr>
            <w:r w:rsidRPr="0092040F">
              <w:rPr>
                <w:rFonts w:eastAsia="Times New Roman" w:cs="Times New Roman"/>
                <w:i/>
                <w:sz w:val="20"/>
                <w:szCs w:val="20"/>
                <w:lang w:eastAsia="lv-LV"/>
              </w:rPr>
              <w:t>5 150</w:t>
            </w:r>
          </w:p>
        </w:tc>
        <w:tc>
          <w:tcPr>
            <w:tcW w:w="1083" w:type="dxa"/>
            <w:tcBorders>
              <w:top w:val="nil"/>
              <w:left w:val="nil"/>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i/>
                <w:sz w:val="20"/>
                <w:szCs w:val="20"/>
                <w:lang w:eastAsia="lv-LV"/>
              </w:rPr>
            </w:pPr>
            <w:r w:rsidRPr="0092040F">
              <w:rPr>
                <w:rFonts w:eastAsia="Times New Roman" w:cs="Times New Roman"/>
                <w:i/>
                <w:sz w:val="20"/>
                <w:szCs w:val="20"/>
                <w:lang w:eastAsia="lv-LV"/>
              </w:rPr>
              <w:t>27 974</w:t>
            </w:r>
          </w:p>
        </w:tc>
        <w:tc>
          <w:tcPr>
            <w:tcW w:w="879" w:type="dxa"/>
            <w:tcBorders>
              <w:top w:val="nil"/>
              <w:left w:val="nil"/>
              <w:right w:val="single" w:sz="4" w:space="0" w:color="auto"/>
            </w:tcBorders>
            <w:shd w:val="clear" w:color="auto" w:fill="auto"/>
            <w:noWrap/>
            <w:vAlign w:val="bottom"/>
            <w:hideMark/>
          </w:tcPr>
          <w:p w:rsidR="006247F6" w:rsidRPr="0092040F" w:rsidRDefault="006247F6" w:rsidP="005C7D14">
            <w:pPr>
              <w:spacing w:after="0"/>
              <w:ind w:firstLine="0"/>
              <w:jc w:val="center"/>
              <w:rPr>
                <w:rFonts w:eastAsia="Times New Roman" w:cs="Times New Roman"/>
                <w:i/>
                <w:sz w:val="20"/>
                <w:szCs w:val="20"/>
                <w:lang w:eastAsia="lv-LV"/>
              </w:rPr>
            </w:pPr>
            <w:r w:rsidRPr="0092040F">
              <w:rPr>
                <w:rFonts w:eastAsia="Times New Roman" w:cs="Times New Roman"/>
                <w:i/>
                <w:sz w:val="20"/>
                <w:szCs w:val="20"/>
                <w:lang w:eastAsia="lv-LV"/>
              </w:rPr>
              <w:t>85,3</w:t>
            </w:r>
          </w:p>
        </w:tc>
        <w:tc>
          <w:tcPr>
            <w:tcW w:w="879" w:type="dxa"/>
            <w:tcBorders>
              <w:top w:val="nil"/>
              <w:left w:val="nil"/>
              <w:right w:val="single" w:sz="4" w:space="0" w:color="auto"/>
            </w:tcBorders>
            <w:shd w:val="clear" w:color="auto" w:fill="auto"/>
            <w:noWrap/>
            <w:vAlign w:val="bottom"/>
            <w:hideMark/>
          </w:tcPr>
          <w:p w:rsidR="006247F6" w:rsidRPr="0092040F" w:rsidRDefault="006247F6" w:rsidP="005C7D14">
            <w:pPr>
              <w:spacing w:after="0"/>
              <w:ind w:firstLine="0"/>
              <w:jc w:val="center"/>
              <w:rPr>
                <w:rFonts w:eastAsia="Times New Roman" w:cs="Times New Roman"/>
                <w:i/>
                <w:sz w:val="20"/>
                <w:szCs w:val="20"/>
                <w:lang w:eastAsia="lv-LV"/>
              </w:rPr>
            </w:pPr>
            <w:r w:rsidRPr="0092040F">
              <w:rPr>
                <w:rFonts w:eastAsia="Times New Roman" w:cs="Times New Roman"/>
                <w:i/>
                <w:sz w:val="20"/>
                <w:szCs w:val="20"/>
                <w:lang w:eastAsia="lv-LV"/>
              </w:rPr>
              <w:t>89,8</w:t>
            </w:r>
          </w:p>
        </w:tc>
        <w:tc>
          <w:tcPr>
            <w:tcW w:w="879" w:type="dxa"/>
            <w:tcBorders>
              <w:top w:val="nil"/>
              <w:left w:val="nil"/>
              <w:right w:val="single" w:sz="4" w:space="0" w:color="auto"/>
            </w:tcBorders>
            <w:shd w:val="clear" w:color="auto" w:fill="auto"/>
            <w:noWrap/>
            <w:vAlign w:val="bottom"/>
            <w:hideMark/>
          </w:tcPr>
          <w:p w:rsidR="006247F6" w:rsidRPr="0092040F" w:rsidRDefault="006247F6" w:rsidP="005C7D14">
            <w:pPr>
              <w:spacing w:after="0"/>
              <w:ind w:firstLine="0"/>
              <w:jc w:val="center"/>
              <w:rPr>
                <w:rFonts w:eastAsia="Times New Roman" w:cs="Times New Roman"/>
                <w:i/>
                <w:sz w:val="20"/>
                <w:szCs w:val="20"/>
                <w:lang w:eastAsia="lv-LV"/>
              </w:rPr>
            </w:pPr>
            <w:r w:rsidRPr="0092040F">
              <w:rPr>
                <w:rFonts w:eastAsia="Times New Roman" w:cs="Times New Roman"/>
                <w:i/>
                <w:sz w:val="20"/>
                <w:szCs w:val="20"/>
                <w:lang w:eastAsia="lv-LV"/>
              </w:rPr>
              <w:t>18,4</w:t>
            </w:r>
          </w:p>
        </w:tc>
      </w:tr>
      <w:tr w:rsidR="006247F6" w:rsidRPr="0092040F" w:rsidTr="000C2E3B">
        <w:trPr>
          <w:trHeight w:val="792"/>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6247F6" w:rsidRPr="0092040F" w:rsidRDefault="006247F6" w:rsidP="005C7D14">
            <w:pPr>
              <w:spacing w:after="0"/>
              <w:ind w:firstLine="0"/>
              <w:jc w:val="left"/>
              <w:rPr>
                <w:rFonts w:eastAsia="Times New Roman" w:cs="Times New Roman"/>
                <w:i/>
                <w:sz w:val="20"/>
                <w:szCs w:val="20"/>
                <w:lang w:eastAsia="lv-LV"/>
              </w:rPr>
            </w:pPr>
            <w:r>
              <w:rPr>
                <w:rFonts w:eastAsia="Times New Roman" w:cs="Times New Roman"/>
                <w:i/>
                <w:sz w:val="20"/>
                <w:szCs w:val="20"/>
                <w:lang w:eastAsia="lv-LV"/>
              </w:rPr>
              <w:t xml:space="preserve">   </w:t>
            </w:r>
            <w:r w:rsidRPr="0092040F">
              <w:rPr>
                <w:rFonts w:eastAsia="Times New Roman" w:cs="Times New Roman"/>
                <w:i/>
                <w:sz w:val="20"/>
                <w:szCs w:val="20"/>
                <w:lang w:eastAsia="lv-LV"/>
              </w:rPr>
              <w:t xml:space="preserve">Valsts budžeta </w:t>
            </w:r>
            <w:proofErr w:type="spellStart"/>
            <w:r w:rsidRPr="0092040F">
              <w:rPr>
                <w:rFonts w:eastAsia="Times New Roman" w:cs="Times New Roman"/>
                <w:i/>
                <w:sz w:val="20"/>
                <w:szCs w:val="20"/>
                <w:lang w:eastAsia="lv-LV"/>
              </w:rPr>
              <w:t>transferti</w:t>
            </w:r>
            <w:proofErr w:type="spellEnd"/>
            <w:r w:rsidRPr="0092040F">
              <w:rPr>
                <w:rFonts w:eastAsia="Times New Roman" w:cs="Times New Roman"/>
                <w:i/>
                <w:sz w:val="20"/>
                <w:szCs w:val="20"/>
                <w:lang w:eastAsia="lv-LV"/>
              </w:rPr>
              <w:t xml:space="preserve"> valsts budžeta daļēji finansētām atvasinātām publiskām personām un budžeta nefinansētām iestādēm noteiktam mērķim</w:t>
            </w:r>
          </w:p>
        </w:tc>
        <w:tc>
          <w:tcPr>
            <w:tcW w:w="1134" w:type="dxa"/>
            <w:tcBorders>
              <w:top w:val="nil"/>
              <w:left w:val="nil"/>
              <w:bottom w:val="single" w:sz="4" w:space="0" w:color="auto"/>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i/>
                <w:sz w:val="20"/>
                <w:szCs w:val="20"/>
                <w:lang w:eastAsia="lv-LV"/>
              </w:rPr>
            </w:pPr>
            <w:r w:rsidRPr="0092040F">
              <w:rPr>
                <w:rFonts w:eastAsia="Times New Roman" w:cs="Times New Roman"/>
                <w:i/>
                <w:sz w:val="20"/>
                <w:szCs w:val="20"/>
                <w:lang w:eastAsia="lv-LV"/>
              </w:rPr>
              <w:t>36 475</w:t>
            </w:r>
          </w:p>
        </w:tc>
        <w:tc>
          <w:tcPr>
            <w:tcW w:w="1134" w:type="dxa"/>
            <w:tcBorders>
              <w:top w:val="nil"/>
              <w:left w:val="nil"/>
              <w:bottom w:val="single" w:sz="4" w:space="0" w:color="auto"/>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i/>
                <w:sz w:val="20"/>
                <w:szCs w:val="20"/>
                <w:lang w:eastAsia="lv-LV"/>
              </w:rPr>
            </w:pPr>
            <w:r w:rsidRPr="0092040F">
              <w:rPr>
                <w:rFonts w:eastAsia="Times New Roman" w:cs="Times New Roman"/>
                <w:i/>
                <w:sz w:val="20"/>
                <w:szCs w:val="20"/>
                <w:lang w:eastAsia="lv-LV"/>
              </w:rPr>
              <w:t>35 963</w:t>
            </w:r>
          </w:p>
        </w:tc>
        <w:tc>
          <w:tcPr>
            <w:tcW w:w="1134" w:type="dxa"/>
            <w:tcBorders>
              <w:top w:val="nil"/>
              <w:left w:val="nil"/>
              <w:bottom w:val="single" w:sz="4" w:space="0" w:color="auto"/>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i/>
                <w:sz w:val="20"/>
                <w:szCs w:val="20"/>
                <w:lang w:eastAsia="lv-LV"/>
              </w:rPr>
            </w:pPr>
            <w:r w:rsidRPr="0092040F">
              <w:rPr>
                <w:rFonts w:eastAsia="Times New Roman" w:cs="Times New Roman"/>
                <w:i/>
                <w:sz w:val="20"/>
                <w:szCs w:val="20"/>
                <w:lang w:eastAsia="lv-LV"/>
              </w:rPr>
              <w:t>35 438</w:t>
            </w:r>
          </w:p>
        </w:tc>
        <w:tc>
          <w:tcPr>
            <w:tcW w:w="1083" w:type="dxa"/>
            <w:tcBorders>
              <w:top w:val="nil"/>
              <w:left w:val="nil"/>
              <w:bottom w:val="single" w:sz="4" w:space="0" w:color="auto"/>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i/>
                <w:sz w:val="20"/>
                <w:szCs w:val="20"/>
                <w:lang w:eastAsia="lv-LV"/>
              </w:rPr>
            </w:pPr>
            <w:r w:rsidRPr="0092040F">
              <w:rPr>
                <w:rFonts w:eastAsia="Times New Roman" w:cs="Times New Roman"/>
                <w:i/>
                <w:sz w:val="20"/>
                <w:szCs w:val="20"/>
                <w:lang w:eastAsia="lv-LV"/>
              </w:rPr>
              <w:t>151 234</w:t>
            </w:r>
          </w:p>
        </w:tc>
        <w:tc>
          <w:tcPr>
            <w:tcW w:w="879" w:type="dxa"/>
            <w:tcBorders>
              <w:top w:val="nil"/>
              <w:left w:val="nil"/>
              <w:bottom w:val="single" w:sz="4" w:space="0" w:color="auto"/>
              <w:right w:val="single" w:sz="4" w:space="0" w:color="auto"/>
            </w:tcBorders>
            <w:shd w:val="clear" w:color="auto" w:fill="auto"/>
            <w:noWrap/>
            <w:vAlign w:val="bottom"/>
            <w:hideMark/>
          </w:tcPr>
          <w:p w:rsidR="006247F6" w:rsidRPr="0092040F" w:rsidRDefault="006247F6" w:rsidP="005C7D14">
            <w:pPr>
              <w:spacing w:after="0"/>
              <w:ind w:firstLine="0"/>
              <w:jc w:val="center"/>
              <w:rPr>
                <w:rFonts w:eastAsia="Times New Roman" w:cs="Times New Roman"/>
                <w:i/>
                <w:sz w:val="20"/>
                <w:szCs w:val="20"/>
                <w:lang w:eastAsia="lv-LV"/>
              </w:rPr>
            </w:pPr>
            <w:r w:rsidRPr="0092040F">
              <w:rPr>
                <w:rFonts w:eastAsia="Times New Roman" w:cs="Times New Roman"/>
                <w:i/>
                <w:sz w:val="20"/>
                <w:szCs w:val="20"/>
                <w:lang w:eastAsia="lv-LV"/>
              </w:rPr>
              <w:t>97,2</w:t>
            </w:r>
          </w:p>
        </w:tc>
        <w:tc>
          <w:tcPr>
            <w:tcW w:w="879" w:type="dxa"/>
            <w:tcBorders>
              <w:top w:val="nil"/>
              <w:left w:val="nil"/>
              <w:bottom w:val="single" w:sz="4" w:space="0" w:color="auto"/>
              <w:right w:val="single" w:sz="4" w:space="0" w:color="auto"/>
            </w:tcBorders>
            <w:shd w:val="clear" w:color="auto" w:fill="auto"/>
            <w:noWrap/>
            <w:vAlign w:val="bottom"/>
            <w:hideMark/>
          </w:tcPr>
          <w:p w:rsidR="006247F6" w:rsidRPr="0092040F" w:rsidRDefault="006247F6" w:rsidP="005C7D14">
            <w:pPr>
              <w:spacing w:after="0"/>
              <w:ind w:firstLine="0"/>
              <w:jc w:val="center"/>
              <w:rPr>
                <w:rFonts w:eastAsia="Times New Roman" w:cs="Times New Roman"/>
                <w:i/>
                <w:sz w:val="20"/>
                <w:szCs w:val="20"/>
                <w:lang w:eastAsia="lv-LV"/>
              </w:rPr>
            </w:pPr>
            <w:r w:rsidRPr="0092040F">
              <w:rPr>
                <w:rFonts w:eastAsia="Times New Roman" w:cs="Times New Roman"/>
                <w:i/>
                <w:sz w:val="20"/>
                <w:szCs w:val="20"/>
                <w:lang w:eastAsia="lv-LV"/>
              </w:rPr>
              <w:t>98,5</w:t>
            </w:r>
          </w:p>
        </w:tc>
        <w:tc>
          <w:tcPr>
            <w:tcW w:w="879" w:type="dxa"/>
            <w:tcBorders>
              <w:top w:val="nil"/>
              <w:left w:val="nil"/>
              <w:bottom w:val="single" w:sz="4" w:space="0" w:color="auto"/>
              <w:right w:val="single" w:sz="4" w:space="0" w:color="auto"/>
            </w:tcBorders>
            <w:shd w:val="clear" w:color="auto" w:fill="auto"/>
            <w:noWrap/>
            <w:vAlign w:val="bottom"/>
            <w:hideMark/>
          </w:tcPr>
          <w:p w:rsidR="006247F6" w:rsidRPr="0092040F" w:rsidRDefault="006247F6" w:rsidP="005C7D14">
            <w:pPr>
              <w:spacing w:after="0"/>
              <w:ind w:firstLine="0"/>
              <w:jc w:val="center"/>
              <w:rPr>
                <w:rFonts w:eastAsia="Times New Roman" w:cs="Times New Roman"/>
                <w:i/>
                <w:sz w:val="20"/>
                <w:szCs w:val="20"/>
                <w:lang w:eastAsia="lv-LV"/>
              </w:rPr>
            </w:pPr>
            <w:r w:rsidRPr="0092040F">
              <w:rPr>
                <w:rFonts w:eastAsia="Times New Roman" w:cs="Times New Roman"/>
                <w:i/>
                <w:sz w:val="20"/>
                <w:szCs w:val="20"/>
                <w:lang w:eastAsia="lv-LV"/>
              </w:rPr>
              <w:t>23,4</w:t>
            </w:r>
          </w:p>
        </w:tc>
      </w:tr>
      <w:tr w:rsidR="006247F6" w:rsidRPr="008A19B2" w:rsidTr="000C2E3B">
        <w:trPr>
          <w:trHeight w:val="528"/>
        </w:trPr>
        <w:tc>
          <w:tcPr>
            <w:tcW w:w="2269" w:type="dxa"/>
            <w:tcBorders>
              <w:top w:val="single" w:sz="4" w:space="0" w:color="auto"/>
              <w:left w:val="single" w:sz="4" w:space="0" w:color="auto"/>
              <w:right w:val="single" w:sz="4" w:space="0" w:color="auto"/>
            </w:tcBorders>
            <w:shd w:val="clear" w:color="auto" w:fill="auto"/>
            <w:vAlign w:val="bottom"/>
            <w:hideMark/>
          </w:tcPr>
          <w:p w:rsidR="006247F6" w:rsidRPr="008A19B2" w:rsidRDefault="006247F6" w:rsidP="005C7D14">
            <w:pPr>
              <w:spacing w:after="0"/>
              <w:ind w:firstLine="0"/>
              <w:jc w:val="left"/>
              <w:rPr>
                <w:rFonts w:eastAsia="Times New Roman" w:cs="Times New Roman"/>
                <w:sz w:val="20"/>
                <w:szCs w:val="20"/>
                <w:lang w:eastAsia="lv-LV"/>
              </w:rPr>
            </w:pPr>
            <w:r w:rsidRPr="008A19B2">
              <w:rPr>
                <w:rFonts w:eastAsia="Times New Roman" w:cs="Times New Roman"/>
                <w:sz w:val="20"/>
                <w:szCs w:val="20"/>
                <w:lang w:eastAsia="lv-LV"/>
              </w:rPr>
              <w:t xml:space="preserve">Pārējie valsts budžeta uzturēšanas izdevumu </w:t>
            </w:r>
            <w:proofErr w:type="spellStart"/>
            <w:r w:rsidRPr="008A19B2">
              <w:rPr>
                <w:rFonts w:eastAsia="Times New Roman" w:cs="Times New Roman"/>
                <w:sz w:val="20"/>
                <w:szCs w:val="20"/>
                <w:lang w:eastAsia="lv-LV"/>
              </w:rPr>
              <w:t>transferti</w:t>
            </w:r>
            <w:proofErr w:type="spellEnd"/>
            <w:r w:rsidRPr="008A19B2">
              <w:rPr>
                <w:rFonts w:eastAsia="Times New Roman" w:cs="Times New Roman"/>
                <w:sz w:val="20"/>
                <w:szCs w:val="20"/>
                <w:lang w:eastAsia="lv-LV"/>
              </w:rPr>
              <w:t xml:space="preserve"> citiem budžetiem</w:t>
            </w:r>
          </w:p>
        </w:tc>
        <w:tc>
          <w:tcPr>
            <w:tcW w:w="1134" w:type="dxa"/>
            <w:tcBorders>
              <w:top w:val="single" w:sz="4" w:space="0" w:color="auto"/>
              <w:left w:val="nil"/>
              <w:right w:val="single" w:sz="4" w:space="0" w:color="auto"/>
            </w:tcBorders>
            <w:shd w:val="clear" w:color="auto" w:fill="auto"/>
            <w:noWrap/>
            <w:vAlign w:val="bottom"/>
            <w:hideMark/>
          </w:tcPr>
          <w:p w:rsidR="006247F6" w:rsidRPr="008A19B2" w:rsidRDefault="006247F6" w:rsidP="005C7D14">
            <w:pPr>
              <w:spacing w:after="0"/>
              <w:ind w:firstLine="0"/>
              <w:jc w:val="right"/>
              <w:rPr>
                <w:rFonts w:eastAsia="Times New Roman" w:cs="Times New Roman"/>
                <w:sz w:val="20"/>
                <w:szCs w:val="20"/>
                <w:lang w:eastAsia="lv-LV"/>
              </w:rPr>
            </w:pPr>
            <w:r w:rsidRPr="008A19B2">
              <w:rPr>
                <w:rFonts w:eastAsia="Times New Roman" w:cs="Times New Roman"/>
                <w:sz w:val="20"/>
                <w:szCs w:val="20"/>
                <w:lang w:eastAsia="lv-LV"/>
              </w:rPr>
              <w:t>12 143</w:t>
            </w:r>
          </w:p>
        </w:tc>
        <w:tc>
          <w:tcPr>
            <w:tcW w:w="1134" w:type="dxa"/>
            <w:tcBorders>
              <w:top w:val="single" w:sz="4" w:space="0" w:color="auto"/>
              <w:left w:val="nil"/>
              <w:right w:val="single" w:sz="4" w:space="0" w:color="auto"/>
            </w:tcBorders>
            <w:shd w:val="clear" w:color="auto" w:fill="auto"/>
            <w:noWrap/>
            <w:vAlign w:val="bottom"/>
            <w:hideMark/>
          </w:tcPr>
          <w:p w:rsidR="006247F6" w:rsidRPr="008A19B2" w:rsidRDefault="006247F6" w:rsidP="005C7D14">
            <w:pPr>
              <w:spacing w:after="0"/>
              <w:ind w:firstLine="0"/>
              <w:jc w:val="right"/>
              <w:rPr>
                <w:rFonts w:eastAsia="Times New Roman" w:cs="Times New Roman"/>
                <w:sz w:val="20"/>
                <w:szCs w:val="20"/>
                <w:lang w:eastAsia="lv-LV"/>
              </w:rPr>
            </w:pPr>
            <w:r w:rsidRPr="008A19B2">
              <w:rPr>
                <w:rFonts w:eastAsia="Times New Roman" w:cs="Times New Roman"/>
                <w:sz w:val="20"/>
                <w:szCs w:val="20"/>
                <w:lang w:eastAsia="lv-LV"/>
              </w:rPr>
              <w:t>8 117</w:t>
            </w:r>
          </w:p>
        </w:tc>
        <w:tc>
          <w:tcPr>
            <w:tcW w:w="1134" w:type="dxa"/>
            <w:tcBorders>
              <w:top w:val="single" w:sz="4" w:space="0" w:color="auto"/>
              <w:left w:val="nil"/>
              <w:right w:val="single" w:sz="4" w:space="0" w:color="auto"/>
            </w:tcBorders>
            <w:shd w:val="clear" w:color="auto" w:fill="auto"/>
            <w:noWrap/>
            <w:vAlign w:val="bottom"/>
            <w:hideMark/>
          </w:tcPr>
          <w:p w:rsidR="006247F6" w:rsidRPr="008A19B2" w:rsidRDefault="006247F6" w:rsidP="005C7D14">
            <w:pPr>
              <w:spacing w:after="0"/>
              <w:ind w:firstLine="0"/>
              <w:jc w:val="right"/>
              <w:rPr>
                <w:rFonts w:eastAsia="Times New Roman" w:cs="Times New Roman"/>
                <w:sz w:val="20"/>
                <w:szCs w:val="20"/>
                <w:lang w:eastAsia="lv-LV"/>
              </w:rPr>
            </w:pPr>
            <w:r w:rsidRPr="008A19B2">
              <w:rPr>
                <w:rFonts w:eastAsia="Times New Roman" w:cs="Times New Roman"/>
                <w:sz w:val="20"/>
                <w:szCs w:val="20"/>
                <w:lang w:eastAsia="lv-LV"/>
              </w:rPr>
              <w:t>8 111</w:t>
            </w:r>
          </w:p>
        </w:tc>
        <w:tc>
          <w:tcPr>
            <w:tcW w:w="1083" w:type="dxa"/>
            <w:tcBorders>
              <w:top w:val="single" w:sz="4" w:space="0" w:color="auto"/>
              <w:left w:val="nil"/>
              <w:right w:val="single" w:sz="4" w:space="0" w:color="auto"/>
            </w:tcBorders>
            <w:shd w:val="clear" w:color="auto" w:fill="auto"/>
            <w:noWrap/>
            <w:vAlign w:val="bottom"/>
            <w:hideMark/>
          </w:tcPr>
          <w:p w:rsidR="006247F6" w:rsidRPr="008A19B2" w:rsidRDefault="006247F6" w:rsidP="005C7D14">
            <w:pPr>
              <w:spacing w:after="0"/>
              <w:ind w:firstLine="0"/>
              <w:jc w:val="right"/>
              <w:rPr>
                <w:rFonts w:eastAsia="Times New Roman" w:cs="Times New Roman"/>
                <w:sz w:val="20"/>
                <w:szCs w:val="20"/>
                <w:lang w:eastAsia="lv-LV"/>
              </w:rPr>
            </w:pPr>
            <w:r w:rsidRPr="008A19B2">
              <w:rPr>
                <w:rFonts w:eastAsia="Times New Roman" w:cs="Times New Roman"/>
                <w:sz w:val="20"/>
                <w:szCs w:val="20"/>
                <w:lang w:eastAsia="lv-LV"/>
              </w:rPr>
              <w:t>51 689</w:t>
            </w:r>
          </w:p>
        </w:tc>
        <w:tc>
          <w:tcPr>
            <w:tcW w:w="879" w:type="dxa"/>
            <w:tcBorders>
              <w:top w:val="single" w:sz="4" w:space="0" w:color="auto"/>
              <w:left w:val="nil"/>
              <w:right w:val="single" w:sz="4" w:space="0" w:color="auto"/>
            </w:tcBorders>
            <w:shd w:val="clear" w:color="auto" w:fill="auto"/>
            <w:noWrap/>
            <w:vAlign w:val="bottom"/>
            <w:hideMark/>
          </w:tcPr>
          <w:p w:rsidR="006247F6" w:rsidRPr="008A19B2" w:rsidRDefault="006247F6" w:rsidP="005C7D14">
            <w:pPr>
              <w:spacing w:after="0"/>
              <w:ind w:firstLine="0"/>
              <w:jc w:val="center"/>
              <w:rPr>
                <w:rFonts w:eastAsia="Times New Roman" w:cs="Times New Roman"/>
                <w:sz w:val="20"/>
                <w:szCs w:val="20"/>
                <w:lang w:eastAsia="lv-LV"/>
              </w:rPr>
            </w:pPr>
            <w:r w:rsidRPr="008A19B2">
              <w:rPr>
                <w:rFonts w:eastAsia="Times New Roman" w:cs="Times New Roman"/>
                <w:sz w:val="20"/>
                <w:szCs w:val="20"/>
                <w:lang w:eastAsia="lv-LV"/>
              </w:rPr>
              <w:t>66,8</w:t>
            </w:r>
          </w:p>
        </w:tc>
        <w:tc>
          <w:tcPr>
            <w:tcW w:w="879" w:type="dxa"/>
            <w:tcBorders>
              <w:top w:val="single" w:sz="4" w:space="0" w:color="auto"/>
              <w:left w:val="nil"/>
              <w:right w:val="single" w:sz="4" w:space="0" w:color="auto"/>
            </w:tcBorders>
            <w:shd w:val="clear" w:color="auto" w:fill="auto"/>
            <w:noWrap/>
            <w:vAlign w:val="bottom"/>
            <w:hideMark/>
          </w:tcPr>
          <w:p w:rsidR="006247F6" w:rsidRPr="008A19B2" w:rsidRDefault="006247F6" w:rsidP="005C7D14">
            <w:pPr>
              <w:spacing w:after="0"/>
              <w:ind w:firstLine="0"/>
              <w:jc w:val="center"/>
              <w:rPr>
                <w:rFonts w:eastAsia="Times New Roman" w:cs="Times New Roman"/>
                <w:sz w:val="20"/>
                <w:szCs w:val="20"/>
                <w:lang w:eastAsia="lv-LV"/>
              </w:rPr>
            </w:pPr>
            <w:r w:rsidRPr="008A19B2">
              <w:rPr>
                <w:rFonts w:eastAsia="Times New Roman" w:cs="Times New Roman"/>
                <w:sz w:val="20"/>
                <w:szCs w:val="20"/>
                <w:lang w:eastAsia="lv-LV"/>
              </w:rPr>
              <w:t>99,9</w:t>
            </w:r>
          </w:p>
        </w:tc>
        <w:tc>
          <w:tcPr>
            <w:tcW w:w="879" w:type="dxa"/>
            <w:tcBorders>
              <w:top w:val="single" w:sz="4" w:space="0" w:color="auto"/>
              <w:left w:val="nil"/>
              <w:right w:val="single" w:sz="4" w:space="0" w:color="auto"/>
            </w:tcBorders>
            <w:shd w:val="clear" w:color="auto" w:fill="auto"/>
            <w:noWrap/>
            <w:vAlign w:val="bottom"/>
            <w:hideMark/>
          </w:tcPr>
          <w:p w:rsidR="006247F6" w:rsidRPr="008A19B2" w:rsidRDefault="006247F6" w:rsidP="005C7D14">
            <w:pPr>
              <w:spacing w:after="0"/>
              <w:ind w:firstLine="0"/>
              <w:jc w:val="center"/>
              <w:rPr>
                <w:rFonts w:eastAsia="Times New Roman" w:cs="Times New Roman"/>
                <w:sz w:val="20"/>
                <w:szCs w:val="20"/>
                <w:lang w:eastAsia="lv-LV"/>
              </w:rPr>
            </w:pPr>
            <w:r w:rsidRPr="008A19B2">
              <w:rPr>
                <w:rFonts w:eastAsia="Times New Roman" w:cs="Times New Roman"/>
                <w:sz w:val="20"/>
                <w:szCs w:val="20"/>
                <w:lang w:eastAsia="lv-LV"/>
              </w:rPr>
              <w:t>15,7</w:t>
            </w:r>
          </w:p>
        </w:tc>
      </w:tr>
      <w:tr w:rsidR="006247F6" w:rsidRPr="0092040F" w:rsidTr="000C2E3B">
        <w:trPr>
          <w:trHeight w:val="528"/>
        </w:trPr>
        <w:tc>
          <w:tcPr>
            <w:tcW w:w="2269" w:type="dxa"/>
            <w:tcBorders>
              <w:top w:val="nil"/>
              <w:left w:val="single" w:sz="4" w:space="0" w:color="auto"/>
              <w:right w:val="single" w:sz="4" w:space="0" w:color="auto"/>
            </w:tcBorders>
            <w:shd w:val="clear" w:color="auto" w:fill="auto"/>
            <w:vAlign w:val="bottom"/>
            <w:hideMark/>
          </w:tcPr>
          <w:p w:rsidR="006247F6" w:rsidRPr="0092040F" w:rsidRDefault="006247F6" w:rsidP="005C7D14">
            <w:pPr>
              <w:spacing w:after="0"/>
              <w:ind w:firstLine="0"/>
              <w:jc w:val="left"/>
              <w:rPr>
                <w:rFonts w:eastAsia="Times New Roman" w:cs="Times New Roman"/>
                <w:i/>
                <w:sz w:val="20"/>
                <w:szCs w:val="20"/>
                <w:lang w:eastAsia="lv-LV"/>
              </w:rPr>
            </w:pPr>
            <w:r>
              <w:rPr>
                <w:rFonts w:eastAsia="Times New Roman" w:cs="Times New Roman"/>
                <w:i/>
                <w:sz w:val="20"/>
                <w:szCs w:val="20"/>
                <w:lang w:eastAsia="lv-LV"/>
              </w:rPr>
              <w:t xml:space="preserve">   </w:t>
            </w:r>
            <w:r w:rsidRPr="0092040F">
              <w:rPr>
                <w:rFonts w:eastAsia="Times New Roman" w:cs="Times New Roman"/>
                <w:i/>
                <w:sz w:val="20"/>
                <w:szCs w:val="20"/>
                <w:lang w:eastAsia="lv-LV"/>
              </w:rPr>
              <w:t xml:space="preserve">Pārējie valsts budžeta uzturēšanas izdevumu </w:t>
            </w:r>
            <w:proofErr w:type="spellStart"/>
            <w:r w:rsidRPr="0092040F">
              <w:rPr>
                <w:rFonts w:eastAsia="Times New Roman" w:cs="Times New Roman"/>
                <w:i/>
                <w:sz w:val="20"/>
                <w:szCs w:val="20"/>
                <w:lang w:eastAsia="lv-LV"/>
              </w:rPr>
              <w:t>transferti</w:t>
            </w:r>
            <w:proofErr w:type="spellEnd"/>
            <w:r w:rsidRPr="0092040F">
              <w:rPr>
                <w:rFonts w:eastAsia="Times New Roman" w:cs="Times New Roman"/>
                <w:i/>
                <w:sz w:val="20"/>
                <w:szCs w:val="20"/>
                <w:lang w:eastAsia="lv-LV"/>
              </w:rPr>
              <w:t xml:space="preserve"> pašvaldībām</w:t>
            </w:r>
          </w:p>
        </w:tc>
        <w:tc>
          <w:tcPr>
            <w:tcW w:w="1134" w:type="dxa"/>
            <w:tcBorders>
              <w:top w:val="nil"/>
              <w:left w:val="nil"/>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i/>
                <w:sz w:val="20"/>
                <w:szCs w:val="20"/>
                <w:lang w:eastAsia="lv-LV"/>
              </w:rPr>
            </w:pPr>
            <w:r w:rsidRPr="0092040F">
              <w:rPr>
                <w:rFonts w:eastAsia="Times New Roman" w:cs="Times New Roman"/>
                <w:i/>
                <w:sz w:val="20"/>
                <w:szCs w:val="20"/>
                <w:lang w:eastAsia="lv-LV"/>
              </w:rPr>
              <w:t>7 734</w:t>
            </w:r>
          </w:p>
        </w:tc>
        <w:tc>
          <w:tcPr>
            <w:tcW w:w="1134" w:type="dxa"/>
            <w:tcBorders>
              <w:top w:val="nil"/>
              <w:left w:val="nil"/>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i/>
                <w:sz w:val="20"/>
                <w:szCs w:val="20"/>
                <w:lang w:eastAsia="lv-LV"/>
              </w:rPr>
            </w:pPr>
            <w:r w:rsidRPr="0092040F">
              <w:rPr>
                <w:rFonts w:eastAsia="Times New Roman" w:cs="Times New Roman"/>
                <w:i/>
                <w:sz w:val="20"/>
                <w:szCs w:val="20"/>
                <w:lang w:eastAsia="lv-LV"/>
              </w:rPr>
              <w:t>7 563</w:t>
            </w:r>
          </w:p>
        </w:tc>
        <w:tc>
          <w:tcPr>
            <w:tcW w:w="1134" w:type="dxa"/>
            <w:tcBorders>
              <w:top w:val="nil"/>
              <w:left w:val="nil"/>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i/>
                <w:sz w:val="20"/>
                <w:szCs w:val="20"/>
                <w:lang w:eastAsia="lv-LV"/>
              </w:rPr>
            </w:pPr>
            <w:r w:rsidRPr="0092040F">
              <w:rPr>
                <w:rFonts w:eastAsia="Times New Roman" w:cs="Times New Roman"/>
                <w:i/>
                <w:sz w:val="20"/>
                <w:szCs w:val="20"/>
                <w:lang w:eastAsia="lv-LV"/>
              </w:rPr>
              <w:t>7 561</w:t>
            </w:r>
          </w:p>
        </w:tc>
        <w:tc>
          <w:tcPr>
            <w:tcW w:w="1083" w:type="dxa"/>
            <w:tcBorders>
              <w:top w:val="nil"/>
              <w:left w:val="nil"/>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i/>
                <w:sz w:val="20"/>
                <w:szCs w:val="20"/>
                <w:lang w:eastAsia="lv-LV"/>
              </w:rPr>
            </w:pPr>
            <w:r w:rsidRPr="0092040F">
              <w:rPr>
                <w:rFonts w:eastAsia="Times New Roman" w:cs="Times New Roman"/>
                <w:i/>
                <w:sz w:val="20"/>
                <w:szCs w:val="20"/>
                <w:lang w:eastAsia="lv-LV"/>
              </w:rPr>
              <w:t>30 296</w:t>
            </w:r>
          </w:p>
        </w:tc>
        <w:tc>
          <w:tcPr>
            <w:tcW w:w="879" w:type="dxa"/>
            <w:tcBorders>
              <w:top w:val="nil"/>
              <w:left w:val="nil"/>
              <w:right w:val="single" w:sz="4" w:space="0" w:color="auto"/>
            </w:tcBorders>
            <w:shd w:val="clear" w:color="auto" w:fill="auto"/>
            <w:noWrap/>
            <w:vAlign w:val="bottom"/>
            <w:hideMark/>
          </w:tcPr>
          <w:p w:rsidR="006247F6" w:rsidRPr="0092040F" w:rsidRDefault="006247F6" w:rsidP="005C7D14">
            <w:pPr>
              <w:spacing w:after="0"/>
              <w:ind w:firstLine="0"/>
              <w:jc w:val="center"/>
              <w:rPr>
                <w:rFonts w:eastAsia="Times New Roman" w:cs="Times New Roman"/>
                <w:i/>
                <w:sz w:val="20"/>
                <w:szCs w:val="20"/>
                <w:lang w:eastAsia="lv-LV"/>
              </w:rPr>
            </w:pPr>
            <w:r w:rsidRPr="0092040F">
              <w:rPr>
                <w:rFonts w:eastAsia="Times New Roman" w:cs="Times New Roman"/>
                <w:i/>
                <w:sz w:val="20"/>
                <w:szCs w:val="20"/>
                <w:lang w:eastAsia="lv-LV"/>
              </w:rPr>
              <w:t>97,8</w:t>
            </w:r>
          </w:p>
        </w:tc>
        <w:tc>
          <w:tcPr>
            <w:tcW w:w="879" w:type="dxa"/>
            <w:tcBorders>
              <w:top w:val="nil"/>
              <w:left w:val="nil"/>
              <w:right w:val="single" w:sz="4" w:space="0" w:color="auto"/>
            </w:tcBorders>
            <w:shd w:val="clear" w:color="auto" w:fill="auto"/>
            <w:noWrap/>
            <w:vAlign w:val="bottom"/>
            <w:hideMark/>
          </w:tcPr>
          <w:p w:rsidR="006247F6" w:rsidRPr="0092040F" w:rsidRDefault="006247F6" w:rsidP="005C7D14">
            <w:pPr>
              <w:spacing w:after="0"/>
              <w:ind w:firstLine="0"/>
              <w:jc w:val="center"/>
              <w:rPr>
                <w:rFonts w:eastAsia="Times New Roman" w:cs="Times New Roman"/>
                <w:i/>
                <w:sz w:val="20"/>
                <w:szCs w:val="20"/>
                <w:lang w:eastAsia="lv-LV"/>
              </w:rPr>
            </w:pPr>
            <w:r w:rsidRPr="0092040F">
              <w:rPr>
                <w:rFonts w:eastAsia="Times New Roman" w:cs="Times New Roman"/>
                <w:i/>
                <w:sz w:val="20"/>
                <w:szCs w:val="20"/>
                <w:lang w:eastAsia="lv-LV"/>
              </w:rPr>
              <w:t>100,0</w:t>
            </w:r>
          </w:p>
        </w:tc>
        <w:tc>
          <w:tcPr>
            <w:tcW w:w="879" w:type="dxa"/>
            <w:tcBorders>
              <w:top w:val="nil"/>
              <w:left w:val="nil"/>
              <w:right w:val="single" w:sz="4" w:space="0" w:color="auto"/>
            </w:tcBorders>
            <w:shd w:val="clear" w:color="auto" w:fill="auto"/>
            <w:noWrap/>
            <w:vAlign w:val="bottom"/>
            <w:hideMark/>
          </w:tcPr>
          <w:p w:rsidR="006247F6" w:rsidRPr="0092040F" w:rsidRDefault="006247F6" w:rsidP="005C7D14">
            <w:pPr>
              <w:spacing w:after="0"/>
              <w:ind w:firstLine="0"/>
              <w:jc w:val="center"/>
              <w:rPr>
                <w:rFonts w:eastAsia="Times New Roman" w:cs="Times New Roman"/>
                <w:i/>
                <w:sz w:val="20"/>
                <w:szCs w:val="20"/>
                <w:lang w:eastAsia="lv-LV"/>
              </w:rPr>
            </w:pPr>
            <w:r w:rsidRPr="0092040F">
              <w:rPr>
                <w:rFonts w:eastAsia="Times New Roman" w:cs="Times New Roman"/>
                <w:i/>
                <w:sz w:val="20"/>
                <w:szCs w:val="20"/>
                <w:lang w:eastAsia="lv-LV"/>
              </w:rPr>
              <w:t>25,0</w:t>
            </w:r>
          </w:p>
        </w:tc>
      </w:tr>
      <w:tr w:rsidR="006247F6" w:rsidRPr="0092040F" w:rsidTr="000C2E3B">
        <w:trPr>
          <w:trHeight w:val="1056"/>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6247F6" w:rsidRPr="0092040F" w:rsidRDefault="006247F6" w:rsidP="005C7D14">
            <w:pPr>
              <w:spacing w:after="0"/>
              <w:ind w:firstLine="0"/>
              <w:jc w:val="left"/>
              <w:rPr>
                <w:rFonts w:eastAsia="Times New Roman" w:cs="Times New Roman"/>
                <w:i/>
                <w:sz w:val="20"/>
                <w:szCs w:val="20"/>
                <w:lang w:eastAsia="lv-LV"/>
              </w:rPr>
            </w:pPr>
            <w:r>
              <w:rPr>
                <w:rFonts w:eastAsia="Times New Roman" w:cs="Times New Roman"/>
                <w:i/>
                <w:sz w:val="20"/>
                <w:szCs w:val="20"/>
                <w:lang w:eastAsia="lv-LV"/>
              </w:rPr>
              <w:lastRenderedPageBreak/>
              <w:t xml:space="preserve">   </w:t>
            </w:r>
            <w:r w:rsidRPr="0092040F">
              <w:rPr>
                <w:rFonts w:eastAsia="Times New Roman" w:cs="Times New Roman"/>
                <w:i/>
                <w:sz w:val="20"/>
                <w:szCs w:val="20"/>
                <w:lang w:eastAsia="lv-LV"/>
              </w:rPr>
              <w:t xml:space="preserve">Pārējie valsts budžeta uzturēšanas izdevumu </w:t>
            </w:r>
            <w:proofErr w:type="spellStart"/>
            <w:r w:rsidRPr="0092040F">
              <w:rPr>
                <w:rFonts w:eastAsia="Times New Roman" w:cs="Times New Roman"/>
                <w:i/>
                <w:sz w:val="20"/>
                <w:szCs w:val="20"/>
                <w:lang w:eastAsia="lv-LV"/>
              </w:rPr>
              <w:t>transferti</w:t>
            </w:r>
            <w:proofErr w:type="spellEnd"/>
            <w:r w:rsidRPr="0092040F">
              <w:rPr>
                <w:rFonts w:eastAsia="Times New Roman" w:cs="Times New Roman"/>
                <w:i/>
                <w:sz w:val="20"/>
                <w:szCs w:val="20"/>
                <w:lang w:eastAsia="lv-LV"/>
              </w:rPr>
              <w:t xml:space="preserve"> valsts budžeta daļēji finansētām atvasinātām publiskām personām un budžeta nefinansētām iestādēm</w:t>
            </w:r>
          </w:p>
        </w:tc>
        <w:tc>
          <w:tcPr>
            <w:tcW w:w="1134" w:type="dxa"/>
            <w:tcBorders>
              <w:top w:val="nil"/>
              <w:left w:val="nil"/>
              <w:bottom w:val="single" w:sz="4" w:space="0" w:color="auto"/>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i/>
                <w:sz w:val="20"/>
                <w:szCs w:val="20"/>
                <w:lang w:eastAsia="lv-LV"/>
              </w:rPr>
            </w:pPr>
            <w:r w:rsidRPr="0092040F">
              <w:rPr>
                <w:rFonts w:eastAsia="Times New Roman" w:cs="Times New Roman"/>
                <w:i/>
                <w:sz w:val="20"/>
                <w:szCs w:val="20"/>
                <w:lang w:eastAsia="lv-LV"/>
              </w:rPr>
              <w:t>4 409</w:t>
            </w:r>
          </w:p>
        </w:tc>
        <w:tc>
          <w:tcPr>
            <w:tcW w:w="1134" w:type="dxa"/>
            <w:tcBorders>
              <w:top w:val="nil"/>
              <w:left w:val="nil"/>
              <w:bottom w:val="single" w:sz="4" w:space="0" w:color="auto"/>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i/>
                <w:sz w:val="20"/>
                <w:szCs w:val="20"/>
                <w:lang w:eastAsia="lv-LV"/>
              </w:rPr>
            </w:pPr>
            <w:r w:rsidRPr="0092040F">
              <w:rPr>
                <w:rFonts w:eastAsia="Times New Roman" w:cs="Times New Roman"/>
                <w:i/>
                <w:sz w:val="20"/>
                <w:szCs w:val="20"/>
                <w:lang w:eastAsia="lv-LV"/>
              </w:rPr>
              <w:t>554</w:t>
            </w:r>
          </w:p>
        </w:tc>
        <w:tc>
          <w:tcPr>
            <w:tcW w:w="1134" w:type="dxa"/>
            <w:tcBorders>
              <w:top w:val="nil"/>
              <w:left w:val="nil"/>
              <w:bottom w:val="single" w:sz="4" w:space="0" w:color="auto"/>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i/>
                <w:sz w:val="20"/>
                <w:szCs w:val="20"/>
                <w:lang w:eastAsia="lv-LV"/>
              </w:rPr>
            </w:pPr>
            <w:r w:rsidRPr="0092040F">
              <w:rPr>
                <w:rFonts w:eastAsia="Times New Roman" w:cs="Times New Roman"/>
                <w:i/>
                <w:sz w:val="20"/>
                <w:szCs w:val="20"/>
                <w:lang w:eastAsia="lv-LV"/>
              </w:rPr>
              <w:t>550</w:t>
            </w:r>
          </w:p>
        </w:tc>
        <w:tc>
          <w:tcPr>
            <w:tcW w:w="1083" w:type="dxa"/>
            <w:tcBorders>
              <w:top w:val="nil"/>
              <w:left w:val="nil"/>
              <w:bottom w:val="single" w:sz="4" w:space="0" w:color="auto"/>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i/>
                <w:sz w:val="20"/>
                <w:szCs w:val="20"/>
                <w:lang w:eastAsia="lv-LV"/>
              </w:rPr>
            </w:pPr>
            <w:r w:rsidRPr="0092040F">
              <w:rPr>
                <w:rFonts w:eastAsia="Times New Roman" w:cs="Times New Roman"/>
                <w:i/>
                <w:sz w:val="20"/>
                <w:szCs w:val="20"/>
                <w:lang w:eastAsia="lv-LV"/>
              </w:rPr>
              <w:t>21 393</w:t>
            </w:r>
          </w:p>
        </w:tc>
        <w:tc>
          <w:tcPr>
            <w:tcW w:w="879" w:type="dxa"/>
            <w:tcBorders>
              <w:top w:val="nil"/>
              <w:left w:val="nil"/>
              <w:bottom w:val="single" w:sz="4" w:space="0" w:color="auto"/>
              <w:right w:val="single" w:sz="4" w:space="0" w:color="auto"/>
            </w:tcBorders>
            <w:shd w:val="clear" w:color="auto" w:fill="auto"/>
            <w:noWrap/>
            <w:vAlign w:val="bottom"/>
            <w:hideMark/>
          </w:tcPr>
          <w:p w:rsidR="006247F6" w:rsidRPr="0092040F" w:rsidRDefault="006247F6" w:rsidP="005C7D14">
            <w:pPr>
              <w:spacing w:after="0"/>
              <w:ind w:firstLine="0"/>
              <w:jc w:val="center"/>
              <w:rPr>
                <w:rFonts w:eastAsia="Times New Roman" w:cs="Times New Roman"/>
                <w:i/>
                <w:sz w:val="20"/>
                <w:szCs w:val="20"/>
                <w:lang w:eastAsia="lv-LV"/>
              </w:rPr>
            </w:pPr>
            <w:r>
              <w:rPr>
                <w:rFonts w:eastAsia="Times New Roman" w:cs="Times New Roman"/>
                <w:i/>
                <w:sz w:val="20"/>
                <w:szCs w:val="20"/>
                <w:lang w:eastAsia="lv-LV"/>
              </w:rPr>
              <w:t>12,5</w:t>
            </w:r>
            <w:r w:rsidRPr="0092040F">
              <w:rPr>
                <w:rFonts w:eastAsia="Times New Roman" w:cs="Times New Roman"/>
                <w:i/>
                <w:sz w:val="20"/>
                <w:szCs w:val="20"/>
                <w:lang w:eastAsia="lv-LV"/>
              </w:rPr>
              <w:t> </w:t>
            </w:r>
          </w:p>
        </w:tc>
        <w:tc>
          <w:tcPr>
            <w:tcW w:w="879" w:type="dxa"/>
            <w:tcBorders>
              <w:top w:val="nil"/>
              <w:left w:val="nil"/>
              <w:bottom w:val="single" w:sz="4" w:space="0" w:color="auto"/>
              <w:right w:val="single" w:sz="4" w:space="0" w:color="auto"/>
            </w:tcBorders>
            <w:shd w:val="clear" w:color="auto" w:fill="auto"/>
            <w:noWrap/>
            <w:vAlign w:val="bottom"/>
            <w:hideMark/>
          </w:tcPr>
          <w:p w:rsidR="006247F6" w:rsidRPr="0092040F" w:rsidRDefault="006247F6" w:rsidP="005C7D14">
            <w:pPr>
              <w:spacing w:after="0"/>
              <w:ind w:firstLine="0"/>
              <w:jc w:val="center"/>
              <w:rPr>
                <w:rFonts w:eastAsia="Times New Roman" w:cs="Times New Roman"/>
                <w:i/>
                <w:sz w:val="20"/>
                <w:szCs w:val="20"/>
                <w:lang w:eastAsia="lv-LV"/>
              </w:rPr>
            </w:pPr>
            <w:r w:rsidRPr="0092040F">
              <w:rPr>
                <w:rFonts w:eastAsia="Times New Roman" w:cs="Times New Roman"/>
                <w:i/>
                <w:sz w:val="20"/>
                <w:szCs w:val="20"/>
                <w:lang w:eastAsia="lv-LV"/>
              </w:rPr>
              <w:t>99,3</w:t>
            </w:r>
          </w:p>
        </w:tc>
        <w:tc>
          <w:tcPr>
            <w:tcW w:w="879" w:type="dxa"/>
            <w:tcBorders>
              <w:top w:val="nil"/>
              <w:left w:val="nil"/>
              <w:bottom w:val="single" w:sz="4" w:space="0" w:color="auto"/>
              <w:right w:val="single" w:sz="4" w:space="0" w:color="auto"/>
            </w:tcBorders>
            <w:shd w:val="clear" w:color="auto" w:fill="auto"/>
            <w:noWrap/>
            <w:vAlign w:val="bottom"/>
            <w:hideMark/>
          </w:tcPr>
          <w:p w:rsidR="006247F6" w:rsidRPr="0092040F" w:rsidRDefault="006247F6" w:rsidP="005C7D14">
            <w:pPr>
              <w:spacing w:after="0"/>
              <w:ind w:firstLine="0"/>
              <w:jc w:val="center"/>
              <w:rPr>
                <w:rFonts w:eastAsia="Times New Roman" w:cs="Times New Roman"/>
                <w:i/>
                <w:sz w:val="20"/>
                <w:szCs w:val="20"/>
                <w:lang w:eastAsia="lv-LV"/>
              </w:rPr>
            </w:pPr>
            <w:r w:rsidRPr="0092040F">
              <w:rPr>
                <w:rFonts w:eastAsia="Times New Roman" w:cs="Times New Roman"/>
                <w:i/>
                <w:sz w:val="20"/>
                <w:szCs w:val="20"/>
                <w:lang w:eastAsia="lv-LV"/>
              </w:rPr>
              <w:t>2,6</w:t>
            </w:r>
          </w:p>
        </w:tc>
      </w:tr>
      <w:tr w:rsidR="006247F6" w:rsidRPr="0092040F" w:rsidTr="000C2E3B">
        <w:trPr>
          <w:trHeight w:val="264"/>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6247F6" w:rsidRPr="0092040F" w:rsidRDefault="006247F6" w:rsidP="005C7D14">
            <w:pPr>
              <w:pStyle w:val="ListParagraph"/>
              <w:numPr>
                <w:ilvl w:val="1"/>
                <w:numId w:val="15"/>
              </w:numPr>
              <w:spacing w:after="0"/>
              <w:jc w:val="left"/>
              <w:rPr>
                <w:rFonts w:eastAsia="Times New Roman" w:cs="Times New Roman"/>
                <w:b/>
                <w:sz w:val="20"/>
                <w:szCs w:val="20"/>
                <w:lang w:eastAsia="lv-LV"/>
              </w:rPr>
            </w:pPr>
            <w:r w:rsidRPr="0092040F">
              <w:rPr>
                <w:rFonts w:eastAsia="Times New Roman" w:cs="Times New Roman"/>
                <w:b/>
                <w:sz w:val="20"/>
                <w:szCs w:val="20"/>
                <w:lang w:eastAsia="lv-LV"/>
              </w:rPr>
              <w:t>Kapitālie izdevumi</w:t>
            </w:r>
          </w:p>
        </w:tc>
        <w:tc>
          <w:tcPr>
            <w:tcW w:w="1134" w:type="dxa"/>
            <w:tcBorders>
              <w:top w:val="nil"/>
              <w:left w:val="nil"/>
              <w:bottom w:val="single" w:sz="4" w:space="0" w:color="auto"/>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b/>
                <w:sz w:val="20"/>
                <w:szCs w:val="20"/>
                <w:lang w:eastAsia="lv-LV"/>
              </w:rPr>
            </w:pPr>
            <w:r w:rsidRPr="0092040F">
              <w:rPr>
                <w:rFonts w:eastAsia="Times New Roman" w:cs="Times New Roman"/>
                <w:b/>
                <w:sz w:val="20"/>
                <w:szCs w:val="20"/>
                <w:lang w:eastAsia="lv-LV"/>
              </w:rPr>
              <w:t>52 542</w:t>
            </w:r>
          </w:p>
        </w:tc>
        <w:tc>
          <w:tcPr>
            <w:tcW w:w="1134" w:type="dxa"/>
            <w:tcBorders>
              <w:top w:val="nil"/>
              <w:left w:val="nil"/>
              <w:bottom w:val="single" w:sz="4" w:space="0" w:color="auto"/>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b/>
                <w:sz w:val="20"/>
                <w:szCs w:val="20"/>
                <w:lang w:eastAsia="lv-LV"/>
              </w:rPr>
            </w:pPr>
            <w:r w:rsidRPr="0092040F">
              <w:rPr>
                <w:rFonts w:eastAsia="Times New Roman" w:cs="Times New Roman"/>
                <w:b/>
                <w:sz w:val="20"/>
                <w:szCs w:val="20"/>
                <w:lang w:eastAsia="lv-LV"/>
              </w:rPr>
              <w:t>67 798</w:t>
            </w:r>
          </w:p>
        </w:tc>
        <w:tc>
          <w:tcPr>
            <w:tcW w:w="1134" w:type="dxa"/>
            <w:tcBorders>
              <w:top w:val="nil"/>
              <w:left w:val="nil"/>
              <w:bottom w:val="single" w:sz="4" w:space="0" w:color="auto"/>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b/>
                <w:sz w:val="20"/>
                <w:szCs w:val="20"/>
                <w:lang w:eastAsia="lv-LV"/>
              </w:rPr>
            </w:pPr>
            <w:r w:rsidRPr="0092040F">
              <w:rPr>
                <w:rFonts w:eastAsia="Times New Roman" w:cs="Times New Roman"/>
                <w:b/>
                <w:sz w:val="20"/>
                <w:szCs w:val="20"/>
                <w:lang w:eastAsia="lv-LV"/>
              </w:rPr>
              <w:t>64 200</w:t>
            </w:r>
          </w:p>
        </w:tc>
        <w:tc>
          <w:tcPr>
            <w:tcW w:w="1083" w:type="dxa"/>
            <w:tcBorders>
              <w:top w:val="nil"/>
              <w:left w:val="nil"/>
              <w:bottom w:val="single" w:sz="4" w:space="0" w:color="auto"/>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b/>
                <w:sz w:val="20"/>
                <w:szCs w:val="20"/>
                <w:lang w:eastAsia="lv-LV"/>
              </w:rPr>
            </w:pPr>
            <w:r w:rsidRPr="0092040F">
              <w:rPr>
                <w:rFonts w:eastAsia="Times New Roman" w:cs="Times New Roman"/>
                <w:b/>
                <w:sz w:val="20"/>
                <w:szCs w:val="20"/>
                <w:lang w:eastAsia="lv-LV"/>
              </w:rPr>
              <w:t>421 586</w:t>
            </w:r>
          </w:p>
        </w:tc>
        <w:tc>
          <w:tcPr>
            <w:tcW w:w="879" w:type="dxa"/>
            <w:tcBorders>
              <w:top w:val="nil"/>
              <w:left w:val="nil"/>
              <w:bottom w:val="single" w:sz="4" w:space="0" w:color="auto"/>
              <w:right w:val="single" w:sz="4" w:space="0" w:color="auto"/>
            </w:tcBorders>
            <w:shd w:val="clear" w:color="auto" w:fill="auto"/>
            <w:noWrap/>
            <w:vAlign w:val="bottom"/>
            <w:hideMark/>
          </w:tcPr>
          <w:p w:rsidR="006247F6" w:rsidRPr="0092040F" w:rsidRDefault="006247F6" w:rsidP="005C7D14">
            <w:pPr>
              <w:spacing w:after="0"/>
              <w:ind w:firstLine="0"/>
              <w:jc w:val="center"/>
              <w:rPr>
                <w:rFonts w:eastAsia="Times New Roman" w:cs="Times New Roman"/>
                <w:b/>
                <w:sz w:val="20"/>
                <w:szCs w:val="20"/>
                <w:lang w:eastAsia="lv-LV"/>
              </w:rPr>
            </w:pPr>
            <w:r w:rsidRPr="0092040F">
              <w:rPr>
                <w:rFonts w:eastAsia="Times New Roman" w:cs="Times New Roman"/>
                <w:b/>
                <w:sz w:val="20"/>
                <w:szCs w:val="20"/>
                <w:lang w:eastAsia="lv-LV"/>
              </w:rPr>
              <w:t>122,2</w:t>
            </w:r>
          </w:p>
        </w:tc>
        <w:tc>
          <w:tcPr>
            <w:tcW w:w="879" w:type="dxa"/>
            <w:tcBorders>
              <w:top w:val="nil"/>
              <w:left w:val="nil"/>
              <w:bottom w:val="single" w:sz="4" w:space="0" w:color="auto"/>
              <w:right w:val="single" w:sz="4" w:space="0" w:color="auto"/>
            </w:tcBorders>
            <w:shd w:val="clear" w:color="auto" w:fill="auto"/>
            <w:noWrap/>
            <w:vAlign w:val="bottom"/>
            <w:hideMark/>
          </w:tcPr>
          <w:p w:rsidR="006247F6" w:rsidRPr="0092040F" w:rsidRDefault="006247F6" w:rsidP="005C7D14">
            <w:pPr>
              <w:spacing w:after="0"/>
              <w:ind w:firstLine="0"/>
              <w:jc w:val="center"/>
              <w:rPr>
                <w:rFonts w:eastAsia="Times New Roman" w:cs="Times New Roman"/>
                <w:b/>
                <w:sz w:val="20"/>
                <w:szCs w:val="20"/>
                <w:lang w:eastAsia="lv-LV"/>
              </w:rPr>
            </w:pPr>
            <w:r w:rsidRPr="0092040F">
              <w:rPr>
                <w:rFonts w:eastAsia="Times New Roman" w:cs="Times New Roman"/>
                <w:b/>
                <w:sz w:val="20"/>
                <w:szCs w:val="20"/>
                <w:lang w:eastAsia="lv-LV"/>
              </w:rPr>
              <w:t>94,7</w:t>
            </w:r>
          </w:p>
        </w:tc>
        <w:tc>
          <w:tcPr>
            <w:tcW w:w="879" w:type="dxa"/>
            <w:tcBorders>
              <w:top w:val="nil"/>
              <w:left w:val="nil"/>
              <w:bottom w:val="single" w:sz="4" w:space="0" w:color="auto"/>
              <w:right w:val="single" w:sz="4" w:space="0" w:color="auto"/>
            </w:tcBorders>
            <w:shd w:val="clear" w:color="auto" w:fill="auto"/>
            <w:noWrap/>
            <w:vAlign w:val="bottom"/>
            <w:hideMark/>
          </w:tcPr>
          <w:p w:rsidR="006247F6" w:rsidRPr="0092040F" w:rsidRDefault="006247F6" w:rsidP="005C7D14">
            <w:pPr>
              <w:spacing w:after="0"/>
              <w:ind w:firstLine="0"/>
              <w:jc w:val="center"/>
              <w:rPr>
                <w:rFonts w:eastAsia="Times New Roman" w:cs="Times New Roman"/>
                <w:b/>
                <w:sz w:val="20"/>
                <w:szCs w:val="20"/>
                <w:lang w:eastAsia="lv-LV"/>
              </w:rPr>
            </w:pPr>
            <w:r w:rsidRPr="0092040F">
              <w:rPr>
                <w:rFonts w:eastAsia="Times New Roman" w:cs="Times New Roman"/>
                <w:b/>
                <w:sz w:val="20"/>
                <w:szCs w:val="20"/>
                <w:lang w:eastAsia="lv-LV"/>
              </w:rPr>
              <w:t>15,2</w:t>
            </w:r>
          </w:p>
        </w:tc>
      </w:tr>
      <w:tr w:rsidR="006247F6" w:rsidRPr="009E332A" w:rsidTr="000C2E3B">
        <w:trPr>
          <w:trHeight w:val="333"/>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6247F6" w:rsidRPr="009E332A" w:rsidRDefault="006247F6" w:rsidP="005C7D14">
            <w:pPr>
              <w:spacing w:after="0"/>
              <w:ind w:firstLine="0"/>
              <w:jc w:val="left"/>
              <w:rPr>
                <w:rFonts w:eastAsia="Times New Roman" w:cs="Times New Roman"/>
                <w:b/>
                <w:sz w:val="20"/>
                <w:szCs w:val="20"/>
                <w:lang w:eastAsia="lv-LV"/>
              </w:rPr>
            </w:pPr>
            <w:r w:rsidRPr="009E332A">
              <w:rPr>
                <w:rFonts w:eastAsia="Times New Roman" w:cs="Times New Roman"/>
                <w:b/>
                <w:sz w:val="20"/>
                <w:szCs w:val="20"/>
                <w:lang w:eastAsia="lv-LV"/>
              </w:rPr>
              <w:t>Pamatkapitāla veidošana</w:t>
            </w:r>
          </w:p>
        </w:tc>
        <w:tc>
          <w:tcPr>
            <w:tcW w:w="1134" w:type="dxa"/>
            <w:tcBorders>
              <w:top w:val="nil"/>
              <w:left w:val="nil"/>
              <w:bottom w:val="single" w:sz="4" w:space="0" w:color="auto"/>
              <w:right w:val="single" w:sz="4" w:space="0" w:color="auto"/>
            </w:tcBorders>
            <w:shd w:val="clear" w:color="auto" w:fill="auto"/>
            <w:noWrap/>
            <w:vAlign w:val="bottom"/>
            <w:hideMark/>
          </w:tcPr>
          <w:p w:rsidR="006247F6" w:rsidRPr="009E332A" w:rsidRDefault="006247F6" w:rsidP="005C7D14">
            <w:pPr>
              <w:spacing w:after="0"/>
              <w:ind w:firstLine="0"/>
              <w:jc w:val="right"/>
              <w:rPr>
                <w:rFonts w:eastAsia="Times New Roman" w:cs="Times New Roman"/>
                <w:b/>
                <w:sz w:val="20"/>
                <w:szCs w:val="20"/>
                <w:lang w:eastAsia="lv-LV"/>
              </w:rPr>
            </w:pPr>
            <w:r w:rsidRPr="009E332A">
              <w:rPr>
                <w:rFonts w:eastAsia="Times New Roman" w:cs="Times New Roman"/>
                <w:b/>
                <w:sz w:val="20"/>
                <w:szCs w:val="20"/>
                <w:lang w:eastAsia="lv-LV"/>
              </w:rPr>
              <w:t>28 932</w:t>
            </w:r>
          </w:p>
        </w:tc>
        <w:tc>
          <w:tcPr>
            <w:tcW w:w="1134" w:type="dxa"/>
            <w:tcBorders>
              <w:top w:val="nil"/>
              <w:left w:val="nil"/>
              <w:bottom w:val="single" w:sz="4" w:space="0" w:color="auto"/>
              <w:right w:val="single" w:sz="4" w:space="0" w:color="auto"/>
            </w:tcBorders>
            <w:shd w:val="clear" w:color="auto" w:fill="auto"/>
            <w:noWrap/>
            <w:vAlign w:val="bottom"/>
            <w:hideMark/>
          </w:tcPr>
          <w:p w:rsidR="006247F6" w:rsidRPr="009E332A" w:rsidRDefault="006247F6" w:rsidP="005C7D14">
            <w:pPr>
              <w:spacing w:after="0"/>
              <w:ind w:firstLine="0"/>
              <w:jc w:val="right"/>
              <w:rPr>
                <w:rFonts w:eastAsia="Times New Roman" w:cs="Times New Roman"/>
                <w:b/>
                <w:sz w:val="20"/>
                <w:szCs w:val="20"/>
                <w:lang w:eastAsia="lv-LV"/>
              </w:rPr>
            </w:pPr>
            <w:r w:rsidRPr="009E332A">
              <w:rPr>
                <w:rFonts w:eastAsia="Times New Roman" w:cs="Times New Roman"/>
                <w:b/>
                <w:sz w:val="20"/>
                <w:szCs w:val="20"/>
                <w:lang w:eastAsia="lv-LV"/>
              </w:rPr>
              <w:t>33 941</w:t>
            </w:r>
          </w:p>
        </w:tc>
        <w:tc>
          <w:tcPr>
            <w:tcW w:w="1134" w:type="dxa"/>
            <w:tcBorders>
              <w:top w:val="nil"/>
              <w:left w:val="nil"/>
              <w:bottom w:val="single" w:sz="4" w:space="0" w:color="auto"/>
              <w:right w:val="single" w:sz="4" w:space="0" w:color="auto"/>
            </w:tcBorders>
            <w:shd w:val="clear" w:color="auto" w:fill="auto"/>
            <w:noWrap/>
            <w:vAlign w:val="bottom"/>
            <w:hideMark/>
          </w:tcPr>
          <w:p w:rsidR="006247F6" w:rsidRPr="009E332A" w:rsidRDefault="006247F6" w:rsidP="005C7D14">
            <w:pPr>
              <w:spacing w:after="0"/>
              <w:ind w:firstLine="0"/>
              <w:jc w:val="right"/>
              <w:rPr>
                <w:rFonts w:eastAsia="Times New Roman" w:cs="Times New Roman"/>
                <w:b/>
                <w:sz w:val="20"/>
                <w:szCs w:val="20"/>
                <w:lang w:eastAsia="lv-LV"/>
              </w:rPr>
            </w:pPr>
            <w:r w:rsidRPr="009E332A">
              <w:rPr>
                <w:rFonts w:eastAsia="Times New Roman" w:cs="Times New Roman"/>
                <w:b/>
                <w:sz w:val="20"/>
                <w:szCs w:val="20"/>
                <w:lang w:eastAsia="lv-LV"/>
              </w:rPr>
              <w:t>31 240</w:t>
            </w:r>
          </w:p>
        </w:tc>
        <w:tc>
          <w:tcPr>
            <w:tcW w:w="1083" w:type="dxa"/>
            <w:tcBorders>
              <w:top w:val="nil"/>
              <w:left w:val="nil"/>
              <w:bottom w:val="single" w:sz="4" w:space="0" w:color="auto"/>
              <w:right w:val="single" w:sz="4" w:space="0" w:color="auto"/>
            </w:tcBorders>
            <w:shd w:val="clear" w:color="auto" w:fill="auto"/>
            <w:noWrap/>
            <w:vAlign w:val="bottom"/>
            <w:hideMark/>
          </w:tcPr>
          <w:p w:rsidR="006247F6" w:rsidRPr="009E332A" w:rsidRDefault="006247F6" w:rsidP="005C7D14">
            <w:pPr>
              <w:spacing w:after="0"/>
              <w:ind w:firstLine="0"/>
              <w:jc w:val="right"/>
              <w:rPr>
                <w:rFonts w:eastAsia="Times New Roman" w:cs="Times New Roman"/>
                <w:b/>
                <w:sz w:val="20"/>
                <w:szCs w:val="20"/>
                <w:lang w:eastAsia="lv-LV"/>
              </w:rPr>
            </w:pPr>
            <w:r w:rsidRPr="009E332A">
              <w:rPr>
                <w:rFonts w:eastAsia="Times New Roman" w:cs="Times New Roman"/>
                <w:b/>
                <w:sz w:val="20"/>
                <w:szCs w:val="20"/>
                <w:lang w:eastAsia="lv-LV"/>
              </w:rPr>
              <w:t>302 084</w:t>
            </w:r>
          </w:p>
        </w:tc>
        <w:tc>
          <w:tcPr>
            <w:tcW w:w="879" w:type="dxa"/>
            <w:tcBorders>
              <w:top w:val="nil"/>
              <w:left w:val="nil"/>
              <w:bottom w:val="single" w:sz="4" w:space="0" w:color="auto"/>
              <w:right w:val="single" w:sz="4" w:space="0" w:color="auto"/>
            </w:tcBorders>
            <w:shd w:val="clear" w:color="auto" w:fill="auto"/>
            <w:noWrap/>
            <w:vAlign w:val="bottom"/>
            <w:hideMark/>
          </w:tcPr>
          <w:p w:rsidR="006247F6" w:rsidRPr="009E332A" w:rsidRDefault="006247F6" w:rsidP="005C7D14">
            <w:pPr>
              <w:spacing w:after="0"/>
              <w:ind w:firstLine="0"/>
              <w:jc w:val="center"/>
              <w:rPr>
                <w:rFonts w:eastAsia="Times New Roman" w:cs="Times New Roman"/>
                <w:b/>
                <w:sz w:val="20"/>
                <w:szCs w:val="20"/>
                <w:lang w:eastAsia="lv-LV"/>
              </w:rPr>
            </w:pPr>
            <w:r w:rsidRPr="009E332A">
              <w:rPr>
                <w:rFonts w:eastAsia="Times New Roman" w:cs="Times New Roman"/>
                <w:b/>
                <w:sz w:val="20"/>
                <w:szCs w:val="20"/>
                <w:lang w:eastAsia="lv-LV"/>
              </w:rPr>
              <w:t>108,0</w:t>
            </w:r>
          </w:p>
        </w:tc>
        <w:tc>
          <w:tcPr>
            <w:tcW w:w="879" w:type="dxa"/>
            <w:tcBorders>
              <w:top w:val="nil"/>
              <w:left w:val="nil"/>
              <w:bottom w:val="single" w:sz="4" w:space="0" w:color="auto"/>
              <w:right w:val="single" w:sz="4" w:space="0" w:color="auto"/>
            </w:tcBorders>
            <w:shd w:val="clear" w:color="auto" w:fill="auto"/>
            <w:noWrap/>
            <w:vAlign w:val="bottom"/>
            <w:hideMark/>
          </w:tcPr>
          <w:p w:rsidR="006247F6" w:rsidRPr="009E332A" w:rsidRDefault="006247F6" w:rsidP="005C7D14">
            <w:pPr>
              <w:spacing w:after="0"/>
              <w:ind w:firstLine="0"/>
              <w:jc w:val="center"/>
              <w:rPr>
                <w:rFonts w:eastAsia="Times New Roman" w:cs="Times New Roman"/>
                <w:b/>
                <w:sz w:val="20"/>
                <w:szCs w:val="20"/>
                <w:lang w:eastAsia="lv-LV"/>
              </w:rPr>
            </w:pPr>
            <w:r w:rsidRPr="009E332A">
              <w:rPr>
                <w:rFonts w:eastAsia="Times New Roman" w:cs="Times New Roman"/>
                <w:b/>
                <w:sz w:val="20"/>
                <w:szCs w:val="20"/>
                <w:lang w:eastAsia="lv-LV"/>
              </w:rPr>
              <w:t>92,0</w:t>
            </w:r>
          </w:p>
        </w:tc>
        <w:tc>
          <w:tcPr>
            <w:tcW w:w="879" w:type="dxa"/>
            <w:tcBorders>
              <w:top w:val="nil"/>
              <w:left w:val="nil"/>
              <w:bottom w:val="single" w:sz="4" w:space="0" w:color="auto"/>
              <w:right w:val="single" w:sz="4" w:space="0" w:color="auto"/>
            </w:tcBorders>
            <w:shd w:val="clear" w:color="auto" w:fill="auto"/>
            <w:noWrap/>
            <w:vAlign w:val="bottom"/>
            <w:hideMark/>
          </w:tcPr>
          <w:p w:rsidR="006247F6" w:rsidRPr="009E332A" w:rsidRDefault="006247F6" w:rsidP="005C7D14">
            <w:pPr>
              <w:spacing w:after="0"/>
              <w:ind w:firstLine="0"/>
              <w:jc w:val="center"/>
              <w:rPr>
                <w:rFonts w:eastAsia="Times New Roman" w:cs="Times New Roman"/>
                <w:b/>
                <w:sz w:val="20"/>
                <w:szCs w:val="20"/>
                <w:lang w:eastAsia="lv-LV"/>
              </w:rPr>
            </w:pPr>
            <w:r w:rsidRPr="009E332A">
              <w:rPr>
                <w:rFonts w:eastAsia="Times New Roman" w:cs="Times New Roman"/>
                <w:b/>
                <w:sz w:val="20"/>
                <w:szCs w:val="20"/>
                <w:lang w:eastAsia="lv-LV"/>
              </w:rPr>
              <w:t>10,3</w:t>
            </w:r>
          </w:p>
        </w:tc>
      </w:tr>
      <w:tr w:rsidR="006247F6" w:rsidRPr="009E332A" w:rsidTr="000C2E3B">
        <w:trPr>
          <w:trHeight w:val="422"/>
        </w:trPr>
        <w:tc>
          <w:tcPr>
            <w:tcW w:w="2269" w:type="dxa"/>
            <w:tcBorders>
              <w:top w:val="single" w:sz="4" w:space="0" w:color="auto"/>
              <w:left w:val="single" w:sz="4" w:space="0" w:color="auto"/>
              <w:right w:val="single" w:sz="4" w:space="0" w:color="auto"/>
            </w:tcBorders>
            <w:shd w:val="clear" w:color="auto" w:fill="auto"/>
            <w:vAlign w:val="bottom"/>
            <w:hideMark/>
          </w:tcPr>
          <w:p w:rsidR="006247F6" w:rsidRPr="009E332A" w:rsidRDefault="006247F6" w:rsidP="005C7D14">
            <w:pPr>
              <w:spacing w:after="0"/>
              <w:ind w:firstLine="0"/>
              <w:jc w:val="left"/>
              <w:rPr>
                <w:rFonts w:eastAsia="Times New Roman" w:cs="Times New Roman"/>
                <w:b/>
                <w:sz w:val="20"/>
                <w:szCs w:val="20"/>
                <w:lang w:eastAsia="lv-LV"/>
              </w:rPr>
            </w:pPr>
            <w:r w:rsidRPr="009E332A">
              <w:rPr>
                <w:rFonts w:eastAsia="Times New Roman" w:cs="Times New Roman"/>
                <w:b/>
                <w:sz w:val="20"/>
                <w:szCs w:val="20"/>
                <w:lang w:eastAsia="lv-LV"/>
              </w:rPr>
              <w:t xml:space="preserve">Kapitālo izdevumu </w:t>
            </w:r>
            <w:proofErr w:type="spellStart"/>
            <w:r w:rsidRPr="009E332A">
              <w:rPr>
                <w:rFonts w:eastAsia="Times New Roman" w:cs="Times New Roman"/>
                <w:b/>
                <w:sz w:val="20"/>
                <w:szCs w:val="20"/>
                <w:lang w:eastAsia="lv-LV"/>
              </w:rPr>
              <w:t>transferti</w:t>
            </w:r>
            <w:proofErr w:type="spellEnd"/>
          </w:p>
        </w:tc>
        <w:tc>
          <w:tcPr>
            <w:tcW w:w="1134" w:type="dxa"/>
            <w:tcBorders>
              <w:top w:val="single" w:sz="4" w:space="0" w:color="auto"/>
              <w:left w:val="nil"/>
              <w:right w:val="single" w:sz="4" w:space="0" w:color="auto"/>
            </w:tcBorders>
            <w:shd w:val="clear" w:color="auto" w:fill="auto"/>
            <w:noWrap/>
            <w:vAlign w:val="bottom"/>
            <w:hideMark/>
          </w:tcPr>
          <w:p w:rsidR="006247F6" w:rsidRPr="009E332A" w:rsidRDefault="006247F6" w:rsidP="005C7D14">
            <w:pPr>
              <w:spacing w:after="0"/>
              <w:ind w:firstLine="0"/>
              <w:jc w:val="right"/>
              <w:rPr>
                <w:rFonts w:eastAsia="Times New Roman" w:cs="Times New Roman"/>
                <w:b/>
                <w:sz w:val="20"/>
                <w:szCs w:val="20"/>
                <w:lang w:eastAsia="lv-LV"/>
              </w:rPr>
            </w:pPr>
            <w:r w:rsidRPr="009E332A">
              <w:rPr>
                <w:rFonts w:eastAsia="Times New Roman" w:cs="Times New Roman"/>
                <w:b/>
                <w:sz w:val="20"/>
                <w:szCs w:val="20"/>
                <w:lang w:eastAsia="lv-LV"/>
              </w:rPr>
              <w:t>23 610</w:t>
            </w:r>
          </w:p>
        </w:tc>
        <w:tc>
          <w:tcPr>
            <w:tcW w:w="1134" w:type="dxa"/>
            <w:tcBorders>
              <w:top w:val="single" w:sz="4" w:space="0" w:color="auto"/>
              <w:left w:val="nil"/>
              <w:right w:val="single" w:sz="4" w:space="0" w:color="auto"/>
            </w:tcBorders>
            <w:shd w:val="clear" w:color="auto" w:fill="auto"/>
            <w:noWrap/>
            <w:vAlign w:val="bottom"/>
            <w:hideMark/>
          </w:tcPr>
          <w:p w:rsidR="006247F6" w:rsidRPr="009E332A" w:rsidRDefault="006247F6" w:rsidP="005C7D14">
            <w:pPr>
              <w:spacing w:after="0"/>
              <w:ind w:firstLine="0"/>
              <w:jc w:val="right"/>
              <w:rPr>
                <w:rFonts w:eastAsia="Times New Roman" w:cs="Times New Roman"/>
                <w:b/>
                <w:sz w:val="20"/>
                <w:szCs w:val="20"/>
                <w:lang w:eastAsia="lv-LV"/>
              </w:rPr>
            </w:pPr>
            <w:r w:rsidRPr="009E332A">
              <w:rPr>
                <w:rFonts w:eastAsia="Times New Roman" w:cs="Times New Roman"/>
                <w:b/>
                <w:sz w:val="20"/>
                <w:szCs w:val="20"/>
                <w:lang w:eastAsia="lv-LV"/>
              </w:rPr>
              <w:t>33 857</w:t>
            </w:r>
          </w:p>
        </w:tc>
        <w:tc>
          <w:tcPr>
            <w:tcW w:w="1134" w:type="dxa"/>
            <w:tcBorders>
              <w:top w:val="single" w:sz="4" w:space="0" w:color="auto"/>
              <w:left w:val="nil"/>
              <w:right w:val="single" w:sz="4" w:space="0" w:color="auto"/>
            </w:tcBorders>
            <w:shd w:val="clear" w:color="auto" w:fill="auto"/>
            <w:noWrap/>
            <w:vAlign w:val="bottom"/>
            <w:hideMark/>
          </w:tcPr>
          <w:p w:rsidR="006247F6" w:rsidRPr="009E332A" w:rsidRDefault="006247F6" w:rsidP="005C7D14">
            <w:pPr>
              <w:spacing w:after="0"/>
              <w:ind w:firstLine="0"/>
              <w:jc w:val="right"/>
              <w:rPr>
                <w:rFonts w:eastAsia="Times New Roman" w:cs="Times New Roman"/>
                <w:b/>
                <w:sz w:val="20"/>
                <w:szCs w:val="20"/>
                <w:lang w:eastAsia="lv-LV"/>
              </w:rPr>
            </w:pPr>
            <w:r w:rsidRPr="009E332A">
              <w:rPr>
                <w:rFonts w:eastAsia="Times New Roman" w:cs="Times New Roman"/>
                <w:b/>
                <w:sz w:val="20"/>
                <w:szCs w:val="20"/>
                <w:lang w:eastAsia="lv-LV"/>
              </w:rPr>
              <w:t>32 960</w:t>
            </w:r>
          </w:p>
        </w:tc>
        <w:tc>
          <w:tcPr>
            <w:tcW w:w="1083" w:type="dxa"/>
            <w:tcBorders>
              <w:top w:val="single" w:sz="4" w:space="0" w:color="auto"/>
              <w:left w:val="nil"/>
              <w:right w:val="single" w:sz="4" w:space="0" w:color="auto"/>
            </w:tcBorders>
            <w:shd w:val="clear" w:color="auto" w:fill="auto"/>
            <w:noWrap/>
            <w:vAlign w:val="bottom"/>
            <w:hideMark/>
          </w:tcPr>
          <w:p w:rsidR="006247F6" w:rsidRPr="009E332A" w:rsidRDefault="006247F6" w:rsidP="005C7D14">
            <w:pPr>
              <w:spacing w:after="0"/>
              <w:ind w:firstLine="0"/>
              <w:jc w:val="right"/>
              <w:rPr>
                <w:rFonts w:eastAsia="Times New Roman" w:cs="Times New Roman"/>
                <w:b/>
                <w:sz w:val="20"/>
                <w:szCs w:val="20"/>
                <w:lang w:eastAsia="lv-LV"/>
              </w:rPr>
            </w:pPr>
            <w:r w:rsidRPr="009E332A">
              <w:rPr>
                <w:rFonts w:eastAsia="Times New Roman" w:cs="Times New Roman"/>
                <w:b/>
                <w:sz w:val="20"/>
                <w:szCs w:val="20"/>
                <w:lang w:eastAsia="lv-LV"/>
              </w:rPr>
              <w:t>119 501</w:t>
            </w:r>
          </w:p>
        </w:tc>
        <w:tc>
          <w:tcPr>
            <w:tcW w:w="879" w:type="dxa"/>
            <w:tcBorders>
              <w:top w:val="single" w:sz="4" w:space="0" w:color="auto"/>
              <w:left w:val="nil"/>
              <w:right w:val="single" w:sz="4" w:space="0" w:color="auto"/>
            </w:tcBorders>
            <w:shd w:val="clear" w:color="auto" w:fill="auto"/>
            <w:noWrap/>
            <w:vAlign w:val="bottom"/>
            <w:hideMark/>
          </w:tcPr>
          <w:p w:rsidR="006247F6" w:rsidRPr="009E332A" w:rsidRDefault="006247F6" w:rsidP="005C7D14">
            <w:pPr>
              <w:spacing w:after="0"/>
              <w:ind w:firstLine="0"/>
              <w:jc w:val="center"/>
              <w:rPr>
                <w:rFonts w:eastAsia="Times New Roman" w:cs="Times New Roman"/>
                <w:b/>
                <w:sz w:val="20"/>
                <w:szCs w:val="20"/>
                <w:lang w:eastAsia="lv-LV"/>
              </w:rPr>
            </w:pPr>
            <w:r w:rsidRPr="009E332A">
              <w:rPr>
                <w:rFonts w:eastAsia="Times New Roman" w:cs="Times New Roman"/>
                <w:b/>
                <w:sz w:val="20"/>
                <w:szCs w:val="20"/>
                <w:lang w:eastAsia="lv-LV"/>
              </w:rPr>
              <w:t>139,6</w:t>
            </w:r>
          </w:p>
        </w:tc>
        <w:tc>
          <w:tcPr>
            <w:tcW w:w="879" w:type="dxa"/>
            <w:tcBorders>
              <w:top w:val="single" w:sz="4" w:space="0" w:color="auto"/>
              <w:left w:val="nil"/>
              <w:right w:val="single" w:sz="4" w:space="0" w:color="auto"/>
            </w:tcBorders>
            <w:shd w:val="clear" w:color="auto" w:fill="auto"/>
            <w:noWrap/>
            <w:vAlign w:val="bottom"/>
            <w:hideMark/>
          </w:tcPr>
          <w:p w:rsidR="006247F6" w:rsidRPr="009E332A" w:rsidRDefault="006247F6" w:rsidP="005C7D14">
            <w:pPr>
              <w:spacing w:after="0"/>
              <w:ind w:firstLine="0"/>
              <w:jc w:val="center"/>
              <w:rPr>
                <w:rFonts w:eastAsia="Times New Roman" w:cs="Times New Roman"/>
                <w:b/>
                <w:sz w:val="20"/>
                <w:szCs w:val="20"/>
                <w:lang w:eastAsia="lv-LV"/>
              </w:rPr>
            </w:pPr>
            <w:r w:rsidRPr="009E332A">
              <w:rPr>
                <w:rFonts w:eastAsia="Times New Roman" w:cs="Times New Roman"/>
                <w:b/>
                <w:sz w:val="20"/>
                <w:szCs w:val="20"/>
                <w:lang w:eastAsia="lv-LV"/>
              </w:rPr>
              <w:t>97,4</w:t>
            </w:r>
          </w:p>
        </w:tc>
        <w:tc>
          <w:tcPr>
            <w:tcW w:w="879" w:type="dxa"/>
            <w:tcBorders>
              <w:top w:val="single" w:sz="4" w:space="0" w:color="auto"/>
              <w:left w:val="nil"/>
              <w:right w:val="single" w:sz="4" w:space="0" w:color="auto"/>
            </w:tcBorders>
            <w:shd w:val="clear" w:color="auto" w:fill="auto"/>
            <w:noWrap/>
            <w:vAlign w:val="bottom"/>
            <w:hideMark/>
          </w:tcPr>
          <w:p w:rsidR="006247F6" w:rsidRPr="009E332A" w:rsidRDefault="006247F6" w:rsidP="005C7D14">
            <w:pPr>
              <w:spacing w:after="0"/>
              <w:ind w:firstLine="0"/>
              <w:jc w:val="center"/>
              <w:rPr>
                <w:rFonts w:eastAsia="Times New Roman" w:cs="Times New Roman"/>
                <w:b/>
                <w:sz w:val="20"/>
                <w:szCs w:val="20"/>
                <w:lang w:eastAsia="lv-LV"/>
              </w:rPr>
            </w:pPr>
            <w:r w:rsidRPr="009E332A">
              <w:rPr>
                <w:rFonts w:eastAsia="Times New Roman" w:cs="Times New Roman"/>
                <w:b/>
                <w:sz w:val="20"/>
                <w:szCs w:val="20"/>
                <w:lang w:eastAsia="lv-LV"/>
              </w:rPr>
              <w:t>27,6</w:t>
            </w:r>
          </w:p>
        </w:tc>
      </w:tr>
      <w:tr w:rsidR="006247F6" w:rsidRPr="008A19B2" w:rsidTr="000C2E3B">
        <w:trPr>
          <w:trHeight w:val="528"/>
        </w:trPr>
        <w:tc>
          <w:tcPr>
            <w:tcW w:w="2269" w:type="dxa"/>
            <w:tcBorders>
              <w:left w:val="single" w:sz="4" w:space="0" w:color="auto"/>
              <w:right w:val="single" w:sz="4" w:space="0" w:color="auto"/>
            </w:tcBorders>
            <w:shd w:val="clear" w:color="auto" w:fill="auto"/>
            <w:vAlign w:val="bottom"/>
            <w:hideMark/>
          </w:tcPr>
          <w:p w:rsidR="006247F6" w:rsidRPr="008A19B2" w:rsidRDefault="006247F6" w:rsidP="005C7D14">
            <w:pPr>
              <w:spacing w:after="0"/>
              <w:ind w:firstLine="0"/>
              <w:jc w:val="left"/>
              <w:rPr>
                <w:rFonts w:eastAsia="Times New Roman" w:cs="Times New Roman"/>
                <w:sz w:val="20"/>
                <w:szCs w:val="20"/>
                <w:lang w:eastAsia="lv-LV"/>
              </w:rPr>
            </w:pPr>
            <w:r w:rsidRPr="008A19B2">
              <w:rPr>
                <w:rFonts w:eastAsia="Times New Roman" w:cs="Times New Roman"/>
                <w:sz w:val="20"/>
                <w:szCs w:val="20"/>
                <w:lang w:eastAsia="lv-LV"/>
              </w:rPr>
              <w:t xml:space="preserve">Valsts budžeta </w:t>
            </w:r>
            <w:proofErr w:type="spellStart"/>
            <w:r w:rsidRPr="008A19B2">
              <w:rPr>
                <w:rFonts w:eastAsia="Times New Roman" w:cs="Times New Roman"/>
                <w:sz w:val="20"/>
                <w:szCs w:val="20"/>
                <w:lang w:eastAsia="lv-LV"/>
              </w:rPr>
              <w:t>transferti</w:t>
            </w:r>
            <w:proofErr w:type="spellEnd"/>
            <w:r w:rsidRPr="008A19B2">
              <w:rPr>
                <w:rFonts w:eastAsia="Times New Roman" w:cs="Times New Roman"/>
                <w:sz w:val="20"/>
                <w:szCs w:val="20"/>
                <w:lang w:eastAsia="lv-LV"/>
              </w:rPr>
              <w:t xml:space="preserve"> kapitālajiem izdevumiem citiem budžetiem noteiktam mērķim</w:t>
            </w:r>
          </w:p>
        </w:tc>
        <w:tc>
          <w:tcPr>
            <w:tcW w:w="1134" w:type="dxa"/>
            <w:tcBorders>
              <w:left w:val="nil"/>
              <w:right w:val="single" w:sz="4" w:space="0" w:color="auto"/>
            </w:tcBorders>
            <w:shd w:val="clear" w:color="auto" w:fill="auto"/>
            <w:noWrap/>
            <w:vAlign w:val="bottom"/>
            <w:hideMark/>
          </w:tcPr>
          <w:p w:rsidR="006247F6" w:rsidRPr="008A19B2" w:rsidRDefault="006247F6" w:rsidP="005C7D14">
            <w:pPr>
              <w:spacing w:after="0"/>
              <w:ind w:firstLine="0"/>
              <w:jc w:val="right"/>
              <w:rPr>
                <w:rFonts w:eastAsia="Times New Roman" w:cs="Times New Roman"/>
                <w:sz w:val="20"/>
                <w:szCs w:val="20"/>
                <w:lang w:eastAsia="lv-LV"/>
              </w:rPr>
            </w:pPr>
            <w:r w:rsidRPr="008A19B2">
              <w:rPr>
                <w:rFonts w:eastAsia="Times New Roman" w:cs="Times New Roman"/>
                <w:sz w:val="20"/>
                <w:szCs w:val="20"/>
                <w:lang w:eastAsia="lv-LV"/>
              </w:rPr>
              <w:t>23 610</w:t>
            </w:r>
          </w:p>
        </w:tc>
        <w:tc>
          <w:tcPr>
            <w:tcW w:w="1134" w:type="dxa"/>
            <w:tcBorders>
              <w:left w:val="nil"/>
              <w:right w:val="single" w:sz="4" w:space="0" w:color="auto"/>
            </w:tcBorders>
            <w:shd w:val="clear" w:color="auto" w:fill="auto"/>
            <w:noWrap/>
            <w:vAlign w:val="bottom"/>
            <w:hideMark/>
          </w:tcPr>
          <w:p w:rsidR="006247F6" w:rsidRPr="008A19B2" w:rsidRDefault="006247F6" w:rsidP="005C7D14">
            <w:pPr>
              <w:spacing w:after="0"/>
              <w:ind w:firstLine="0"/>
              <w:jc w:val="right"/>
              <w:rPr>
                <w:rFonts w:eastAsia="Times New Roman" w:cs="Times New Roman"/>
                <w:sz w:val="20"/>
                <w:szCs w:val="20"/>
                <w:lang w:eastAsia="lv-LV"/>
              </w:rPr>
            </w:pPr>
            <w:r w:rsidRPr="008A19B2">
              <w:rPr>
                <w:rFonts w:eastAsia="Times New Roman" w:cs="Times New Roman"/>
                <w:sz w:val="20"/>
                <w:szCs w:val="20"/>
                <w:lang w:eastAsia="lv-LV"/>
              </w:rPr>
              <w:t>33 857</w:t>
            </w:r>
          </w:p>
        </w:tc>
        <w:tc>
          <w:tcPr>
            <w:tcW w:w="1134" w:type="dxa"/>
            <w:tcBorders>
              <w:left w:val="nil"/>
              <w:right w:val="single" w:sz="4" w:space="0" w:color="auto"/>
            </w:tcBorders>
            <w:shd w:val="clear" w:color="auto" w:fill="auto"/>
            <w:noWrap/>
            <w:vAlign w:val="bottom"/>
            <w:hideMark/>
          </w:tcPr>
          <w:p w:rsidR="006247F6" w:rsidRPr="008A19B2" w:rsidRDefault="006247F6" w:rsidP="005C7D14">
            <w:pPr>
              <w:spacing w:after="0"/>
              <w:ind w:firstLine="0"/>
              <w:jc w:val="right"/>
              <w:rPr>
                <w:rFonts w:eastAsia="Times New Roman" w:cs="Times New Roman"/>
                <w:sz w:val="20"/>
                <w:szCs w:val="20"/>
                <w:lang w:eastAsia="lv-LV"/>
              </w:rPr>
            </w:pPr>
            <w:r w:rsidRPr="008A19B2">
              <w:rPr>
                <w:rFonts w:eastAsia="Times New Roman" w:cs="Times New Roman"/>
                <w:sz w:val="20"/>
                <w:szCs w:val="20"/>
                <w:lang w:eastAsia="lv-LV"/>
              </w:rPr>
              <w:t>32 960</w:t>
            </w:r>
          </w:p>
        </w:tc>
        <w:tc>
          <w:tcPr>
            <w:tcW w:w="1083" w:type="dxa"/>
            <w:tcBorders>
              <w:left w:val="nil"/>
              <w:right w:val="single" w:sz="4" w:space="0" w:color="auto"/>
            </w:tcBorders>
            <w:shd w:val="clear" w:color="auto" w:fill="auto"/>
            <w:noWrap/>
            <w:vAlign w:val="bottom"/>
            <w:hideMark/>
          </w:tcPr>
          <w:p w:rsidR="006247F6" w:rsidRPr="008A19B2" w:rsidRDefault="006247F6" w:rsidP="005C7D14">
            <w:pPr>
              <w:spacing w:after="0"/>
              <w:ind w:firstLine="0"/>
              <w:jc w:val="right"/>
              <w:rPr>
                <w:rFonts w:eastAsia="Times New Roman" w:cs="Times New Roman"/>
                <w:sz w:val="20"/>
                <w:szCs w:val="20"/>
                <w:lang w:eastAsia="lv-LV"/>
              </w:rPr>
            </w:pPr>
            <w:r w:rsidRPr="008A19B2">
              <w:rPr>
                <w:rFonts w:eastAsia="Times New Roman" w:cs="Times New Roman"/>
                <w:sz w:val="20"/>
                <w:szCs w:val="20"/>
                <w:lang w:eastAsia="lv-LV"/>
              </w:rPr>
              <w:t>119 501</w:t>
            </w:r>
          </w:p>
        </w:tc>
        <w:tc>
          <w:tcPr>
            <w:tcW w:w="879" w:type="dxa"/>
            <w:tcBorders>
              <w:left w:val="nil"/>
              <w:right w:val="single" w:sz="4" w:space="0" w:color="auto"/>
            </w:tcBorders>
            <w:shd w:val="clear" w:color="auto" w:fill="auto"/>
            <w:noWrap/>
            <w:vAlign w:val="bottom"/>
            <w:hideMark/>
          </w:tcPr>
          <w:p w:rsidR="006247F6" w:rsidRPr="008A19B2" w:rsidRDefault="006247F6" w:rsidP="005C7D14">
            <w:pPr>
              <w:spacing w:after="0"/>
              <w:ind w:firstLine="0"/>
              <w:jc w:val="center"/>
              <w:rPr>
                <w:rFonts w:eastAsia="Times New Roman" w:cs="Times New Roman"/>
                <w:sz w:val="20"/>
                <w:szCs w:val="20"/>
                <w:lang w:eastAsia="lv-LV"/>
              </w:rPr>
            </w:pPr>
            <w:r w:rsidRPr="008A19B2">
              <w:rPr>
                <w:rFonts w:eastAsia="Times New Roman" w:cs="Times New Roman"/>
                <w:sz w:val="20"/>
                <w:szCs w:val="20"/>
                <w:lang w:eastAsia="lv-LV"/>
              </w:rPr>
              <w:t>139,6</w:t>
            </w:r>
          </w:p>
        </w:tc>
        <w:tc>
          <w:tcPr>
            <w:tcW w:w="879" w:type="dxa"/>
            <w:tcBorders>
              <w:left w:val="nil"/>
              <w:right w:val="single" w:sz="4" w:space="0" w:color="auto"/>
            </w:tcBorders>
            <w:shd w:val="clear" w:color="auto" w:fill="auto"/>
            <w:noWrap/>
            <w:vAlign w:val="bottom"/>
            <w:hideMark/>
          </w:tcPr>
          <w:p w:rsidR="006247F6" w:rsidRPr="008A19B2" w:rsidRDefault="006247F6" w:rsidP="005C7D14">
            <w:pPr>
              <w:spacing w:after="0"/>
              <w:ind w:firstLine="0"/>
              <w:jc w:val="center"/>
              <w:rPr>
                <w:rFonts w:eastAsia="Times New Roman" w:cs="Times New Roman"/>
                <w:sz w:val="20"/>
                <w:szCs w:val="20"/>
                <w:lang w:eastAsia="lv-LV"/>
              </w:rPr>
            </w:pPr>
            <w:r w:rsidRPr="008A19B2">
              <w:rPr>
                <w:rFonts w:eastAsia="Times New Roman" w:cs="Times New Roman"/>
                <w:sz w:val="20"/>
                <w:szCs w:val="20"/>
                <w:lang w:eastAsia="lv-LV"/>
              </w:rPr>
              <w:t>97,4</w:t>
            </w:r>
          </w:p>
        </w:tc>
        <w:tc>
          <w:tcPr>
            <w:tcW w:w="879" w:type="dxa"/>
            <w:tcBorders>
              <w:left w:val="nil"/>
              <w:right w:val="single" w:sz="4" w:space="0" w:color="auto"/>
            </w:tcBorders>
            <w:shd w:val="clear" w:color="auto" w:fill="auto"/>
            <w:noWrap/>
            <w:vAlign w:val="bottom"/>
            <w:hideMark/>
          </w:tcPr>
          <w:p w:rsidR="006247F6" w:rsidRPr="008A19B2" w:rsidRDefault="006247F6" w:rsidP="005C7D14">
            <w:pPr>
              <w:spacing w:after="0"/>
              <w:ind w:firstLine="0"/>
              <w:jc w:val="center"/>
              <w:rPr>
                <w:rFonts w:eastAsia="Times New Roman" w:cs="Times New Roman"/>
                <w:sz w:val="20"/>
                <w:szCs w:val="20"/>
                <w:lang w:eastAsia="lv-LV"/>
              </w:rPr>
            </w:pPr>
            <w:r w:rsidRPr="008A19B2">
              <w:rPr>
                <w:rFonts w:eastAsia="Times New Roman" w:cs="Times New Roman"/>
                <w:sz w:val="20"/>
                <w:szCs w:val="20"/>
                <w:lang w:eastAsia="lv-LV"/>
              </w:rPr>
              <w:t>27,6</w:t>
            </w:r>
          </w:p>
        </w:tc>
      </w:tr>
      <w:tr w:rsidR="006247F6" w:rsidRPr="0092040F" w:rsidTr="000C2E3B">
        <w:trPr>
          <w:trHeight w:val="528"/>
        </w:trPr>
        <w:tc>
          <w:tcPr>
            <w:tcW w:w="2269" w:type="dxa"/>
            <w:tcBorders>
              <w:top w:val="nil"/>
              <w:left w:val="single" w:sz="4" w:space="0" w:color="auto"/>
              <w:right w:val="single" w:sz="4" w:space="0" w:color="auto"/>
            </w:tcBorders>
            <w:shd w:val="clear" w:color="auto" w:fill="auto"/>
            <w:vAlign w:val="bottom"/>
            <w:hideMark/>
          </w:tcPr>
          <w:p w:rsidR="006247F6" w:rsidRPr="0092040F" w:rsidRDefault="006247F6" w:rsidP="005C7D14">
            <w:pPr>
              <w:spacing w:after="0"/>
              <w:ind w:firstLine="0"/>
              <w:jc w:val="left"/>
              <w:rPr>
                <w:rFonts w:eastAsia="Times New Roman" w:cs="Times New Roman"/>
                <w:i/>
                <w:sz w:val="20"/>
                <w:szCs w:val="20"/>
                <w:lang w:eastAsia="lv-LV"/>
              </w:rPr>
            </w:pPr>
            <w:r w:rsidRPr="0092040F">
              <w:rPr>
                <w:rFonts w:eastAsia="Times New Roman" w:cs="Times New Roman"/>
                <w:i/>
                <w:sz w:val="20"/>
                <w:szCs w:val="20"/>
                <w:lang w:eastAsia="lv-LV"/>
              </w:rPr>
              <w:t xml:space="preserve">   Valsts budžeta kapitālo izdevumu </w:t>
            </w:r>
            <w:proofErr w:type="spellStart"/>
            <w:r w:rsidRPr="0092040F">
              <w:rPr>
                <w:rFonts w:eastAsia="Times New Roman" w:cs="Times New Roman"/>
                <w:i/>
                <w:sz w:val="20"/>
                <w:szCs w:val="20"/>
                <w:lang w:eastAsia="lv-LV"/>
              </w:rPr>
              <w:t>transferti</w:t>
            </w:r>
            <w:proofErr w:type="spellEnd"/>
            <w:r w:rsidRPr="0092040F">
              <w:rPr>
                <w:rFonts w:eastAsia="Times New Roman" w:cs="Times New Roman"/>
                <w:i/>
                <w:sz w:val="20"/>
                <w:szCs w:val="20"/>
                <w:lang w:eastAsia="lv-LV"/>
              </w:rPr>
              <w:t xml:space="preserve"> pašvaldībām noteiktam mērķim</w:t>
            </w:r>
          </w:p>
        </w:tc>
        <w:tc>
          <w:tcPr>
            <w:tcW w:w="1134" w:type="dxa"/>
            <w:tcBorders>
              <w:top w:val="nil"/>
              <w:left w:val="nil"/>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i/>
                <w:sz w:val="20"/>
                <w:szCs w:val="20"/>
                <w:lang w:eastAsia="lv-LV"/>
              </w:rPr>
            </w:pPr>
            <w:r w:rsidRPr="0092040F">
              <w:rPr>
                <w:rFonts w:eastAsia="Times New Roman" w:cs="Times New Roman"/>
                <w:i/>
                <w:sz w:val="20"/>
                <w:szCs w:val="20"/>
                <w:lang w:eastAsia="lv-LV"/>
              </w:rPr>
              <w:t>0</w:t>
            </w:r>
          </w:p>
        </w:tc>
        <w:tc>
          <w:tcPr>
            <w:tcW w:w="1134" w:type="dxa"/>
            <w:tcBorders>
              <w:top w:val="nil"/>
              <w:left w:val="nil"/>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i/>
                <w:sz w:val="20"/>
                <w:szCs w:val="20"/>
                <w:lang w:eastAsia="lv-LV"/>
              </w:rPr>
            </w:pPr>
            <w:r w:rsidRPr="0092040F">
              <w:rPr>
                <w:rFonts w:eastAsia="Times New Roman" w:cs="Times New Roman"/>
                <w:i/>
                <w:sz w:val="20"/>
                <w:szCs w:val="20"/>
                <w:lang w:eastAsia="lv-LV"/>
              </w:rPr>
              <w:t>0</w:t>
            </w:r>
          </w:p>
        </w:tc>
        <w:tc>
          <w:tcPr>
            <w:tcW w:w="1134" w:type="dxa"/>
            <w:tcBorders>
              <w:top w:val="nil"/>
              <w:left w:val="nil"/>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i/>
                <w:sz w:val="20"/>
                <w:szCs w:val="20"/>
                <w:lang w:eastAsia="lv-LV"/>
              </w:rPr>
            </w:pPr>
            <w:r w:rsidRPr="0092040F">
              <w:rPr>
                <w:rFonts w:eastAsia="Times New Roman" w:cs="Times New Roman"/>
                <w:i/>
                <w:sz w:val="20"/>
                <w:szCs w:val="20"/>
                <w:lang w:eastAsia="lv-LV"/>
              </w:rPr>
              <w:t>0</w:t>
            </w:r>
          </w:p>
        </w:tc>
        <w:tc>
          <w:tcPr>
            <w:tcW w:w="1083" w:type="dxa"/>
            <w:tcBorders>
              <w:top w:val="nil"/>
              <w:left w:val="nil"/>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i/>
                <w:sz w:val="20"/>
                <w:szCs w:val="20"/>
                <w:lang w:eastAsia="lv-LV"/>
              </w:rPr>
            </w:pPr>
            <w:r w:rsidRPr="0092040F">
              <w:rPr>
                <w:rFonts w:eastAsia="Times New Roman" w:cs="Times New Roman"/>
                <w:i/>
                <w:sz w:val="20"/>
                <w:szCs w:val="20"/>
                <w:lang w:eastAsia="lv-LV"/>
              </w:rPr>
              <w:t>5 601</w:t>
            </w:r>
          </w:p>
        </w:tc>
        <w:tc>
          <w:tcPr>
            <w:tcW w:w="879" w:type="dxa"/>
            <w:tcBorders>
              <w:top w:val="nil"/>
              <w:left w:val="nil"/>
              <w:right w:val="single" w:sz="4" w:space="0" w:color="auto"/>
            </w:tcBorders>
            <w:shd w:val="clear" w:color="auto" w:fill="auto"/>
            <w:noWrap/>
            <w:vAlign w:val="bottom"/>
            <w:hideMark/>
          </w:tcPr>
          <w:p w:rsidR="006247F6" w:rsidRPr="0092040F" w:rsidRDefault="006247F6" w:rsidP="005C7D14">
            <w:pPr>
              <w:spacing w:after="0"/>
              <w:ind w:firstLine="0"/>
              <w:jc w:val="center"/>
              <w:rPr>
                <w:rFonts w:eastAsia="Times New Roman" w:cs="Times New Roman"/>
                <w:i/>
                <w:sz w:val="20"/>
                <w:szCs w:val="20"/>
                <w:lang w:eastAsia="lv-LV"/>
              </w:rPr>
            </w:pPr>
            <w:r w:rsidRPr="0092040F">
              <w:rPr>
                <w:rFonts w:eastAsia="Times New Roman" w:cs="Times New Roman"/>
                <w:i/>
                <w:sz w:val="20"/>
                <w:szCs w:val="20"/>
                <w:lang w:eastAsia="lv-LV"/>
              </w:rPr>
              <w:t> </w:t>
            </w:r>
          </w:p>
        </w:tc>
        <w:tc>
          <w:tcPr>
            <w:tcW w:w="879" w:type="dxa"/>
            <w:tcBorders>
              <w:top w:val="nil"/>
              <w:left w:val="nil"/>
              <w:right w:val="single" w:sz="4" w:space="0" w:color="auto"/>
            </w:tcBorders>
            <w:shd w:val="clear" w:color="auto" w:fill="auto"/>
            <w:noWrap/>
            <w:vAlign w:val="bottom"/>
            <w:hideMark/>
          </w:tcPr>
          <w:p w:rsidR="006247F6" w:rsidRPr="0092040F" w:rsidRDefault="006247F6" w:rsidP="005C7D14">
            <w:pPr>
              <w:spacing w:after="0"/>
              <w:ind w:firstLine="0"/>
              <w:jc w:val="center"/>
              <w:rPr>
                <w:rFonts w:eastAsia="Times New Roman" w:cs="Times New Roman"/>
                <w:i/>
                <w:sz w:val="20"/>
                <w:szCs w:val="20"/>
                <w:lang w:eastAsia="lv-LV"/>
              </w:rPr>
            </w:pPr>
            <w:r w:rsidRPr="0092040F">
              <w:rPr>
                <w:rFonts w:eastAsia="Times New Roman" w:cs="Times New Roman"/>
                <w:i/>
                <w:sz w:val="20"/>
                <w:szCs w:val="20"/>
                <w:lang w:eastAsia="lv-LV"/>
              </w:rPr>
              <w:t> </w:t>
            </w:r>
          </w:p>
        </w:tc>
        <w:tc>
          <w:tcPr>
            <w:tcW w:w="879" w:type="dxa"/>
            <w:tcBorders>
              <w:top w:val="nil"/>
              <w:left w:val="nil"/>
              <w:right w:val="single" w:sz="4" w:space="0" w:color="auto"/>
            </w:tcBorders>
            <w:shd w:val="clear" w:color="auto" w:fill="auto"/>
            <w:noWrap/>
            <w:vAlign w:val="bottom"/>
            <w:hideMark/>
          </w:tcPr>
          <w:p w:rsidR="006247F6" w:rsidRPr="0092040F" w:rsidRDefault="006247F6" w:rsidP="005C7D14">
            <w:pPr>
              <w:spacing w:after="0"/>
              <w:ind w:firstLine="0"/>
              <w:jc w:val="center"/>
              <w:rPr>
                <w:rFonts w:eastAsia="Times New Roman" w:cs="Times New Roman"/>
                <w:i/>
                <w:sz w:val="20"/>
                <w:szCs w:val="20"/>
                <w:lang w:eastAsia="lv-LV"/>
              </w:rPr>
            </w:pPr>
          </w:p>
        </w:tc>
      </w:tr>
      <w:tr w:rsidR="006247F6" w:rsidRPr="0092040F" w:rsidTr="000C2E3B">
        <w:trPr>
          <w:trHeight w:val="1056"/>
        </w:trPr>
        <w:tc>
          <w:tcPr>
            <w:tcW w:w="2269" w:type="dxa"/>
            <w:tcBorders>
              <w:top w:val="nil"/>
              <w:left w:val="single" w:sz="4" w:space="0" w:color="auto"/>
              <w:right w:val="single" w:sz="4" w:space="0" w:color="auto"/>
            </w:tcBorders>
            <w:shd w:val="clear" w:color="auto" w:fill="auto"/>
            <w:vAlign w:val="bottom"/>
            <w:hideMark/>
          </w:tcPr>
          <w:p w:rsidR="006247F6" w:rsidRPr="0092040F" w:rsidRDefault="006247F6" w:rsidP="005C7D14">
            <w:pPr>
              <w:spacing w:after="0"/>
              <w:ind w:firstLine="0"/>
              <w:jc w:val="left"/>
              <w:rPr>
                <w:rFonts w:eastAsia="Times New Roman" w:cs="Times New Roman"/>
                <w:i/>
                <w:sz w:val="20"/>
                <w:szCs w:val="20"/>
                <w:lang w:eastAsia="lv-LV"/>
              </w:rPr>
            </w:pPr>
            <w:r w:rsidRPr="0092040F">
              <w:rPr>
                <w:rFonts w:eastAsia="Times New Roman" w:cs="Times New Roman"/>
                <w:i/>
                <w:sz w:val="20"/>
                <w:szCs w:val="20"/>
                <w:lang w:eastAsia="lv-LV"/>
              </w:rPr>
              <w:t xml:space="preserve">   Valsts budžeta kapitālo izdevumu </w:t>
            </w:r>
            <w:proofErr w:type="spellStart"/>
            <w:r w:rsidRPr="0092040F">
              <w:rPr>
                <w:rFonts w:eastAsia="Times New Roman" w:cs="Times New Roman"/>
                <w:i/>
                <w:sz w:val="20"/>
                <w:szCs w:val="20"/>
                <w:lang w:eastAsia="lv-LV"/>
              </w:rPr>
              <w:t>transferti</w:t>
            </w:r>
            <w:proofErr w:type="spellEnd"/>
            <w:r w:rsidRPr="0092040F">
              <w:rPr>
                <w:rFonts w:eastAsia="Times New Roman" w:cs="Times New Roman"/>
                <w:i/>
                <w:sz w:val="20"/>
                <w:szCs w:val="20"/>
                <w:lang w:eastAsia="lv-LV"/>
              </w:rPr>
              <w:t xml:space="preserve"> pašvaldībām Eiropas Savienības politiku instrumentu un pārējās ārvalstu finanšu palīdzības līdzfinansētajiem projektiem (pasākumiem)</w:t>
            </w:r>
          </w:p>
        </w:tc>
        <w:tc>
          <w:tcPr>
            <w:tcW w:w="1134" w:type="dxa"/>
            <w:tcBorders>
              <w:top w:val="nil"/>
              <w:left w:val="nil"/>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i/>
                <w:sz w:val="20"/>
                <w:szCs w:val="20"/>
                <w:lang w:eastAsia="lv-LV"/>
              </w:rPr>
            </w:pPr>
            <w:r w:rsidRPr="0092040F">
              <w:rPr>
                <w:rFonts w:eastAsia="Times New Roman" w:cs="Times New Roman"/>
                <w:i/>
                <w:sz w:val="20"/>
                <w:szCs w:val="20"/>
                <w:lang w:eastAsia="lv-LV"/>
              </w:rPr>
              <w:t>19 766</w:t>
            </w:r>
          </w:p>
        </w:tc>
        <w:tc>
          <w:tcPr>
            <w:tcW w:w="1134" w:type="dxa"/>
            <w:tcBorders>
              <w:top w:val="nil"/>
              <w:left w:val="nil"/>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i/>
                <w:sz w:val="20"/>
                <w:szCs w:val="20"/>
                <w:lang w:eastAsia="lv-LV"/>
              </w:rPr>
            </w:pPr>
            <w:r w:rsidRPr="0092040F">
              <w:rPr>
                <w:rFonts w:eastAsia="Times New Roman" w:cs="Times New Roman"/>
                <w:i/>
                <w:sz w:val="20"/>
                <w:szCs w:val="20"/>
                <w:lang w:eastAsia="lv-LV"/>
              </w:rPr>
              <w:t>29 246</w:t>
            </w:r>
          </w:p>
        </w:tc>
        <w:tc>
          <w:tcPr>
            <w:tcW w:w="1134" w:type="dxa"/>
            <w:tcBorders>
              <w:top w:val="nil"/>
              <w:left w:val="nil"/>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i/>
                <w:sz w:val="20"/>
                <w:szCs w:val="20"/>
                <w:lang w:eastAsia="lv-LV"/>
              </w:rPr>
            </w:pPr>
            <w:r w:rsidRPr="0092040F">
              <w:rPr>
                <w:rFonts w:eastAsia="Times New Roman" w:cs="Times New Roman"/>
                <w:i/>
                <w:sz w:val="20"/>
                <w:szCs w:val="20"/>
                <w:lang w:eastAsia="lv-LV"/>
              </w:rPr>
              <w:t>28 486</w:t>
            </w:r>
          </w:p>
        </w:tc>
        <w:tc>
          <w:tcPr>
            <w:tcW w:w="1083" w:type="dxa"/>
            <w:tcBorders>
              <w:top w:val="nil"/>
              <w:left w:val="nil"/>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i/>
                <w:sz w:val="20"/>
                <w:szCs w:val="20"/>
                <w:lang w:eastAsia="lv-LV"/>
              </w:rPr>
            </w:pPr>
            <w:r w:rsidRPr="0092040F">
              <w:rPr>
                <w:rFonts w:eastAsia="Times New Roman" w:cs="Times New Roman"/>
                <w:i/>
                <w:sz w:val="20"/>
                <w:szCs w:val="20"/>
                <w:lang w:eastAsia="lv-LV"/>
              </w:rPr>
              <w:t>87 637</w:t>
            </w:r>
          </w:p>
        </w:tc>
        <w:tc>
          <w:tcPr>
            <w:tcW w:w="879" w:type="dxa"/>
            <w:tcBorders>
              <w:top w:val="nil"/>
              <w:left w:val="nil"/>
              <w:right w:val="single" w:sz="4" w:space="0" w:color="auto"/>
            </w:tcBorders>
            <w:shd w:val="clear" w:color="auto" w:fill="auto"/>
            <w:noWrap/>
            <w:vAlign w:val="bottom"/>
            <w:hideMark/>
          </w:tcPr>
          <w:p w:rsidR="006247F6" w:rsidRPr="0092040F" w:rsidRDefault="006247F6" w:rsidP="005C7D14">
            <w:pPr>
              <w:spacing w:after="0"/>
              <w:ind w:firstLine="0"/>
              <w:jc w:val="center"/>
              <w:rPr>
                <w:rFonts w:eastAsia="Times New Roman" w:cs="Times New Roman"/>
                <w:i/>
                <w:sz w:val="20"/>
                <w:szCs w:val="20"/>
                <w:lang w:eastAsia="lv-LV"/>
              </w:rPr>
            </w:pPr>
            <w:r w:rsidRPr="0092040F">
              <w:rPr>
                <w:rFonts w:eastAsia="Times New Roman" w:cs="Times New Roman"/>
                <w:i/>
                <w:sz w:val="20"/>
                <w:szCs w:val="20"/>
                <w:lang w:eastAsia="lv-LV"/>
              </w:rPr>
              <w:t>144,1</w:t>
            </w:r>
          </w:p>
        </w:tc>
        <w:tc>
          <w:tcPr>
            <w:tcW w:w="879" w:type="dxa"/>
            <w:tcBorders>
              <w:top w:val="nil"/>
              <w:left w:val="nil"/>
              <w:right w:val="single" w:sz="4" w:space="0" w:color="auto"/>
            </w:tcBorders>
            <w:shd w:val="clear" w:color="auto" w:fill="auto"/>
            <w:noWrap/>
            <w:vAlign w:val="bottom"/>
            <w:hideMark/>
          </w:tcPr>
          <w:p w:rsidR="006247F6" w:rsidRPr="0092040F" w:rsidRDefault="006247F6" w:rsidP="005C7D14">
            <w:pPr>
              <w:spacing w:after="0"/>
              <w:ind w:firstLine="0"/>
              <w:jc w:val="center"/>
              <w:rPr>
                <w:rFonts w:eastAsia="Times New Roman" w:cs="Times New Roman"/>
                <w:i/>
                <w:sz w:val="20"/>
                <w:szCs w:val="20"/>
                <w:lang w:eastAsia="lv-LV"/>
              </w:rPr>
            </w:pPr>
            <w:r w:rsidRPr="0092040F">
              <w:rPr>
                <w:rFonts w:eastAsia="Times New Roman" w:cs="Times New Roman"/>
                <w:i/>
                <w:sz w:val="20"/>
                <w:szCs w:val="20"/>
                <w:lang w:eastAsia="lv-LV"/>
              </w:rPr>
              <w:t>97,4</w:t>
            </w:r>
          </w:p>
        </w:tc>
        <w:tc>
          <w:tcPr>
            <w:tcW w:w="879" w:type="dxa"/>
            <w:tcBorders>
              <w:top w:val="nil"/>
              <w:left w:val="nil"/>
              <w:right w:val="single" w:sz="4" w:space="0" w:color="auto"/>
            </w:tcBorders>
            <w:shd w:val="clear" w:color="auto" w:fill="auto"/>
            <w:noWrap/>
            <w:vAlign w:val="bottom"/>
            <w:hideMark/>
          </w:tcPr>
          <w:p w:rsidR="006247F6" w:rsidRPr="0092040F" w:rsidRDefault="006247F6" w:rsidP="005C7D14">
            <w:pPr>
              <w:spacing w:after="0"/>
              <w:ind w:firstLine="0"/>
              <w:jc w:val="center"/>
              <w:rPr>
                <w:rFonts w:eastAsia="Times New Roman" w:cs="Times New Roman"/>
                <w:i/>
                <w:sz w:val="20"/>
                <w:szCs w:val="20"/>
                <w:lang w:eastAsia="lv-LV"/>
              </w:rPr>
            </w:pPr>
            <w:r w:rsidRPr="0092040F">
              <w:rPr>
                <w:rFonts w:eastAsia="Times New Roman" w:cs="Times New Roman"/>
                <w:i/>
                <w:sz w:val="20"/>
                <w:szCs w:val="20"/>
                <w:lang w:eastAsia="lv-LV"/>
              </w:rPr>
              <w:t>32,5</w:t>
            </w:r>
          </w:p>
        </w:tc>
      </w:tr>
      <w:tr w:rsidR="006247F6" w:rsidRPr="0092040F" w:rsidTr="000C2E3B">
        <w:trPr>
          <w:trHeight w:val="1056"/>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6247F6" w:rsidRPr="0092040F" w:rsidRDefault="006247F6" w:rsidP="005C7D14">
            <w:pPr>
              <w:spacing w:after="0"/>
              <w:ind w:firstLine="0"/>
              <w:jc w:val="left"/>
              <w:rPr>
                <w:rFonts w:eastAsia="Times New Roman" w:cs="Times New Roman"/>
                <w:i/>
                <w:sz w:val="20"/>
                <w:szCs w:val="20"/>
                <w:lang w:eastAsia="lv-LV"/>
              </w:rPr>
            </w:pPr>
            <w:r w:rsidRPr="0092040F">
              <w:rPr>
                <w:rFonts w:eastAsia="Times New Roman" w:cs="Times New Roman"/>
                <w:i/>
                <w:sz w:val="20"/>
                <w:szCs w:val="20"/>
                <w:lang w:eastAsia="lv-LV"/>
              </w:rPr>
              <w:t xml:space="preserve">   Valsts budžeta kapitālo izdevumu </w:t>
            </w:r>
            <w:proofErr w:type="spellStart"/>
            <w:r w:rsidRPr="0092040F">
              <w:rPr>
                <w:rFonts w:eastAsia="Times New Roman" w:cs="Times New Roman"/>
                <w:i/>
                <w:sz w:val="20"/>
                <w:szCs w:val="20"/>
                <w:lang w:eastAsia="lv-LV"/>
              </w:rPr>
              <w:t>transferti</w:t>
            </w:r>
            <w:proofErr w:type="spellEnd"/>
            <w:r w:rsidRPr="0092040F">
              <w:rPr>
                <w:rFonts w:eastAsia="Times New Roman" w:cs="Times New Roman"/>
                <w:i/>
                <w:sz w:val="20"/>
                <w:szCs w:val="20"/>
                <w:lang w:eastAsia="lv-LV"/>
              </w:rPr>
              <w:t xml:space="preserve"> valsts budžeta daļēji finansētām atvasinātām publiskām personām un budžeta nefinansētām iestādēm noteiktam mērķim</w:t>
            </w:r>
          </w:p>
        </w:tc>
        <w:tc>
          <w:tcPr>
            <w:tcW w:w="1134" w:type="dxa"/>
            <w:tcBorders>
              <w:top w:val="nil"/>
              <w:left w:val="nil"/>
              <w:bottom w:val="single" w:sz="4" w:space="0" w:color="auto"/>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i/>
                <w:sz w:val="20"/>
                <w:szCs w:val="20"/>
                <w:lang w:eastAsia="lv-LV"/>
              </w:rPr>
            </w:pPr>
            <w:r w:rsidRPr="0092040F">
              <w:rPr>
                <w:rFonts w:eastAsia="Times New Roman" w:cs="Times New Roman"/>
                <w:i/>
                <w:sz w:val="20"/>
                <w:szCs w:val="20"/>
                <w:lang w:eastAsia="lv-LV"/>
              </w:rPr>
              <w:t>3 844</w:t>
            </w:r>
          </w:p>
        </w:tc>
        <w:tc>
          <w:tcPr>
            <w:tcW w:w="1134" w:type="dxa"/>
            <w:tcBorders>
              <w:top w:val="nil"/>
              <w:left w:val="nil"/>
              <w:bottom w:val="single" w:sz="4" w:space="0" w:color="auto"/>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i/>
                <w:sz w:val="20"/>
                <w:szCs w:val="20"/>
                <w:lang w:eastAsia="lv-LV"/>
              </w:rPr>
            </w:pPr>
            <w:r w:rsidRPr="0092040F">
              <w:rPr>
                <w:rFonts w:eastAsia="Times New Roman" w:cs="Times New Roman"/>
                <w:i/>
                <w:sz w:val="20"/>
                <w:szCs w:val="20"/>
                <w:lang w:eastAsia="lv-LV"/>
              </w:rPr>
              <w:t>4 611</w:t>
            </w:r>
          </w:p>
        </w:tc>
        <w:tc>
          <w:tcPr>
            <w:tcW w:w="1134" w:type="dxa"/>
            <w:tcBorders>
              <w:top w:val="nil"/>
              <w:left w:val="nil"/>
              <w:bottom w:val="single" w:sz="4" w:space="0" w:color="auto"/>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i/>
                <w:sz w:val="20"/>
                <w:szCs w:val="20"/>
                <w:lang w:eastAsia="lv-LV"/>
              </w:rPr>
            </w:pPr>
            <w:r w:rsidRPr="0092040F">
              <w:rPr>
                <w:rFonts w:eastAsia="Times New Roman" w:cs="Times New Roman"/>
                <w:i/>
                <w:sz w:val="20"/>
                <w:szCs w:val="20"/>
                <w:lang w:eastAsia="lv-LV"/>
              </w:rPr>
              <w:t>4 474</w:t>
            </w:r>
          </w:p>
        </w:tc>
        <w:tc>
          <w:tcPr>
            <w:tcW w:w="1083" w:type="dxa"/>
            <w:tcBorders>
              <w:top w:val="nil"/>
              <w:left w:val="nil"/>
              <w:bottom w:val="single" w:sz="4" w:space="0" w:color="auto"/>
              <w:right w:val="single" w:sz="4" w:space="0" w:color="auto"/>
            </w:tcBorders>
            <w:shd w:val="clear" w:color="auto" w:fill="auto"/>
            <w:noWrap/>
            <w:vAlign w:val="bottom"/>
            <w:hideMark/>
          </w:tcPr>
          <w:p w:rsidR="006247F6" w:rsidRPr="0092040F" w:rsidRDefault="006247F6" w:rsidP="005C7D14">
            <w:pPr>
              <w:spacing w:after="0"/>
              <w:ind w:firstLine="0"/>
              <w:jc w:val="right"/>
              <w:rPr>
                <w:rFonts w:eastAsia="Times New Roman" w:cs="Times New Roman"/>
                <w:i/>
                <w:sz w:val="20"/>
                <w:szCs w:val="20"/>
                <w:lang w:eastAsia="lv-LV"/>
              </w:rPr>
            </w:pPr>
            <w:r w:rsidRPr="0092040F">
              <w:rPr>
                <w:rFonts w:eastAsia="Times New Roman" w:cs="Times New Roman"/>
                <w:i/>
                <w:sz w:val="20"/>
                <w:szCs w:val="20"/>
                <w:lang w:eastAsia="lv-LV"/>
              </w:rPr>
              <w:t>26 263</w:t>
            </w:r>
          </w:p>
        </w:tc>
        <w:tc>
          <w:tcPr>
            <w:tcW w:w="879" w:type="dxa"/>
            <w:tcBorders>
              <w:top w:val="nil"/>
              <w:left w:val="nil"/>
              <w:bottom w:val="single" w:sz="4" w:space="0" w:color="auto"/>
              <w:right w:val="single" w:sz="4" w:space="0" w:color="auto"/>
            </w:tcBorders>
            <w:shd w:val="clear" w:color="auto" w:fill="auto"/>
            <w:noWrap/>
            <w:vAlign w:val="bottom"/>
            <w:hideMark/>
          </w:tcPr>
          <w:p w:rsidR="006247F6" w:rsidRPr="0092040F" w:rsidRDefault="006247F6" w:rsidP="005C7D14">
            <w:pPr>
              <w:spacing w:after="0"/>
              <w:ind w:firstLine="0"/>
              <w:jc w:val="center"/>
              <w:rPr>
                <w:rFonts w:eastAsia="Times New Roman" w:cs="Times New Roman"/>
                <w:i/>
                <w:sz w:val="20"/>
                <w:szCs w:val="20"/>
                <w:lang w:eastAsia="lv-LV"/>
              </w:rPr>
            </w:pPr>
            <w:r w:rsidRPr="0092040F">
              <w:rPr>
                <w:rFonts w:eastAsia="Times New Roman" w:cs="Times New Roman"/>
                <w:i/>
                <w:sz w:val="20"/>
                <w:szCs w:val="20"/>
                <w:lang w:eastAsia="lv-LV"/>
              </w:rPr>
              <w:t>116,4</w:t>
            </w:r>
          </w:p>
        </w:tc>
        <w:tc>
          <w:tcPr>
            <w:tcW w:w="879" w:type="dxa"/>
            <w:tcBorders>
              <w:top w:val="nil"/>
              <w:left w:val="nil"/>
              <w:bottom w:val="single" w:sz="4" w:space="0" w:color="auto"/>
              <w:right w:val="single" w:sz="4" w:space="0" w:color="auto"/>
            </w:tcBorders>
            <w:shd w:val="clear" w:color="auto" w:fill="auto"/>
            <w:noWrap/>
            <w:vAlign w:val="bottom"/>
            <w:hideMark/>
          </w:tcPr>
          <w:p w:rsidR="006247F6" w:rsidRPr="0092040F" w:rsidRDefault="006247F6" w:rsidP="005C7D14">
            <w:pPr>
              <w:spacing w:after="0"/>
              <w:ind w:firstLine="0"/>
              <w:jc w:val="center"/>
              <w:rPr>
                <w:rFonts w:eastAsia="Times New Roman" w:cs="Times New Roman"/>
                <w:i/>
                <w:sz w:val="20"/>
                <w:szCs w:val="20"/>
                <w:lang w:eastAsia="lv-LV"/>
              </w:rPr>
            </w:pPr>
            <w:r w:rsidRPr="0092040F">
              <w:rPr>
                <w:rFonts w:eastAsia="Times New Roman" w:cs="Times New Roman"/>
                <w:i/>
                <w:sz w:val="20"/>
                <w:szCs w:val="20"/>
                <w:lang w:eastAsia="lv-LV"/>
              </w:rPr>
              <w:t>97,0</w:t>
            </w:r>
          </w:p>
        </w:tc>
        <w:tc>
          <w:tcPr>
            <w:tcW w:w="879" w:type="dxa"/>
            <w:tcBorders>
              <w:top w:val="nil"/>
              <w:left w:val="nil"/>
              <w:bottom w:val="single" w:sz="4" w:space="0" w:color="auto"/>
              <w:right w:val="single" w:sz="4" w:space="0" w:color="auto"/>
            </w:tcBorders>
            <w:shd w:val="clear" w:color="auto" w:fill="auto"/>
            <w:noWrap/>
            <w:vAlign w:val="bottom"/>
            <w:hideMark/>
          </w:tcPr>
          <w:p w:rsidR="006247F6" w:rsidRPr="0092040F" w:rsidRDefault="006247F6" w:rsidP="005C7D14">
            <w:pPr>
              <w:spacing w:after="0"/>
              <w:ind w:firstLine="0"/>
              <w:jc w:val="center"/>
              <w:rPr>
                <w:rFonts w:eastAsia="Times New Roman" w:cs="Times New Roman"/>
                <w:i/>
                <w:sz w:val="20"/>
                <w:szCs w:val="20"/>
                <w:lang w:eastAsia="lv-LV"/>
              </w:rPr>
            </w:pPr>
            <w:r w:rsidRPr="0092040F">
              <w:rPr>
                <w:rFonts w:eastAsia="Times New Roman" w:cs="Times New Roman"/>
                <w:i/>
                <w:sz w:val="20"/>
                <w:szCs w:val="20"/>
                <w:lang w:eastAsia="lv-LV"/>
              </w:rPr>
              <w:t>17,0</w:t>
            </w:r>
          </w:p>
        </w:tc>
      </w:tr>
    </w:tbl>
    <w:p w:rsidR="006247F6" w:rsidRPr="00D4319A" w:rsidRDefault="006247F6" w:rsidP="006247F6">
      <w:pPr>
        <w:ind w:left="284" w:hanging="284"/>
        <w:rPr>
          <w:rFonts w:eastAsia="Times New Roman"/>
          <w:sz w:val="20"/>
          <w:szCs w:val="20"/>
        </w:rPr>
      </w:pPr>
      <w:r w:rsidRPr="00D4319A">
        <w:rPr>
          <w:rFonts w:eastAsia="Times New Roman"/>
          <w:sz w:val="20"/>
          <w:szCs w:val="20"/>
        </w:rPr>
        <w:t>* Pārskata periodā spēkā esošais 2014.gada plāns atbilstoši likumam „Par valsts budžetu 2014.gadam” ar Finanšu ministrijas rīkojumiem</w:t>
      </w:r>
    </w:p>
    <w:p w:rsidR="006247F6" w:rsidRPr="00D4319A" w:rsidRDefault="006247F6" w:rsidP="006247F6">
      <w:pPr>
        <w:rPr>
          <w:rFonts w:eastAsia="Times New Roman"/>
          <w:szCs w:val="20"/>
        </w:rPr>
      </w:pPr>
    </w:p>
    <w:p w:rsidR="006247F6" w:rsidRPr="00D4319A" w:rsidRDefault="006247F6" w:rsidP="006247F6">
      <w:pPr>
        <w:rPr>
          <w:rFonts w:eastAsia="Times New Roman"/>
          <w:szCs w:val="20"/>
        </w:rPr>
      </w:pPr>
      <w:r w:rsidRPr="00D4319A">
        <w:rPr>
          <w:rFonts w:eastAsia="Times New Roman"/>
          <w:szCs w:val="20"/>
        </w:rPr>
        <w:t>2014. gada pirmajā ceturksnī, salīdzinot ar 2013. gada atbilstošo periodu, valsts pamat</w:t>
      </w:r>
      <w:r w:rsidRPr="00D4319A">
        <w:rPr>
          <w:rFonts w:eastAsia="Times New Roman"/>
          <w:szCs w:val="20"/>
        </w:rPr>
        <w:softHyphen/>
        <w:t xml:space="preserve">budžeta izlietotie līdzekļi ir palielinājušies par 107,8 milj. </w:t>
      </w:r>
      <w:proofErr w:type="spellStart"/>
      <w:r w:rsidRPr="00D4319A">
        <w:rPr>
          <w:rFonts w:eastAsia="Times New Roman"/>
          <w:i/>
          <w:szCs w:val="20"/>
        </w:rPr>
        <w:t>euro</w:t>
      </w:r>
      <w:proofErr w:type="spellEnd"/>
      <w:r w:rsidRPr="00D4319A">
        <w:rPr>
          <w:rFonts w:eastAsia="Times New Roman"/>
          <w:szCs w:val="20"/>
        </w:rPr>
        <w:t xml:space="preserve"> jeb 9,6 procentiem.</w:t>
      </w:r>
    </w:p>
    <w:p w:rsidR="006247F6" w:rsidRDefault="006247F6" w:rsidP="006247F6">
      <w:r>
        <w:rPr>
          <w:rFonts w:eastAsia="Times New Roman"/>
          <w:szCs w:val="20"/>
        </w:rPr>
        <w:t>V</w:t>
      </w:r>
      <w:r w:rsidRPr="00D4319A">
        <w:rPr>
          <w:rFonts w:eastAsia="Times New Roman"/>
          <w:szCs w:val="20"/>
        </w:rPr>
        <w:t xml:space="preserve">alsts pamatbudžeta </w:t>
      </w:r>
      <w:r>
        <w:rPr>
          <w:rFonts w:eastAsia="Times New Roman"/>
          <w:szCs w:val="20"/>
        </w:rPr>
        <w:t xml:space="preserve">uzturēšanas </w:t>
      </w:r>
      <w:r w:rsidRPr="00D4319A">
        <w:rPr>
          <w:rFonts w:eastAsia="Times New Roman"/>
          <w:szCs w:val="20"/>
        </w:rPr>
        <w:t>izdevum</w:t>
      </w:r>
      <w:r>
        <w:rPr>
          <w:rFonts w:eastAsia="Times New Roman"/>
          <w:szCs w:val="20"/>
        </w:rPr>
        <w:t>i</w:t>
      </w:r>
      <w:r w:rsidRPr="00D4319A">
        <w:rPr>
          <w:rFonts w:eastAsia="Times New Roman"/>
          <w:szCs w:val="20"/>
        </w:rPr>
        <w:t xml:space="preserve">, salīdzinot ar 2013. gada atbilstošo periodu, palielinājušies par 96,2 milj. </w:t>
      </w:r>
      <w:proofErr w:type="spellStart"/>
      <w:r w:rsidRPr="00D4319A">
        <w:rPr>
          <w:rFonts w:eastAsia="Times New Roman"/>
          <w:i/>
          <w:szCs w:val="20"/>
        </w:rPr>
        <w:t>euro</w:t>
      </w:r>
      <w:proofErr w:type="spellEnd"/>
      <w:r w:rsidRPr="00D4319A">
        <w:rPr>
          <w:rFonts w:eastAsia="Times New Roman"/>
          <w:szCs w:val="20"/>
        </w:rPr>
        <w:t xml:space="preserve"> jeb 9,0%, ta</w:t>
      </w:r>
      <w:r>
        <w:rPr>
          <w:rFonts w:eastAsia="Times New Roman"/>
          <w:szCs w:val="20"/>
        </w:rPr>
        <w:t>i</w:t>
      </w:r>
      <w:r w:rsidRPr="00D4319A">
        <w:rPr>
          <w:rFonts w:eastAsia="Times New Roman"/>
          <w:szCs w:val="20"/>
        </w:rPr>
        <w:t xml:space="preserve"> skaitā </w:t>
      </w:r>
      <w:r>
        <w:rPr>
          <w:rFonts w:eastAsia="Times New Roman"/>
          <w:szCs w:val="20"/>
        </w:rPr>
        <w:t>k</w:t>
      </w:r>
      <w:r w:rsidRPr="00D4319A">
        <w:rPr>
          <w:rFonts w:eastAsia="Times New Roman"/>
          <w:szCs w:val="20"/>
        </w:rPr>
        <w:t xml:space="preserve">ārtējie izdevumi palielinājušies par 20,6 milj. </w:t>
      </w:r>
      <w:proofErr w:type="spellStart"/>
      <w:r w:rsidRPr="00D4319A">
        <w:rPr>
          <w:rFonts w:eastAsia="Times New Roman"/>
          <w:i/>
          <w:szCs w:val="20"/>
        </w:rPr>
        <w:t>euro</w:t>
      </w:r>
      <w:proofErr w:type="spellEnd"/>
      <w:r w:rsidRPr="00D4319A">
        <w:rPr>
          <w:rFonts w:eastAsia="Times New Roman"/>
          <w:i/>
          <w:szCs w:val="20"/>
        </w:rPr>
        <w:t xml:space="preserve"> </w:t>
      </w:r>
      <w:r w:rsidRPr="00D4319A">
        <w:rPr>
          <w:rFonts w:eastAsia="Times New Roman"/>
          <w:szCs w:val="20"/>
        </w:rPr>
        <w:t xml:space="preserve">jeb 7,6%, </w:t>
      </w:r>
      <w:r>
        <w:rPr>
          <w:rFonts w:eastAsia="Times New Roman"/>
          <w:szCs w:val="20"/>
        </w:rPr>
        <w:t xml:space="preserve">no tā </w:t>
      </w:r>
      <w:r w:rsidRPr="00D4319A">
        <w:rPr>
          <w:rFonts w:eastAsia="Times New Roman"/>
          <w:szCs w:val="20"/>
        </w:rPr>
        <w:t xml:space="preserve">izdevumi atlīdzībai par 19,3 milj. </w:t>
      </w:r>
      <w:proofErr w:type="spellStart"/>
      <w:r w:rsidRPr="00D4319A">
        <w:rPr>
          <w:rFonts w:eastAsia="Times New Roman"/>
          <w:i/>
          <w:szCs w:val="20"/>
        </w:rPr>
        <w:t>euro</w:t>
      </w:r>
      <w:proofErr w:type="spellEnd"/>
      <w:r w:rsidRPr="00D4319A">
        <w:rPr>
          <w:rFonts w:eastAsia="Times New Roman"/>
          <w:szCs w:val="20"/>
        </w:rPr>
        <w:t xml:space="preserve"> jeb 12,5% (atalgojums par 13,6 milj. </w:t>
      </w:r>
      <w:proofErr w:type="spellStart"/>
      <w:r w:rsidRPr="00D4319A">
        <w:rPr>
          <w:rFonts w:eastAsia="Times New Roman"/>
          <w:i/>
          <w:szCs w:val="20"/>
        </w:rPr>
        <w:t>euro</w:t>
      </w:r>
      <w:proofErr w:type="spellEnd"/>
      <w:r w:rsidRPr="00D4319A">
        <w:rPr>
          <w:rFonts w:eastAsia="Times New Roman"/>
          <w:szCs w:val="20"/>
        </w:rPr>
        <w:t xml:space="preserve"> jeb 11,7%), izdevumi precēm un pakalpojumiem – par 1,2 milj. </w:t>
      </w:r>
      <w:proofErr w:type="spellStart"/>
      <w:r w:rsidRPr="00D4319A">
        <w:rPr>
          <w:rFonts w:eastAsia="Times New Roman"/>
          <w:i/>
          <w:szCs w:val="20"/>
        </w:rPr>
        <w:t>euro</w:t>
      </w:r>
      <w:proofErr w:type="spellEnd"/>
      <w:r w:rsidRPr="00D4319A">
        <w:rPr>
          <w:rFonts w:eastAsia="Times New Roman"/>
          <w:szCs w:val="20"/>
        </w:rPr>
        <w:t xml:space="preserve"> jeb 1,1 procentu. Procentu izdevumi palielinājušies </w:t>
      </w:r>
      <w:r w:rsidRPr="00D4319A">
        <w:rPr>
          <w:rFonts w:eastAsia="Times New Roman"/>
          <w:szCs w:val="20"/>
        </w:rPr>
        <w:lastRenderedPageBreak/>
        <w:t xml:space="preserve">par 2,3 milj. </w:t>
      </w:r>
      <w:proofErr w:type="spellStart"/>
      <w:r w:rsidRPr="00D4319A">
        <w:rPr>
          <w:rFonts w:eastAsia="Times New Roman"/>
          <w:i/>
          <w:szCs w:val="20"/>
        </w:rPr>
        <w:t>euro</w:t>
      </w:r>
      <w:proofErr w:type="spellEnd"/>
      <w:r w:rsidRPr="00D4319A">
        <w:rPr>
          <w:rFonts w:eastAsia="Times New Roman"/>
          <w:szCs w:val="20"/>
        </w:rPr>
        <w:t xml:space="preserve"> jeb 1,7%</w:t>
      </w:r>
      <w:r>
        <w:rPr>
          <w:rFonts w:eastAsia="Times New Roman"/>
          <w:szCs w:val="20"/>
        </w:rPr>
        <w:t xml:space="preserve">, izdevumi </w:t>
      </w:r>
      <w:r w:rsidRPr="00D4319A">
        <w:rPr>
          <w:rFonts w:eastAsia="Times New Roman"/>
          <w:szCs w:val="20"/>
        </w:rPr>
        <w:t>subsī</w:t>
      </w:r>
      <w:r w:rsidRPr="00D4319A">
        <w:rPr>
          <w:rFonts w:eastAsia="Times New Roman"/>
          <w:szCs w:val="20"/>
        </w:rPr>
        <w:softHyphen/>
        <w:t>dijām, dotācijām un sociālajiem pabalstiem</w:t>
      </w:r>
      <w:r w:rsidRPr="002367B2">
        <w:rPr>
          <w:rFonts w:eastAsia="Times New Roman"/>
          <w:szCs w:val="20"/>
        </w:rPr>
        <w:t xml:space="preserve"> </w:t>
      </w:r>
      <w:r w:rsidRPr="00D4319A">
        <w:rPr>
          <w:rFonts w:eastAsia="Times New Roman"/>
          <w:szCs w:val="20"/>
        </w:rPr>
        <w:t>palielināju</w:t>
      </w:r>
      <w:r>
        <w:rPr>
          <w:rFonts w:eastAsia="Times New Roman"/>
          <w:szCs w:val="20"/>
        </w:rPr>
        <w:t>šies par</w:t>
      </w:r>
      <w:r w:rsidRPr="00D4319A">
        <w:rPr>
          <w:rFonts w:eastAsia="Times New Roman"/>
          <w:szCs w:val="20"/>
        </w:rPr>
        <w:t xml:space="preserve"> 14,7 milj. </w:t>
      </w:r>
      <w:proofErr w:type="spellStart"/>
      <w:r w:rsidRPr="00D4319A">
        <w:rPr>
          <w:rFonts w:eastAsia="Times New Roman"/>
          <w:i/>
          <w:szCs w:val="20"/>
        </w:rPr>
        <w:t>euro</w:t>
      </w:r>
      <w:proofErr w:type="spellEnd"/>
      <w:r w:rsidRPr="00D4319A">
        <w:rPr>
          <w:rFonts w:eastAsia="Times New Roman"/>
          <w:szCs w:val="20"/>
        </w:rPr>
        <w:t xml:space="preserve"> jeb 3,7</w:t>
      </w:r>
      <w:r>
        <w:rPr>
          <w:rFonts w:eastAsia="Times New Roman"/>
          <w:szCs w:val="20"/>
        </w:rPr>
        <w:t>%</w:t>
      </w:r>
      <w:r w:rsidRPr="00D4319A">
        <w:rPr>
          <w:rFonts w:eastAsia="Times New Roman"/>
          <w:szCs w:val="20"/>
        </w:rPr>
        <w:t xml:space="preserve">, no tā </w:t>
      </w:r>
      <w:r>
        <w:rPr>
          <w:rFonts w:eastAsia="Times New Roman"/>
          <w:szCs w:val="20"/>
        </w:rPr>
        <w:t xml:space="preserve">izdevumi </w:t>
      </w:r>
      <w:r w:rsidRPr="00D4319A">
        <w:rPr>
          <w:rFonts w:eastAsia="Times New Roman"/>
          <w:szCs w:val="20"/>
        </w:rPr>
        <w:t xml:space="preserve">subsīdijām un dotācijām – par 10,3 milj. </w:t>
      </w:r>
      <w:proofErr w:type="spellStart"/>
      <w:r w:rsidRPr="00D4319A">
        <w:rPr>
          <w:rFonts w:eastAsia="Times New Roman"/>
          <w:i/>
          <w:szCs w:val="20"/>
        </w:rPr>
        <w:t>euro</w:t>
      </w:r>
      <w:proofErr w:type="spellEnd"/>
      <w:r w:rsidRPr="00D4319A">
        <w:rPr>
          <w:rFonts w:eastAsia="Times New Roman"/>
          <w:szCs w:val="20"/>
        </w:rPr>
        <w:t xml:space="preserve"> jeb 3,0%, izdevumi sociālajiem pabalstiem – par 4,3 milj. </w:t>
      </w:r>
      <w:proofErr w:type="spellStart"/>
      <w:r w:rsidRPr="00D4319A">
        <w:rPr>
          <w:rFonts w:eastAsia="Times New Roman"/>
          <w:i/>
          <w:szCs w:val="20"/>
        </w:rPr>
        <w:t>euro</w:t>
      </w:r>
      <w:proofErr w:type="spellEnd"/>
      <w:r w:rsidRPr="00D4319A">
        <w:rPr>
          <w:rFonts w:eastAsia="Times New Roman"/>
          <w:szCs w:val="20"/>
        </w:rPr>
        <w:t xml:space="preserve"> jeb 8,0 procentiem. Par  14,2 milj. </w:t>
      </w:r>
      <w:proofErr w:type="spellStart"/>
      <w:r w:rsidRPr="00D4319A">
        <w:rPr>
          <w:rFonts w:eastAsia="Times New Roman"/>
          <w:i/>
          <w:szCs w:val="20"/>
        </w:rPr>
        <w:t>euro</w:t>
      </w:r>
      <w:proofErr w:type="spellEnd"/>
      <w:r w:rsidRPr="00D4319A">
        <w:rPr>
          <w:rFonts w:eastAsia="Times New Roman"/>
          <w:szCs w:val="20"/>
        </w:rPr>
        <w:t xml:space="preserve"> jeb 14,4% palielinājušies  izdevumi kārtējiem maksājumiem Eiropas Savienības budžetā un starptautiskajai sadarbībai., uzturēšanas izdevumu </w:t>
      </w:r>
      <w:proofErr w:type="spellStart"/>
      <w:r w:rsidRPr="00D4319A">
        <w:rPr>
          <w:rFonts w:eastAsia="Times New Roman"/>
          <w:szCs w:val="20"/>
        </w:rPr>
        <w:t>transferti</w:t>
      </w:r>
      <w:proofErr w:type="spellEnd"/>
      <w:r w:rsidRPr="00D4319A">
        <w:rPr>
          <w:rFonts w:eastAsia="Times New Roman"/>
          <w:szCs w:val="20"/>
        </w:rPr>
        <w:t xml:space="preserve"> palielinājušies par 44,4 milj. </w:t>
      </w:r>
      <w:proofErr w:type="spellStart"/>
      <w:r w:rsidRPr="00D4319A">
        <w:rPr>
          <w:rFonts w:eastAsia="Times New Roman"/>
          <w:i/>
          <w:szCs w:val="20"/>
        </w:rPr>
        <w:t>euro</w:t>
      </w:r>
      <w:proofErr w:type="spellEnd"/>
      <w:r w:rsidRPr="00D4319A">
        <w:rPr>
          <w:rFonts w:eastAsia="Times New Roman"/>
          <w:szCs w:val="20"/>
        </w:rPr>
        <w:t xml:space="preserve"> jeb 27,5%, ta</w:t>
      </w:r>
      <w:r>
        <w:rPr>
          <w:rFonts w:eastAsia="Times New Roman"/>
          <w:szCs w:val="20"/>
        </w:rPr>
        <w:t>i</w:t>
      </w:r>
      <w:r w:rsidRPr="00D4319A">
        <w:rPr>
          <w:rFonts w:eastAsia="Times New Roman"/>
          <w:szCs w:val="20"/>
        </w:rPr>
        <w:t xml:space="preserve"> skaitā </w:t>
      </w:r>
      <w:proofErr w:type="spellStart"/>
      <w:r w:rsidRPr="00D4319A">
        <w:rPr>
          <w:rFonts w:eastAsia="Times New Roman"/>
          <w:szCs w:val="20"/>
        </w:rPr>
        <w:t>transferti</w:t>
      </w:r>
      <w:proofErr w:type="spellEnd"/>
      <w:r w:rsidRPr="00D4319A">
        <w:rPr>
          <w:rFonts w:eastAsia="Times New Roman"/>
          <w:szCs w:val="20"/>
        </w:rPr>
        <w:t xml:space="preserve"> valsts speciālajam budžetam palielinājušies par 45,7 milj. </w:t>
      </w:r>
      <w:proofErr w:type="spellStart"/>
      <w:r w:rsidRPr="00D4319A">
        <w:rPr>
          <w:rFonts w:eastAsia="Times New Roman"/>
          <w:i/>
          <w:szCs w:val="20"/>
        </w:rPr>
        <w:t>euro</w:t>
      </w:r>
      <w:proofErr w:type="spellEnd"/>
      <w:r w:rsidRPr="00D4319A">
        <w:rPr>
          <w:rFonts w:eastAsia="Times New Roman"/>
          <w:szCs w:val="20"/>
        </w:rPr>
        <w:t xml:space="preserve"> jeb 694,3 procentiem.</w:t>
      </w:r>
      <w:r>
        <w:rPr>
          <w:rFonts w:eastAsia="Times New Roman"/>
          <w:szCs w:val="20"/>
        </w:rPr>
        <w:t xml:space="preserve"> </w:t>
      </w:r>
      <w:proofErr w:type="spellStart"/>
      <w:r w:rsidRPr="006A37E4">
        <w:t>Transferti</w:t>
      </w:r>
      <w:proofErr w:type="spellEnd"/>
      <w:r w:rsidRPr="006A37E4">
        <w:t xml:space="preserve"> speciālajam budžetam galvenokārt palielinā</w:t>
      </w:r>
      <w:r>
        <w:t>jušies</w:t>
      </w:r>
      <w:r w:rsidRPr="006A37E4">
        <w:t xml:space="preserve">, ņemot vērā, ka ar 2014. gadu piemaksas pie vecuma un invaliditātes pensijām tiek plānotas pamatbudžetā un kā </w:t>
      </w:r>
      <w:proofErr w:type="spellStart"/>
      <w:r w:rsidRPr="006A37E4">
        <w:t>transferts</w:t>
      </w:r>
      <w:proofErr w:type="spellEnd"/>
      <w:r w:rsidRPr="006A37E4">
        <w:t xml:space="preserve"> novirzīts speciālajam budžetam.</w:t>
      </w:r>
    </w:p>
    <w:p w:rsidR="006247F6" w:rsidRDefault="006247F6" w:rsidP="006247F6">
      <w:pPr>
        <w:rPr>
          <w:rFonts w:eastAsia="Times New Roman"/>
          <w:szCs w:val="20"/>
        </w:rPr>
      </w:pPr>
      <w:r w:rsidRPr="00D4319A">
        <w:rPr>
          <w:rFonts w:eastAsia="Times New Roman"/>
          <w:szCs w:val="20"/>
        </w:rPr>
        <w:t>Savukārt</w:t>
      </w:r>
      <w:r>
        <w:rPr>
          <w:rFonts w:eastAsia="Times New Roman"/>
          <w:szCs w:val="20"/>
        </w:rPr>
        <w:t>,</w:t>
      </w:r>
      <w:r w:rsidRPr="00D4319A">
        <w:rPr>
          <w:rFonts w:eastAsia="Times New Roman"/>
          <w:szCs w:val="20"/>
        </w:rPr>
        <w:t xml:space="preserve"> kapitālie izdevumi palielinājušies par 11,7 milj. </w:t>
      </w:r>
      <w:proofErr w:type="spellStart"/>
      <w:r w:rsidRPr="00D4319A">
        <w:rPr>
          <w:rFonts w:eastAsia="Times New Roman"/>
          <w:i/>
          <w:szCs w:val="20"/>
        </w:rPr>
        <w:t>euro</w:t>
      </w:r>
      <w:proofErr w:type="spellEnd"/>
      <w:r w:rsidRPr="00D4319A">
        <w:rPr>
          <w:rFonts w:eastAsia="Times New Roman"/>
          <w:szCs w:val="20"/>
        </w:rPr>
        <w:t xml:space="preserve"> jeb 22,2 procentiem.</w:t>
      </w:r>
    </w:p>
    <w:p w:rsidR="006247F6" w:rsidRPr="00791A21" w:rsidRDefault="000C2E3B" w:rsidP="00791A21">
      <w:pPr>
        <w:ind w:firstLine="0"/>
        <w:jc w:val="center"/>
        <w:rPr>
          <w:noProof/>
          <w:lang w:eastAsia="lv-LV"/>
        </w:rPr>
      </w:pPr>
      <w:r>
        <w:rPr>
          <w:noProof/>
          <w:lang w:eastAsia="lv-LV"/>
        </w:rPr>
        <w:drawing>
          <wp:inline distT="0" distB="0" distL="0" distR="0" wp14:anchorId="326AA388" wp14:editId="40106D60">
            <wp:extent cx="5991225" cy="3771900"/>
            <wp:effectExtent l="0" t="0" r="9525"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247F6" w:rsidRPr="00D24FBD" w:rsidRDefault="006247F6" w:rsidP="006247F6">
      <w:pPr>
        <w:ind w:firstLine="0"/>
        <w:jc w:val="center"/>
        <w:rPr>
          <w:rFonts w:cs="Times New Roman"/>
          <w:b/>
          <w:i/>
          <w:sz w:val="24"/>
        </w:rPr>
      </w:pPr>
      <w:r w:rsidRPr="00D24FBD">
        <w:rPr>
          <w:rFonts w:cs="Times New Roman"/>
          <w:b/>
          <w:i/>
          <w:sz w:val="24"/>
        </w:rPr>
        <w:t>3</w:t>
      </w:r>
      <w:r w:rsidR="00D24FBD">
        <w:rPr>
          <w:rFonts w:cs="Times New Roman"/>
          <w:b/>
          <w:i/>
          <w:sz w:val="24"/>
        </w:rPr>
        <w:t>4</w:t>
      </w:r>
      <w:r w:rsidRPr="00D24FBD">
        <w:rPr>
          <w:rFonts w:cs="Times New Roman"/>
          <w:b/>
          <w:i/>
          <w:sz w:val="24"/>
        </w:rPr>
        <w:t>. att. Valsts pamatbudžeta izdevumu izpilde 2014. gada pirmajā ceturksnī</w:t>
      </w:r>
      <w:r w:rsidRPr="00C6579D">
        <w:rPr>
          <w:rFonts w:eastAsia="Times New Roman"/>
          <w:b/>
          <w:i/>
          <w:szCs w:val="20"/>
        </w:rPr>
        <w:t xml:space="preserve"> </w:t>
      </w:r>
      <w:r w:rsidRPr="00D24FBD">
        <w:rPr>
          <w:rFonts w:cs="Times New Roman"/>
          <w:b/>
          <w:i/>
          <w:sz w:val="24"/>
        </w:rPr>
        <w:t>atbilstoši ekonomiskajām kategorijām</w:t>
      </w:r>
    </w:p>
    <w:p w:rsidR="006247F6" w:rsidRPr="00185DDE" w:rsidRDefault="006247F6" w:rsidP="006247F6">
      <w:pPr>
        <w:rPr>
          <w:rFonts w:eastAsia="Times New Roman"/>
          <w:sz w:val="24"/>
          <w:szCs w:val="20"/>
          <w:highlight w:val="yellow"/>
        </w:rPr>
      </w:pPr>
    </w:p>
    <w:p w:rsidR="006247F6" w:rsidRDefault="006247F6" w:rsidP="006247F6">
      <w:pPr>
        <w:rPr>
          <w:rFonts w:eastAsia="Times New Roman"/>
          <w:szCs w:val="20"/>
        </w:rPr>
      </w:pPr>
      <w:r w:rsidRPr="00D4319A">
        <w:rPr>
          <w:rFonts w:eastAsia="Times New Roman"/>
          <w:szCs w:val="20"/>
        </w:rPr>
        <w:t xml:space="preserve">2014. gada pirmajā ceturksnī valsts pamatbudžetā kopumā ir izlietoti 1232,4 milj. </w:t>
      </w:r>
      <w:proofErr w:type="spellStart"/>
      <w:r w:rsidRPr="00D4319A">
        <w:rPr>
          <w:rFonts w:eastAsia="Times New Roman"/>
          <w:i/>
          <w:szCs w:val="20"/>
        </w:rPr>
        <w:t>euro</w:t>
      </w:r>
      <w:proofErr w:type="spellEnd"/>
      <w:r w:rsidRPr="00D4319A">
        <w:rPr>
          <w:rFonts w:eastAsia="Times New Roman"/>
          <w:szCs w:val="20"/>
        </w:rPr>
        <w:t xml:space="preserve">, kas ir par 36,8 milj. </w:t>
      </w:r>
      <w:proofErr w:type="spellStart"/>
      <w:r w:rsidRPr="00D4319A">
        <w:rPr>
          <w:rFonts w:eastAsia="Times New Roman"/>
          <w:i/>
          <w:szCs w:val="20"/>
        </w:rPr>
        <w:t>euro</w:t>
      </w:r>
      <w:proofErr w:type="spellEnd"/>
      <w:r w:rsidRPr="00D4319A">
        <w:rPr>
          <w:rFonts w:eastAsia="Times New Roman"/>
          <w:szCs w:val="20"/>
        </w:rPr>
        <w:t xml:space="preserve"> mazāk nekā plānots. Kārtējiem izdevumiem izlietoti 291,6 milj. </w:t>
      </w:r>
      <w:proofErr w:type="spellStart"/>
      <w:r w:rsidRPr="00D4319A">
        <w:rPr>
          <w:rFonts w:eastAsia="Times New Roman"/>
          <w:i/>
          <w:szCs w:val="20"/>
        </w:rPr>
        <w:t>euro</w:t>
      </w:r>
      <w:proofErr w:type="spellEnd"/>
      <w:r w:rsidRPr="00D4319A">
        <w:rPr>
          <w:rFonts w:eastAsia="Times New Roman"/>
          <w:szCs w:val="20"/>
        </w:rPr>
        <w:t xml:space="preserve">, tai skaitā atlīdzībai 173,9 milj. </w:t>
      </w:r>
      <w:proofErr w:type="spellStart"/>
      <w:r w:rsidRPr="00D4319A">
        <w:rPr>
          <w:rFonts w:eastAsia="Times New Roman"/>
          <w:i/>
          <w:szCs w:val="20"/>
        </w:rPr>
        <w:t>euro</w:t>
      </w:r>
      <w:proofErr w:type="spellEnd"/>
      <w:r w:rsidRPr="00D4319A">
        <w:rPr>
          <w:rFonts w:eastAsia="Times New Roman"/>
          <w:szCs w:val="20"/>
        </w:rPr>
        <w:t xml:space="preserve"> (no tiem atalgojumam – 129,7 milj. </w:t>
      </w:r>
      <w:proofErr w:type="spellStart"/>
      <w:r w:rsidRPr="00D4319A">
        <w:rPr>
          <w:rFonts w:eastAsia="Times New Roman"/>
          <w:i/>
          <w:szCs w:val="20"/>
        </w:rPr>
        <w:t>euro</w:t>
      </w:r>
      <w:proofErr w:type="spellEnd"/>
      <w:r w:rsidRPr="00D4319A">
        <w:rPr>
          <w:rFonts w:eastAsia="Times New Roman"/>
          <w:szCs w:val="20"/>
        </w:rPr>
        <w:t xml:space="preserve">), precēm un pakalpojumiem – 117,7 milj. </w:t>
      </w:r>
      <w:proofErr w:type="spellStart"/>
      <w:r w:rsidRPr="00D4319A">
        <w:rPr>
          <w:rFonts w:eastAsia="Times New Roman"/>
          <w:i/>
          <w:szCs w:val="20"/>
        </w:rPr>
        <w:t>euro</w:t>
      </w:r>
      <w:proofErr w:type="spellEnd"/>
      <w:r w:rsidRPr="00D4319A">
        <w:rPr>
          <w:rFonts w:eastAsia="Times New Roman"/>
          <w:szCs w:val="20"/>
        </w:rPr>
        <w:t xml:space="preserve">. Kārtējiem izdevumiem plānotie līdzekļi nav izlietoti 18,3 milj. </w:t>
      </w:r>
      <w:proofErr w:type="spellStart"/>
      <w:r w:rsidRPr="00D4319A">
        <w:rPr>
          <w:rFonts w:eastAsia="Times New Roman"/>
          <w:i/>
          <w:szCs w:val="20"/>
        </w:rPr>
        <w:t>euro</w:t>
      </w:r>
      <w:proofErr w:type="spellEnd"/>
      <w:r w:rsidRPr="00D4319A">
        <w:rPr>
          <w:rFonts w:eastAsia="Times New Roman"/>
          <w:szCs w:val="20"/>
        </w:rPr>
        <w:t xml:space="preserve"> apmērā, tai skaitā atlīdzībai 5,8 milj. </w:t>
      </w:r>
      <w:proofErr w:type="spellStart"/>
      <w:r w:rsidRPr="00D4319A">
        <w:rPr>
          <w:rFonts w:eastAsia="Times New Roman"/>
          <w:i/>
          <w:szCs w:val="20"/>
        </w:rPr>
        <w:t>euro</w:t>
      </w:r>
      <w:proofErr w:type="spellEnd"/>
      <w:r w:rsidRPr="00D4319A">
        <w:rPr>
          <w:rFonts w:eastAsia="Times New Roman"/>
          <w:szCs w:val="20"/>
        </w:rPr>
        <w:t xml:space="preserve"> (no tiem atalgojumam – 4,0 milj. </w:t>
      </w:r>
      <w:proofErr w:type="spellStart"/>
      <w:r w:rsidRPr="00D4319A">
        <w:rPr>
          <w:rFonts w:eastAsia="Times New Roman"/>
          <w:i/>
          <w:szCs w:val="20"/>
        </w:rPr>
        <w:t>euro</w:t>
      </w:r>
      <w:proofErr w:type="spellEnd"/>
      <w:r w:rsidRPr="00D4319A">
        <w:rPr>
          <w:rFonts w:eastAsia="Times New Roman"/>
          <w:szCs w:val="20"/>
        </w:rPr>
        <w:t xml:space="preserve">), precēm un pakalpojumiem – 12,5 milj. </w:t>
      </w:r>
      <w:proofErr w:type="spellStart"/>
      <w:r w:rsidRPr="00D4319A">
        <w:rPr>
          <w:rFonts w:eastAsia="Times New Roman"/>
          <w:i/>
          <w:szCs w:val="20"/>
        </w:rPr>
        <w:t>euro</w:t>
      </w:r>
      <w:proofErr w:type="spellEnd"/>
      <w:r w:rsidRPr="00D4319A">
        <w:rPr>
          <w:rFonts w:eastAsia="Times New Roman"/>
          <w:szCs w:val="20"/>
        </w:rPr>
        <w:t xml:space="preserve">. Procentu izdevumiem izlietoti 142,4 milj. </w:t>
      </w:r>
      <w:proofErr w:type="spellStart"/>
      <w:r w:rsidRPr="00D4319A">
        <w:rPr>
          <w:rFonts w:eastAsia="Times New Roman"/>
          <w:i/>
          <w:szCs w:val="20"/>
        </w:rPr>
        <w:t>euro</w:t>
      </w:r>
      <w:proofErr w:type="spellEnd"/>
      <w:r w:rsidRPr="00D4319A">
        <w:rPr>
          <w:rFonts w:eastAsia="Times New Roman"/>
          <w:szCs w:val="20"/>
        </w:rPr>
        <w:t xml:space="preserve">. Subsīdijām, dotācijām un sociālajiem pabalstiem izlietoti 415,5 milj. </w:t>
      </w:r>
      <w:proofErr w:type="spellStart"/>
      <w:r w:rsidRPr="00D4319A">
        <w:rPr>
          <w:rFonts w:eastAsia="Times New Roman"/>
          <w:i/>
          <w:szCs w:val="20"/>
        </w:rPr>
        <w:t>euro</w:t>
      </w:r>
      <w:proofErr w:type="spellEnd"/>
      <w:r w:rsidRPr="00D4319A">
        <w:rPr>
          <w:rFonts w:eastAsia="Times New Roman"/>
          <w:szCs w:val="20"/>
        </w:rPr>
        <w:t xml:space="preserve">, tai skaitā subsīdijām un dotācijām – 357,1 milj. </w:t>
      </w:r>
      <w:proofErr w:type="spellStart"/>
      <w:r w:rsidRPr="00D4319A">
        <w:rPr>
          <w:rFonts w:eastAsia="Times New Roman"/>
          <w:i/>
          <w:szCs w:val="20"/>
        </w:rPr>
        <w:t>euro</w:t>
      </w:r>
      <w:proofErr w:type="spellEnd"/>
      <w:r w:rsidRPr="00D4319A">
        <w:rPr>
          <w:rFonts w:eastAsia="Times New Roman"/>
          <w:szCs w:val="20"/>
        </w:rPr>
        <w:t xml:space="preserve">, sociālajiem pabalstiem – 58,4 milj. </w:t>
      </w:r>
      <w:proofErr w:type="spellStart"/>
      <w:r w:rsidRPr="00D4319A">
        <w:rPr>
          <w:rFonts w:eastAsia="Times New Roman"/>
          <w:i/>
          <w:szCs w:val="20"/>
        </w:rPr>
        <w:t>euro</w:t>
      </w:r>
      <w:proofErr w:type="spellEnd"/>
      <w:r w:rsidRPr="00D4319A">
        <w:rPr>
          <w:rFonts w:eastAsia="Times New Roman"/>
          <w:szCs w:val="20"/>
        </w:rPr>
        <w:t xml:space="preserve">. Subsīdijām, dotācijām un sociālajiem </w:t>
      </w:r>
      <w:r w:rsidRPr="00D4319A">
        <w:rPr>
          <w:rFonts w:eastAsia="Times New Roman"/>
          <w:szCs w:val="20"/>
        </w:rPr>
        <w:lastRenderedPageBreak/>
        <w:t xml:space="preserve">pabalstiem plānotie līdzekļi nav apgūti 11,6 milj. </w:t>
      </w:r>
      <w:proofErr w:type="spellStart"/>
      <w:r w:rsidRPr="00D4319A">
        <w:rPr>
          <w:rFonts w:eastAsia="Times New Roman"/>
          <w:i/>
          <w:szCs w:val="20"/>
        </w:rPr>
        <w:t>euro</w:t>
      </w:r>
      <w:proofErr w:type="spellEnd"/>
      <w:r w:rsidRPr="00D4319A">
        <w:rPr>
          <w:rFonts w:eastAsia="Times New Roman"/>
          <w:szCs w:val="20"/>
        </w:rPr>
        <w:t xml:space="preserve"> apmērā, tai skaitā subsīdijām un dotācijām – 9,9 milj. </w:t>
      </w:r>
      <w:proofErr w:type="spellStart"/>
      <w:r w:rsidRPr="00D4319A">
        <w:rPr>
          <w:rFonts w:eastAsia="Times New Roman"/>
          <w:i/>
          <w:szCs w:val="20"/>
        </w:rPr>
        <w:t>euro</w:t>
      </w:r>
      <w:proofErr w:type="spellEnd"/>
      <w:r w:rsidRPr="00D4319A">
        <w:rPr>
          <w:rFonts w:eastAsia="Times New Roman"/>
          <w:szCs w:val="20"/>
        </w:rPr>
        <w:t xml:space="preserve">, sociālajiem pabalstiem – 1,7 milj. </w:t>
      </w:r>
      <w:proofErr w:type="spellStart"/>
      <w:r w:rsidRPr="00D4319A">
        <w:rPr>
          <w:rFonts w:eastAsia="Times New Roman"/>
          <w:i/>
          <w:szCs w:val="20"/>
        </w:rPr>
        <w:t>euro</w:t>
      </w:r>
      <w:proofErr w:type="spellEnd"/>
      <w:r w:rsidRPr="00D4319A">
        <w:rPr>
          <w:rFonts w:eastAsia="Times New Roman"/>
          <w:szCs w:val="20"/>
        </w:rPr>
        <w:t xml:space="preserve">. Kārtējiem maksājumiem Eiropas Savienības budžetā un starptautiskai sadarbībai izlietoti 112,9 milj. </w:t>
      </w:r>
      <w:proofErr w:type="spellStart"/>
      <w:r w:rsidRPr="00D4319A">
        <w:rPr>
          <w:rFonts w:eastAsia="Times New Roman"/>
          <w:i/>
          <w:szCs w:val="20"/>
        </w:rPr>
        <w:t>euro</w:t>
      </w:r>
      <w:proofErr w:type="spellEnd"/>
      <w:r w:rsidRPr="00D4319A">
        <w:rPr>
          <w:rFonts w:eastAsia="Times New Roman"/>
          <w:szCs w:val="20"/>
        </w:rPr>
        <w:t xml:space="preserve">, kas ir par 1,8 milj. </w:t>
      </w:r>
      <w:proofErr w:type="spellStart"/>
      <w:r w:rsidRPr="00D4319A">
        <w:rPr>
          <w:rFonts w:eastAsia="Times New Roman"/>
          <w:i/>
          <w:szCs w:val="20"/>
        </w:rPr>
        <w:t>euro</w:t>
      </w:r>
      <w:proofErr w:type="spellEnd"/>
      <w:r w:rsidRPr="00D4319A">
        <w:rPr>
          <w:rFonts w:eastAsia="Times New Roman"/>
          <w:szCs w:val="20"/>
        </w:rPr>
        <w:t xml:space="preserve"> mazāk nekā plānots 2014. gada pirmajā  ceturksnī. Uzturēšanas izdevumu </w:t>
      </w:r>
      <w:proofErr w:type="spellStart"/>
      <w:r w:rsidRPr="00D4319A">
        <w:rPr>
          <w:rFonts w:eastAsia="Times New Roman"/>
          <w:szCs w:val="20"/>
        </w:rPr>
        <w:t>transfertiem</w:t>
      </w:r>
      <w:proofErr w:type="spellEnd"/>
      <w:r w:rsidRPr="00D4319A">
        <w:rPr>
          <w:rFonts w:eastAsia="Times New Roman"/>
          <w:szCs w:val="20"/>
        </w:rPr>
        <w:t xml:space="preserve"> izlietoti 205,</w:t>
      </w:r>
      <w:r>
        <w:rPr>
          <w:rFonts w:eastAsia="Times New Roman"/>
          <w:szCs w:val="20"/>
        </w:rPr>
        <w:t>8</w:t>
      </w:r>
      <w:r w:rsidRPr="00D4319A">
        <w:rPr>
          <w:rFonts w:eastAsia="Times New Roman"/>
          <w:szCs w:val="20"/>
        </w:rPr>
        <w:t xml:space="preserve"> milj. </w:t>
      </w:r>
      <w:proofErr w:type="spellStart"/>
      <w:r w:rsidRPr="00D4319A">
        <w:rPr>
          <w:rFonts w:eastAsia="Times New Roman"/>
          <w:i/>
          <w:szCs w:val="20"/>
        </w:rPr>
        <w:t>euro</w:t>
      </w:r>
      <w:proofErr w:type="spellEnd"/>
      <w:r w:rsidRPr="00D4319A">
        <w:rPr>
          <w:rFonts w:eastAsia="Times New Roman"/>
          <w:szCs w:val="20"/>
        </w:rPr>
        <w:t xml:space="preserve">, tai skaitā valsts budžeta uzturēšanas izdevumu </w:t>
      </w:r>
      <w:proofErr w:type="spellStart"/>
      <w:r w:rsidRPr="00D4319A">
        <w:rPr>
          <w:rFonts w:eastAsia="Times New Roman"/>
          <w:szCs w:val="20"/>
        </w:rPr>
        <w:t>transfertiem</w:t>
      </w:r>
      <w:proofErr w:type="spellEnd"/>
      <w:r w:rsidRPr="00D4319A">
        <w:rPr>
          <w:rFonts w:eastAsia="Times New Roman"/>
          <w:szCs w:val="20"/>
        </w:rPr>
        <w:t xml:space="preserve"> no valsts pamatbudžeta uz valsts speciālo budžetu – 52,3 milj. </w:t>
      </w:r>
      <w:proofErr w:type="spellStart"/>
      <w:r w:rsidRPr="00D4319A">
        <w:rPr>
          <w:rFonts w:eastAsia="Times New Roman"/>
          <w:i/>
          <w:szCs w:val="20"/>
        </w:rPr>
        <w:t>euro</w:t>
      </w:r>
      <w:proofErr w:type="spellEnd"/>
      <w:r w:rsidRPr="00D4319A">
        <w:rPr>
          <w:rFonts w:eastAsia="Times New Roman"/>
          <w:szCs w:val="20"/>
        </w:rPr>
        <w:t xml:space="preserve">,  valsts budžeta uzturēšanas izdevumu </w:t>
      </w:r>
      <w:proofErr w:type="spellStart"/>
      <w:r w:rsidRPr="00D4319A">
        <w:rPr>
          <w:rFonts w:eastAsia="Times New Roman"/>
          <w:szCs w:val="20"/>
        </w:rPr>
        <w:t>transferti</w:t>
      </w:r>
      <w:proofErr w:type="spellEnd"/>
      <w:r w:rsidRPr="00D4319A">
        <w:rPr>
          <w:rFonts w:eastAsia="Times New Roman"/>
          <w:szCs w:val="20"/>
        </w:rPr>
        <w:t xml:space="preserve"> citiem budžetiem noteiktam mērķim – 145,4 milj. </w:t>
      </w:r>
      <w:proofErr w:type="spellStart"/>
      <w:r w:rsidRPr="00D4319A">
        <w:rPr>
          <w:rFonts w:eastAsia="Times New Roman"/>
          <w:i/>
          <w:szCs w:val="20"/>
        </w:rPr>
        <w:t>euro</w:t>
      </w:r>
      <w:proofErr w:type="spellEnd"/>
      <w:r w:rsidRPr="00D4319A">
        <w:rPr>
          <w:rFonts w:eastAsia="Times New Roman"/>
          <w:szCs w:val="20"/>
        </w:rPr>
        <w:t xml:space="preserve">, pārējie valsts budžeta uzturēšanas izdevumu </w:t>
      </w:r>
      <w:proofErr w:type="spellStart"/>
      <w:r w:rsidRPr="00D4319A">
        <w:rPr>
          <w:rFonts w:eastAsia="Times New Roman"/>
          <w:szCs w:val="20"/>
        </w:rPr>
        <w:t>transferti</w:t>
      </w:r>
      <w:proofErr w:type="spellEnd"/>
      <w:r w:rsidRPr="00D4319A">
        <w:rPr>
          <w:rFonts w:eastAsia="Times New Roman"/>
          <w:szCs w:val="20"/>
        </w:rPr>
        <w:t xml:space="preserve"> citiem budžetiem – 8,1 milj. </w:t>
      </w:r>
      <w:proofErr w:type="spellStart"/>
      <w:r w:rsidRPr="00D4319A">
        <w:rPr>
          <w:rFonts w:eastAsia="Times New Roman"/>
          <w:i/>
          <w:szCs w:val="20"/>
        </w:rPr>
        <w:t>euro</w:t>
      </w:r>
      <w:proofErr w:type="spellEnd"/>
      <w:r w:rsidRPr="00D4319A">
        <w:rPr>
          <w:rFonts w:eastAsia="Times New Roman"/>
          <w:szCs w:val="20"/>
        </w:rPr>
        <w:t xml:space="preserve">. Uzturēšanas izdevumu </w:t>
      </w:r>
      <w:proofErr w:type="spellStart"/>
      <w:r w:rsidRPr="00D4319A">
        <w:rPr>
          <w:rFonts w:eastAsia="Times New Roman"/>
          <w:szCs w:val="20"/>
        </w:rPr>
        <w:t>transfertiem</w:t>
      </w:r>
      <w:proofErr w:type="spellEnd"/>
      <w:r w:rsidRPr="00D4319A">
        <w:rPr>
          <w:rFonts w:eastAsia="Times New Roman"/>
          <w:szCs w:val="20"/>
        </w:rPr>
        <w:t xml:space="preserve"> plānotie līdzekļi nav apgūti 1,5 milj. </w:t>
      </w:r>
      <w:proofErr w:type="spellStart"/>
      <w:r w:rsidRPr="00D4319A">
        <w:rPr>
          <w:rFonts w:eastAsia="Times New Roman"/>
          <w:i/>
          <w:szCs w:val="20"/>
        </w:rPr>
        <w:t>euro</w:t>
      </w:r>
      <w:proofErr w:type="spellEnd"/>
      <w:r w:rsidRPr="00D4319A">
        <w:rPr>
          <w:rFonts w:eastAsia="Times New Roman"/>
          <w:szCs w:val="20"/>
        </w:rPr>
        <w:t xml:space="preserve"> apmērā. Kapitālajiem izdevumiem izlietoti 64,2 milj. </w:t>
      </w:r>
      <w:proofErr w:type="spellStart"/>
      <w:r w:rsidRPr="00D4319A">
        <w:rPr>
          <w:rFonts w:eastAsia="Times New Roman"/>
          <w:i/>
          <w:szCs w:val="20"/>
        </w:rPr>
        <w:t>euro</w:t>
      </w:r>
      <w:proofErr w:type="spellEnd"/>
      <w:r w:rsidRPr="00D4319A">
        <w:rPr>
          <w:rFonts w:eastAsia="Times New Roman"/>
          <w:szCs w:val="20"/>
        </w:rPr>
        <w:t xml:space="preserve">, tai skaitā pamatkapitāla veidošanai – 31,2 milj. </w:t>
      </w:r>
      <w:proofErr w:type="spellStart"/>
      <w:r w:rsidRPr="00D4319A">
        <w:rPr>
          <w:rFonts w:eastAsia="Times New Roman"/>
          <w:i/>
          <w:szCs w:val="20"/>
        </w:rPr>
        <w:t>euro</w:t>
      </w:r>
      <w:proofErr w:type="spellEnd"/>
      <w:r w:rsidRPr="00D4319A">
        <w:rPr>
          <w:rFonts w:eastAsia="Times New Roman"/>
          <w:szCs w:val="20"/>
        </w:rPr>
        <w:t xml:space="preserve"> un valsts budžeta </w:t>
      </w:r>
      <w:proofErr w:type="spellStart"/>
      <w:r w:rsidRPr="00D4319A">
        <w:rPr>
          <w:rFonts w:eastAsia="Times New Roman"/>
          <w:szCs w:val="20"/>
        </w:rPr>
        <w:t>transferti</w:t>
      </w:r>
      <w:proofErr w:type="spellEnd"/>
      <w:r w:rsidRPr="00D4319A">
        <w:rPr>
          <w:rFonts w:eastAsia="Times New Roman"/>
          <w:szCs w:val="20"/>
        </w:rPr>
        <w:t xml:space="preserve"> kapitālajiem izdevumiem citiem budžetiem noteiktam mērķim – 33,0 milj. </w:t>
      </w:r>
      <w:proofErr w:type="spellStart"/>
      <w:r w:rsidRPr="00D4319A">
        <w:rPr>
          <w:rFonts w:eastAsia="Times New Roman"/>
          <w:i/>
          <w:szCs w:val="20"/>
        </w:rPr>
        <w:t>euro</w:t>
      </w:r>
      <w:proofErr w:type="spellEnd"/>
      <w:r w:rsidRPr="00D4319A">
        <w:rPr>
          <w:rFonts w:eastAsia="Times New Roman"/>
          <w:szCs w:val="20"/>
        </w:rPr>
        <w:t xml:space="preserve">. Kapitālajiem izdevumiem, salīdzinot ar plānoto, nav izlietoti – 3,6 milj. </w:t>
      </w:r>
      <w:proofErr w:type="spellStart"/>
      <w:r w:rsidRPr="00D4319A">
        <w:rPr>
          <w:rFonts w:eastAsia="Times New Roman"/>
          <w:i/>
          <w:szCs w:val="20"/>
        </w:rPr>
        <w:t>euro</w:t>
      </w:r>
      <w:proofErr w:type="spellEnd"/>
      <w:r w:rsidRPr="00D4319A">
        <w:rPr>
          <w:rFonts w:eastAsia="Times New Roman"/>
          <w:szCs w:val="20"/>
        </w:rPr>
        <w:t>.</w:t>
      </w:r>
    </w:p>
    <w:p w:rsidR="006247F6" w:rsidRPr="00FB3DD1" w:rsidRDefault="006247F6" w:rsidP="006247F6">
      <w:pPr>
        <w:rPr>
          <w:rFonts w:eastAsia="Times New Roman"/>
          <w:sz w:val="10"/>
          <w:szCs w:val="20"/>
        </w:rPr>
      </w:pPr>
    </w:p>
    <w:p w:rsidR="006247F6" w:rsidRPr="00D4319A" w:rsidRDefault="006247F6" w:rsidP="005C00B2">
      <w:pPr>
        <w:rPr>
          <w:rFonts w:eastAsia="Times New Roman"/>
          <w:b/>
          <w:i/>
          <w:szCs w:val="20"/>
        </w:rPr>
      </w:pPr>
      <w:r w:rsidRPr="005C00B2">
        <w:rPr>
          <w:rFonts w:cs="Times New Roman"/>
          <w:b/>
          <w:i/>
          <w:sz w:val="24"/>
        </w:rPr>
        <w:t>6. tabula. Valsts pamatbudžeta izdevumu struktūra, % no kopējiem izdevumiem</w:t>
      </w:r>
    </w:p>
    <w:tbl>
      <w:tblPr>
        <w:tblW w:w="940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0"/>
        <w:gridCol w:w="2227"/>
        <w:gridCol w:w="2227"/>
      </w:tblGrid>
      <w:tr w:rsidR="006247F6" w:rsidRPr="00D4319A" w:rsidTr="00791A21">
        <w:trPr>
          <w:trHeight w:val="512"/>
        </w:trPr>
        <w:tc>
          <w:tcPr>
            <w:tcW w:w="4950" w:type="dxa"/>
            <w:vAlign w:val="bottom"/>
          </w:tcPr>
          <w:p w:rsidR="006247F6" w:rsidRPr="00D4319A" w:rsidRDefault="006247F6" w:rsidP="005C7D14">
            <w:pPr>
              <w:spacing w:after="0"/>
              <w:jc w:val="center"/>
              <w:rPr>
                <w:rFonts w:eastAsia="Times New Roman"/>
                <w:sz w:val="20"/>
                <w:szCs w:val="20"/>
              </w:rPr>
            </w:pPr>
            <w:r w:rsidRPr="00D4319A">
              <w:rPr>
                <w:rFonts w:eastAsia="Times New Roman"/>
                <w:sz w:val="20"/>
                <w:szCs w:val="20"/>
              </w:rPr>
              <w:t>Rādītāji</w:t>
            </w:r>
          </w:p>
        </w:tc>
        <w:tc>
          <w:tcPr>
            <w:tcW w:w="2227" w:type="dxa"/>
            <w:vAlign w:val="bottom"/>
          </w:tcPr>
          <w:p w:rsidR="006247F6" w:rsidRPr="00D4319A" w:rsidRDefault="006247F6" w:rsidP="005C7D14">
            <w:pPr>
              <w:spacing w:after="0"/>
              <w:rPr>
                <w:rFonts w:eastAsia="Times New Roman"/>
                <w:sz w:val="20"/>
                <w:szCs w:val="20"/>
              </w:rPr>
            </w:pPr>
            <w:r w:rsidRPr="00D4319A">
              <w:rPr>
                <w:rFonts w:eastAsia="Times New Roman"/>
                <w:sz w:val="20"/>
                <w:szCs w:val="20"/>
              </w:rPr>
              <w:t xml:space="preserve">2013. gada </w:t>
            </w:r>
          </w:p>
          <w:p w:rsidR="006247F6" w:rsidRPr="00D4319A" w:rsidRDefault="006247F6" w:rsidP="005C7D14">
            <w:pPr>
              <w:spacing w:after="0"/>
              <w:rPr>
                <w:rFonts w:eastAsia="Times New Roman"/>
                <w:sz w:val="20"/>
                <w:szCs w:val="20"/>
              </w:rPr>
            </w:pPr>
            <w:r w:rsidRPr="00D4319A">
              <w:rPr>
                <w:rFonts w:eastAsia="Times New Roman"/>
                <w:sz w:val="20"/>
                <w:szCs w:val="20"/>
              </w:rPr>
              <w:t>I ceturksnis</w:t>
            </w:r>
          </w:p>
        </w:tc>
        <w:tc>
          <w:tcPr>
            <w:tcW w:w="2227" w:type="dxa"/>
            <w:vAlign w:val="bottom"/>
          </w:tcPr>
          <w:p w:rsidR="006247F6" w:rsidRPr="00D4319A" w:rsidRDefault="006247F6" w:rsidP="005C7D14">
            <w:pPr>
              <w:spacing w:after="0"/>
              <w:rPr>
                <w:rFonts w:eastAsia="Times New Roman"/>
                <w:sz w:val="20"/>
                <w:szCs w:val="20"/>
              </w:rPr>
            </w:pPr>
            <w:r w:rsidRPr="00D4319A">
              <w:rPr>
                <w:rFonts w:eastAsia="Times New Roman"/>
                <w:sz w:val="20"/>
                <w:szCs w:val="20"/>
              </w:rPr>
              <w:t xml:space="preserve">2014. gada </w:t>
            </w:r>
          </w:p>
          <w:p w:rsidR="006247F6" w:rsidRPr="00D4319A" w:rsidRDefault="006247F6" w:rsidP="005C7D14">
            <w:pPr>
              <w:spacing w:after="0"/>
              <w:rPr>
                <w:rFonts w:eastAsia="Times New Roman"/>
                <w:sz w:val="20"/>
                <w:szCs w:val="20"/>
              </w:rPr>
            </w:pPr>
            <w:r w:rsidRPr="00D4319A">
              <w:rPr>
                <w:rFonts w:eastAsia="Times New Roman"/>
                <w:sz w:val="20"/>
                <w:szCs w:val="20"/>
              </w:rPr>
              <w:t>I ceturksnis</w:t>
            </w:r>
          </w:p>
        </w:tc>
      </w:tr>
      <w:tr w:rsidR="006247F6" w:rsidRPr="00D4319A" w:rsidTr="00791A21">
        <w:trPr>
          <w:trHeight w:val="256"/>
        </w:trPr>
        <w:tc>
          <w:tcPr>
            <w:tcW w:w="4950" w:type="dxa"/>
            <w:vAlign w:val="center"/>
          </w:tcPr>
          <w:p w:rsidR="006247F6" w:rsidRPr="00D4319A" w:rsidRDefault="006247F6" w:rsidP="005C7D14">
            <w:pPr>
              <w:spacing w:after="0"/>
              <w:rPr>
                <w:rFonts w:eastAsia="Times New Roman"/>
                <w:sz w:val="20"/>
                <w:szCs w:val="20"/>
              </w:rPr>
            </w:pPr>
            <w:r w:rsidRPr="00D4319A">
              <w:rPr>
                <w:rFonts w:eastAsia="Times New Roman"/>
                <w:snapToGrid w:val="0"/>
                <w:sz w:val="20"/>
                <w:szCs w:val="20"/>
              </w:rPr>
              <w:t>Kārtējie izdevumi</w:t>
            </w:r>
          </w:p>
        </w:tc>
        <w:tc>
          <w:tcPr>
            <w:tcW w:w="2227" w:type="dxa"/>
            <w:vAlign w:val="bottom"/>
          </w:tcPr>
          <w:p w:rsidR="006247F6" w:rsidRPr="00D4319A" w:rsidRDefault="006247F6" w:rsidP="005C7D14">
            <w:pPr>
              <w:spacing w:after="0"/>
              <w:ind w:firstLine="0"/>
              <w:jc w:val="right"/>
              <w:rPr>
                <w:sz w:val="20"/>
                <w:szCs w:val="20"/>
              </w:rPr>
            </w:pPr>
            <w:r w:rsidRPr="00D4319A">
              <w:rPr>
                <w:sz w:val="20"/>
                <w:szCs w:val="20"/>
              </w:rPr>
              <w:t xml:space="preserve">               24,1</w:t>
            </w:r>
          </w:p>
        </w:tc>
        <w:tc>
          <w:tcPr>
            <w:tcW w:w="2227" w:type="dxa"/>
            <w:vAlign w:val="bottom"/>
          </w:tcPr>
          <w:p w:rsidR="006247F6" w:rsidRPr="00D4319A" w:rsidRDefault="006247F6" w:rsidP="005C7D14">
            <w:pPr>
              <w:spacing w:after="0"/>
              <w:ind w:firstLine="0"/>
              <w:jc w:val="right"/>
              <w:rPr>
                <w:sz w:val="20"/>
                <w:szCs w:val="20"/>
              </w:rPr>
            </w:pPr>
            <w:r w:rsidRPr="00D4319A">
              <w:rPr>
                <w:sz w:val="20"/>
                <w:szCs w:val="20"/>
              </w:rPr>
              <w:t xml:space="preserve">               23,7</w:t>
            </w:r>
          </w:p>
        </w:tc>
      </w:tr>
      <w:tr w:rsidR="006247F6" w:rsidRPr="00D4319A" w:rsidTr="00791A21">
        <w:trPr>
          <w:trHeight w:val="392"/>
        </w:trPr>
        <w:tc>
          <w:tcPr>
            <w:tcW w:w="4950" w:type="dxa"/>
            <w:vAlign w:val="center"/>
          </w:tcPr>
          <w:p w:rsidR="006247F6" w:rsidRPr="00D4319A" w:rsidRDefault="006247F6" w:rsidP="005C7D14">
            <w:pPr>
              <w:spacing w:after="0"/>
              <w:rPr>
                <w:rFonts w:eastAsia="Times New Roman"/>
                <w:sz w:val="20"/>
                <w:szCs w:val="20"/>
              </w:rPr>
            </w:pPr>
            <w:r w:rsidRPr="00D4319A">
              <w:rPr>
                <w:rFonts w:eastAsia="Times New Roman"/>
                <w:snapToGrid w:val="0"/>
                <w:sz w:val="20"/>
                <w:szCs w:val="20"/>
              </w:rPr>
              <w:t>Procentu  izdevumi</w:t>
            </w:r>
          </w:p>
        </w:tc>
        <w:tc>
          <w:tcPr>
            <w:tcW w:w="2227" w:type="dxa"/>
            <w:vAlign w:val="bottom"/>
          </w:tcPr>
          <w:p w:rsidR="006247F6" w:rsidRPr="00D4319A" w:rsidRDefault="006247F6" w:rsidP="005C7D14">
            <w:pPr>
              <w:jc w:val="right"/>
              <w:rPr>
                <w:sz w:val="20"/>
                <w:szCs w:val="20"/>
              </w:rPr>
            </w:pPr>
            <w:r w:rsidRPr="00D4319A">
              <w:rPr>
                <w:sz w:val="20"/>
                <w:szCs w:val="20"/>
              </w:rPr>
              <w:t>12,5</w:t>
            </w:r>
          </w:p>
        </w:tc>
        <w:tc>
          <w:tcPr>
            <w:tcW w:w="2227" w:type="dxa"/>
            <w:vAlign w:val="bottom"/>
          </w:tcPr>
          <w:p w:rsidR="006247F6" w:rsidRPr="00D4319A" w:rsidRDefault="006247F6" w:rsidP="005C7D14">
            <w:pPr>
              <w:jc w:val="right"/>
              <w:rPr>
                <w:sz w:val="20"/>
                <w:szCs w:val="20"/>
              </w:rPr>
            </w:pPr>
            <w:r w:rsidRPr="00D4319A">
              <w:rPr>
                <w:sz w:val="20"/>
                <w:szCs w:val="20"/>
              </w:rPr>
              <w:t>11,6</w:t>
            </w:r>
          </w:p>
        </w:tc>
      </w:tr>
      <w:tr w:rsidR="006247F6" w:rsidRPr="00D4319A" w:rsidTr="00791A21">
        <w:trPr>
          <w:trHeight w:val="392"/>
        </w:trPr>
        <w:tc>
          <w:tcPr>
            <w:tcW w:w="4950" w:type="dxa"/>
            <w:vAlign w:val="center"/>
          </w:tcPr>
          <w:p w:rsidR="006247F6" w:rsidRPr="00D4319A" w:rsidRDefault="006247F6" w:rsidP="005C7D14">
            <w:pPr>
              <w:spacing w:after="0"/>
              <w:rPr>
                <w:rFonts w:eastAsia="Times New Roman"/>
                <w:sz w:val="20"/>
                <w:szCs w:val="20"/>
              </w:rPr>
            </w:pPr>
            <w:r w:rsidRPr="00D4319A">
              <w:rPr>
                <w:rFonts w:eastAsia="Times New Roman"/>
                <w:snapToGrid w:val="0"/>
                <w:sz w:val="20"/>
                <w:szCs w:val="20"/>
              </w:rPr>
              <w:t>Subsīdijas, dotācijas un sociālie pabalsti</w:t>
            </w:r>
          </w:p>
        </w:tc>
        <w:tc>
          <w:tcPr>
            <w:tcW w:w="2227" w:type="dxa"/>
            <w:vAlign w:val="bottom"/>
          </w:tcPr>
          <w:p w:rsidR="006247F6" w:rsidRPr="00D4319A" w:rsidRDefault="006247F6" w:rsidP="005C7D14">
            <w:pPr>
              <w:jc w:val="right"/>
              <w:rPr>
                <w:sz w:val="20"/>
                <w:szCs w:val="20"/>
              </w:rPr>
            </w:pPr>
            <w:r w:rsidRPr="00D4319A">
              <w:rPr>
                <w:sz w:val="20"/>
                <w:szCs w:val="20"/>
              </w:rPr>
              <w:t>35,6</w:t>
            </w:r>
          </w:p>
        </w:tc>
        <w:tc>
          <w:tcPr>
            <w:tcW w:w="2227" w:type="dxa"/>
            <w:vAlign w:val="bottom"/>
          </w:tcPr>
          <w:p w:rsidR="006247F6" w:rsidRPr="00D4319A" w:rsidRDefault="006247F6" w:rsidP="005C7D14">
            <w:pPr>
              <w:jc w:val="right"/>
              <w:rPr>
                <w:sz w:val="20"/>
                <w:szCs w:val="20"/>
              </w:rPr>
            </w:pPr>
            <w:r w:rsidRPr="00D4319A">
              <w:rPr>
                <w:sz w:val="20"/>
                <w:szCs w:val="20"/>
              </w:rPr>
              <w:t>33,7</w:t>
            </w:r>
          </w:p>
        </w:tc>
      </w:tr>
      <w:tr w:rsidR="006247F6" w:rsidRPr="00D4319A" w:rsidTr="00791A21">
        <w:trPr>
          <w:trHeight w:val="529"/>
        </w:trPr>
        <w:tc>
          <w:tcPr>
            <w:tcW w:w="4950" w:type="dxa"/>
            <w:vAlign w:val="center"/>
          </w:tcPr>
          <w:p w:rsidR="006247F6" w:rsidRPr="00D4319A" w:rsidRDefault="006247F6" w:rsidP="005C7D14">
            <w:pPr>
              <w:spacing w:after="0"/>
              <w:rPr>
                <w:rFonts w:eastAsia="Times New Roman"/>
                <w:sz w:val="20"/>
                <w:szCs w:val="20"/>
              </w:rPr>
            </w:pPr>
            <w:r w:rsidRPr="00D4319A">
              <w:rPr>
                <w:rFonts w:eastAsia="Times New Roman"/>
                <w:snapToGrid w:val="0"/>
                <w:sz w:val="20"/>
                <w:szCs w:val="20"/>
              </w:rPr>
              <w:t>Kārtējie maksājumi Eiropas Savienības budžetā un starptautiskā sadarbība</w:t>
            </w:r>
          </w:p>
        </w:tc>
        <w:tc>
          <w:tcPr>
            <w:tcW w:w="2227" w:type="dxa"/>
            <w:vAlign w:val="bottom"/>
          </w:tcPr>
          <w:p w:rsidR="006247F6" w:rsidRPr="00D4319A" w:rsidRDefault="006247F6" w:rsidP="005C7D14">
            <w:pPr>
              <w:jc w:val="right"/>
              <w:rPr>
                <w:sz w:val="20"/>
                <w:szCs w:val="20"/>
              </w:rPr>
            </w:pPr>
            <w:r w:rsidRPr="00D4319A">
              <w:rPr>
                <w:sz w:val="20"/>
                <w:szCs w:val="20"/>
              </w:rPr>
              <w:t>8,8</w:t>
            </w:r>
          </w:p>
        </w:tc>
        <w:tc>
          <w:tcPr>
            <w:tcW w:w="2227" w:type="dxa"/>
            <w:vAlign w:val="bottom"/>
          </w:tcPr>
          <w:p w:rsidR="006247F6" w:rsidRPr="00D4319A" w:rsidRDefault="006247F6" w:rsidP="005C7D14">
            <w:pPr>
              <w:jc w:val="right"/>
              <w:rPr>
                <w:sz w:val="20"/>
                <w:szCs w:val="20"/>
              </w:rPr>
            </w:pPr>
            <w:r w:rsidRPr="00D4319A">
              <w:rPr>
                <w:sz w:val="20"/>
                <w:szCs w:val="20"/>
              </w:rPr>
              <w:t>9,2</w:t>
            </w:r>
          </w:p>
        </w:tc>
      </w:tr>
      <w:tr w:rsidR="006247F6" w:rsidRPr="00D4319A" w:rsidTr="00791A21">
        <w:trPr>
          <w:trHeight w:val="392"/>
        </w:trPr>
        <w:tc>
          <w:tcPr>
            <w:tcW w:w="4950" w:type="dxa"/>
            <w:vAlign w:val="center"/>
          </w:tcPr>
          <w:p w:rsidR="006247F6" w:rsidRPr="00D4319A" w:rsidRDefault="006247F6" w:rsidP="005C7D14">
            <w:pPr>
              <w:spacing w:after="0"/>
              <w:rPr>
                <w:rFonts w:eastAsia="Times New Roman"/>
                <w:sz w:val="20"/>
                <w:szCs w:val="20"/>
              </w:rPr>
            </w:pPr>
            <w:r w:rsidRPr="00D4319A">
              <w:rPr>
                <w:rFonts w:eastAsia="Times New Roman"/>
                <w:snapToGrid w:val="0"/>
                <w:sz w:val="20"/>
                <w:szCs w:val="20"/>
              </w:rPr>
              <w:t xml:space="preserve">Uzturēšanas izdevumu </w:t>
            </w:r>
            <w:proofErr w:type="spellStart"/>
            <w:r w:rsidRPr="00D4319A">
              <w:rPr>
                <w:rFonts w:eastAsia="Times New Roman"/>
                <w:snapToGrid w:val="0"/>
                <w:sz w:val="20"/>
                <w:szCs w:val="20"/>
              </w:rPr>
              <w:t>transferti</w:t>
            </w:r>
            <w:proofErr w:type="spellEnd"/>
          </w:p>
        </w:tc>
        <w:tc>
          <w:tcPr>
            <w:tcW w:w="2227" w:type="dxa"/>
            <w:vAlign w:val="bottom"/>
          </w:tcPr>
          <w:p w:rsidR="006247F6" w:rsidRPr="00D4319A" w:rsidRDefault="006247F6" w:rsidP="005C7D14">
            <w:pPr>
              <w:jc w:val="right"/>
              <w:rPr>
                <w:sz w:val="20"/>
                <w:szCs w:val="20"/>
              </w:rPr>
            </w:pPr>
            <w:r w:rsidRPr="00D4319A">
              <w:rPr>
                <w:sz w:val="20"/>
                <w:szCs w:val="20"/>
              </w:rPr>
              <w:t>14,4</w:t>
            </w:r>
          </w:p>
        </w:tc>
        <w:tc>
          <w:tcPr>
            <w:tcW w:w="2227" w:type="dxa"/>
            <w:vAlign w:val="bottom"/>
          </w:tcPr>
          <w:p w:rsidR="006247F6" w:rsidRPr="00D4319A" w:rsidRDefault="006247F6" w:rsidP="005C7D14">
            <w:pPr>
              <w:jc w:val="right"/>
              <w:rPr>
                <w:sz w:val="20"/>
                <w:szCs w:val="20"/>
              </w:rPr>
            </w:pPr>
            <w:r w:rsidRPr="00D4319A">
              <w:rPr>
                <w:sz w:val="20"/>
                <w:szCs w:val="20"/>
              </w:rPr>
              <w:t>16,7</w:t>
            </w:r>
          </w:p>
        </w:tc>
      </w:tr>
      <w:tr w:rsidR="006247F6" w:rsidRPr="006A4BA1" w:rsidTr="00791A21">
        <w:trPr>
          <w:trHeight w:val="375"/>
        </w:trPr>
        <w:tc>
          <w:tcPr>
            <w:tcW w:w="4950" w:type="dxa"/>
            <w:vAlign w:val="center"/>
          </w:tcPr>
          <w:p w:rsidR="006247F6" w:rsidRPr="00D4319A" w:rsidRDefault="006247F6" w:rsidP="005C7D14">
            <w:pPr>
              <w:spacing w:after="0"/>
              <w:rPr>
                <w:rFonts w:eastAsia="Times New Roman"/>
                <w:sz w:val="20"/>
                <w:szCs w:val="20"/>
              </w:rPr>
            </w:pPr>
            <w:r w:rsidRPr="00D4319A">
              <w:rPr>
                <w:rFonts w:eastAsia="Times New Roman"/>
                <w:snapToGrid w:val="0"/>
                <w:sz w:val="20"/>
                <w:szCs w:val="20"/>
              </w:rPr>
              <w:t>Kapitālie izdevumi</w:t>
            </w:r>
          </w:p>
        </w:tc>
        <w:tc>
          <w:tcPr>
            <w:tcW w:w="2227" w:type="dxa"/>
            <w:vAlign w:val="bottom"/>
          </w:tcPr>
          <w:p w:rsidR="006247F6" w:rsidRPr="00D4319A" w:rsidRDefault="006247F6" w:rsidP="005C7D14">
            <w:pPr>
              <w:jc w:val="right"/>
              <w:rPr>
                <w:sz w:val="20"/>
                <w:szCs w:val="20"/>
              </w:rPr>
            </w:pPr>
            <w:r w:rsidRPr="00D4319A">
              <w:rPr>
                <w:sz w:val="20"/>
                <w:szCs w:val="20"/>
              </w:rPr>
              <w:t>4,7</w:t>
            </w:r>
          </w:p>
        </w:tc>
        <w:tc>
          <w:tcPr>
            <w:tcW w:w="2227" w:type="dxa"/>
            <w:vAlign w:val="bottom"/>
          </w:tcPr>
          <w:p w:rsidR="006247F6" w:rsidRDefault="006247F6" w:rsidP="005C7D14">
            <w:pPr>
              <w:jc w:val="right"/>
              <w:rPr>
                <w:sz w:val="20"/>
                <w:szCs w:val="20"/>
              </w:rPr>
            </w:pPr>
            <w:r w:rsidRPr="00D4319A">
              <w:rPr>
                <w:sz w:val="20"/>
                <w:szCs w:val="20"/>
              </w:rPr>
              <w:t>5,2</w:t>
            </w:r>
          </w:p>
        </w:tc>
      </w:tr>
    </w:tbl>
    <w:p w:rsidR="006247F6" w:rsidRPr="006A4BA1" w:rsidRDefault="006247F6" w:rsidP="006247F6">
      <w:pPr>
        <w:rPr>
          <w:rFonts w:eastAsia="Times New Roman"/>
          <w:szCs w:val="20"/>
          <w:highlight w:val="yellow"/>
        </w:rPr>
      </w:pPr>
    </w:p>
    <w:p w:rsidR="006247F6" w:rsidRPr="00D4319A" w:rsidRDefault="006247F6" w:rsidP="006247F6">
      <w:pPr>
        <w:rPr>
          <w:rFonts w:eastAsia="Times New Roman"/>
          <w:szCs w:val="20"/>
        </w:rPr>
      </w:pPr>
      <w:r w:rsidRPr="00D4319A">
        <w:rPr>
          <w:rFonts w:eastAsia="Times New Roman"/>
          <w:szCs w:val="20"/>
        </w:rPr>
        <w:t>2014. gada pirmajā ceturksnī izdevumi galvenokārt izlietoti subsīdijām, dotācijām un sociālajiem pabalstiem – 33,7% un kārtējiem izdevumiem – 23,7% no kopējiem izdevumiem.</w:t>
      </w:r>
    </w:p>
    <w:p w:rsidR="006247F6" w:rsidRPr="00FB3DD1" w:rsidRDefault="006247F6" w:rsidP="005C00B2">
      <w:pPr>
        <w:jc w:val="center"/>
        <w:rPr>
          <w:rFonts w:cs="Times New Roman"/>
          <w:b/>
          <w:i/>
          <w:sz w:val="16"/>
        </w:rPr>
      </w:pPr>
    </w:p>
    <w:p w:rsidR="006247F6" w:rsidRPr="005C00B2" w:rsidRDefault="006247F6" w:rsidP="005C00B2">
      <w:pPr>
        <w:rPr>
          <w:rFonts w:cs="Times New Roman"/>
          <w:b/>
          <w:i/>
          <w:sz w:val="24"/>
        </w:rPr>
      </w:pPr>
      <w:r w:rsidRPr="005C00B2">
        <w:rPr>
          <w:rFonts w:cs="Times New Roman"/>
          <w:b/>
          <w:i/>
          <w:sz w:val="24"/>
        </w:rPr>
        <w:t xml:space="preserve">7. tabula. Valsts pamatbudžeta izdevumi atbilstoši funkcionālajām kategorijām, % no </w:t>
      </w:r>
      <w:r w:rsidR="005C00B2">
        <w:rPr>
          <w:rFonts w:cs="Times New Roman"/>
          <w:b/>
          <w:i/>
          <w:sz w:val="24"/>
        </w:rPr>
        <w:t xml:space="preserve"> </w:t>
      </w:r>
      <w:r w:rsidRPr="005C00B2">
        <w:rPr>
          <w:rFonts w:cs="Times New Roman"/>
          <w:b/>
          <w:i/>
          <w:sz w:val="24"/>
        </w:rPr>
        <w:t>kopējā izdevumu apjoma</w:t>
      </w:r>
    </w:p>
    <w:tbl>
      <w:tblPr>
        <w:tblW w:w="9596"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5077"/>
        <w:gridCol w:w="2337"/>
        <w:gridCol w:w="2182"/>
      </w:tblGrid>
      <w:tr w:rsidR="006247F6" w:rsidRPr="00D4319A" w:rsidTr="00791A21">
        <w:trPr>
          <w:cantSplit/>
          <w:trHeight w:val="534"/>
          <w:tblHeader/>
        </w:trPr>
        <w:tc>
          <w:tcPr>
            <w:tcW w:w="5077" w:type="dxa"/>
            <w:tcBorders>
              <w:top w:val="single" w:sz="4" w:space="0" w:color="auto"/>
              <w:left w:val="single" w:sz="4" w:space="0" w:color="auto"/>
            </w:tcBorders>
          </w:tcPr>
          <w:p w:rsidR="006247F6" w:rsidRPr="00D4319A" w:rsidRDefault="006247F6" w:rsidP="005C7D14">
            <w:pPr>
              <w:spacing w:after="0"/>
              <w:jc w:val="center"/>
              <w:rPr>
                <w:rFonts w:eastAsia="Times New Roman"/>
                <w:snapToGrid w:val="0"/>
                <w:sz w:val="20"/>
                <w:szCs w:val="20"/>
              </w:rPr>
            </w:pPr>
            <w:r w:rsidRPr="00D4319A">
              <w:rPr>
                <w:rFonts w:eastAsia="Times New Roman"/>
                <w:snapToGrid w:val="0"/>
                <w:sz w:val="20"/>
                <w:szCs w:val="20"/>
              </w:rPr>
              <w:t>Rādītāji</w:t>
            </w:r>
          </w:p>
        </w:tc>
        <w:tc>
          <w:tcPr>
            <w:tcW w:w="2337" w:type="dxa"/>
            <w:tcBorders>
              <w:top w:val="single" w:sz="4" w:space="0" w:color="auto"/>
            </w:tcBorders>
          </w:tcPr>
          <w:p w:rsidR="006247F6" w:rsidRPr="00D4319A" w:rsidRDefault="006247F6" w:rsidP="005C7D14">
            <w:pPr>
              <w:spacing w:after="0"/>
              <w:ind w:firstLine="0"/>
              <w:jc w:val="center"/>
              <w:rPr>
                <w:rFonts w:eastAsia="Times New Roman"/>
                <w:snapToGrid w:val="0"/>
                <w:sz w:val="20"/>
                <w:szCs w:val="20"/>
              </w:rPr>
            </w:pPr>
            <w:r w:rsidRPr="00D4319A">
              <w:rPr>
                <w:rFonts w:eastAsia="Times New Roman"/>
                <w:snapToGrid w:val="0"/>
                <w:sz w:val="20"/>
                <w:szCs w:val="20"/>
              </w:rPr>
              <w:t>2013.gada</w:t>
            </w:r>
          </w:p>
          <w:p w:rsidR="006247F6" w:rsidRPr="00D4319A" w:rsidRDefault="006247F6" w:rsidP="005C7D14">
            <w:pPr>
              <w:spacing w:after="0"/>
              <w:ind w:firstLine="0"/>
              <w:jc w:val="center"/>
              <w:rPr>
                <w:rFonts w:eastAsia="Times New Roman"/>
                <w:snapToGrid w:val="0"/>
                <w:sz w:val="20"/>
                <w:szCs w:val="20"/>
              </w:rPr>
            </w:pPr>
            <w:r w:rsidRPr="00D4319A">
              <w:rPr>
                <w:rFonts w:eastAsia="Times New Roman"/>
                <w:snapToGrid w:val="0"/>
                <w:sz w:val="20"/>
                <w:szCs w:val="20"/>
              </w:rPr>
              <w:t>I ceturksnis</w:t>
            </w:r>
          </w:p>
        </w:tc>
        <w:tc>
          <w:tcPr>
            <w:tcW w:w="2182" w:type="dxa"/>
            <w:tcBorders>
              <w:top w:val="single" w:sz="4" w:space="0" w:color="auto"/>
              <w:right w:val="single" w:sz="4" w:space="0" w:color="auto"/>
            </w:tcBorders>
          </w:tcPr>
          <w:p w:rsidR="006247F6" w:rsidRPr="00D4319A" w:rsidRDefault="006247F6" w:rsidP="005C7D14">
            <w:pPr>
              <w:spacing w:after="0"/>
              <w:ind w:firstLine="0"/>
              <w:jc w:val="center"/>
              <w:rPr>
                <w:rFonts w:eastAsia="Times New Roman"/>
                <w:snapToGrid w:val="0"/>
                <w:sz w:val="20"/>
                <w:szCs w:val="20"/>
              </w:rPr>
            </w:pPr>
            <w:r w:rsidRPr="00D4319A">
              <w:rPr>
                <w:rFonts w:eastAsia="Times New Roman"/>
                <w:snapToGrid w:val="0"/>
                <w:sz w:val="20"/>
                <w:szCs w:val="20"/>
              </w:rPr>
              <w:t>2014.gada</w:t>
            </w:r>
          </w:p>
          <w:p w:rsidR="006247F6" w:rsidRPr="00D4319A" w:rsidRDefault="006247F6" w:rsidP="005C7D14">
            <w:pPr>
              <w:spacing w:after="0"/>
              <w:ind w:firstLine="0"/>
              <w:jc w:val="center"/>
              <w:rPr>
                <w:rFonts w:eastAsia="Times New Roman"/>
                <w:snapToGrid w:val="0"/>
                <w:sz w:val="20"/>
                <w:szCs w:val="20"/>
              </w:rPr>
            </w:pPr>
            <w:r w:rsidRPr="00D4319A">
              <w:rPr>
                <w:rFonts w:eastAsia="Times New Roman"/>
                <w:snapToGrid w:val="0"/>
                <w:sz w:val="20"/>
                <w:szCs w:val="20"/>
              </w:rPr>
              <w:t>I ceturksnis</w:t>
            </w:r>
          </w:p>
        </w:tc>
      </w:tr>
      <w:tr w:rsidR="006247F6" w:rsidRPr="00D4319A" w:rsidTr="00791A21">
        <w:trPr>
          <w:cantSplit/>
          <w:trHeight w:val="267"/>
        </w:trPr>
        <w:tc>
          <w:tcPr>
            <w:tcW w:w="5077" w:type="dxa"/>
            <w:tcBorders>
              <w:left w:val="single" w:sz="4" w:space="0" w:color="auto"/>
              <w:bottom w:val="nil"/>
            </w:tcBorders>
          </w:tcPr>
          <w:p w:rsidR="006247F6" w:rsidRPr="00D4319A" w:rsidRDefault="006247F6" w:rsidP="005C7D14">
            <w:pPr>
              <w:spacing w:after="0"/>
              <w:rPr>
                <w:rFonts w:eastAsia="Times New Roman"/>
                <w:snapToGrid w:val="0"/>
                <w:sz w:val="20"/>
                <w:szCs w:val="20"/>
              </w:rPr>
            </w:pPr>
            <w:r w:rsidRPr="00D4319A">
              <w:rPr>
                <w:rFonts w:eastAsia="Times New Roman"/>
                <w:snapToGrid w:val="0"/>
                <w:sz w:val="20"/>
                <w:szCs w:val="20"/>
              </w:rPr>
              <w:t>Vispārējie valdības dienesti</w:t>
            </w:r>
          </w:p>
        </w:tc>
        <w:tc>
          <w:tcPr>
            <w:tcW w:w="2337" w:type="dxa"/>
            <w:tcBorders>
              <w:bottom w:val="nil"/>
            </w:tcBorders>
            <w:vAlign w:val="bottom"/>
          </w:tcPr>
          <w:p w:rsidR="006247F6" w:rsidRPr="00D4319A" w:rsidRDefault="006247F6" w:rsidP="005C7D14">
            <w:pPr>
              <w:spacing w:after="0"/>
              <w:ind w:firstLine="0"/>
              <w:jc w:val="right"/>
              <w:rPr>
                <w:sz w:val="20"/>
                <w:szCs w:val="20"/>
              </w:rPr>
            </w:pPr>
            <w:r w:rsidRPr="00D4319A">
              <w:rPr>
                <w:sz w:val="20"/>
                <w:szCs w:val="20"/>
              </w:rPr>
              <w:t>27,0</w:t>
            </w:r>
          </w:p>
        </w:tc>
        <w:tc>
          <w:tcPr>
            <w:tcW w:w="2182" w:type="dxa"/>
            <w:tcBorders>
              <w:bottom w:val="nil"/>
              <w:right w:val="single" w:sz="4" w:space="0" w:color="auto"/>
            </w:tcBorders>
            <w:vAlign w:val="bottom"/>
          </w:tcPr>
          <w:p w:rsidR="006247F6" w:rsidRPr="00D4319A" w:rsidRDefault="006247F6" w:rsidP="005C7D14">
            <w:pPr>
              <w:spacing w:after="0"/>
              <w:jc w:val="right"/>
              <w:rPr>
                <w:sz w:val="20"/>
                <w:szCs w:val="20"/>
              </w:rPr>
            </w:pPr>
            <w:r w:rsidRPr="00D4319A">
              <w:rPr>
                <w:sz w:val="20"/>
                <w:szCs w:val="20"/>
              </w:rPr>
              <w:t>26,6</w:t>
            </w:r>
          </w:p>
        </w:tc>
      </w:tr>
      <w:tr w:rsidR="006247F6" w:rsidRPr="00D4319A" w:rsidTr="00791A21">
        <w:trPr>
          <w:cantSplit/>
          <w:trHeight w:val="267"/>
        </w:trPr>
        <w:tc>
          <w:tcPr>
            <w:tcW w:w="5077" w:type="dxa"/>
            <w:tcBorders>
              <w:left w:val="single" w:sz="4" w:space="0" w:color="auto"/>
              <w:bottom w:val="nil"/>
            </w:tcBorders>
          </w:tcPr>
          <w:p w:rsidR="006247F6" w:rsidRPr="00D4319A" w:rsidRDefault="006247F6" w:rsidP="005C7D14">
            <w:pPr>
              <w:spacing w:after="0"/>
              <w:rPr>
                <w:rFonts w:eastAsia="Times New Roman"/>
                <w:snapToGrid w:val="0"/>
                <w:sz w:val="20"/>
                <w:szCs w:val="20"/>
              </w:rPr>
            </w:pPr>
            <w:r w:rsidRPr="00D4319A">
              <w:rPr>
                <w:rFonts w:eastAsia="Times New Roman"/>
                <w:snapToGrid w:val="0"/>
                <w:sz w:val="20"/>
                <w:szCs w:val="20"/>
              </w:rPr>
              <w:t>Aizsardzība</w:t>
            </w:r>
          </w:p>
        </w:tc>
        <w:tc>
          <w:tcPr>
            <w:tcW w:w="2337" w:type="dxa"/>
            <w:tcBorders>
              <w:bottom w:val="nil"/>
            </w:tcBorders>
            <w:vAlign w:val="bottom"/>
          </w:tcPr>
          <w:p w:rsidR="006247F6" w:rsidRPr="00D4319A" w:rsidRDefault="006247F6" w:rsidP="005C7D14">
            <w:pPr>
              <w:spacing w:after="0"/>
              <w:jc w:val="right"/>
              <w:rPr>
                <w:sz w:val="20"/>
                <w:szCs w:val="20"/>
              </w:rPr>
            </w:pPr>
            <w:r w:rsidRPr="00D4319A">
              <w:rPr>
                <w:sz w:val="20"/>
                <w:szCs w:val="20"/>
              </w:rPr>
              <w:t>3,2</w:t>
            </w:r>
          </w:p>
        </w:tc>
        <w:tc>
          <w:tcPr>
            <w:tcW w:w="2182" w:type="dxa"/>
            <w:tcBorders>
              <w:bottom w:val="nil"/>
              <w:right w:val="single" w:sz="4" w:space="0" w:color="auto"/>
            </w:tcBorders>
            <w:vAlign w:val="bottom"/>
          </w:tcPr>
          <w:p w:rsidR="006247F6" w:rsidRPr="00D4319A" w:rsidRDefault="006247F6" w:rsidP="005C7D14">
            <w:pPr>
              <w:spacing w:after="0"/>
              <w:jc w:val="right"/>
              <w:rPr>
                <w:sz w:val="20"/>
                <w:szCs w:val="20"/>
              </w:rPr>
            </w:pPr>
            <w:r w:rsidRPr="00D4319A">
              <w:rPr>
                <w:sz w:val="20"/>
                <w:szCs w:val="20"/>
              </w:rPr>
              <w:t>2,8</w:t>
            </w:r>
          </w:p>
        </w:tc>
      </w:tr>
      <w:tr w:rsidR="006247F6" w:rsidRPr="00D4319A" w:rsidTr="00791A21">
        <w:trPr>
          <w:cantSplit/>
          <w:trHeight w:val="267"/>
        </w:trPr>
        <w:tc>
          <w:tcPr>
            <w:tcW w:w="5077" w:type="dxa"/>
            <w:tcBorders>
              <w:left w:val="single" w:sz="4" w:space="0" w:color="auto"/>
              <w:bottom w:val="nil"/>
            </w:tcBorders>
          </w:tcPr>
          <w:p w:rsidR="006247F6" w:rsidRPr="00D4319A" w:rsidRDefault="006247F6" w:rsidP="005C7D14">
            <w:pPr>
              <w:spacing w:after="0"/>
              <w:rPr>
                <w:rFonts w:eastAsia="Times New Roman"/>
                <w:snapToGrid w:val="0"/>
                <w:sz w:val="20"/>
                <w:szCs w:val="20"/>
              </w:rPr>
            </w:pPr>
            <w:r w:rsidRPr="00D4319A">
              <w:rPr>
                <w:rFonts w:eastAsia="Times New Roman"/>
                <w:snapToGrid w:val="0"/>
                <w:sz w:val="20"/>
                <w:szCs w:val="20"/>
              </w:rPr>
              <w:t>Sabiedriskā kārtība un drošība</w:t>
            </w:r>
          </w:p>
        </w:tc>
        <w:tc>
          <w:tcPr>
            <w:tcW w:w="2337" w:type="dxa"/>
            <w:tcBorders>
              <w:bottom w:val="nil"/>
            </w:tcBorders>
            <w:vAlign w:val="bottom"/>
          </w:tcPr>
          <w:p w:rsidR="006247F6" w:rsidRPr="00D4319A" w:rsidRDefault="006247F6" w:rsidP="005C7D14">
            <w:pPr>
              <w:spacing w:after="0"/>
              <w:jc w:val="right"/>
              <w:rPr>
                <w:sz w:val="20"/>
                <w:szCs w:val="20"/>
              </w:rPr>
            </w:pPr>
            <w:r w:rsidRPr="00D4319A">
              <w:rPr>
                <w:sz w:val="20"/>
                <w:szCs w:val="20"/>
              </w:rPr>
              <w:t>8,1</w:t>
            </w:r>
          </w:p>
        </w:tc>
        <w:tc>
          <w:tcPr>
            <w:tcW w:w="2182" w:type="dxa"/>
            <w:tcBorders>
              <w:bottom w:val="nil"/>
              <w:right w:val="single" w:sz="4" w:space="0" w:color="auto"/>
            </w:tcBorders>
            <w:vAlign w:val="bottom"/>
          </w:tcPr>
          <w:p w:rsidR="006247F6" w:rsidRPr="00D4319A" w:rsidRDefault="006247F6" w:rsidP="005C7D14">
            <w:pPr>
              <w:spacing w:after="0"/>
              <w:jc w:val="right"/>
              <w:rPr>
                <w:sz w:val="20"/>
                <w:szCs w:val="20"/>
              </w:rPr>
            </w:pPr>
            <w:r w:rsidRPr="00D4319A">
              <w:rPr>
                <w:sz w:val="20"/>
                <w:szCs w:val="20"/>
              </w:rPr>
              <w:t>8,0</w:t>
            </w:r>
          </w:p>
        </w:tc>
      </w:tr>
      <w:tr w:rsidR="006247F6" w:rsidRPr="00D4319A" w:rsidTr="00791A21">
        <w:trPr>
          <w:cantSplit/>
          <w:trHeight w:val="267"/>
        </w:trPr>
        <w:tc>
          <w:tcPr>
            <w:tcW w:w="5077" w:type="dxa"/>
            <w:tcBorders>
              <w:left w:val="single" w:sz="4" w:space="0" w:color="auto"/>
              <w:bottom w:val="nil"/>
            </w:tcBorders>
          </w:tcPr>
          <w:p w:rsidR="006247F6" w:rsidRPr="00D4319A" w:rsidRDefault="006247F6" w:rsidP="005C7D14">
            <w:pPr>
              <w:spacing w:after="0"/>
              <w:rPr>
                <w:rFonts w:eastAsia="Times New Roman"/>
                <w:snapToGrid w:val="0"/>
                <w:sz w:val="20"/>
                <w:szCs w:val="20"/>
              </w:rPr>
            </w:pPr>
            <w:r w:rsidRPr="00D4319A">
              <w:rPr>
                <w:rFonts w:eastAsia="Times New Roman"/>
                <w:snapToGrid w:val="0"/>
                <w:sz w:val="20"/>
                <w:szCs w:val="20"/>
              </w:rPr>
              <w:t>Ekonomiskā darbība</w:t>
            </w:r>
          </w:p>
        </w:tc>
        <w:tc>
          <w:tcPr>
            <w:tcW w:w="2337" w:type="dxa"/>
            <w:tcBorders>
              <w:bottom w:val="nil"/>
            </w:tcBorders>
            <w:vAlign w:val="bottom"/>
          </w:tcPr>
          <w:p w:rsidR="006247F6" w:rsidRPr="00D4319A" w:rsidRDefault="006247F6" w:rsidP="005C7D14">
            <w:pPr>
              <w:spacing w:after="0"/>
              <w:jc w:val="right"/>
              <w:rPr>
                <w:sz w:val="20"/>
                <w:szCs w:val="20"/>
              </w:rPr>
            </w:pPr>
            <w:r w:rsidRPr="00D4319A">
              <w:rPr>
                <w:sz w:val="20"/>
                <w:szCs w:val="20"/>
              </w:rPr>
              <w:t>24,5</w:t>
            </w:r>
          </w:p>
        </w:tc>
        <w:tc>
          <w:tcPr>
            <w:tcW w:w="2182" w:type="dxa"/>
            <w:tcBorders>
              <w:bottom w:val="nil"/>
              <w:right w:val="single" w:sz="4" w:space="0" w:color="auto"/>
            </w:tcBorders>
            <w:vAlign w:val="bottom"/>
          </w:tcPr>
          <w:p w:rsidR="006247F6" w:rsidRPr="00D4319A" w:rsidRDefault="006247F6" w:rsidP="005C7D14">
            <w:pPr>
              <w:spacing w:after="0"/>
              <w:jc w:val="right"/>
              <w:rPr>
                <w:sz w:val="20"/>
                <w:szCs w:val="20"/>
              </w:rPr>
            </w:pPr>
            <w:r w:rsidRPr="00D4319A">
              <w:rPr>
                <w:sz w:val="20"/>
                <w:szCs w:val="20"/>
              </w:rPr>
              <w:t>21,6</w:t>
            </w:r>
          </w:p>
        </w:tc>
      </w:tr>
      <w:tr w:rsidR="006247F6" w:rsidRPr="00D4319A" w:rsidTr="00791A21">
        <w:trPr>
          <w:cantSplit/>
          <w:trHeight w:val="267"/>
        </w:trPr>
        <w:tc>
          <w:tcPr>
            <w:tcW w:w="5077" w:type="dxa"/>
            <w:tcBorders>
              <w:left w:val="single" w:sz="4" w:space="0" w:color="auto"/>
              <w:bottom w:val="nil"/>
            </w:tcBorders>
          </w:tcPr>
          <w:p w:rsidR="006247F6" w:rsidRPr="00D4319A" w:rsidRDefault="006247F6" w:rsidP="005C7D14">
            <w:pPr>
              <w:spacing w:after="0"/>
              <w:rPr>
                <w:rFonts w:eastAsia="Times New Roman"/>
                <w:snapToGrid w:val="0"/>
                <w:sz w:val="20"/>
                <w:szCs w:val="20"/>
              </w:rPr>
            </w:pPr>
            <w:r w:rsidRPr="00D4319A">
              <w:rPr>
                <w:rFonts w:eastAsia="Times New Roman"/>
                <w:snapToGrid w:val="0"/>
                <w:sz w:val="20"/>
                <w:szCs w:val="20"/>
              </w:rPr>
              <w:t>Vides aizsardzība</w:t>
            </w:r>
          </w:p>
        </w:tc>
        <w:tc>
          <w:tcPr>
            <w:tcW w:w="2337" w:type="dxa"/>
            <w:tcBorders>
              <w:bottom w:val="nil"/>
            </w:tcBorders>
            <w:vAlign w:val="bottom"/>
          </w:tcPr>
          <w:p w:rsidR="006247F6" w:rsidRPr="00D4319A" w:rsidRDefault="006247F6" w:rsidP="005C7D14">
            <w:pPr>
              <w:spacing w:after="0"/>
              <w:jc w:val="right"/>
              <w:rPr>
                <w:sz w:val="20"/>
                <w:szCs w:val="20"/>
              </w:rPr>
            </w:pPr>
            <w:r w:rsidRPr="00D4319A">
              <w:rPr>
                <w:sz w:val="20"/>
                <w:szCs w:val="20"/>
              </w:rPr>
              <w:t>2,6</w:t>
            </w:r>
          </w:p>
        </w:tc>
        <w:tc>
          <w:tcPr>
            <w:tcW w:w="2182" w:type="dxa"/>
            <w:tcBorders>
              <w:bottom w:val="nil"/>
              <w:right w:val="single" w:sz="4" w:space="0" w:color="auto"/>
            </w:tcBorders>
            <w:vAlign w:val="bottom"/>
          </w:tcPr>
          <w:p w:rsidR="006247F6" w:rsidRPr="00D4319A" w:rsidRDefault="006247F6" w:rsidP="005C7D14">
            <w:pPr>
              <w:spacing w:after="0"/>
              <w:jc w:val="right"/>
              <w:rPr>
                <w:sz w:val="20"/>
                <w:szCs w:val="20"/>
              </w:rPr>
            </w:pPr>
            <w:r w:rsidRPr="00D4319A">
              <w:rPr>
                <w:sz w:val="20"/>
                <w:szCs w:val="20"/>
              </w:rPr>
              <w:t>3,0</w:t>
            </w:r>
          </w:p>
        </w:tc>
      </w:tr>
      <w:tr w:rsidR="006247F6" w:rsidRPr="00D4319A" w:rsidTr="00791A21">
        <w:trPr>
          <w:cantSplit/>
          <w:trHeight w:val="267"/>
        </w:trPr>
        <w:tc>
          <w:tcPr>
            <w:tcW w:w="5077" w:type="dxa"/>
            <w:tcBorders>
              <w:left w:val="single" w:sz="4" w:space="0" w:color="auto"/>
              <w:bottom w:val="nil"/>
            </w:tcBorders>
          </w:tcPr>
          <w:p w:rsidR="006247F6" w:rsidRPr="00D4319A" w:rsidRDefault="006247F6" w:rsidP="005C7D14">
            <w:pPr>
              <w:spacing w:after="0"/>
              <w:rPr>
                <w:rFonts w:eastAsia="Times New Roman"/>
                <w:snapToGrid w:val="0"/>
                <w:sz w:val="20"/>
                <w:szCs w:val="20"/>
              </w:rPr>
            </w:pPr>
            <w:r w:rsidRPr="00D4319A">
              <w:rPr>
                <w:rFonts w:eastAsia="Times New Roman"/>
                <w:snapToGrid w:val="0"/>
                <w:sz w:val="20"/>
                <w:szCs w:val="20"/>
              </w:rPr>
              <w:t>Teritoriju un mājokļu apsaimniekošana</w:t>
            </w:r>
          </w:p>
        </w:tc>
        <w:tc>
          <w:tcPr>
            <w:tcW w:w="2337" w:type="dxa"/>
            <w:tcBorders>
              <w:bottom w:val="nil"/>
            </w:tcBorders>
            <w:vAlign w:val="bottom"/>
          </w:tcPr>
          <w:p w:rsidR="006247F6" w:rsidRPr="00D4319A" w:rsidRDefault="006247F6" w:rsidP="005C7D14">
            <w:pPr>
              <w:spacing w:after="0"/>
              <w:jc w:val="right"/>
              <w:rPr>
                <w:sz w:val="20"/>
                <w:szCs w:val="20"/>
              </w:rPr>
            </w:pPr>
            <w:r w:rsidRPr="00D4319A">
              <w:rPr>
                <w:sz w:val="20"/>
                <w:szCs w:val="20"/>
              </w:rPr>
              <w:t>0,1</w:t>
            </w:r>
          </w:p>
        </w:tc>
        <w:tc>
          <w:tcPr>
            <w:tcW w:w="2182" w:type="dxa"/>
            <w:tcBorders>
              <w:bottom w:val="nil"/>
              <w:right w:val="single" w:sz="4" w:space="0" w:color="auto"/>
            </w:tcBorders>
            <w:vAlign w:val="bottom"/>
          </w:tcPr>
          <w:p w:rsidR="006247F6" w:rsidRPr="00D4319A" w:rsidRDefault="006247F6" w:rsidP="005C7D14">
            <w:pPr>
              <w:spacing w:after="0"/>
              <w:jc w:val="right"/>
              <w:rPr>
                <w:sz w:val="20"/>
                <w:szCs w:val="20"/>
              </w:rPr>
            </w:pPr>
            <w:r w:rsidRPr="00D4319A">
              <w:rPr>
                <w:sz w:val="20"/>
                <w:szCs w:val="20"/>
              </w:rPr>
              <w:t>0,1</w:t>
            </w:r>
          </w:p>
        </w:tc>
      </w:tr>
      <w:tr w:rsidR="006247F6" w:rsidRPr="00D4319A" w:rsidTr="00791A21">
        <w:trPr>
          <w:cantSplit/>
          <w:trHeight w:val="267"/>
        </w:trPr>
        <w:tc>
          <w:tcPr>
            <w:tcW w:w="5077" w:type="dxa"/>
            <w:tcBorders>
              <w:left w:val="single" w:sz="4" w:space="0" w:color="auto"/>
              <w:bottom w:val="nil"/>
            </w:tcBorders>
          </w:tcPr>
          <w:p w:rsidR="006247F6" w:rsidRPr="00D4319A" w:rsidRDefault="006247F6" w:rsidP="005C7D14">
            <w:pPr>
              <w:spacing w:after="0"/>
              <w:rPr>
                <w:rFonts w:eastAsia="Times New Roman"/>
                <w:snapToGrid w:val="0"/>
                <w:sz w:val="20"/>
                <w:szCs w:val="20"/>
              </w:rPr>
            </w:pPr>
            <w:r w:rsidRPr="00D4319A">
              <w:rPr>
                <w:rFonts w:eastAsia="Times New Roman"/>
                <w:snapToGrid w:val="0"/>
                <w:sz w:val="20"/>
                <w:szCs w:val="20"/>
              </w:rPr>
              <w:t>Veselības aprūpe</w:t>
            </w:r>
          </w:p>
        </w:tc>
        <w:tc>
          <w:tcPr>
            <w:tcW w:w="2337" w:type="dxa"/>
            <w:tcBorders>
              <w:bottom w:val="nil"/>
            </w:tcBorders>
            <w:vAlign w:val="bottom"/>
          </w:tcPr>
          <w:p w:rsidR="006247F6" w:rsidRPr="00D4319A" w:rsidRDefault="006247F6" w:rsidP="005C7D14">
            <w:pPr>
              <w:spacing w:after="0"/>
              <w:jc w:val="right"/>
              <w:rPr>
                <w:sz w:val="20"/>
                <w:szCs w:val="20"/>
              </w:rPr>
            </w:pPr>
            <w:r w:rsidRPr="00D4319A">
              <w:rPr>
                <w:sz w:val="20"/>
                <w:szCs w:val="20"/>
              </w:rPr>
              <w:t>12,7</w:t>
            </w:r>
          </w:p>
        </w:tc>
        <w:tc>
          <w:tcPr>
            <w:tcW w:w="2182" w:type="dxa"/>
            <w:tcBorders>
              <w:bottom w:val="nil"/>
              <w:right w:val="single" w:sz="4" w:space="0" w:color="auto"/>
            </w:tcBorders>
            <w:vAlign w:val="bottom"/>
          </w:tcPr>
          <w:p w:rsidR="006247F6" w:rsidRPr="00D4319A" w:rsidRDefault="006247F6" w:rsidP="005C7D14">
            <w:pPr>
              <w:spacing w:after="0"/>
              <w:jc w:val="right"/>
              <w:rPr>
                <w:sz w:val="20"/>
                <w:szCs w:val="20"/>
              </w:rPr>
            </w:pPr>
            <w:r w:rsidRPr="00D4319A">
              <w:rPr>
                <w:sz w:val="20"/>
                <w:szCs w:val="20"/>
              </w:rPr>
              <w:t>13,2</w:t>
            </w:r>
          </w:p>
        </w:tc>
      </w:tr>
      <w:tr w:rsidR="006247F6" w:rsidRPr="00D4319A" w:rsidTr="00791A21">
        <w:trPr>
          <w:cantSplit/>
          <w:trHeight w:val="267"/>
        </w:trPr>
        <w:tc>
          <w:tcPr>
            <w:tcW w:w="5077" w:type="dxa"/>
            <w:tcBorders>
              <w:left w:val="single" w:sz="4" w:space="0" w:color="auto"/>
              <w:bottom w:val="single" w:sz="4" w:space="0" w:color="auto"/>
            </w:tcBorders>
          </w:tcPr>
          <w:p w:rsidR="006247F6" w:rsidRPr="00D4319A" w:rsidRDefault="006247F6" w:rsidP="005C7D14">
            <w:pPr>
              <w:spacing w:after="0"/>
              <w:rPr>
                <w:rFonts w:eastAsia="Times New Roman"/>
                <w:snapToGrid w:val="0"/>
                <w:sz w:val="20"/>
                <w:szCs w:val="20"/>
              </w:rPr>
            </w:pPr>
            <w:r w:rsidRPr="00D4319A">
              <w:rPr>
                <w:rFonts w:eastAsia="Times New Roman"/>
                <w:snapToGrid w:val="0"/>
                <w:sz w:val="20"/>
                <w:szCs w:val="20"/>
              </w:rPr>
              <w:t>Atpūta, kultūra un reliģija</w:t>
            </w:r>
          </w:p>
        </w:tc>
        <w:tc>
          <w:tcPr>
            <w:tcW w:w="2337" w:type="dxa"/>
            <w:tcBorders>
              <w:bottom w:val="single" w:sz="4" w:space="0" w:color="auto"/>
            </w:tcBorders>
            <w:vAlign w:val="bottom"/>
          </w:tcPr>
          <w:p w:rsidR="006247F6" w:rsidRPr="00D4319A" w:rsidRDefault="006247F6" w:rsidP="005C7D14">
            <w:pPr>
              <w:spacing w:after="0"/>
              <w:jc w:val="right"/>
              <w:rPr>
                <w:sz w:val="20"/>
                <w:szCs w:val="20"/>
              </w:rPr>
            </w:pPr>
            <w:r w:rsidRPr="00D4319A">
              <w:rPr>
                <w:sz w:val="20"/>
                <w:szCs w:val="20"/>
              </w:rPr>
              <w:t>2,4</w:t>
            </w:r>
          </w:p>
        </w:tc>
        <w:tc>
          <w:tcPr>
            <w:tcW w:w="2182" w:type="dxa"/>
            <w:tcBorders>
              <w:bottom w:val="single" w:sz="4" w:space="0" w:color="auto"/>
              <w:right w:val="single" w:sz="4" w:space="0" w:color="auto"/>
            </w:tcBorders>
            <w:vAlign w:val="bottom"/>
          </w:tcPr>
          <w:p w:rsidR="006247F6" w:rsidRPr="00D4319A" w:rsidRDefault="006247F6" w:rsidP="005C7D14">
            <w:pPr>
              <w:spacing w:after="0"/>
              <w:jc w:val="right"/>
              <w:rPr>
                <w:sz w:val="20"/>
                <w:szCs w:val="20"/>
              </w:rPr>
            </w:pPr>
            <w:r w:rsidRPr="00D4319A">
              <w:rPr>
                <w:sz w:val="20"/>
                <w:szCs w:val="20"/>
              </w:rPr>
              <w:t>2,3</w:t>
            </w:r>
          </w:p>
        </w:tc>
      </w:tr>
      <w:tr w:rsidR="006247F6" w:rsidRPr="00D4319A" w:rsidTr="00791A21">
        <w:trPr>
          <w:cantSplit/>
          <w:trHeight w:val="267"/>
        </w:trPr>
        <w:tc>
          <w:tcPr>
            <w:tcW w:w="5077" w:type="dxa"/>
            <w:tcBorders>
              <w:left w:val="single" w:sz="4" w:space="0" w:color="auto"/>
              <w:bottom w:val="single" w:sz="4" w:space="0" w:color="auto"/>
            </w:tcBorders>
          </w:tcPr>
          <w:p w:rsidR="006247F6" w:rsidRPr="00D4319A" w:rsidRDefault="006247F6" w:rsidP="005C7D14">
            <w:pPr>
              <w:spacing w:after="0"/>
              <w:rPr>
                <w:rFonts w:eastAsia="Times New Roman"/>
                <w:snapToGrid w:val="0"/>
                <w:sz w:val="20"/>
                <w:szCs w:val="20"/>
              </w:rPr>
            </w:pPr>
            <w:r w:rsidRPr="00D4319A">
              <w:rPr>
                <w:rFonts w:eastAsia="Times New Roman"/>
                <w:snapToGrid w:val="0"/>
                <w:sz w:val="20"/>
                <w:szCs w:val="20"/>
              </w:rPr>
              <w:t>Izglītība</w:t>
            </w:r>
          </w:p>
        </w:tc>
        <w:tc>
          <w:tcPr>
            <w:tcW w:w="2337" w:type="dxa"/>
            <w:tcBorders>
              <w:bottom w:val="single" w:sz="4" w:space="0" w:color="auto"/>
            </w:tcBorders>
            <w:vAlign w:val="bottom"/>
          </w:tcPr>
          <w:p w:rsidR="006247F6" w:rsidRPr="00D4319A" w:rsidRDefault="006247F6" w:rsidP="005C7D14">
            <w:pPr>
              <w:spacing w:after="0"/>
              <w:jc w:val="right"/>
              <w:rPr>
                <w:sz w:val="20"/>
                <w:szCs w:val="20"/>
              </w:rPr>
            </w:pPr>
            <w:r w:rsidRPr="00D4319A">
              <w:rPr>
                <w:sz w:val="20"/>
                <w:szCs w:val="20"/>
              </w:rPr>
              <w:t>13,1</w:t>
            </w:r>
          </w:p>
        </w:tc>
        <w:tc>
          <w:tcPr>
            <w:tcW w:w="2182" w:type="dxa"/>
            <w:tcBorders>
              <w:bottom w:val="single" w:sz="4" w:space="0" w:color="auto"/>
              <w:right w:val="single" w:sz="4" w:space="0" w:color="auto"/>
            </w:tcBorders>
            <w:vAlign w:val="bottom"/>
          </w:tcPr>
          <w:p w:rsidR="006247F6" w:rsidRPr="00D4319A" w:rsidRDefault="006247F6" w:rsidP="005C7D14">
            <w:pPr>
              <w:spacing w:after="0"/>
              <w:jc w:val="right"/>
              <w:rPr>
                <w:sz w:val="20"/>
                <w:szCs w:val="20"/>
              </w:rPr>
            </w:pPr>
            <w:r w:rsidRPr="00D4319A">
              <w:rPr>
                <w:sz w:val="20"/>
                <w:szCs w:val="20"/>
              </w:rPr>
              <w:t>12,5</w:t>
            </w:r>
          </w:p>
        </w:tc>
      </w:tr>
      <w:tr w:rsidR="006247F6" w:rsidRPr="006A4BA1" w:rsidTr="00791A21">
        <w:trPr>
          <w:cantSplit/>
          <w:trHeight w:val="267"/>
        </w:trPr>
        <w:tc>
          <w:tcPr>
            <w:tcW w:w="5077" w:type="dxa"/>
            <w:tcBorders>
              <w:left w:val="single" w:sz="4" w:space="0" w:color="auto"/>
            </w:tcBorders>
          </w:tcPr>
          <w:p w:rsidR="006247F6" w:rsidRPr="00D4319A" w:rsidRDefault="006247F6" w:rsidP="005C7D14">
            <w:pPr>
              <w:spacing w:after="0"/>
              <w:rPr>
                <w:rFonts w:eastAsia="Times New Roman"/>
                <w:snapToGrid w:val="0"/>
                <w:sz w:val="20"/>
                <w:szCs w:val="20"/>
              </w:rPr>
            </w:pPr>
            <w:r w:rsidRPr="00D4319A">
              <w:rPr>
                <w:rFonts w:eastAsia="Times New Roman"/>
                <w:snapToGrid w:val="0"/>
                <w:sz w:val="20"/>
                <w:szCs w:val="20"/>
              </w:rPr>
              <w:t>Sociālā aizsardzība</w:t>
            </w:r>
          </w:p>
        </w:tc>
        <w:tc>
          <w:tcPr>
            <w:tcW w:w="2337" w:type="dxa"/>
            <w:vAlign w:val="bottom"/>
          </w:tcPr>
          <w:p w:rsidR="006247F6" w:rsidRPr="00D4319A" w:rsidRDefault="006247F6" w:rsidP="005C7D14">
            <w:pPr>
              <w:spacing w:after="0"/>
              <w:jc w:val="right"/>
              <w:rPr>
                <w:sz w:val="20"/>
                <w:szCs w:val="20"/>
              </w:rPr>
            </w:pPr>
            <w:r w:rsidRPr="00D4319A">
              <w:rPr>
                <w:sz w:val="20"/>
                <w:szCs w:val="20"/>
              </w:rPr>
              <w:t>6,3</w:t>
            </w:r>
          </w:p>
        </w:tc>
        <w:tc>
          <w:tcPr>
            <w:tcW w:w="2182" w:type="dxa"/>
            <w:tcBorders>
              <w:right w:val="single" w:sz="4" w:space="0" w:color="auto"/>
            </w:tcBorders>
            <w:vAlign w:val="bottom"/>
          </w:tcPr>
          <w:p w:rsidR="006247F6" w:rsidRDefault="006247F6" w:rsidP="005C7D14">
            <w:pPr>
              <w:spacing w:after="0"/>
              <w:jc w:val="right"/>
              <w:rPr>
                <w:sz w:val="20"/>
                <w:szCs w:val="20"/>
              </w:rPr>
            </w:pPr>
            <w:r w:rsidRPr="00D4319A">
              <w:rPr>
                <w:sz w:val="20"/>
                <w:szCs w:val="20"/>
              </w:rPr>
              <w:t>9,9</w:t>
            </w:r>
          </w:p>
        </w:tc>
      </w:tr>
    </w:tbl>
    <w:p w:rsidR="006247F6" w:rsidRDefault="006247F6" w:rsidP="006247F6">
      <w:pPr>
        <w:jc w:val="center"/>
        <w:rPr>
          <w:rFonts w:eastAsia="Times New Roman"/>
          <w:noProof/>
          <w:szCs w:val="20"/>
          <w:lang w:eastAsia="lv-LV"/>
        </w:rPr>
      </w:pPr>
    </w:p>
    <w:p w:rsidR="006247F6" w:rsidRPr="006A4BA1" w:rsidRDefault="006247F6" w:rsidP="006247F6">
      <w:pPr>
        <w:jc w:val="center"/>
        <w:rPr>
          <w:rFonts w:eastAsia="Times New Roman"/>
          <w:noProof/>
          <w:szCs w:val="20"/>
          <w:highlight w:val="yellow"/>
          <w:lang w:eastAsia="lv-LV"/>
        </w:rPr>
      </w:pPr>
    </w:p>
    <w:p w:rsidR="006247F6" w:rsidRPr="006A4BA1" w:rsidRDefault="006247F6" w:rsidP="00791A21">
      <w:pPr>
        <w:ind w:firstLine="0"/>
        <w:jc w:val="left"/>
        <w:rPr>
          <w:rFonts w:eastAsia="Times New Roman"/>
          <w:noProof/>
          <w:szCs w:val="20"/>
          <w:highlight w:val="yellow"/>
          <w:lang w:eastAsia="lv-LV"/>
        </w:rPr>
      </w:pPr>
      <w:r>
        <w:rPr>
          <w:noProof/>
          <w:lang w:eastAsia="lv-LV"/>
        </w:rPr>
        <w:drawing>
          <wp:inline distT="0" distB="0" distL="0" distR="0" wp14:anchorId="6A7F6C97" wp14:editId="3575D651">
            <wp:extent cx="6200775" cy="3200400"/>
            <wp:effectExtent l="0" t="0" r="0"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247F6" w:rsidRPr="00D24FBD" w:rsidRDefault="00D24FBD" w:rsidP="006247F6">
      <w:pPr>
        <w:ind w:firstLine="0"/>
        <w:jc w:val="center"/>
        <w:rPr>
          <w:rFonts w:cs="Times New Roman"/>
          <w:b/>
          <w:i/>
          <w:sz w:val="24"/>
        </w:rPr>
      </w:pPr>
      <w:r>
        <w:rPr>
          <w:rFonts w:cs="Times New Roman"/>
          <w:b/>
          <w:i/>
          <w:sz w:val="24"/>
        </w:rPr>
        <w:t>35</w:t>
      </w:r>
      <w:r w:rsidR="006247F6" w:rsidRPr="00D24FBD">
        <w:rPr>
          <w:rFonts w:cs="Times New Roman"/>
          <w:b/>
          <w:i/>
          <w:sz w:val="24"/>
        </w:rPr>
        <w:t xml:space="preserve">. att. Valsts pamatbudžeta izdevumu izpilde 2014. gada pirmajā ceturksnī atbilstoši funkcionālajām kategorijām, tūkst. </w:t>
      </w:r>
      <w:proofErr w:type="spellStart"/>
      <w:r w:rsidR="006247F6" w:rsidRPr="00D24FBD">
        <w:rPr>
          <w:rFonts w:cs="Times New Roman"/>
          <w:b/>
          <w:i/>
          <w:sz w:val="24"/>
        </w:rPr>
        <w:t>euro</w:t>
      </w:r>
      <w:proofErr w:type="spellEnd"/>
    </w:p>
    <w:p w:rsidR="006247F6" w:rsidRPr="00D4319A" w:rsidRDefault="006247F6" w:rsidP="006247F6">
      <w:pPr>
        <w:ind w:firstLine="0"/>
        <w:jc w:val="center"/>
        <w:rPr>
          <w:rFonts w:eastAsia="Times New Roman"/>
          <w:b/>
          <w:i/>
          <w:szCs w:val="20"/>
        </w:rPr>
      </w:pPr>
    </w:p>
    <w:p w:rsidR="00FC0227" w:rsidRDefault="006247F6" w:rsidP="006247F6">
      <w:pPr>
        <w:rPr>
          <w:rFonts w:eastAsia="Times New Roman"/>
          <w:szCs w:val="20"/>
        </w:rPr>
      </w:pPr>
      <w:r w:rsidRPr="00D4319A">
        <w:rPr>
          <w:rFonts w:eastAsia="Times New Roman"/>
          <w:szCs w:val="20"/>
        </w:rPr>
        <w:t xml:space="preserve">2014. gada pirmajā ceturksnī valsts pamatbudžetā funkcionālajai kategorijai </w:t>
      </w:r>
      <w:r w:rsidRPr="00D4319A">
        <w:rPr>
          <w:rFonts w:eastAsia="Times New Roman"/>
          <w:snapToGrid w:val="0"/>
          <w:szCs w:val="20"/>
        </w:rPr>
        <w:t xml:space="preserve">Vispārējie valdības dienesti izlietoti 327,6 milj. </w:t>
      </w:r>
      <w:proofErr w:type="spellStart"/>
      <w:r w:rsidRPr="00D4319A">
        <w:rPr>
          <w:rFonts w:eastAsia="Times New Roman"/>
          <w:i/>
          <w:snapToGrid w:val="0"/>
          <w:szCs w:val="20"/>
        </w:rPr>
        <w:t>euro</w:t>
      </w:r>
      <w:proofErr w:type="spellEnd"/>
      <w:r w:rsidRPr="00D4319A">
        <w:rPr>
          <w:rFonts w:eastAsia="Times New Roman"/>
          <w:szCs w:val="20"/>
        </w:rPr>
        <w:t xml:space="preserve"> jeb 26,6%, </w:t>
      </w:r>
      <w:r w:rsidRPr="00D4319A">
        <w:rPr>
          <w:rFonts w:eastAsia="Times New Roman"/>
          <w:snapToGrid w:val="0"/>
          <w:szCs w:val="20"/>
        </w:rPr>
        <w:t xml:space="preserve">Aizsardzība – 34,9 milj. </w:t>
      </w:r>
      <w:proofErr w:type="spellStart"/>
      <w:r w:rsidRPr="00D4319A">
        <w:rPr>
          <w:rFonts w:eastAsia="Times New Roman"/>
          <w:i/>
          <w:snapToGrid w:val="0"/>
          <w:szCs w:val="20"/>
        </w:rPr>
        <w:t>euro</w:t>
      </w:r>
      <w:proofErr w:type="spellEnd"/>
      <w:r w:rsidRPr="00D4319A">
        <w:rPr>
          <w:rFonts w:eastAsia="Times New Roman"/>
          <w:szCs w:val="20"/>
        </w:rPr>
        <w:t xml:space="preserve"> jeb 2,8%,</w:t>
      </w:r>
      <w:r w:rsidRPr="00D4319A">
        <w:rPr>
          <w:rFonts w:eastAsia="Times New Roman"/>
          <w:snapToGrid w:val="0"/>
          <w:szCs w:val="20"/>
        </w:rPr>
        <w:t xml:space="preserve"> Sabiedriskā kārtība un drošība – 98,8 milj. </w:t>
      </w:r>
      <w:proofErr w:type="spellStart"/>
      <w:r w:rsidRPr="00D4319A">
        <w:rPr>
          <w:rFonts w:eastAsia="Times New Roman"/>
          <w:i/>
          <w:snapToGrid w:val="0"/>
          <w:szCs w:val="20"/>
        </w:rPr>
        <w:t>euro</w:t>
      </w:r>
      <w:proofErr w:type="spellEnd"/>
      <w:r w:rsidRPr="00D4319A">
        <w:rPr>
          <w:rFonts w:eastAsia="Times New Roman"/>
          <w:szCs w:val="20"/>
        </w:rPr>
        <w:t xml:space="preserve"> jeb 8,0%, Ekonomiskā darbība – 265,8 milj. </w:t>
      </w:r>
      <w:proofErr w:type="spellStart"/>
      <w:r w:rsidRPr="00D4319A">
        <w:rPr>
          <w:rFonts w:eastAsia="Times New Roman"/>
          <w:i/>
          <w:szCs w:val="20"/>
        </w:rPr>
        <w:t>euro</w:t>
      </w:r>
      <w:proofErr w:type="spellEnd"/>
      <w:r w:rsidRPr="00D4319A">
        <w:rPr>
          <w:rFonts w:eastAsia="Times New Roman"/>
          <w:szCs w:val="20"/>
        </w:rPr>
        <w:t xml:space="preserve"> jeb 21,6%, </w:t>
      </w:r>
      <w:r w:rsidRPr="00D4319A">
        <w:rPr>
          <w:rFonts w:eastAsia="Times New Roman"/>
          <w:snapToGrid w:val="0"/>
          <w:szCs w:val="20"/>
        </w:rPr>
        <w:t xml:space="preserve">Vides aizsardzība – 37,4 milj. </w:t>
      </w:r>
      <w:proofErr w:type="spellStart"/>
      <w:r w:rsidRPr="00D4319A">
        <w:rPr>
          <w:rFonts w:eastAsia="Times New Roman"/>
          <w:i/>
          <w:snapToGrid w:val="0"/>
          <w:szCs w:val="20"/>
        </w:rPr>
        <w:t>euro</w:t>
      </w:r>
      <w:proofErr w:type="spellEnd"/>
      <w:r w:rsidRPr="00D4319A">
        <w:rPr>
          <w:rFonts w:eastAsia="Times New Roman"/>
          <w:snapToGrid w:val="0"/>
          <w:szCs w:val="20"/>
        </w:rPr>
        <w:t xml:space="preserve"> jeb 3,0%, Teritoriju un mājokļu apsaimniekošana – 0,7 milj. </w:t>
      </w:r>
      <w:proofErr w:type="spellStart"/>
      <w:r w:rsidRPr="00D4319A">
        <w:rPr>
          <w:rFonts w:eastAsia="Times New Roman"/>
          <w:i/>
          <w:snapToGrid w:val="0"/>
          <w:szCs w:val="20"/>
        </w:rPr>
        <w:t>euro</w:t>
      </w:r>
      <w:proofErr w:type="spellEnd"/>
      <w:r w:rsidRPr="00D4319A">
        <w:rPr>
          <w:rFonts w:eastAsia="Times New Roman"/>
          <w:snapToGrid w:val="0"/>
          <w:szCs w:val="20"/>
        </w:rPr>
        <w:t xml:space="preserve"> jeb 0,1%, Veselība –</w:t>
      </w:r>
      <w:r w:rsidRPr="00D4319A">
        <w:rPr>
          <w:rFonts w:eastAsia="Times New Roman"/>
          <w:szCs w:val="20"/>
        </w:rPr>
        <w:t xml:space="preserve"> 162,3 milj. </w:t>
      </w:r>
      <w:proofErr w:type="spellStart"/>
      <w:r w:rsidRPr="00D4319A">
        <w:rPr>
          <w:rFonts w:eastAsia="Times New Roman"/>
          <w:i/>
          <w:szCs w:val="20"/>
        </w:rPr>
        <w:t>euro</w:t>
      </w:r>
      <w:proofErr w:type="spellEnd"/>
      <w:r w:rsidRPr="00D4319A">
        <w:rPr>
          <w:rFonts w:eastAsia="Times New Roman"/>
          <w:szCs w:val="20"/>
        </w:rPr>
        <w:t xml:space="preserve"> jeb 13,2%, </w:t>
      </w:r>
      <w:r w:rsidRPr="00D4319A">
        <w:rPr>
          <w:rFonts w:eastAsia="Times New Roman"/>
          <w:snapToGrid w:val="0"/>
          <w:szCs w:val="20"/>
        </w:rPr>
        <w:t>Atpūta, kultūra un reliģija –</w:t>
      </w:r>
      <w:r w:rsidRPr="00D4319A">
        <w:rPr>
          <w:rFonts w:eastAsia="Times New Roman"/>
          <w:szCs w:val="20"/>
        </w:rPr>
        <w:t xml:space="preserve"> 28,5 milj. </w:t>
      </w:r>
      <w:proofErr w:type="spellStart"/>
      <w:r w:rsidRPr="00D4319A">
        <w:rPr>
          <w:rFonts w:eastAsia="Times New Roman"/>
          <w:i/>
          <w:szCs w:val="20"/>
        </w:rPr>
        <w:t>euro</w:t>
      </w:r>
      <w:proofErr w:type="spellEnd"/>
      <w:r w:rsidRPr="00D4319A">
        <w:rPr>
          <w:rFonts w:eastAsia="Times New Roman"/>
          <w:szCs w:val="20"/>
        </w:rPr>
        <w:t xml:space="preserve"> jeb 2,3%, </w:t>
      </w:r>
      <w:r w:rsidRPr="00D4319A">
        <w:rPr>
          <w:rFonts w:eastAsia="Times New Roman"/>
          <w:snapToGrid w:val="0"/>
          <w:szCs w:val="20"/>
        </w:rPr>
        <w:t>Izglītība –</w:t>
      </w:r>
      <w:r w:rsidRPr="00D4319A">
        <w:rPr>
          <w:rFonts w:eastAsia="Times New Roman"/>
          <w:szCs w:val="20"/>
        </w:rPr>
        <w:t xml:space="preserve"> 153,7 milj. </w:t>
      </w:r>
      <w:proofErr w:type="spellStart"/>
      <w:r w:rsidRPr="00D4319A">
        <w:rPr>
          <w:rFonts w:eastAsia="Times New Roman"/>
          <w:i/>
          <w:szCs w:val="20"/>
        </w:rPr>
        <w:t>euro</w:t>
      </w:r>
      <w:proofErr w:type="spellEnd"/>
      <w:r w:rsidRPr="00D4319A">
        <w:rPr>
          <w:rFonts w:eastAsia="Times New Roman"/>
          <w:szCs w:val="20"/>
        </w:rPr>
        <w:t xml:space="preserve"> jeb 12,5%, </w:t>
      </w:r>
      <w:r w:rsidRPr="00D4319A">
        <w:rPr>
          <w:rFonts w:eastAsia="Times New Roman"/>
          <w:snapToGrid w:val="0"/>
          <w:szCs w:val="20"/>
        </w:rPr>
        <w:t>Sociālā aizsardzība  –</w:t>
      </w:r>
      <w:r w:rsidRPr="00D4319A">
        <w:rPr>
          <w:rFonts w:eastAsia="Times New Roman"/>
          <w:szCs w:val="20"/>
        </w:rPr>
        <w:t xml:space="preserve"> 122,6 milj. </w:t>
      </w:r>
      <w:proofErr w:type="spellStart"/>
      <w:r w:rsidRPr="00D4319A">
        <w:rPr>
          <w:rFonts w:eastAsia="Times New Roman"/>
          <w:i/>
          <w:szCs w:val="20"/>
        </w:rPr>
        <w:t>euro</w:t>
      </w:r>
      <w:proofErr w:type="spellEnd"/>
      <w:r w:rsidRPr="00D4319A">
        <w:rPr>
          <w:rFonts w:eastAsia="Times New Roman"/>
          <w:szCs w:val="20"/>
        </w:rPr>
        <w:t xml:space="preserve"> jeb 9,9% no kopējiem izdevumiem.</w:t>
      </w:r>
    </w:p>
    <w:p w:rsidR="00FB3DD1" w:rsidRDefault="00FB3DD1" w:rsidP="006247F6">
      <w:pPr>
        <w:rPr>
          <w:rFonts w:eastAsia="Times New Roman"/>
          <w:szCs w:val="20"/>
        </w:rPr>
      </w:pPr>
    </w:p>
    <w:p w:rsidR="006247F6" w:rsidRPr="000C2E3B" w:rsidRDefault="004648EC" w:rsidP="000C2E3B">
      <w:pPr>
        <w:pStyle w:val="ListParagraph"/>
        <w:numPr>
          <w:ilvl w:val="2"/>
          <w:numId w:val="27"/>
        </w:numPr>
        <w:spacing w:after="0"/>
        <w:jc w:val="center"/>
        <w:rPr>
          <w:rStyle w:val="Hyperlink"/>
          <w:b/>
          <w:color w:val="auto"/>
          <w:sz w:val="32"/>
          <w:u w:val="none"/>
        </w:rPr>
      </w:pPr>
      <w:hyperlink w:anchor="_Toc325101928" w:history="1">
        <w:bookmarkStart w:id="76" w:name="_Toc356399263"/>
        <w:r w:rsidR="006247F6" w:rsidRPr="000C2E3B">
          <w:rPr>
            <w:rStyle w:val="Hyperlink"/>
            <w:b/>
            <w:color w:val="auto"/>
            <w:sz w:val="32"/>
            <w:u w:val="none"/>
          </w:rPr>
          <w:t>Sociālās apdrošināšanas budžeta izpilde</w:t>
        </w:r>
        <w:bookmarkEnd w:id="76"/>
      </w:hyperlink>
    </w:p>
    <w:p w:rsidR="000C2E3B" w:rsidRPr="000C2E3B" w:rsidRDefault="000C2E3B" w:rsidP="000C2E3B">
      <w:pPr>
        <w:pStyle w:val="ListParagraph"/>
        <w:spacing w:after="0"/>
        <w:ind w:left="1864" w:firstLine="0"/>
        <w:rPr>
          <w:rStyle w:val="Hyperlink"/>
          <w:b/>
          <w:color w:val="auto"/>
          <w:sz w:val="32"/>
          <w:u w:val="none"/>
        </w:rPr>
      </w:pPr>
    </w:p>
    <w:p w:rsidR="006247F6" w:rsidRPr="00D4319A" w:rsidRDefault="006247F6" w:rsidP="006247F6">
      <w:pPr>
        <w:rPr>
          <w:rFonts w:eastAsia="Times New Roman"/>
          <w:szCs w:val="20"/>
        </w:rPr>
      </w:pPr>
      <w:r w:rsidRPr="00D4319A">
        <w:rPr>
          <w:rFonts w:eastAsia="Times New Roman"/>
          <w:b/>
          <w:szCs w:val="20"/>
        </w:rPr>
        <w:t>Valsts speciālā budžeta</w:t>
      </w:r>
      <w:r w:rsidRPr="00D4319A">
        <w:rPr>
          <w:rFonts w:eastAsia="Times New Roman"/>
          <w:szCs w:val="20"/>
        </w:rPr>
        <w:t xml:space="preserve"> izlietotie līdzekļi 2014. gada pirmajā ceturksnī, salīdzinot ar 2013. gada atbilstošo periodu, samazinājušies par 17,9 milj. </w:t>
      </w:r>
      <w:proofErr w:type="spellStart"/>
      <w:r w:rsidRPr="00D4319A">
        <w:rPr>
          <w:rFonts w:eastAsia="Times New Roman"/>
          <w:i/>
          <w:szCs w:val="20"/>
        </w:rPr>
        <w:t>euro</w:t>
      </w:r>
      <w:proofErr w:type="spellEnd"/>
      <w:r w:rsidRPr="00D4319A">
        <w:rPr>
          <w:rFonts w:eastAsia="Times New Roman"/>
          <w:szCs w:val="20"/>
        </w:rPr>
        <w:t xml:space="preserve"> jeb 3,5 procentiem. Izdevumi subsīdijām, dotācijām un sociālajiem pabalstiem samazinājušies par 17,9 milj. </w:t>
      </w:r>
      <w:proofErr w:type="spellStart"/>
      <w:r w:rsidRPr="00D4319A">
        <w:rPr>
          <w:rFonts w:eastAsia="Times New Roman"/>
          <w:i/>
          <w:szCs w:val="20"/>
        </w:rPr>
        <w:t>euro</w:t>
      </w:r>
      <w:proofErr w:type="spellEnd"/>
      <w:r w:rsidRPr="00D4319A">
        <w:rPr>
          <w:rFonts w:eastAsia="Times New Roman"/>
          <w:szCs w:val="20"/>
        </w:rPr>
        <w:t xml:space="preserve"> jeb 3,</w:t>
      </w:r>
      <w:r>
        <w:rPr>
          <w:rFonts w:eastAsia="Times New Roman"/>
          <w:szCs w:val="20"/>
        </w:rPr>
        <w:t>6</w:t>
      </w:r>
      <w:r w:rsidRPr="00D4319A">
        <w:rPr>
          <w:rFonts w:eastAsia="Times New Roman"/>
          <w:szCs w:val="20"/>
        </w:rPr>
        <w:t xml:space="preserve">%, tai skaitā sociālajiem pabalstiem – par 17,9 milj. </w:t>
      </w:r>
      <w:proofErr w:type="spellStart"/>
      <w:r w:rsidRPr="00D4319A">
        <w:rPr>
          <w:rFonts w:eastAsia="Times New Roman"/>
          <w:i/>
          <w:szCs w:val="20"/>
        </w:rPr>
        <w:t>euro</w:t>
      </w:r>
      <w:proofErr w:type="spellEnd"/>
      <w:r w:rsidRPr="00D4319A">
        <w:rPr>
          <w:rFonts w:eastAsia="Times New Roman"/>
          <w:szCs w:val="20"/>
        </w:rPr>
        <w:t xml:space="preserve"> jeb 3,</w:t>
      </w:r>
      <w:r>
        <w:rPr>
          <w:rFonts w:eastAsia="Times New Roman"/>
          <w:szCs w:val="20"/>
        </w:rPr>
        <w:t>6</w:t>
      </w:r>
      <w:r w:rsidRPr="00D4319A">
        <w:rPr>
          <w:rFonts w:eastAsia="Times New Roman"/>
          <w:szCs w:val="20"/>
        </w:rPr>
        <w:t xml:space="preserve">%. Par 0,05 milj. </w:t>
      </w:r>
      <w:proofErr w:type="spellStart"/>
      <w:r w:rsidRPr="00D4319A">
        <w:rPr>
          <w:rFonts w:eastAsia="Times New Roman"/>
          <w:i/>
          <w:szCs w:val="20"/>
        </w:rPr>
        <w:t>euro</w:t>
      </w:r>
      <w:proofErr w:type="spellEnd"/>
      <w:r w:rsidRPr="00D4319A">
        <w:rPr>
          <w:rFonts w:eastAsia="Times New Roman"/>
          <w:szCs w:val="20"/>
        </w:rPr>
        <w:t xml:space="preserve"> palielinājušies kapitālie izdevumi.</w:t>
      </w:r>
    </w:p>
    <w:p w:rsidR="006247F6" w:rsidRPr="00D4319A" w:rsidRDefault="006247F6" w:rsidP="006247F6">
      <w:pPr>
        <w:rPr>
          <w:rFonts w:eastAsia="Times New Roman"/>
          <w:szCs w:val="20"/>
        </w:rPr>
      </w:pPr>
      <w:r w:rsidRPr="00D4319A">
        <w:rPr>
          <w:rFonts w:eastAsia="Times New Roman"/>
          <w:szCs w:val="20"/>
        </w:rPr>
        <w:t xml:space="preserve">2014. gada pirmajā ceturksnī speciālajā budžetā kopumā izlietoti 490,6 milj. </w:t>
      </w:r>
      <w:proofErr w:type="spellStart"/>
      <w:r w:rsidRPr="00D4319A">
        <w:rPr>
          <w:rFonts w:eastAsia="Times New Roman"/>
          <w:i/>
          <w:szCs w:val="20"/>
        </w:rPr>
        <w:t>euro</w:t>
      </w:r>
      <w:proofErr w:type="spellEnd"/>
      <w:r w:rsidRPr="00D4319A">
        <w:rPr>
          <w:rFonts w:eastAsia="Times New Roman"/>
          <w:szCs w:val="20"/>
        </w:rPr>
        <w:t xml:space="preserve">. Kārtējiem izdevumiem izlietoti 2,9 milj. </w:t>
      </w:r>
      <w:proofErr w:type="spellStart"/>
      <w:r w:rsidRPr="00D4319A">
        <w:rPr>
          <w:rFonts w:eastAsia="Times New Roman"/>
          <w:i/>
          <w:szCs w:val="20"/>
        </w:rPr>
        <w:t>euro</w:t>
      </w:r>
      <w:proofErr w:type="spellEnd"/>
      <w:r w:rsidRPr="00D4319A">
        <w:rPr>
          <w:rFonts w:eastAsia="Times New Roman"/>
          <w:szCs w:val="20"/>
        </w:rPr>
        <w:t xml:space="preserve"> ta</w:t>
      </w:r>
      <w:r>
        <w:rPr>
          <w:rFonts w:eastAsia="Times New Roman"/>
          <w:szCs w:val="20"/>
        </w:rPr>
        <w:t>i</w:t>
      </w:r>
      <w:r w:rsidRPr="00D4319A">
        <w:rPr>
          <w:rFonts w:eastAsia="Times New Roman"/>
          <w:szCs w:val="20"/>
        </w:rPr>
        <w:t xml:space="preserve"> skaitā atlīdzībai izlietoti 2,1 milj. </w:t>
      </w:r>
      <w:proofErr w:type="spellStart"/>
      <w:r w:rsidRPr="00D4319A">
        <w:rPr>
          <w:rFonts w:eastAsia="Times New Roman"/>
          <w:i/>
          <w:szCs w:val="20"/>
        </w:rPr>
        <w:t>euro</w:t>
      </w:r>
      <w:proofErr w:type="spellEnd"/>
      <w:r w:rsidRPr="00D4319A">
        <w:rPr>
          <w:rFonts w:eastAsia="Times New Roman"/>
          <w:szCs w:val="20"/>
        </w:rPr>
        <w:t xml:space="preserve"> (no tiem atalgojumiem 1,6 milj. </w:t>
      </w:r>
      <w:proofErr w:type="spellStart"/>
      <w:r w:rsidRPr="00D4319A">
        <w:rPr>
          <w:rFonts w:eastAsia="Times New Roman"/>
          <w:i/>
          <w:szCs w:val="20"/>
        </w:rPr>
        <w:t>euro</w:t>
      </w:r>
      <w:proofErr w:type="spellEnd"/>
      <w:r w:rsidRPr="00D4319A">
        <w:rPr>
          <w:rFonts w:eastAsia="Times New Roman"/>
          <w:szCs w:val="20"/>
        </w:rPr>
        <w:t xml:space="preserve">). Subsīdijām, dotācijām un sociālajiem pabalstiem izlietoti 487,4 milj. </w:t>
      </w:r>
      <w:proofErr w:type="spellStart"/>
      <w:r w:rsidRPr="00D4319A">
        <w:rPr>
          <w:rFonts w:eastAsia="Times New Roman"/>
          <w:i/>
          <w:szCs w:val="20"/>
        </w:rPr>
        <w:t>euro</w:t>
      </w:r>
      <w:proofErr w:type="spellEnd"/>
      <w:r w:rsidRPr="00D4319A">
        <w:rPr>
          <w:rFonts w:eastAsia="Times New Roman"/>
          <w:szCs w:val="20"/>
        </w:rPr>
        <w:t>, ta</w:t>
      </w:r>
      <w:r>
        <w:rPr>
          <w:rFonts w:eastAsia="Times New Roman"/>
          <w:szCs w:val="20"/>
        </w:rPr>
        <w:t>i</w:t>
      </w:r>
      <w:r w:rsidRPr="00D4319A">
        <w:rPr>
          <w:rFonts w:eastAsia="Times New Roman"/>
          <w:szCs w:val="20"/>
        </w:rPr>
        <w:t xml:space="preserve"> skaitā sociāliem pabalstiem 485,8 milj. </w:t>
      </w:r>
      <w:proofErr w:type="spellStart"/>
      <w:r w:rsidRPr="00D4319A">
        <w:rPr>
          <w:rFonts w:eastAsia="Times New Roman"/>
          <w:i/>
          <w:szCs w:val="20"/>
        </w:rPr>
        <w:t>euro</w:t>
      </w:r>
      <w:proofErr w:type="spellEnd"/>
      <w:r w:rsidRPr="00D4319A">
        <w:rPr>
          <w:rFonts w:eastAsia="Times New Roman"/>
          <w:szCs w:val="20"/>
        </w:rPr>
        <w:t xml:space="preserve">, </w:t>
      </w:r>
      <w:r w:rsidRPr="00D4319A">
        <w:rPr>
          <w:rFonts w:eastAsia="Times New Roman"/>
          <w:szCs w:val="20"/>
        </w:rPr>
        <w:lastRenderedPageBreak/>
        <w:t xml:space="preserve">no kuriem valsts pensijām – 405,6 milj. </w:t>
      </w:r>
      <w:proofErr w:type="spellStart"/>
      <w:r w:rsidRPr="00D4319A">
        <w:rPr>
          <w:rFonts w:eastAsia="Times New Roman"/>
          <w:i/>
          <w:szCs w:val="20"/>
        </w:rPr>
        <w:t>euro</w:t>
      </w:r>
      <w:proofErr w:type="spellEnd"/>
      <w:r w:rsidRPr="00D4319A">
        <w:rPr>
          <w:rFonts w:eastAsia="Times New Roman"/>
          <w:szCs w:val="20"/>
        </w:rPr>
        <w:t>, valsts sociālās apdrošināšanas pabal</w:t>
      </w:r>
      <w:r w:rsidRPr="00D4319A">
        <w:rPr>
          <w:rFonts w:eastAsia="Times New Roman"/>
          <w:szCs w:val="20"/>
        </w:rPr>
        <w:softHyphen/>
        <w:t xml:space="preserve">stiem naudā – 56,7 milj. </w:t>
      </w:r>
      <w:proofErr w:type="spellStart"/>
      <w:r w:rsidRPr="00D4319A">
        <w:rPr>
          <w:rFonts w:eastAsia="Times New Roman"/>
          <w:i/>
          <w:szCs w:val="20"/>
        </w:rPr>
        <w:t>euro</w:t>
      </w:r>
      <w:proofErr w:type="spellEnd"/>
      <w:r w:rsidRPr="00D4319A">
        <w:rPr>
          <w:rFonts w:eastAsia="Times New Roman"/>
          <w:szCs w:val="20"/>
        </w:rPr>
        <w:t xml:space="preserve">, valsts un pašvaldības nodarbinātības pabalstiem – 23,4 milj. </w:t>
      </w:r>
      <w:proofErr w:type="spellStart"/>
      <w:r w:rsidRPr="00D4319A">
        <w:rPr>
          <w:rFonts w:eastAsia="Times New Roman"/>
          <w:i/>
          <w:szCs w:val="20"/>
        </w:rPr>
        <w:t>euro</w:t>
      </w:r>
      <w:proofErr w:type="spellEnd"/>
      <w:r w:rsidRPr="00D4319A">
        <w:rPr>
          <w:rFonts w:eastAsia="Times New Roman"/>
          <w:szCs w:val="20"/>
        </w:rPr>
        <w:t xml:space="preserve">. </w:t>
      </w:r>
    </w:p>
    <w:p w:rsidR="006247F6" w:rsidRPr="00FB3DD1" w:rsidRDefault="006247F6" w:rsidP="006247F6">
      <w:pPr>
        <w:jc w:val="center"/>
        <w:rPr>
          <w:rFonts w:eastAsia="Times New Roman"/>
          <w:sz w:val="2"/>
          <w:szCs w:val="20"/>
        </w:rPr>
      </w:pPr>
    </w:p>
    <w:p w:rsidR="006247F6" w:rsidRPr="00D44AAF" w:rsidRDefault="006247F6" w:rsidP="00D44AAF">
      <w:pPr>
        <w:rPr>
          <w:rFonts w:cs="Times New Roman"/>
          <w:b/>
          <w:i/>
          <w:sz w:val="24"/>
        </w:rPr>
      </w:pPr>
      <w:r w:rsidRPr="00D44AAF">
        <w:rPr>
          <w:rFonts w:cs="Times New Roman"/>
          <w:b/>
          <w:i/>
          <w:sz w:val="24"/>
        </w:rPr>
        <w:t xml:space="preserve">8. tabula. Valsts speciālā budžeta izdevumi pēc ekonomiskās klasifikācijas, tūkst. </w:t>
      </w:r>
      <w:proofErr w:type="spellStart"/>
      <w:r w:rsidRPr="00D44AAF">
        <w:rPr>
          <w:rFonts w:cs="Times New Roman"/>
          <w:b/>
          <w:i/>
          <w:sz w:val="24"/>
        </w:rPr>
        <w:t>euro</w:t>
      </w:r>
      <w:proofErr w:type="spellEnd"/>
    </w:p>
    <w:p w:rsidR="006247F6" w:rsidRPr="00D4319A" w:rsidRDefault="006247F6" w:rsidP="006247F6">
      <w:pPr>
        <w:ind w:left="284" w:hanging="284"/>
        <w:rPr>
          <w:rFonts w:eastAsia="Times New Roman"/>
        </w:rPr>
      </w:pPr>
      <w:r w:rsidRPr="00D4319A">
        <w:rPr>
          <w:rFonts w:eastAsia="Times New Roman"/>
        </w:rPr>
        <w:t>(Labklājības ministrijas valsts sociālās apdrošināšanas speciālais budžets)</w:t>
      </w:r>
    </w:p>
    <w:tbl>
      <w:tblPr>
        <w:tblW w:w="9496" w:type="dxa"/>
        <w:tblInd w:w="-5" w:type="dxa"/>
        <w:tblLayout w:type="fixed"/>
        <w:tblLook w:val="04A0" w:firstRow="1" w:lastRow="0" w:firstColumn="1" w:lastColumn="0" w:noHBand="0" w:noVBand="1"/>
      </w:tblPr>
      <w:tblGrid>
        <w:gridCol w:w="2630"/>
        <w:gridCol w:w="1022"/>
        <w:gridCol w:w="1022"/>
        <w:gridCol w:w="1023"/>
        <w:gridCol w:w="1169"/>
        <w:gridCol w:w="877"/>
        <w:gridCol w:w="876"/>
        <w:gridCol w:w="877"/>
      </w:tblGrid>
      <w:tr w:rsidR="006247F6" w:rsidRPr="00644E84" w:rsidTr="00D44AAF">
        <w:trPr>
          <w:trHeight w:val="1624"/>
          <w:tblHeader/>
        </w:trPr>
        <w:tc>
          <w:tcPr>
            <w:tcW w:w="26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47F6" w:rsidRPr="00D44AAF" w:rsidRDefault="006247F6" w:rsidP="00D44AAF">
            <w:pPr>
              <w:rPr>
                <w:rFonts w:cs="Times New Roman"/>
                <w:b/>
                <w:i/>
                <w:sz w:val="24"/>
              </w:rPr>
            </w:pPr>
            <w:r w:rsidRPr="00D44AAF">
              <w:rPr>
                <w:rFonts w:cs="Times New Roman"/>
                <w:b/>
                <w:i/>
                <w:sz w:val="24"/>
              </w:rPr>
              <w:t xml:space="preserve">Rādītāji </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rsidR="006247F6" w:rsidRPr="00644E84" w:rsidRDefault="006247F6" w:rsidP="005C7D14">
            <w:pPr>
              <w:spacing w:after="0"/>
              <w:ind w:firstLine="0"/>
              <w:jc w:val="center"/>
              <w:rPr>
                <w:rFonts w:eastAsia="Times New Roman" w:cs="Times New Roman"/>
                <w:sz w:val="16"/>
                <w:szCs w:val="16"/>
                <w:lang w:eastAsia="lv-LV"/>
              </w:rPr>
            </w:pPr>
            <w:r w:rsidRPr="00644E84">
              <w:rPr>
                <w:rFonts w:eastAsia="Times New Roman" w:cs="Times New Roman"/>
                <w:sz w:val="16"/>
                <w:szCs w:val="16"/>
                <w:lang w:eastAsia="lv-LV"/>
              </w:rPr>
              <w:t>2013.gada</w:t>
            </w:r>
            <w:r w:rsidRPr="00644E84">
              <w:rPr>
                <w:rFonts w:eastAsia="Times New Roman" w:cs="Times New Roman"/>
                <w:sz w:val="16"/>
                <w:szCs w:val="16"/>
                <w:lang w:eastAsia="lv-LV"/>
              </w:rPr>
              <w:br/>
              <w:t>3 mēnešu</w:t>
            </w:r>
            <w:r w:rsidRPr="00644E84">
              <w:rPr>
                <w:rFonts w:eastAsia="Times New Roman" w:cs="Times New Roman"/>
                <w:sz w:val="16"/>
                <w:szCs w:val="16"/>
                <w:lang w:eastAsia="lv-LV"/>
              </w:rPr>
              <w:br/>
              <w:t>izpilde</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rsidR="006247F6" w:rsidRPr="00644E84" w:rsidRDefault="006247F6" w:rsidP="005C7D14">
            <w:pPr>
              <w:spacing w:after="0"/>
              <w:ind w:firstLine="0"/>
              <w:jc w:val="center"/>
              <w:rPr>
                <w:rFonts w:eastAsia="Times New Roman" w:cs="Times New Roman"/>
                <w:sz w:val="16"/>
                <w:szCs w:val="16"/>
                <w:lang w:eastAsia="lv-LV"/>
              </w:rPr>
            </w:pPr>
            <w:r w:rsidRPr="00644E84">
              <w:rPr>
                <w:rFonts w:eastAsia="Times New Roman" w:cs="Times New Roman"/>
                <w:sz w:val="16"/>
                <w:szCs w:val="16"/>
                <w:lang w:eastAsia="lv-LV"/>
              </w:rPr>
              <w:t>2014.gada</w:t>
            </w:r>
            <w:r w:rsidRPr="00644E84">
              <w:rPr>
                <w:rFonts w:eastAsia="Times New Roman" w:cs="Times New Roman"/>
                <w:sz w:val="16"/>
                <w:szCs w:val="16"/>
                <w:lang w:eastAsia="lv-LV"/>
              </w:rPr>
              <w:br/>
              <w:t>3 mēnešu plāns</w:t>
            </w:r>
          </w:p>
        </w:tc>
        <w:tc>
          <w:tcPr>
            <w:tcW w:w="1023" w:type="dxa"/>
            <w:tcBorders>
              <w:top w:val="single" w:sz="4" w:space="0" w:color="auto"/>
              <w:left w:val="nil"/>
              <w:bottom w:val="single" w:sz="4" w:space="0" w:color="auto"/>
              <w:right w:val="single" w:sz="4" w:space="0" w:color="auto"/>
            </w:tcBorders>
            <w:shd w:val="clear" w:color="auto" w:fill="auto"/>
            <w:vAlign w:val="center"/>
            <w:hideMark/>
          </w:tcPr>
          <w:p w:rsidR="006247F6" w:rsidRPr="00644E84" w:rsidRDefault="006247F6" w:rsidP="005C7D14">
            <w:pPr>
              <w:spacing w:after="0"/>
              <w:ind w:firstLine="0"/>
              <w:jc w:val="center"/>
              <w:rPr>
                <w:rFonts w:eastAsia="Times New Roman" w:cs="Times New Roman"/>
                <w:sz w:val="16"/>
                <w:szCs w:val="16"/>
                <w:lang w:eastAsia="lv-LV"/>
              </w:rPr>
            </w:pPr>
            <w:r w:rsidRPr="00644E84">
              <w:rPr>
                <w:rFonts w:eastAsia="Times New Roman" w:cs="Times New Roman"/>
                <w:sz w:val="16"/>
                <w:szCs w:val="16"/>
                <w:lang w:eastAsia="lv-LV"/>
              </w:rPr>
              <w:t>2014.gada</w:t>
            </w:r>
            <w:r w:rsidRPr="00644E84">
              <w:rPr>
                <w:rFonts w:eastAsia="Times New Roman" w:cs="Times New Roman"/>
                <w:sz w:val="16"/>
                <w:szCs w:val="16"/>
                <w:lang w:eastAsia="lv-LV"/>
              </w:rPr>
              <w:br/>
              <w:t>3 mēnešu</w:t>
            </w:r>
            <w:r w:rsidRPr="00644E84">
              <w:rPr>
                <w:rFonts w:eastAsia="Times New Roman" w:cs="Times New Roman"/>
                <w:sz w:val="16"/>
                <w:szCs w:val="16"/>
                <w:lang w:eastAsia="lv-LV"/>
              </w:rPr>
              <w:br/>
              <w:t>izpilde</w:t>
            </w:r>
          </w:p>
        </w:tc>
        <w:tc>
          <w:tcPr>
            <w:tcW w:w="1169" w:type="dxa"/>
            <w:tcBorders>
              <w:top w:val="single" w:sz="4" w:space="0" w:color="auto"/>
              <w:left w:val="nil"/>
              <w:bottom w:val="single" w:sz="4" w:space="0" w:color="auto"/>
              <w:right w:val="single" w:sz="4" w:space="0" w:color="auto"/>
            </w:tcBorders>
            <w:shd w:val="clear" w:color="auto" w:fill="auto"/>
            <w:vAlign w:val="center"/>
            <w:hideMark/>
          </w:tcPr>
          <w:p w:rsidR="006247F6" w:rsidRPr="00644E84" w:rsidRDefault="006247F6" w:rsidP="005C7D14">
            <w:pPr>
              <w:spacing w:after="0"/>
              <w:ind w:firstLine="0"/>
              <w:jc w:val="center"/>
              <w:rPr>
                <w:rFonts w:eastAsia="Times New Roman" w:cs="Times New Roman"/>
                <w:sz w:val="16"/>
                <w:szCs w:val="16"/>
                <w:lang w:eastAsia="lv-LV"/>
              </w:rPr>
            </w:pPr>
            <w:r w:rsidRPr="00644E84">
              <w:rPr>
                <w:rFonts w:eastAsia="Times New Roman" w:cs="Times New Roman"/>
                <w:sz w:val="16"/>
                <w:szCs w:val="16"/>
                <w:lang w:eastAsia="lv-LV"/>
              </w:rPr>
              <w:t>Likumā apstiprinātais 2014.gada plāns*</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6247F6" w:rsidRPr="00644E84" w:rsidRDefault="000C2E3B" w:rsidP="005C7D14">
            <w:pPr>
              <w:spacing w:after="0"/>
              <w:ind w:left="-108" w:firstLine="0"/>
              <w:jc w:val="center"/>
              <w:rPr>
                <w:rFonts w:eastAsia="Times New Roman" w:cs="Times New Roman"/>
                <w:sz w:val="16"/>
                <w:szCs w:val="16"/>
                <w:lang w:eastAsia="lv-LV"/>
              </w:rPr>
            </w:pPr>
            <w:r>
              <w:rPr>
                <w:rFonts w:eastAsia="Times New Roman" w:cs="Times New Roman"/>
                <w:sz w:val="16"/>
                <w:szCs w:val="16"/>
                <w:lang w:eastAsia="lv-LV"/>
              </w:rPr>
              <w:t>2014.gada</w:t>
            </w:r>
            <w:r>
              <w:rPr>
                <w:rFonts w:eastAsia="Times New Roman" w:cs="Times New Roman"/>
                <w:sz w:val="16"/>
                <w:szCs w:val="16"/>
                <w:lang w:eastAsia="lv-LV"/>
              </w:rPr>
              <w:br/>
              <w:t>3 mēnešu</w:t>
            </w:r>
            <w:r>
              <w:rPr>
                <w:rFonts w:eastAsia="Times New Roman" w:cs="Times New Roman"/>
                <w:sz w:val="16"/>
                <w:szCs w:val="16"/>
                <w:lang w:eastAsia="lv-LV"/>
              </w:rPr>
              <w:br/>
              <w:t xml:space="preserve">izpilde/ </w:t>
            </w:r>
            <w:r w:rsidR="006247F6" w:rsidRPr="00644E84">
              <w:rPr>
                <w:rFonts w:eastAsia="Times New Roman" w:cs="Times New Roman"/>
                <w:sz w:val="16"/>
                <w:szCs w:val="16"/>
                <w:lang w:eastAsia="lv-LV"/>
              </w:rPr>
              <w:t>2013.gada</w:t>
            </w:r>
            <w:r w:rsidR="006247F6" w:rsidRPr="00644E84">
              <w:rPr>
                <w:rFonts w:eastAsia="Times New Roman" w:cs="Times New Roman"/>
                <w:sz w:val="16"/>
                <w:szCs w:val="16"/>
                <w:lang w:eastAsia="lv-LV"/>
              </w:rPr>
              <w:br/>
              <w:t>3 mēnešu</w:t>
            </w:r>
            <w:r w:rsidR="006247F6" w:rsidRPr="00644E84">
              <w:rPr>
                <w:rFonts w:eastAsia="Times New Roman" w:cs="Times New Roman"/>
                <w:sz w:val="16"/>
                <w:szCs w:val="16"/>
                <w:lang w:eastAsia="lv-LV"/>
              </w:rPr>
              <w:br/>
              <w:t xml:space="preserve">izpildi </w:t>
            </w:r>
            <w:r w:rsidR="006247F6" w:rsidRPr="00644E84">
              <w:rPr>
                <w:rFonts w:eastAsia="Times New Roman" w:cs="Times New Roman"/>
                <w:sz w:val="16"/>
                <w:szCs w:val="16"/>
                <w:lang w:eastAsia="lv-LV"/>
              </w:rPr>
              <w:br/>
              <w:t>%</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6247F6" w:rsidRPr="00644E84" w:rsidRDefault="000C2E3B" w:rsidP="000C2E3B">
            <w:pPr>
              <w:spacing w:after="0"/>
              <w:ind w:left="-108" w:firstLine="0"/>
              <w:jc w:val="center"/>
              <w:rPr>
                <w:rFonts w:eastAsia="Times New Roman" w:cs="Times New Roman"/>
                <w:sz w:val="16"/>
                <w:szCs w:val="16"/>
                <w:lang w:eastAsia="lv-LV"/>
              </w:rPr>
            </w:pPr>
            <w:r>
              <w:rPr>
                <w:rFonts w:eastAsia="Times New Roman" w:cs="Times New Roman"/>
                <w:sz w:val="16"/>
                <w:szCs w:val="16"/>
                <w:lang w:eastAsia="lv-LV"/>
              </w:rPr>
              <w:t>2014.gada</w:t>
            </w:r>
            <w:r>
              <w:rPr>
                <w:rFonts w:eastAsia="Times New Roman" w:cs="Times New Roman"/>
                <w:sz w:val="16"/>
                <w:szCs w:val="16"/>
                <w:lang w:eastAsia="lv-LV"/>
              </w:rPr>
              <w:br/>
              <w:t>3 mēnešu</w:t>
            </w:r>
            <w:r>
              <w:rPr>
                <w:rFonts w:eastAsia="Times New Roman" w:cs="Times New Roman"/>
                <w:sz w:val="16"/>
                <w:szCs w:val="16"/>
                <w:lang w:eastAsia="lv-LV"/>
              </w:rPr>
              <w:br/>
              <w:t>izpilde/</w:t>
            </w:r>
            <w:r w:rsidR="006247F6" w:rsidRPr="00644E84">
              <w:rPr>
                <w:rFonts w:eastAsia="Times New Roman" w:cs="Times New Roman"/>
                <w:sz w:val="16"/>
                <w:szCs w:val="16"/>
                <w:lang w:eastAsia="lv-LV"/>
              </w:rPr>
              <w:t xml:space="preserve"> 2014.gada</w:t>
            </w:r>
            <w:r w:rsidR="006247F6" w:rsidRPr="00644E84">
              <w:rPr>
                <w:rFonts w:eastAsia="Times New Roman" w:cs="Times New Roman"/>
                <w:sz w:val="16"/>
                <w:szCs w:val="16"/>
                <w:lang w:eastAsia="lv-LV"/>
              </w:rPr>
              <w:br/>
              <w:t>3 mēnešu</w:t>
            </w:r>
            <w:r w:rsidR="006247F6" w:rsidRPr="00644E84">
              <w:rPr>
                <w:rFonts w:eastAsia="Times New Roman" w:cs="Times New Roman"/>
                <w:sz w:val="16"/>
                <w:szCs w:val="16"/>
                <w:lang w:eastAsia="lv-LV"/>
              </w:rPr>
              <w:br/>
              <w:t>plānu %</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6247F6" w:rsidRPr="00644E84" w:rsidRDefault="006247F6" w:rsidP="005C7D14">
            <w:pPr>
              <w:spacing w:after="0"/>
              <w:ind w:left="-108" w:firstLine="0"/>
              <w:jc w:val="center"/>
              <w:rPr>
                <w:rFonts w:eastAsia="Times New Roman" w:cs="Times New Roman"/>
                <w:sz w:val="16"/>
                <w:szCs w:val="16"/>
                <w:lang w:eastAsia="lv-LV"/>
              </w:rPr>
            </w:pPr>
            <w:r w:rsidRPr="00644E84">
              <w:rPr>
                <w:rFonts w:eastAsia="Times New Roman" w:cs="Times New Roman"/>
                <w:sz w:val="16"/>
                <w:szCs w:val="16"/>
                <w:lang w:eastAsia="lv-LV"/>
              </w:rPr>
              <w:t>2014.gada</w:t>
            </w:r>
            <w:r w:rsidRPr="00644E84">
              <w:rPr>
                <w:rFonts w:eastAsia="Times New Roman" w:cs="Times New Roman"/>
                <w:sz w:val="16"/>
                <w:szCs w:val="16"/>
                <w:lang w:eastAsia="lv-LV"/>
              </w:rPr>
              <w:br/>
              <w:t>3 mēnešu</w:t>
            </w:r>
            <w:r w:rsidRPr="00644E84">
              <w:rPr>
                <w:rFonts w:eastAsia="Times New Roman" w:cs="Times New Roman"/>
                <w:sz w:val="16"/>
                <w:szCs w:val="16"/>
                <w:lang w:eastAsia="lv-LV"/>
              </w:rPr>
              <w:br/>
              <w:t>izpilde</w:t>
            </w:r>
            <w:r w:rsidRPr="00644E84">
              <w:rPr>
                <w:rFonts w:eastAsia="Times New Roman" w:cs="Times New Roman"/>
                <w:sz w:val="16"/>
                <w:szCs w:val="16"/>
                <w:lang w:eastAsia="lv-LV"/>
              </w:rPr>
              <w:br/>
              <w:t>no gada *</w:t>
            </w:r>
            <w:r w:rsidRPr="00644E84">
              <w:rPr>
                <w:rFonts w:eastAsia="Times New Roman" w:cs="Times New Roman"/>
                <w:sz w:val="16"/>
                <w:szCs w:val="16"/>
                <w:lang w:eastAsia="lv-LV"/>
              </w:rPr>
              <w:br/>
              <w:t>plāna %</w:t>
            </w:r>
          </w:p>
        </w:tc>
      </w:tr>
      <w:tr w:rsidR="006247F6" w:rsidRPr="00644E84" w:rsidTr="00D44AAF">
        <w:trPr>
          <w:trHeight w:val="376"/>
        </w:trPr>
        <w:tc>
          <w:tcPr>
            <w:tcW w:w="2630" w:type="dxa"/>
            <w:tcBorders>
              <w:top w:val="nil"/>
              <w:left w:val="single" w:sz="4" w:space="0" w:color="auto"/>
              <w:bottom w:val="single" w:sz="4" w:space="0" w:color="auto"/>
              <w:right w:val="single" w:sz="4" w:space="0" w:color="auto"/>
            </w:tcBorders>
            <w:shd w:val="clear" w:color="auto" w:fill="auto"/>
            <w:vAlign w:val="center"/>
            <w:hideMark/>
          </w:tcPr>
          <w:p w:rsidR="006247F6" w:rsidRPr="00D44AAF" w:rsidRDefault="006247F6" w:rsidP="00D44AAF">
            <w:pPr>
              <w:rPr>
                <w:rFonts w:cs="Times New Roman"/>
                <w:b/>
                <w:i/>
                <w:sz w:val="24"/>
              </w:rPr>
            </w:pPr>
            <w:r w:rsidRPr="00D44AAF">
              <w:rPr>
                <w:rFonts w:cs="Times New Roman"/>
                <w:b/>
                <w:i/>
                <w:sz w:val="24"/>
              </w:rPr>
              <w:t>1. Izdevumi — kopā (1.1.+1.2.)</w:t>
            </w:r>
          </w:p>
        </w:tc>
        <w:tc>
          <w:tcPr>
            <w:tcW w:w="1022" w:type="dxa"/>
            <w:tcBorders>
              <w:top w:val="nil"/>
              <w:left w:val="nil"/>
              <w:bottom w:val="single" w:sz="4" w:space="0" w:color="auto"/>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b/>
                <w:sz w:val="20"/>
                <w:szCs w:val="20"/>
                <w:lang w:eastAsia="lv-LV"/>
              </w:rPr>
            </w:pPr>
            <w:r w:rsidRPr="00644E84">
              <w:rPr>
                <w:rFonts w:eastAsia="Times New Roman" w:cs="Times New Roman"/>
                <w:b/>
                <w:sz w:val="20"/>
                <w:szCs w:val="20"/>
                <w:lang w:eastAsia="lv-LV"/>
              </w:rPr>
              <w:t>508 529</w:t>
            </w:r>
          </w:p>
        </w:tc>
        <w:tc>
          <w:tcPr>
            <w:tcW w:w="1022" w:type="dxa"/>
            <w:tcBorders>
              <w:top w:val="nil"/>
              <w:left w:val="nil"/>
              <w:bottom w:val="single" w:sz="4" w:space="0" w:color="auto"/>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b/>
                <w:sz w:val="20"/>
                <w:szCs w:val="20"/>
                <w:lang w:eastAsia="lv-LV"/>
              </w:rPr>
            </w:pPr>
            <w:r w:rsidRPr="00644E84">
              <w:rPr>
                <w:rFonts w:eastAsia="Times New Roman" w:cs="Times New Roman"/>
                <w:b/>
                <w:sz w:val="20"/>
                <w:szCs w:val="20"/>
                <w:lang w:eastAsia="lv-LV"/>
              </w:rPr>
              <w:t>494 400</w:t>
            </w:r>
          </w:p>
        </w:tc>
        <w:tc>
          <w:tcPr>
            <w:tcW w:w="1023" w:type="dxa"/>
            <w:tcBorders>
              <w:top w:val="nil"/>
              <w:left w:val="nil"/>
              <w:bottom w:val="single" w:sz="4" w:space="0" w:color="auto"/>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b/>
                <w:sz w:val="20"/>
                <w:szCs w:val="20"/>
                <w:lang w:eastAsia="lv-LV"/>
              </w:rPr>
            </w:pPr>
            <w:r w:rsidRPr="00644E84">
              <w:rPr>
                <w:rFonts w:eastAsia="Times New Roman" w:cs="Times New Roman"/>
                <w:b/>
                <w:sz w:val="20"/>
                <w:szCs w:val="20"/>
                <w:lang w:eastAsia="lv-LV"/>
              </w:rPr>
              <w:t>490 642</w:t>
            </w:r>
          </w:p>
        </w:tc>
        <w:tc>
          <w:tcPr>
            <w:tcW w:w="1169" w:type="dxa"/>
            <w:tcBorders>
              <w:top w:val="nil"/>
              <w:left w:val="nil"/>
              <w:bottom w:val="single" w:sz="4" w:space="0" w:color="auto"/>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b/>
                <w:sz w:val="20"/>
                <w:szCs w:val="20"/>
                <w:lang w:eastAsia="lv-LV"/>
              </w:rPr>
            </w:pPr>
            <w:r w:rsidRPr="00644E84">
              <w:rPr>
                <w:rFonts w:eastAsia="Times New Roman" w:cs="Times New Roman"/>
                <w:b/>
                <w:sz w:val="20"/>
                <w:szCs w:val="20"/>
                <w:lang w:eastAsia="lv-LV"/>
              </w:rPr>
              <w:t>2 074 331</w:t>
            </w:r>
          </w:p>
        </w:tc>
        <w:tc>
          <w:tcPr>
            <w:tcW w:w="877" w:type="dxa"/>
            <w:tcBorders>
              <w:top w:val="nil"/>
              <w:left w:val="nil"/>
              <w:bottom w:val="single" w:sz="4" w:space="0" w:color="auto"/>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b/>
                <w:sz w:val="20"/>
                <w:szCs w:val="20"/>
                <w:lang w:eastAsia="lv-LV"/>
              </w:rPr>
            </w:pPr>
            <w:r w:rsidRPr="00644E84">
              <w:rPr>
                <w:rFonts w:eastAsia="Times New Roman" w:cs="Times New Roman"/>
                <w:b/>
                <w:sz w:val="20"/>
                <w:szCs w:val="20"/>
                <w:lang w:eastAsia="lv-LV"/>
              </w:rPr>
              <w:t>96,5</w:t>
            </w:r>
          </w:p>
        </w:tc>
        <w:tc>
          <w:tcPr>
            <w:tcW w:w="876" w:type="dxa"/>
            <w:tcBorders>
              <w:top w:val="nil"/>
              <w:left w:val="nil"/>
              <w:bottom w:val="single" w:sz="4" w:space="0" w:color="auto"/>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b/>
                <w:sz w:val="20"/>
                <w:szCs w:val="20"/>
                <w:lang w:eastAsia="lv-LV"/>
              </w:rPr>
            </w:pPr>
            <w:r w:rsidRPr="00644E84">
              <w:rPr>
                <w:rFonts w:eastAsia="Times New Roman" w:cs="Times New Roman"/>
                <w:b/>
                <w:sz w:val="20"/>
                <w:szCs w:val="20"/>
                <w:lang w:eastAsia="lv-LV"/>
              </w:rPr>
              <w:t>99,2</w:t>
            </w:r>
          </w:p>
        </w:tc>
        <w:tc>
          <w:tcPr>
            <w:tcW w:w="877" w:type="dxa"/>
            <w:tcBorders>
              <w:top w:val="nil"/>
              <w:left w:val="nil"/>
              <w:bottom w:val="single" w:sz="4" w:space="0" w:color="auto"/>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b/>
                <w:sz w:val="20"/>
                <w:szCs w:val="20"/>
                <w:lang w:eastAsia="lv-LV"/>
              </w:rPr>
            </w:pPr>
            <w:r w:rsidRPr="00644E84">
              <w:rPr>
                <w:rFonts w:eastAsia="Times New Roman" w:cs="Times New Roman"/>
                <w:b/>
                <w:sz w:val="20"/>
                <w:szCs w:val="20"/>
                <w:lang w:eastAsia="lv-LV"/>
              </w:rPr>
              <w:t>23,7</w:t>
            </w:r>
          </w:p>
        </w:tc>
      </w:tr>
      <w:tr w:rsidR="006247F6" w:rsidRPr="00644E84" w:rsidTr="00D44AAF">
        <w:trPr>
          <w:trHeight w:val="346"/>
        </w:trPr>
        <w:tc>
          <w:tcPr>
            <w:tcW w:w="2630" w:type="dxa"/>
            <w:tcBorders>
              <w:top w:val="nil"/>
              <w:left w:val="single" w:sz="4" w:space="0" w:color="auto"/>
              <w:bottom w:val="single" w:sz="4" w:space="0" w:color="auto"/>
              <w:right w:val="single" w:sz="4" w:space="0" w:color="auto"/>
            </w:tcBorders>
            <w:shd w:val="clear" w:color="auto" w:fill="auto"/>
            <w:vAlign w:val="center"/>
            <w:hideMark/>
          </w:tcPr>
          <w:p w:rsidR="006247F6" w:rsidRPr="00D44AAF" w:rsidRDefault="006247F6" w:rsidP="00D44AAF">
            <w:pPr>
              <w:rPr>
                <w:rFonts w:cs="Times New Roman"/>
                <w:b/>
                <w:i/>
                <w:sz w:val="24"/>
              </w:rPr>
            </w:pPr>
            <w:r w:rsidRPr="00D44AAF">
              <w:rPr>
                <w:rFonts w:cs="Times New Roman"/>
                <w:b/>
                <w:i/>
                <w:sz w:val="24"/>
              </w:rPr>
              <w:t>1.1. Uzturēšanas izdevumi</w:t>
            </w:r>
          </w:p>
        </w:tc>
        <w:tc>
          <w:tcPr>
            <w:tcW w:w="1022" w:type="dxa"/>
            <w:tcBorders>
              <w:top w:val="nil"/>
              <w:left w:val="nil"/>
              <w:bottom w:val="single" w:sz="4" w:space="0" w:color="auto"/>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b/>
                <w:sz w:val="20"/>
                <w:szCs w:val="20"/>
                <w:lang w:eastAsia="lv-LV"/>
              </w:rPr>
            </w:pPr>
            <w:r w:rsidRPr="00644E84">
              <w:rPr>
                <w:rFonts w:eastAsia="Times New Roman" w:cs="Times New Roman"/>
                <w:b/>
                <w:sz w:val="20"/>
                <w:szCs w:val="20"/>
                <w:lang w:eastAsia="lv-LV"/>
              </w:rPr>
              <w:t>508 402</w:t>
            </w:r>
          </w:p>
        </w:tc>
        <w:tc>
          <w:tcPr>
            <w:tcW w:w="1022" w:type="dxa"/>
            <w:tcBorders>
              <w:top w:val="nil"/>
              <w:left w:val="nil"/>
              <w:bottom w:val="single" w:sz="4" w:space="0" w:color="auto"/>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b/>
                <w:sz w:val="20"/>
                <w:szCs w:val="20"/>
                <w:lang w:eastAsia="lv-LV"/>
              </w:rPr>
            </w:pPr>
            <w:r w:rsidRPr="00644E84">
              <w:rPr>
                <w:rFonts w:eastAsia="Times New Roman" w:cs="Times New Roman"/>
                <w:b/>
                <w:sz w:val="20"/>
                <w:szCs w:val="20"/>
                <w:lang w:eastAsia="lv-LV"/>
              </w:rPr>
              <w:t>494 224</w:t>
            </w:r>
          </w:p>
        </w:tc>
        <w:tc>
          <w:tcPr>
            <w:tcW w:w="1023" w:type="dxa"/>
            <w:tcBorders>
              <w:top w:val="nil"/>
              <w:left w:val="nil"/>
              <w:bottom w:val="single" w:sz="4" w:space="0" w:color="auto"/>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b/>
                <w:sz w:val="20"/>
                <w:szCs w:val="20"/>
                <w:lang w:eastAsia="lv-LV"/>
              </w:rPr>
            </w:pPr>
            <w:r w:rsidRPr="00644E84">
              <w:rPr>
                <w:rFonts w:eastAsia="Times New Roman" w:cs="Times New Roman"/>
                <w:b/>
                <w:sz w:val="20"/>
                <w:szCs w:val="20"/>
                <w:lang w:eastAsia="lv-LV"/>
              </w:rPr>
              <w:t>490 465</w:t>
            </w:r>
          </w:p>
        </w:tc>
        <w:tc>
          <w:tcPr>
            <w:tcW w:w="1169" w:type="dxa"/>
            <w:tcBorders>
              <w:top w:val="nil"/>
              <w:left w:val="nil"/>
              <w:bottom w:val="single" w:sz="4" w:space="0" w:color="auto"/>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b/>
                <w:sz w:val="20"/>
                <w:szCs w:val="20"/>
                <w:lang w:eastAsia="lv-LV"/>
              </w:rPr>
            </w:pPr>
            <w:r w:rsidRPr="00644E84">
              <w:rPr>
                <w:rFonts w:eastAsia="Times New Roman" w:cs="Times New Roman"/>
                <w:b/>
                <w:sz w:val="20"/>
                <w:szCs w:val="20"/>
                <w:lang w:eastAsia="lv-LV"/>
              </w:rPr>
              <w:t>2 073 521</w:t>
            </w:r>
          </w:p>
        </w:tc>
        <w:tc>
          <w:tcPr>
            <w:tcW w:w="877" w:type="dxa"/>
            <w:tcBorders>
              <w:top w:val="nil"/>
              <w:left w:val="nil"/>
              <w:bottom w:val="single" w:sz="4" w:space="0" w:color="auto"/>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b/>
                <w:sz w:val="20"/>
                <w:szCs w:val="20"/>
                <w:lang w:eastAsia="lv-LV"/>
              </w:rPr>
            </w:pPr>
            <w:r w:rsidRPr="00644E84">
              <w:rPr>
                <w:rFonts w:eastAsia="Times New Roman" w:cs="Times New Roman"/>
                <w:b/>
                <w:sz w:val="20"/>
                <w:szCs w:val="20"/>
                <w:lang w:eastAsia="lv-LV"/>
              </w:rPr>
              <w:t>96,5</w:t>
            </w:r>
          </w:p>
        </w:tc>
        <w:tc>
          <w:tcPr>
            <w:tcW w:w="876" w:type="dxa"/>
            <w:tcBorders>
              <w:top w:val="nil"/>
              <w:left w:val="nil"/>
              <w:bottom w:val="single" w:sz="4" w:space="0" w:color="auto"/>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b/>
                <w:sz w:val="20"/>
                <w:szCs w:val="20"/>
                <w:lang w:eastAsia="lv-LV"/>
              </w:rPr>
            </w:pPr>
            <w:r w:rsidRPr="00644E84">
              <w:rPr>
                <w:rFonts w:eastAsia="Times New Roman" w:cs="Times New Roman"/>
                <w:b/>
                <w:sz w:val="20"/>
                <w:szCs w:val="20"/>
                <w:lang w:eastAsia="lv-LV"/>
              </w:rPr>
              <w:t>99,2</w:t>
            </w:r>
          </w:p>
        </w:tc>
        <w:tc>
          <w:tcPr>
            <w:tcW w:w="877" w:type="dxa"/>
            <w:tcBorders>
              <w:top w:val="nil"/>
              <w:left w:val="nil"/>
              <w:bottom w:val="single" w:sz="4" w:space="0" w:color="auto"/>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b/>
                <w:sz w:val="20"/>
                <w:szCs w:val="20"/>
                <w:lang w:eastAsia="lv-LV"/>
              </w:rPr>
            </w:pPr>
            <w:r w:rsidRPr="00644E84">
              <w:rPr>
                <w:rFonts w:eastAsia="Times New Roman" w:cs="Times New Roman"/>
                <w:b/>
                <w:sz w:val="20"/>
                <w:szCs w:val="20"/>
                <w:lang w:eastAsia="lv-LV"/>
              </w:rPr>
              <w:t>23,7</w:t>
            </w:r>
          </w:p>
        </w:tc>
      </w:tr>
      <w:tr w:rsidR="006247F6" w:rsidRPr="00644E84" w:rsidTr="00D44AAF">
        <w:trPr>
          <w:trHeight w:val="354"/>
        </w:trPr>
        <w:tc>
          <w:tcPr>
            <w:tcW w:w="2630" w:type="dxa"/>
            <w:tcBorders>
              <w:top w:val="single" w:sz="4" w:space="0" w:color="auto"/>
              <w:left w:val="single" w:sz="4" w:space="0" w:color="auto"/>
              <w:right w:val="single" w:sz="4" w:space="0" w:color="auto"/>
            </w:tcBorders>
            <w:shd w:val="clear" w:color="auto" w:fill="auto"/>
            <w:vAlign w:val="center"/>
            <w:hideMark/>
          </w:tcPr>
          <w:p w:rsidR="006247F6" w:rsidRPr="00D44AAF" w:rsidRDefault="006247F6" w:rsidP="00D44AAF">
            <w:pPr>
              <w:rPr>
                <w:rFonts w:cs="Times New Roman"/>
                <w:b/>
                <w:i/>
                <w:sz w:val="24"/>
              </w:rPr>
            </w:pPr>
            <w:r w:rsidRPr="00D44AAF">
              <w:rPr>
                <w:rFonts w:cs="Times New Roman"/>
                <w:b/>
                <w:i/>
                <w:sz w:val="24"/>
              </w:rPr>
              <w:t>Kārtējie izdevumi</w:t>
            </w:r>
          </w:p>
        </w:tc>
        <w:tc>
          <w:tcPr>
            <w:tcW w:w="1022" w:type="dxa"/>
            <w:tcBorders>
              <w:top w:val="single" w:sz="4" w:space="0" w:color="auto"/>
              <w:left w:val="nil"/>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b/>
                <w:sz w:val="20"/>
                <w:szCs w:val="20"/>
                <w:lang w:eastAsia="lv-LV"/>
              </w:rPr>
            </w:pPr>
            <w:r w:rsidRPr="00644E84">
              <w:rPr>
                <w:rFonts w:eastAsia="Times New Roman" w:cs="Times New Roman"/>
                <w:b/>
                <w:sz w:val="20"/>
                <w:szCs w:val="20"/>
                <w:lang w:eastAsia="lv-LV"/>
              </w:rPr>
              <w:t>2 938</w:t>
            </w:r>
          </w:p>
        </w:tc>
        <w:tc>
          <w:tcPr>
            <w:tcW w:w="1022" w:type="dxa"/>
            <w:tcBorders>
              <w:top w:val="single" w:sz="4" w:space="0" w:color="auto"/>
              <w:left w:val="nil"/>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b/>
                <w:sz w:val="20"/>
                <w:szCs w:val="20"/>
                <w:lang w:eastAsia="lv-LV"/>
              </w:rPr>
            </w:pPr>
            <w:r w:rsidRPr="00644E84">
              <w:rPr>
                <w:rFonts w:eastAsia="Times New Roman" w:cs="Times New Roman"/>
                <w:b/>
                <w:sz w:val="20"/>
                <w:szCs w:val="20"/>
                <w:lang w:eastAsia="lv-LV"/>
              </w:rPr>
              <w:t>2 944</w:t>
            </w:r>
          </w:p>
        </w:tc>
        <w:tc>
          <w:tcPr>
            <w:tcW w:w="1023" w:type="dxa"/>
            <w:tcBorders>
              <w:top w:val="single" w:sz="4" w:space="0" w:color="auto"/>
              <w:left w:val="nil"/>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b/>
                <w:sz w:val="20"/>
                <w:szCs w:val="20"/>
                <w:lang w:eastAsia="lv-LV"/>
              </w:rPr>
            </w:pPr>
            <w:r w:rsidRPr="00644E84">
              <w:rPr>
                <w:rFonts w:eastAsia="Times New Roman" w:cs="Times New Roman"/>
                <w:b/>
                <w:sz w:val="20"/>
                <w:szCs w:val="20"/>
                <w:lang w:eastAsia="lv-LV"/>
              </w:rPr>
              <w:t>2 940</w:t>
            </w:r>
          </w:p>
        </w:tc>
        <w:tc>
          <w:tcPr>
            <w:tcW w:w="1169" w:type="dxa"/>
            <w:tcBorders>
              <w:top w:val="single" w:sz="4" w:space="0" w:color="auto"/>
              <w:left w:val="nil"/>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b/>
                <w:sz w:val="20"/>
                <w:szCs w:val="20"/>
                <w:lang w:eastAsia="lv-LV"/>
              </w:rPr>
            </w:pPr>
            <w:r w:rsidRPr="00644E84">
              <w:rPr>
                <w:rFonts w:eastAsia="Times New Roman" w:cs="Times New Roman"/>
                <w:b/>
                <w:sz w:val="20"/>
                <w:szCs w:val="20"/>
                <w:lang w:eastAsia="lv-LV"/>
              </w:rPr>
              <w:t>14 453</w:t>
            </w:r>
          </w:p>
        </w:tc>
        <w:tc>
          <w:tcPr>
            <w:tcW w:w="877" w:type="dxa"/>
            <w:tcBorders>
              <w:top w:val="single" w:sz="4" w:space="0" w:color="auto"/>
              <w:left w:val="nil"/>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b/>
                <w:sz w:val="20"/>
                <w:szCs w:val="20"/>
                <w:lang w:eastAsia="lv-LV"/>
              </w:rPr>
            </w:pPr>
            <w:r w:rsidRPr="00644E84">
              <w:rPr>
                <w:rFonts w:eastAsia="Times New Roman" w:cs="Times New Roman"/>
                <w:b/>
                <w:sz w:val="20"/>
                <w:szCs w:val="20"/>
                <w:lang w:eastAsia="lv-LV"/>
              </w:rPr>
              <w:t>100,1</w:t>
            </w:r>
          </w:p>
        </w:tc>
        <w:tc>
          <w:tcPr>
            <w:tcW w:w="876" w:type="dxa"/>
            <w:tcBorders>
              <w:top w:val="single" w:sz="4" w:space="0" w:color="auto"/>
              <w:left w:val="nil"/>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b/>
                <w:sz w:val="20"/>
                <w:szCs w:val="20"/>
                <w:lang w:eastAsia="lv-LV"/>
              </w:rPr>
            </w:pPr>
            <w:r w:rsidRPr="00644E84">
              <w:rPr>
                <w:rFonts w:eastAsia="Times New Roman" w:cs="Times New Roman"/>
                <w:b/>
                <w:sz w:val="20"/>
                <w:szCs w:val="20"/>
                <w:lang w:eastAsia="lv-LV"/>
              </w:rPr>
              <w:t>99,9</w:t>
            </w:r>
          </w:p>
        </w:tc>
        <w:tc>
          <w:tcPr>
            <w:tcW w:w="877" w:type="dxa"/>
            <w:tcBorders>
              <w:top w:val="single" w:sz="4" w:space="0" w:color="auto"/>
              <w:left w:val="nil"/>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b/>
                <w:sz w:val="20"/>
                <w:szCs w:val="20"/>
                <w:lang w:eastAsia="lv-LV"/>
              </w:rPr>
            </w:pPr>
            <w:r w:rsidRPr="00644E84">
              <w:rPr>
                <w:rFonts w:eastAsia="Times New Roman" w:cs="Times New Roman"/>
                <w:b/>
                <w:sz w:val="20"/>
                <w:szCs w:val="20"/>
                <w:lang w:eastAsia="lv-LV"/>
              </w:rPr>
              <w:t>20,3</w:t>
            </w:r>
          </w:p>
        </w:tc>
      </w:tr>
      <w:tr w:rsidR="006247F6" w:rsidRPr="00644E84" w:rsidTr="00D44AAF">
        <w:trPr>
          <w:trHeight w:val="300"/>
        </w:trPr>
        <w:tc>
          <w:tcPr>
            <w:tcW w:w="2630" w:type="dxa"/>
            <w:tcBorders>
              <w:top w:val="nil"/>
              <w:left w:val="single" w:sz="4" w:space="0" w:color="auto"/>
              <w:right w:val="single" w:sz="4" w:space="0" w:color="auto"/>
            </w:tcBorders>
            <w:shd w:val="clear" w:color="auto" w:fill="auto"/>
            <w:vAlign w:val="center"/>
            <w:hideMark/>
          </w:tcPr>
          <w:p w:rsidR="006247F6" w:rsidRPr="00B01912" w:rsidRDefault="006247F6" w:rsidP="00D44AAF">
            <w:pPr>
              <w:rPr>
                <w:rFonts w:cs="Times New Roman"/>
                <w:i/>
                <w:sz w:val="24"/>
              </w:rPr>
            </w:pPr>
            <w:r w:rsidRPr="00B01912">
              <w:rPr>
                <w:rFonts w:cs="Times New Roman"/>
                <w:i/>
                <w:sz w:val="24"/>
              </w:rPr>
              <w:t>Atlīdzība</w:t>
            </w:r>
          </w:p>
        </w:tc>
        <w:tc>
          <w:tcPr>
            <w:tcW w:w="1022"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sz w:val="20"/>
                <w:szCs w:val="20"/>
                <w:lang w:eastAsia="lv-LV"/>
              </w:rPr>
            </w:pPr>
            <w:r w:rsidRPr="00644E84">
              <w:rPr>
                <w:rFonts w:eastAsia="Times New Roman" w:cs="Times New Roman"/>
                <w:sz w:val="20"/>
                <w:szCs w:val="20"/>
                <w:lang w:eastAsia="lv-LV"/>
              </w:rPr>
              <w:t>2 030</w:t>
            </w:r>
          </w:p>
        </w:tc>
        <w:tc>
          <w:tcPr>
            <w:tcW w:w="1022"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sz w:val="20"/>
                <w:szCs w:val="20"/>
                <w:lang w:eastAsia="lv-LV"/>
              </w:rPr>
            </w:pPr>
            <w:r w:rsidRPr="00644E84">
              <w:rPr>
                <w:rFonts w:eastAsia="Times New Roman" w:cs="Times New Roman"/>
                <w:sz w:val="20"/>
                <w:szCs w:val="20"/>
                <w:lang w:eastAsia="lv-LV"/>
              </w:rPr>
              <w:t>2 084</w:t>
            </w:r>
          </w:p>
        </w:tc>
        <w:tc>
          <w:tcPr>
            <w:tcW w:w="1023"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sz w:val="20"/>
                <w:szCs w:val="20"/>
                <w:lang w:eastAsia="lv-LV"/>
              </w:rPr>
            </w:pPr>
            <w:r w:rsidRPr="00644E84">
              <w:rPr>
                <w:rFonts w:eastAsia="Times New Roman" w:cs="Times New Roman"/>
                <w:sz w:val="20"/>
                <w:szCs w:val="20"/>
                <w:lang w:eastAsia="lv-LV"/>
              </w:rPr>
              <w:t>2 082</w:t>
            </w:r>
          </w:p>
        </w:tc>
        <w:tc>
          <w:tcPr>
            <w:tcW w:w="1169"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sz w:val="20"/>
                <w:szCs w:val="20"/>
                <w:lang w:eastAsia="lv-LV"/>
              </w:rPr>
            </w:pPr>
            <w:r w:rsidRPr="00644E84">
              <w:rPr>
                <w:rFonts w:eastAsia="Times New Roman" w:cs="Times New Roman"/>
                <w:sz w:val="20"/>
                <w:szCs w:val="20"/>
                <w:lang w:eastAsia="lv-LV"/>
              </w:rPr>
              <w:t>10 599</w:t>
            </w:r>
          </w:p>
        </w:tc>
        <w:tc>
          <w:tcPr>
            <w:tcW w:w="877"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sz w:val="20"/>
                <w:szCs w:val="20"/>
                <w:lang w:eastAsia="lv-LV"/>
              </w:rPr>
            </w:pPr>
            <w:r w:rsidRPr="00644E84">
              <w:rPr>
                <w:rFonts w:eastAsia="Times New Roman" w:cs="Times New Roman"/>
                <w:sz w:val="20"/>
                <w:szCs w:val="20"/>
                <w:lang w:eastAsia="lv-LV"/>
              </w:rPr>
              <w:t>102,5</w:t>
            </w:r>
          </w:p>
        </w:tc>
        <w:tc>
          <w:tcPr>
            <w:tcW w:w="876"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sz w:val="20"/>
                <w:szCs w:val="20"/>
                <w:lang w:eastAsia="lv-LV"/>
              </w:rPr>
            </w:pPr>
            <w:r w:rsidRPr="00644E84">
              <w:rPr>
                <w:rFonts w:eastAsia="Times New Roman" w:cs="Times New Roman"/>
                <w:sz w:val="20"/>
                <w:szCs w:val="20"/>
                <w:lang w:eastAsia="lv-LV"/>
              </w:rPr>
              <w:t>99,9</w:t>
            </w:r>
          </w:p>
        </w:tc>
        <w:tc>
          <w:tcPr>
            <w:tcW w:w="877"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sz w:val="20"/>
                <w:szCs w:val="20"/>
                <w:lang w:eastAsia="lv-LV"/>
              </w:rPr>
            </w:pPr>
            <w:r w:rsidRPr="00644E84">
              <w:rPr>
                <w:rFonts w:eastAsia="Times New Roman" w:cs="Times New Roman"/>
                <w:sz w:val="20"/>
                <w:szCs w:val="20"/>
                <w:lang w:eastAsia="lv-LV"/>
              </w:rPr>
              <w:t>19,6</w:t>
            </w:r>
          </w:p>
        </w:tc>
      </w:tr>
      <w:tr w:rsidR="006247F6" w:rsidRPr="00644E84" w:rsidTr="00D44AAF">
        <w:trPr>
          <w:trHeight w:val="264"/>
        </w:trPr>
        <w:tc>
          <w:tcPr>
            <w:tcW w:w="2630" w:type="dxa"/>
            <w:tcBorders>
              <w:top w:val="nil"/>
              <w:left w:val="single" w:sz="4" w:space="0" w:color="auto"/>
              <w:right w:val="single" w:sz="4" w:space="0" w:color="auto"/>
            </w:tcBorders>
            <w:shd w:val="clear" w:color="auto" w:fill="auto"/>
            <w:vAlign w:val="center"/>
            <w:hideMark/>
          </w:tcPr>
          <w:p w:rsidR="006247F6" w:rsidRPr="00B01912" w:rsidRDefault="006247F6" w:rsidP="00D44AAF">
            <w:pPr>
              <w:rPr>
                <w:rFonts w:cs="Times New Roman"/>
                <w:i/>
                <w:sz w:val="24"/>
              </w:rPr>
            </w:pPr>
            <w:r w:rsidRPr="00B01912">
              <w:rPr>
                <w:rFonts w:cs="Times New Roman"/>
                <w:i/>
                <w:sz w:val="24"/>
              </w:rPr>
              <w:t xml:space="preserve">   Atalgojums</w:t>
            </w:r>
          </w:p>
        </w:tc>
        <w:tc>
          <w:tcPr>
            <w:tcW w:w="1022"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i/>
                <w:sz w:val="20"/>
                <w:szCs w:val="20"/>
                <w:lang w:eastAsia="lv-LV"/>
              </w:rPr>
            </w:pPr>
            <w:r w:rsidRPr="00644E84">
              <w:rPr>
                <w:rFonts w:eastAsia="Times New Roman" w:cs="Times New Roman"/>
                <w:i/>
                <w:sz w:val="20"/>
                <w:szCs w:val="20"/>
                <w:lang w:eastAsia="lv-LV"/>
              </w:rPr>
              <w:t>1 545</w:t>
            </w:r>
          </w:p>
        </w:tc>
        <w:tc>
          <w:tcPr>
            <w:tcW w:w="1022"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i/>
                <w:sz w:val="20"/>
                <w:szCs w:val="20"/>
                <w:lang w:eastAsia="lv-LV"/>
              </w:rPr>
            </w:pPr>
            <w:r w:rsidRPr="00644E84">
              <w:rPr>
                <w:rFonts w:eastAsia="Times New Roman" w:cs="Times New Roman"/>
                <w:i/>
                <w:sz w:val="20"/>
                <w:szCs w:val="20"/>
                <w:lang w:eastAsia="lv-LV"/>
              </w:rPr>
              <w:t>1 607</w:t>
            </w:r>
          </w:p>
        </w:tc>
        <w:tc>
          <w:tcPr>
            <w:tcW w:w="1023"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i/>
                <w:sz w:val="20"/>
                <w:szCs w:val="20"/>
                <w:lang w:eastAsia="lv-LV"/>
              </w:rPr>
            </w:pPr>
            <w:r w:rsidRPr="00644E84">
              <w:rPr>
                <w:rFonts w:eastAsia="Times New Roman" w:cs="Times New Roman"/>
                <w:i/>
                <w:sz w:val="20"/>
                <w:szCs w:val="20"/>
                <w:lang w:eastAsia="lv-LV"/>
              </w:rPr>
              <w:t>1 606</w:t>
            </w:r>
          </w:p>
        </w:tc>
        <w:tc>
          <w:tcPr>
            <w:tcW w:w="1169"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i/>
                <w:sz w:val="20"/>
                <w:szCs w:val="20"/>
                <w:lang w:eastAsia="lv-LV"/>
              </w:rPr>
            </w:pPr>
            <w:r w:rsidRPr="00644E84">
              <w:rPr>
                <w:rFonts w:eastAsia="Times New Roman" w:cs="Times New Roman"/>
                <w:i/>
                <w:sz w:val="20"/>
                <w:szCs w:val="20"/>
                <w:lang w:eastAsia="lv-LV"/>
              </w:rPr>
              <w:t>8 479</w:t>
            </w:r>
          </w:p>
        </w:tc>
        <w:tc>
          <w:tcPr>
            <w:tcW w:w="877"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i/>
                <w:sz w:val="20"/>
                <w:szCs w:val="20"/>
                <w:lang w:eastAsia="lv-LV"/>
              </w:rPr>
            </w:pPr>
            <w:r w:rsidRPr="00644E84">
              <w:rPr>
                <w:rFonts w:eastAsia="Times New Roman" w:cs="Times New Roman"/>
                <w:i/>
                <w:sz w:val="20"/>
                <w:szCs w:val="20"/>
                <w:lang w:eastAsia="lv-LV"/>
              </w:rPr>
              <w:t>103,9</w:t>
            </w:r>
          </w:p>
        </w:tc>
        <w:tc>
          <w:tcPr>
            <w:tcW w:w="876"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i/>
                <w:sz w:val="20"/>
                <w:szCs w:val="20"/>
                <w:lang w:eastAsia="lv-LV"/>
              </w:rPr>
            </w:pPr>
            <w:r w:rsidRPr="00644E84">
              <w:rPr>
                <w:rFonts w:eastAsia="Times New Roman" w:cs="Times New Roman"/>
                <w:i/>
                <w:sz w:val="20"/>
                <w:szCs w:val="20"/>
                <w:lang w:eastAsia="lv-LV"/>
              </w:rPr>
              <w:t>100,0</w:t>
            </w:r>
          </w:p>
        </w:tc>
        <w:tc>
          <w:tcPr>
            <w:tcW w:w="877"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i/>
                <w:sz w:val="20"/>
                <w:szCs w:val="20"/>
                <w:lang w:eastAsia="lv-LV"/>
              </w:rPr>
            </w:pPr>
            <w:r w:rsidRPr="00644E84">
              <w:rPr>
                <w:rFonts w:eastAsia="Times New Roman" w:cs="Times New Roman"/>
                <w:i/>
                <w:sz w:val="20"/>
                <w:szCs w:val="20"/>
                <w:lang w:eastAsia="lv-LV"/>
              </w:rPr>
              <w:t>18,9</w:t>
            </w:r>
          </w:p>
        </w:tc>
      </w:tr>
      <w:tr w:rsidR="006247F6" w:rsidRPr="00644E84" w:rsidTr="00D44AAF">
        <w:trPr>
          <w:trHeight w:val="984"/>
        </w:trPr>
        <w:tc>
          <w:tcPr>
            <w:tcW w:w="2630" w:type="dxa"/>
            <w:tcBorders>
              <w:top w:val="nil"/>
              <w:left w:val="single" w:sz="4" w:space="0" w:color="auto"/>
              <w:right w:val="single" w:sz="4" w:space="0" w:color="auto"/>
            </w:tcBorders>
            <w:shd w:val="clear" w:color="auto" w:fill="auto"/>
            <w:vAlign w:val="center"/>
            <w:hideMark/>
          </w:tcPr>
          <w:p w:rsidR="006247F6" w:rsidRPr="00B01912" w:rsidRDefault="006247F6" w:rsidP="00D44AAF">
            <w:pPr>
              <w:rPr>
                <w:rFonts w:cs="Times New Roman"/>
                <w:i/>
                <w:sz w:val="24"/>
              </w:rPr>
            </w:pPr>
            <w:r w:rsidRPr="00B01912">
              <w:rPr>
                <w:rFonts w:cs="Times New Roman"/>
                <w:i/>
                <w:sz w:val="24"/>
              </w:rPr>
              <w:t xml:space="preserve">   Darba devēja valsts sociālās apdrošināšanas obligātās iemaksas, pabalsti un kompensācijas</w:t>
            </w:r>
          </w:p>
        </w:tc>
        <w:tc>
          <w:tcPr>
            <w:tcW w:w="1022"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i/>
                <w:sz w:val="20"/>
                <w:szCs w:val="20"/>
                <w:lang w:eastAsia="lv-LV"/>
              </w:rPr>
            </w:pPr>
            <w:r w:rsidRPr="00644E84">
              <w:rPr>
                <w:rFonts w:eastAsia="Times New Roman" w:cs="Times New Roman"/>
                <w:i/>
                <w:sz w:val="20"/>
                <w:szCs w:val="20"/>
                <w:lang w:eastAsia="lv-LV"/>
              </w:rPr>
              <w:t>485</w:t>
            </w:r>
          </w:p>
        </w:tc>
        <w:tc>
          <w:tcPr>
            <w:tcW w:w="1022"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i/>
                <w:sz w:val="20"/>
                <w:szCs w:val="20"/>
                <w:lang w:eastAsia="lv-LV"/>
              </w:rPr>
            </w:pPr>
          </w:p>
        </w:tc>
        <w:tc>
          <w:tcPr>
            <w:tcW w:w="1023"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i/>
                <w:sz w:val="20"/>
                <w:szCs w:val="20"/>
                <w:lang w:eastAsia="lv-LV"/>
              </w:rPr>
            </w:pPr>
            <w:r w:rsidRPr="00644E84">
              <w:rPr>
                <w:rFonts w:eastAsia="Times New Roman" w:cs="Times New Roman"/>
                <w:i/>
                <w:sz w:val="20"/>
                <w:szCs w:val="20"/>
                <w:lang w:eastAsia="lv-LV"/>
              </w:rPr>
              <w:t>475</w:t>
            </w:r>
          </w:p>
        </w:tc>
        <w:tc>
          <w:tcPr>
            <w:tcW w:w="1169"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i/>
                <w:sz w:val="20"/>
                <w:szCs w:val="20"/>
                <w:lang w:eastAsia="lv-LV"/>
              </w:rPr>
            </w:pPr>
            <w:r w:rsidRPr="00644E84">
              <w:rPr>
                <w:rFonts w:eastAsia="Times New Roman" w:cs="Times New Roman"/>
                <w:i/>
                <w:sz w:val="20"/>
                <w:szCs w:val="20"/>
                <w:lang w:eastAsia="lv-LV"/>
              </w:rPr>
              <w:t> </w:t>
            </w:r>
          </w:p>
        </w:tc>
        <w:tc>
          <w:tcPr>
            <w:tcW w:w="877"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i/>
                <w:sz w:val="20"/>
                <w:szCs w:val="20"/>
                <w:lang w:eastAsia="lv-LV"/>
              </w:rPr>
            </w:pPr>
            <w:r w:rsidRPr="00644E84">
              <w:rPr>
                <w:rFonts w:eastAsia="Times New Roman" w:cs="Times New Roman"/>
                <w:i/>
                <w:sz w:val="20"/>
                <w:szCs w:val="20"/>
                <w:lang w:eastAsia="lv-LV"/>
              </w:rPr>
              <w:t>98,1</w:t>
            </w:r>
          </w:p>
        </w:tc>
        <w:tc>
          <w:tcPr>
            <w:tcW w:w="876"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i/>
                <w:sz w:val="20"/>
                <w:szCs w:val="20"/>
                <w:lang w:eastAsia="lv-LV"/>
              </w:rPr>
            </w:pPr>
            <w:r w:rsidRPr="00644E84">
              <w:rPr>
                <w:rFonts w:eastAsia="Times New Roman" w:cs="Times New Roman"/>
                <w:i/>
                <w:sz w:val="20"/>
                <w:szCs w:val="20"/>
                <w:lang w:eastAsia="lv-LV"/>
              </w:rPr>
              <w:t> </w:t>
            </w:r>
          </w:p>
        </w:tc>
        <w:tc>
          <w:tcPr>
            <w:tcW w:w="877"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i/>
                <w:sz w:val="20"/>
                <w:szCs w:val="20"/>
                <w:lang w:eastAsia="lv-LV"/>
              </w:rPr>
            </w:pPr>
            <w:r w:rsidRPr="00644E84">
              <w:rPr>
                <w:rFonts w:eastAsia="Times New Roman" w:cs="Times New Roman"/>
                <w:i/>
                <w:sz w:val="20"/>
                <w:szCs w:val="20"/>
                <w:lang w:eastAsia="lv-LV"/>
              </w:rPr>
              <w:t> </w:t>
            </w:r>
          </w:p>
        </w:tc>
      </w:tr>
      <w:tr w:rsidR="006247F6" w:rsidRPr="00644E84" w:rsidTr="00D44AAF">
        <w:trPr>
          <w:trHeight w:val="247"/>
        </w:trPr>
        <w:tc>
          <w:tcPr>
            <w:tcW w:w="2630" w:type="dxa"/>
            <w:tcBorders>
              <w:top w:val="nil"/>
              <w:left w:val="single" w:sz="4" w:space="0" w:color="auto"/>
              <w:bottom w:val="single" w:sz="4" w:space="0" w:color="auto"/>
              <w:right w:val="single" w:sz="4" w:space="0" w:color="auto"/>
            </w:tcBorders>
            <w:shd w:val="clear" w:color="auto" w:fill="auto"/>
            <w:vAlign w:val="center"/>
            <w:hideMark/>
          </w:tcPr>
          <w:p w:rsidR="006247F6" w:rsidRPr="00B01912" w:rsidRDefault="006247F6" w:rsidP="00D44AAF">
            <w:pPr>
              <w:rPr>
                <w:rFonts w:cs="Times New Roman"/>
                <w:i/>
                <w:sz w:val="24"/>
              </w:rPr>
            </w:pPr>
            <w:r w:rsidRPr="00B01912">
              <w:rPr>
                <w:rFonts w:cs="Times New Roman"/>
                <w:i/>
                <w:sz w:val="24"/>
              </w:rPr>
              <w:t>Preces un pakalpojumi</w:t>
            </w:r>
          </w:p>
        </w:tc>
        <w:tc>
          <w:tcPr>
            <w:tcW w:w="1022" w:type="dxa"/>
            <w:tcBorders>
              <w:top w:val="nil"/>
              <w:left w:val="nil"/>
              <w:bottom w:val="single" w:sz="4" w:space="0" w:color="auto"/>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sz w:val="20"/>
                <w:szCs w:val="20"/>
                <w:lang w:eastAsia="lv-LV"/>
              </w:rPr>
            </w:pPr>
            <w:r w:rsidRPr="00644E84">
              <w:rPr>
                <w:rFonts w:eastAsia="Times New Roman" w:cs="Times New Roman"/>
                <w:sz w:val="20"/>
                <w:szCs w:val="20"/>
                <w:lang w:eastAsia="lv-LV"/>
              </w:rPr>
              <w:t>908</w:t>
            </w:r>
          </w:p>
        </w:tc>
        <w:tc>
          <w:tcPr>
            <w:tcW w:w="1022" w:type="dxa"/>
            <w:tcBorders>
              <w:top w:val="nil"/>
              <w:left w:val="nil"/>
              <w:bottom w:val="single" w:sz="4" w:space="0" w:color="auto"/>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sz w:val="20"/>
                <w:szCs w:val="20"/>
                <w:lang w:eastAsia="lv-LV"/>
              </w:rPr>
            </w:pPr>
            <w:r w:rsidRPr="00644E84">
              <w:rPr>
                <w:rFonts w:eastAsia="Times New Roman" w:cs="Times New Roman"/>
                <w:sz w:val="20"/>
                <w:szCs w:val="20"/>
                <w:lang w:eastAsia="lv-LV"/>
              </w:rPr>
              <w:t>860</w:t>
            </w:r>
          </w:p>
        </w:tc>
        <w:tc>
          <w:tcPr>
            <w:tcW w:w="1023" w:type="dxa"/>
            <w:tcBorders>
              <w:top w:val="nil"/>
              <w:left w:val="nil"/>
              <w:bottom w:val="single" w:sz="4" w:space="0" w:color="auto"/>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sz w:val="20"/>
                <w:szCs w:val="20"/>
                <w:lang w:eastAsia="lv-LV"/>
              </w:rPr>
            </w:pPr>
            <w:r w:rsidRPr="00644E84">
              <w:rPr>
                <w:rFonts w:eastAsia="Times New Roman" w:cs="Times New Roman"/>
                <w:sz w:val="20"/>
                <w:szCs w:val="20"/>
                <w:lang w:eastAsia="lv-LV"/>
              </w:rPr>
              <w:t>859</w:t>
            </w:r>
          </w:p>
        </w:tc>
        <w:tc>
          <w:tcPr>
            <w:tcW w:w="1169" w:type="dxa"/>
            <w:tcBorders>
              <w:top w:val="nil"/>
              <w:left w:val="nil"/>
              <w:bottom w:val="single" w:sz="4" w:space="0" w:color="auto"/>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sz w:val="20"/>
                <w:szCs w:val="20"/>
                <w:lang w:eastAsia="lv-LV"/>
              </w:rPr>
            </w:pPr>
            <w:r w:rsidRPr="00644E84">
              <w:rPr>
                <w:rFonts w:eastAsia="Times New Roman" w:cs="Times New Roman"/>
                <w:sz w:val="20"/>
                <w:szCs w:val="20"/>
                <w:lang w:eastAsia="lv-LV"/>
              </w:rPr>
              <w:t>3 854</w:t>
            </w:r>
          </w:p>
        </w:tc>
        <w:tc>
          <w:tcPr>
            <w:tcW w:w="877" w:type="dxa"/>
            <w:tcBorders>
              <w:top w:val="nil"/>
              <w:left w:val="nil"/>
              <w:bottom w:val="single" w:sz="4" w:space="0" w:color="auto"/>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sz w:val="20"/>
                <w:szCs w:val="20"/>
                <w:lang w:eastAsia="lv-LV"/>
              </w:rPr>
            </w:pPr>
            <w:r w:rsidRPr="00644E84">
              <w:rPr>
                <w:rFonts w:eastAsia="Times New Roman" w:cs="Times New Roman"/>
                <w:sz w:val="20"/>
                <w:szCs w:val="20"/>
                <w:lang w:eastAsia="lv-LV"/>
              </w:rPr>
              <w:t>94,6</w:t>
            </w:r>
          </w:p>
        </w:tc>
        <w:tc>
          <w:tcPr>
            <w:tcW w:w="876" w:type="dxa"/>
            <w:tcBorders>
              <w:top w:val="nil"/>
              <w:left w:val="nil"/>
              <w:bottom w:val="single" w:sz="4" w:space="0" w:color="auto"/>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sz w:val="20"/>
                <w:szCs w:val="20"/>
                <w:lang w:eastAsia="lv-LV"/>
              </w:rPr>
            </w:pPr>
            <w:r w:rsidRPr="00644E84">
              <w:rPr>
                <w:rFonts w:eastAsia="Times New Roman" w:cs="Times New Roman"/>
                <w:sz w:val="20"/>
                <w:szCs w:val="20"/>
                <w:lang w:eastAsia="lv-LV"/>
              </w:rPr>
              <w:t>99,8</w:t>
            </w:r>
          </w:p>
        </w:tc>
        <w:tc>
          <w:tcPr>
            <w:tcW w:w="877" w:type="dxa"/>
            <w:tcBorders>
              <w:top w:val="nil"/>
              <w:left w:val="nil"/>
              <w:bottom w:val="single" w:sz="4" w:space="0" w:color="auto"/>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sz w:val="20"/>
                <w:szCs w:val="20"/>
                <w:lang w:eastAsia="lv-LV"/>
              </w:rPr>
            </w:pPr>
            <w:r w:rsidRPr="00644E84">
              <w:rPr>
                <w:rFonts w:eastAsia="Times New Roman" w:cs="Times New Roman"/>
                <w:sz w:val="20"/>
                <w:szCs w:val="20"/>
                <w:lang w:eastAsia="lv-LV"/>
              </w:rPr>
              <w:t>22,3</w:t>
            </w:r>
          </w:p>
        </w:tc>
      </w:tr>
      <w:tr w:rsidR="006247F6" w:rsidRPr="00644E84" w:rsidTr="00D44AAF">
        <w:trPr>
          <w:trHeight w:val="255"/>
        </w:trPr>
        <w:tc>
          <w:tcPr>
            <w:tcW w:w="2630" w:type="dxa"/>
            <w:tcBorders>
              <w:top w:val="single" w:sz="4" w:space="0" w:color="auto"/>
              <w:left w:val="single" w:sz="4" w:space="0" w:color="auto"/>
              <w:right w:val="single" w:sz="4" w:space="0" w:color="auto"/>
            </w:tcBorders>
            <w:shd w:val="clear" w:color="auto" w:fill="auto"/>
            <w:vAlign w:val="center"/>
            <w:hideMark/>
          </w:tcPr>
          <w:p w:rsidR="006247F6" w:rsidRPr="00D44AAF" w:rsidRDefault="006247F6" w:rsidP="00D44AAF">
            <w:pPr>
              <w:rPr>
                <w:rFonts w:cs="Times New Roman"/>
                <w:b/>
                <w:i/>
                <w:sz w:val="24"/>
              </w:rPr>
            </w:pPr>
            <w:r w:rsidRPr="00D44AAF">
              <w:rPr>
                <w:rFonts w:cs="Times New Roman"/>
                <w:b/>
                <w:i/>
                <w:sz w:val="24"/>
              </w:rPr>
              <w:t>Subsīdijas, dotācijas un sociālie pabalsti</w:t>
            </w:r>
          </w:p>
        </w:tc>
        <w:tc>
          <w:tcPr>
            <w:tcW w:w="1022" w:type="dxa"/>
            <w:tcBorders>
              <w:top w:val="single" w:sz="4" w:space="0" w:color="auto"/>
              <w:left w:val="nil"/>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b/>
                <w:sz w:val="20"/>
                <w:szCs w:val="20"/>
                <w:lang w:eastAsia="lv-LV"/>
              </w:rPr>
            </w:pPr>
            <w:r w:rsidRPr="00644E84">
              <w:rPr>
                <w:rFonts w:eastAsia="Times New Roman" w:cs="Times New Roman"/>
                <w:b/>
                <w:sz w:val="20"/>
                <w:szCs w:val="20"/>
                <w:lang w:eastAsia="lv-LV"/>
              </w:rPr>
              <w:t>505 354</w:t>
            </w:r>
          </w:p>
        </w:tc>
        <w:tc>
          <w:tcPr>
            <w:tcW w:w="1022" w:type="dxa"/>
            <w:tcBorders>
              <w:top w:val="single" w:sz="4" w:space="0" w:color="auto"/>
              <w:left w:val="nil"/>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b/>
                <w:sz w:val="20"/>
                <w:szCs w:val="20"/>
                <w:lang w:eastAsia="lv-LV"/>
              </w:rPr>
            </w:pPr>
            <w:r w:rsidRPr="00644E84">
              <w:rPr>
                <w:rFonts w:eastAsia="Times New Roman" w:cs="Times New Roman"/>
                <w:b/>
                <w:sz w:val="20"/>
                <w:szCs w:val="20"/>
                <w:lang w:eastAsia="lv-LV"/>
              </w:rPr>
              <w:t>491 168</w:t>
            </w:r>
          </w:p>
        </w:tc>
        <w:tc>
          <w:tcPr>
            <w:tcW w:w="1023" w:type="dxa"/>
            <w:tcBorders>
              <w:top w:val="single" w:sz="4" w:space="0" w:color="auto"/>
              <w:left w:val="nil"/>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b/>
                <w:sz w:val="20"/>
                <w:szCs w:val="20"/>
                <w:lang w:eastAsia="lv-LV"/>
              </w:rPr>
            </w:pPr>
            <w:r w:rsidRPr="00644E84">
              <w:rPr>
                <w:rFonts w:eastAsia="Times New Roman" w:cs="Times New Roman"/>
                <w:b/>
                <w:sz w:val="20"/>
                <w:szCs w:val="20"/>
                <w:lang w:eastAsia="lv-LV"/>
              </w:rPr>
              <w:t>487 413</w:t>
            </w:r>
          </w:p>
        </w:tc>
        <w:tc>
          <w:tcPr>
            <w:tcW w:w="1169" w:type="dxa"/>
            <w:tcBorders>
              <w:top w:val="single" w:sz="4" w:space="0" w:color="auto"/>
              <w:left w:val="nil"/>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b/>
                <w:sz w:val="20"/>
                <w:szCs w:val="20"/>
                <w:lang w:eastAsia="lv-LV"/>
              </w:rPr>
            </w:pPr>
            <w:r w:rsidRPr="00644E84">
              <w:rPr>
                <w:rFonts w:eastAsia="Times New Roman" w:cs="Times New Roman"/>
                <w:b/>
                <w:sz w:val="20"/>
                <w:szCs w:val="20"/>
                <w:lang w:eastAsia="lv-LV"/>
              </w:rPr>
              <w:t>2 058 432</w:t>
            </w:r>
          </w:p>
        </w:tc>
        <w:tc>
          <w:tcPr>
            <w:tcW w:w="877" w:type="dxa"/>
            <w:tcBorders>
              <w:top w:val="single" w:sz="4" w:space="0" w:color="auto"/>
              <w:left w:val="nil"/>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b/>
                <w:sz w:val="20"/>
                <w:szCs w:val="20"/>
                <w:lang w:eastAsia="lv-LV"/>
              </w:rPr>
            </w:pPr>
            <w:r w:rsidRPr="00644E84">
              <w:rPr>
                <w:rFonts w:eastAsia="Times New Roman" w:cs="Times New Roman"/>
                <w:b/>
                <w:sz w:val="20"/>
                <w:szCs w:val="20"/>
                <w:lang w:eastAsia="lv-LV"/>
              </w:rPr>
              <w:t>96,4</w:t>
            </w:r>
          </w:p>
        </w:tc>
        <w:tc>
          <w:tcPr>
            <w:tcW w:w="876" w:type="dxa"/>
            <w:tcBorders>
              <w:top w:val="single" w:sz="4" w:space="0" w:color="auto"/>
              <w:left w:val="nil"/>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b/>
                <w:sz w:val="20"/>
                <w:szCs w:val="20"/>
                <w:lang w:eastAsia="lv-LV"/>
              </w:rPr>
            </w:pPr>
            <w:r w:rsidRPr="00644E84">
              <w:rPr>
                <w:rFonts w:eastAsia="Times New Roman" w:cs="Times New Roman"/>
                <w:b/>
                <w:sz w:val="20"/>
                <w:szCs w:val="20"/>
                <w:lang w:eastAsia="lv-LV"/>
              </w:rPr>
              <w:t>99,2</w:t>
            </w:r>
          </w:p>
        </w:tc>
        <w:tc>
          <w:tcPr>
            <w:tcW w:w="877" w:type="dxa"/>
            <w:tcBorders>
              <w:top w:val="single" w:sz="4" w:space="0" w:color="auto"/>
              <w:left w:val="nil"/>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b/>
                <w:sz w:val="20"/>
                <w:szCs w:val="20"/>
                <w:lang w:eastAsia="lv-LV"/>
              </w:rPr>
            </w:pPr>
            <w:r w:rsidRPr="00644E84">
              <w:rPr>
                <w:rFonts w:eastAsia="Times New Roman" w:cs="Times New Roman"/>
                <w:b/>
                <w:sz w:val="20"/>
                <w:szCs w:val="20"/>
                <w:lang w:eastAsia="lv-LV"/>
              </w:rPr>
              <w:t>23,7</w:t>
            </w:r>
          </w:p>
        </w:tc>
      </w:tr>
      <w:tr w:rsidR="006247F6" w:rsidRPr="00644E84" w:rsidTr="00D44AAF">
        <w:trPr>
          <w:trHeight w:val="264"/>
        </w:trPr>
        <w:tc>
          <w:tcPr>
            <w:tcW w:w="2630" w:type="dxa"/>
            <w:tcBorders>
              <w:top w:val="nil"/>
              <w:left w:val="single" w:sz="4" w:space="0" w:color="auto"/>
              <w:right w:val="single" w:sz="4" w:space="0" w:color="auto"/>
            </w:tcBorders>
            <w:shd w:val="clear" w:color="auto" w:fill="auto"/>
            <w:vAlign w:val="center"/>
            <w:hideMark/>
          </w:tcPr>
          <w:p w:rsidR="006247F6" w:rsidRPr="00B01912" w:rsidRDefault="006247F6" w:rsidP="00D44AAF">
            <w:pPr>
              <w:rPr>
                <w:rFonts w:cs="Times New Roman"/>
                <w:i/>
                <w:sz w:val="24"/>
              </w:rPr>
            </w:pPr>
            <w:r w:rsidRPr="00B01912">
              <w:rPr>
                <w:rFonts w:cs="Times New Roman"/>
                <w:i/>
                <w:sz w:val="24"/>
              </w:rPr>
              <w:t>Subsīdijas un dotācijas</w:t>
            </w:r>
          </w:p>
        </w:tc>
        <w:tc>
          <w:tcPr>
            <w:tcW w:w="1022"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sz w:val="20"/>
                <w:szCs w:val="20"/>
                <w:lang w:eastAsia="lv-LV"/>
              </w:rPr>
            </w:pPr>
            <w:r w:rsidRPr="00644E84">
              <w:rPr>
                <w:rFonts w:eastAsia="Times New Roman" w:cs="Times New Roman"/>
                <w:sz w:val="20"/>
                <w:szCs w:val="20"/>
                <w:lang w:eastAsia="lv-LV"/>
              </w:rPr>
              <w:t>1 641</w:t>
            </w:r>
          </w:p>
        </w:tc>
        <w:tc>
          <w:tcPr>
            <w:tcW w:w="1022"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sz w:val="20"/>
                <w:szCs w:val="20"/>
                <w:lang w:eastAsia="lv-LV"/>
              </w:rPr>
            </w:pPr>
            <w:r w:rsidRPr="00644E84">
              <w:rPr>
                <w:rFonts w:eastAsia="Times New Roman" w:cs="Times New Roman"/>
                <w:sz w:val="20"/>
                <w:szCs w:val="20"/>
                <w:lang w:eastAsia="lv-LV"/>
              </w:rPr>
              <w:t>1 620</w:t>
            </w:r>
          </w:p>
        </w:tc>
        <w:tc>
          <w:tcPr>
            <w:tcW w:w="1023"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sz w:val="20"/>
                <w:szCs w:val="20"/>
                <w:lang w:eastAsia="lv-LV"/>
              </w:rPr>
            </w:pPr>
            <w:r w:rsidRPr="00644E84">
              <w:rPr>
                <w:rFonts w:eastAsia="Times New Roman" w:cs="Times New Roman"/>
                <w:sz w:val="20"/>
                <w:szCs w:val="20"/>
                <w:lang w:eastAsia="lv-LV"/>
              </w:rPr>
              <w:t>1 620</w:t>
            </w:r>
          </w:p>
        </w:tc>
        <w:tc>
          <w:tcPr>
            <w:tcW w:w="1169"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sz w:val="20"/>
                <w:szCs w:val="20"/>
                <w:lang w:eastAsia="lv-LV"/>
              </w:rPr>
            </w:pPr>
            <w:r w:rsidRPr="00644E84">
              <w:rPr>
                <w:rFonts w:eastAsia="Times New Roman" w:cs="Times New Roman"/>
                <w:sz w:val="20"/>
                <w:szCs w:val="20"/>
                <w:lang w:eastAsia="lv-LV"/>
              </w:rPr>
              <w:t>6 904</w:t>
            </w:r>
          </w:p>
        </w:tc>
        <w:tc>
          <w:tcPr>
            <w:tcW w:w="877"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sz w:val="20"/>
                <w:szCs w:val="20"/>
                <w:lang w:eastAsia="lv-LV"/>
              </w:rPr>
            </w:pPr>
            <w:r w:rsidRPr="00644E84">
              <w:rPr>
                <w:rFonts w:eastAsia="Times New Roman" w:cs="Times New Roman"/>
                <w:sz w:val="20"/>
                <w:szCs w:val="20"/>
                <w:lang w:eastAsia="lv-LV"/>
              </w:rPr>
              <w:t>98,7</w:t>
            </w:r>
          </w:p>
        </w:tc>
        <w:tc>
          <w:tcPr>
            <w:tcW w:w="876"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sz w:val="20"/>
                <w:szCs w:val="20"/>
                <w:lang w:eastAsia="lv-LV"/>
              </w:rPr>
            </w:pPr>
            <w:r w:rsidRPr="00644E84">
              <w:rPr>
                <w:rFonts w:eastAsia="Times New Roman" w:cs="Times New Roman"/>
                <w:sz w:val="20"/>
                <w:szCs w:val="20"/>
                <w:lang w:eastAsia="lv-LV"/>
              </w:rPr>
              <w:t>100,0</w:t>
            </w:r>
          </w:p>
        </w:tc>
        <w:tc>
          <w:tcPr>
            <w:tcW w:w="877"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sz w:val="20"/>
                <w:szCs w:val="20"/>
                <w:lang w:eastAsia="lv-LV"/>
              </w:rPr>
            </w:pPr>
            <w:r w:rsidRPr="00644E84">
              <w:rPr>
                <w:rFonts w:eastAsia="Times New Roman" w:cs="Times New Roman"/>
                <w:sz w:val="20"/>
                <w:szCs w:val="20"/>
                <w:lang w:eastAsia="lv-LV"/>
              </w:rPr>
              <w:t>23,5</w:t>
            </w:r>
          </w:p>
        </w:tc>
      </w:tr>
      <w:tr w:rsidR="006247F6" w:rsidRPr="00644E84" w:rsidTr="00D44AAF">
        <w:trPr>
          <w:trHeight w:val="255"/>
        </w:trPr>
        <w:tc>
          <w:tcPr>
            <w:tcW w:w="2630" w:type="dxa"/>
            <w:tcBorders>
              <w:top w:val="nil"/>
              <w:left w:val="single" w:sz="4" w:space="0" w:color="auto"/>
              <w:right w:val="single" w:sz="4" w:space="0" w:color="auto"/>
            </w:tcBorders>
            <w:shd w:val="clear" w:color="auto" w:fill="auto"/>
            <w:vAlign w:val="center"/>
            <w:hideMark/>
          </w:tcPr>
          <w:p w:rsidR="006247F6" w:rsidRPr="00B01912" w:rsidRDefault="006247F6" w:rsidP="00D44AAF">
            <w:pPr>
              <w:rPr>
                <w:rFonts w:cs="Times New Roman"/>
                <w:i/>
                <w:sz w:val="24"/>
              </w:rPr>
            </w:pPr>
            <w:r w:rsidRPr="00B01912">
              <w:rPr>
                <w:rFonts w:cs="Times New Roman"/>
                <w:i/>
                <w:sz w:val="24"/>
              </w:rPr>
              <w:t>Sociālie pabalsti:</w:t>
            </w:r>
          </w:p>
        </w:tc>
        <w:tc>
          <w:tcPr>
            <w:tcW w:w="1022"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sz w:val="20"/>
                <w:szCs w:val="20"/>
                <w:lang w:eastAsia="lv-LV"/>
              </w:rPr>
            </w:pPr>
            <w:r w:rsidRPr="00644E84">
              <w:rPr>
                <w:rFonts w:eastAsia="Times New Roman" w:cs="Times New Roman"/>
                <w:sz w:val="20"/>
                <w:szCs w:val="20"/>
                <w:lang w:eastAsia="lv-LV"/>
              </w:rPr>
              <w:t>503 713</w:t>
            </w:r>
          </w:p>
        </w:tc>
        <w:tc>
          <w:tcPr>
            <w:tcW w:w="1022"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sz w:val="20"/>
                <w:szCs w:val="20"/>
                <w:lang w:eastAsia="lv-LV"/>
              </w:rPr>
            </w:pPr>
            <w:r w:rsidRPr="00644E84">
              <w:rPr>
                <w:rFonts w:eastAsia="Times New Roman" w:cs="Times New Roman"/>
                <w:sz w:val="20"/>
                <w:szCs w:val="20"/>
                <w:lang w:eastAsia="lv-LV"/>
              </w:rPr>
              <w:t>489 548</w:t>
            </w:r>
          </w:p>
        </w:tc>
        <w:tc>
          <w:tcPr>
            <w:tcW w:w="1023"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sz w:val="20"/>
                <w:szCs w:val="20"/>
                <w:lang w:eastAsia="lv-LV"/>
              </w:rPr>
            </w:pPr>
            <w:r w:rsidRPr="00644E84">
              <w:rPr>
                <w:rFonts w:eastAsia="Times New Roman" w:cs="Times New Roman"/>
                <w:sz w:val="20"/>
                <w:szCs w:val="20"/>
                <w:lang w:eastAsia="lv-LV"/>
              </w:rPr>
              <w:t>485 794</w:t>
            </w:r>
          </w:p>
        </w:tc>
        <w:tc>
          <w:tcPr>
            <w:tcW w:w="1169"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sz w:val="20"/>
                <w:szCs w:val="20"/>
                <w:lang w:eastAsia="lv-LV"/>
              </w:rPr>
            </w:pPr>
            <w:r w:rsidRPr="00644E84">
              <w:rPr>
                <w:rFonts w:eastAsia="Times New Roman" w:cs="Times New Roman"/>
                <w:sz w:val="20"/>
                <w:szCs w:val="20"/>
                <w:lang w:eastAsia="lv-LV"/>
              </w:rPr>
              <w:t>2 051 528</w:t>
            </w:r>
          </w:p>
        </w:tc>
        <w:tc>
          <w:tcPr>
            <w:tcW w:w="877"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sz w:val="20"/>
                <w:szCs w:val="20"/>
                <w:lang w:eastAsia="lv-LV"/>
              </w:rPr>
            </w:pPr>
            <w:r w:rsidRPr="00644E84">
              <w:rPr>
                <w:rFonts w:eastAsia="Times New Roman" w:cs="Times New Roman"/>
                <w:sz w:val="20"/>
                <w:szCs w:val="20"/>
                <w:lang w:eastAsia="lv-LV"/>
              </w:rPr>
              <w:t>96,4</w:t>
            </w:r>
          </w:p>
        </w:tc>
        <w:tc>
          <w:tcPr>
            <w:tcW w:w="876"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sz w:val="20"/>
                <w:szCs w:val="20"/>
                <w:lang w:eastAsia="lv-LV"/>
              </w:rPr>
            </w:pPr>
            <w:r w:rsidRPr="00644E84">
              <w:rPr>
                <w:rFonts w:eastAsia="Times New Roman" w:cs="Times New Roman"/>
                <w:sz w:val="20"/>
                <w:szCs w:val="20"/>
                <w:lang w:eastAsia="lv-LV"/>
              </w:rPr>
              <w:t>99,2</w:t>
            </w:r>
          </w:p>
        </w:tc>
        <w:tc>
          <w:tcPr>
            <w:tcW w:w="877"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sz w:val="20"/>
                <w:szCs w:val="20"/>
                <w:lang w:eastAsia="lv-LV"/>
              </w:rPr>
            </w:pPr>
            <w:r w:rsidRPr="00644E84">
              <w:rPr>
                <w:rFonts w:eastAsia="Times New Roman" w:cs="Times New Roman"/>
                <w:sz w:val="20"/>
                <w:szCs w:val="20"/>
                <w:lang w:eastAsia="lv-LV"/>
              </w:rPr>
              <w:t>23,7</w:t>
            </w:r>
          </w:p>
        </w:tc>
      </w:tr>
      <w:tr w:rsidR="006247F6" w:rsidRPr="00644E84" w:rsidTr="00D44AAF">
        <w:trPr>
          <w:trHeight w:val="255"/>
        </w:trPr>
        <w:tc>
          <w:tcPr>
            <w:tcW w:w="2630" w:type="dxa"/>
            <w:tcBorders>
              <w:top w:val="nil"/>
              <w:left w:val="single" w:sz="4" w:space="0" w:color="auto"/>
              <w:right w:val="single" w:sz="4" w:space="0" w:color="auto"/>
            </w:tcBorders>
            <w:shd w:val="clear" w:color="auto" w:fill="auto"/>
            <w:vAlign w:val="center"/>
            <w:hideMark/>
          </w:tcPr>
          <w:p w:rsidR="006247F6" w:rsidRPr="00B01912" w:rsidRDefault="006247F6" w:rsidP="00D44AAF">
            <w:pPr>
              <w:rPr>
                <w:rFonts w:cs="Times New Roman"/>
                <w:i/>
                <w:sz w:val="24"/>
              </w:rPr>
            </w:pPr>
            <w:r w:rsidRPr="00B01912">
              <w:rPr>
                <w:rFonts w:cs="Times New Roman"/>
                <w:i/>
                <w:sz w:val="24"/>
              </w:rPr>
              <w:t xml:space="preserve">   Valsts pensijas</w:t>
            </w:r>
          </w:p>
        </w:tc>
        <w:tc>
          <w:tcPr>
            <w:tcW w:w="1022"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i/>
                <w:sz w:val="20"/>
                <w:szCs w:val="20"/>
                <w:lang w:eastAsia="lv-LV"/>
              </w:rPr>
            </w:pPr>
            <w:r w:rsidRPr="00644E84">
              <w:rPr>
                <w:rFonts w:eastAsia="Times New Roman" w:cs="Times New Roman"/>
                <w:i/>
                <w:sz w:val="20"/>
                <w:szCs w:val="20"/>
                <w:lang w:eastAsia="lv-LV"/>
              </w:rPr>
              <w:t>429 788</w:t>
            </w:r>
          </w:p>
        </w:tc>
        <w:tc>
          <w:tcPr>
            <w:tcW w:w="1022" w:type="dxa"/>
            <w:tcBorders>
              <w:top w:val="nil"/>
              <w:left w:val="nil"/>
              <w:right w:val="single" w:sz="4" w:space="0" w:color="auto"/>
            </w:tcBorders>
            <w:shd w:val="clear" w:color="auto" w:fill="auto"/>
            <w:noWrap/>
            <w:vAlign w:val="bottom"/>
          </w:tcPr>
          <w:p w:rsidR="006247F6" w:rsidRPr="00644E84" w:rsidRDefault="006247F6" w:rsidP="005C7D14">
            <w:pPr>
              <w:spacing w:after="0"/>
              <w:ind w:firstLine="0"/>
              <w:jc w:val="right"/>
              <w:rPr>
                <w:rFonts w:eastAsia="Times New Roman" w:cs="Times New Roman"/>
                <w:i/>
                <w:sz w:val="20"/>
                <w:szCs w:val="20"/>
                <w:lang w:eastAsia="lv-LV"/>
              </w:rPr>
            </w:pPr>
          </w:p>
        </w:tc>
        <w:tc>
          <w:tcPr>
            <w:tcW w:w="1023"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i/>
                <w:sz w:val="20"/>
                <w:szCs w:val="20"/>
                <w:lang w:eastAsia="lv-LV"/>
              </w:rPr>
            </w:pPr>
            <w:r w:rsidRPr="00644E84">
              <w:rPr>
                <w:rFonts w:eastAsia="Times New Roman" w:cs="Times New Roman"/>
                <w:i/>
                <w:sz w:val="20"/>
                <w:szCs w:val="20"/>
                <w:lang w:eastAsia="lv-LV"/>
              </w:rPr>
              <w:t>405 573</w:t>
            </w:r>
          </w:p>
        </w:tc>
        <w:tc>
          <w:tcPr>
            <w:tcW w:w="1169" w:type="dxa"/>
            <w:tcBorders>
              <w:top w:val="nil"/>
              <w:left w:val="nil"/>
              <w:right w:val="single" w:sz="4" w:space="0" w:color="auto"/>
            </w:tcBorders>
            <w:shd w:val="clear" w:color="auto" w:fill="auto"/>
            <w:noWrap/>
            <w:vAlign w:val="bottom"/>
          </w:tcPr>
          <w:p w:rsidR="006247F6" w:rsidRPr="00644E84" w:rsidRDefault="006247F6" w:rsidP="005C7D14">
            <w:pPr>
              <w:spacing w:after="0"/>
              <w:ind w:firstLine="0"/>
              <w:jc w:val="right"/>
              <w:rPr>
                <w:rFonts w:eastAsia="Times New Roman" w:cs="Times New Roman"/>
                <w:i/>
                <w:sz w:val="20"/>
                <w:szCs w:val="20"/>
                <w:lang w:eastAsia="lv-LV"/>
              </w:rPr>
            </w:pPr>
          </w:p>
        </w:tc>
        <w:tc>
          <w:tcPr>
            <w:tcW w:w="877"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i/>
                <w:sz w:val="20"/>
                <w:szCs w:val="20"/>
                <w:lang w:eastAsia="lv-LV"/>
              </w:rPr>
            </w:pPr>
            <w:r w:rsidRPr="00644E84">
              <w:rPr>
                <w:rFonts w:eastAsia="Times New Roman" w:cs="Times New Roman"/>
                <w:i/>
                <w:sz w:val="20"/>
                <w:szCs w:val="20"/>
                <w:lang w:eastAsia="lv-LV"/>
              </w:rPr>
              <w:t>94,4</w:t>
            </w:r>
          </w:p>
        </w:tc>
        <w:tc>
          <w:tcPr>
            <w:tcW w:w="876"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i/>
                <w:sz w:val="20"/>
                <w:szCs w:val="20"/>
                <w:lang w:eastAsia="lv-LV"/>
              </w:rPr>
            </w:pPr>
            <w:r w:rsidRPr="00644E84">
              <w:rPr>
                <w:rFonts w:eastAsia="Times New Roman" w:cs="Times New Roman"/>
                <w:i/>
                <w:sz w:val="20"/>
                <w:szCs w:val="20"/>
                <w:lang w:eastAsia="lv-LV"/>
              </w:rPr>
              <w:t> </w:t>
            </w:r>
          </w:p>
        </w:tc>
        <w:tc>
          <w:tcPr>
            <w:tcW w:w="877" w:type="dxa"/>
            <w:tcBorders>
              <w:top w:val="nil"/>
              <w:left w:val="nil"/>
              <w:right w:val="single" w:sz="4" w:space="0" w:color="auto"/>
            </w:tcBorders>
            <w:shd w:val="clear" w:color="auto" w:fill="auto"/>
            <w:noWrap/>
            <w:vAlign w:val="bottom"/>
          </w:tcPr>
          <w:p w:rsidR="006247F6" w:rsidRPr="00644E84" w:rsidRDefault="006247F6" w:rsidP="005C7D14">
            <w:pPr>
              <w:spacing w:after="0"/>
              <w:ind w:firstLine="0"/>
              <w:jc w:val="center"/>
              <w:rPr>
                <w:rFonts w:eastAsia="Times New Roman" w:cs="Times New Roman"/>
                <w:i/>
                <w:sz w:val="20"/>
                <w:szCs w:val="20"/>
                <w:lang w:eastAsia="lv-LV"/>
              </w:rPr>
            </w:pPr>
          </w:p>
        </w:tc>
      </w:tr>
      <w:tr w:rsidR="006247F6" w:rsidRPr="00644E84" w:rsidTr="00D44AAF">
        <w:trPr>
          <w:trHeight w:val="255"/>
        </w:trPr>
        <w:tc>
          <w:tcPr>
            <w:tcW w:w="2630" w:type="dxa"/>
            <w:tcBorders>
              <w:top w:val="nil"/>
              <w:left w:val="single" w:sz="4" w:space="0" w:color="auto"/>
              <w:right w:val="single" w:sz="4" w:space="0" w:color="auto"/>
            </w:tcBorders>
            <w:shd w:val="clear" w:color="auto" w:fill="auto"/>
            <w:vAlign w:val="center"/>
            <w:hideMark/>
          </w:tcPr>
          <w:p w:rsidR="006247F6" w:rsidRPr="00B01912" w:rsidRDefault="006247F6" w:rsidP="00D44AAF">
            <w:pPr>
              <w:rPr>
                <w:rFonts w:cs="Times New Roman"/>
                <w:i/>
                <w:sz w:val="24"/>
              </w:rPr>
            </w:pPr>
            <w:r w:rsidRPr="00B01912">
              <w:rPr>
                <w:rFonts w:cs="Times New Roman"/>
                <w:i/>
                <w:sz w:val="24"/>
              </w:rPr>
              <w:t xml:space="preserve">   Valsts sociālās apdrošināšanas pabalsti naudā</w:t>
            </w:r>
          </w:p>
        </w:tc>
        <w:tc>
          <w:tcPr>
            <w:tcW w:w="1022"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i/>
                <w:sz w:val="20"/>
                <w:szCs w:val="20"/>
                <w:lang w:eastAsia="lv-LV"/>
              </w:rPr>
            </w:pPr>
            <w:r w:rsidRPr="00644E84">
              <w:rPr>
                <w:rFonts w:eastAsia="Times New Roman" w:cs="Times New Roman"/>
                <w:i/>
                <w:sz w:val="20"/>
                <w:szCs w:val="20"/>
                <w:lang w:eastAsia="lv-LV"/>
              </w:rPr>
              <w:t>56 613</w:t>
            </w:r>
          </w:p>
        </w:tc>
        <w:tc>
          <w:tcPr>
            <w:tcW w:w="1022" w:type="dxa"/>
            <w:tcBorders>
              <w:top w:val="nil"/>
              <w:left w:val="nil"/>
              <w:right w:val="single" w:sz="4" w:space="0" w:color="auto"/>
            </w:tcBorders>
            <w:shd w:val="clear" w:color="auto" w:fill="auto"/>
            <w:noWrap/>
            <w:vAlign w:val="bottom"/>
          </w:tcPr>
          <w:p w:rsidR="006247F6" w:rsidRPr="00644E84" w:rsidRDefault="006247F6" w:rsidP="005C7D14">
            <w:pPr>
              <w:spacing w:after="0"/>
              <w:ind w:firstLine="0"/>
              <w:jc w:val="right"/>
              <w:rPr>
                <w:rFonts w:eastAsia="Times New Roman" w:cs="Times New Roman"/>
                <w:i/>
                <w:sz w:val="20"/>
                <w:szCs w:val="20"/>
                <w:lang w:eastAsia="lv-LV"/>
              </w:rPr>
            </w:pPr>
          </w:p>
        </w:tc>
        <w:tc>
          <w:tcPr>
            <w:tcW w:w="1023"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i/>
                <w:sz w:val="20"/>
                <w:szCs w:val="20"/>
                <w:lang w:eastAsia="lv-LV"/>
              </w:rPr>
            </w:pPr>
            <w:r w:rsidRPr="00644E84">
              <w:rPr>
                <w:rFonts w:eastAsia="Times New Roman" w:cs="Times New Roman"/>
                <w:i/>
                <w:sz w:val="20"/>
                <w:szCs w:val="20"/>
                <w:lang w:eastAsia="lv-LV"/>
              </w:rPr>
              <w:t>56 687</w:t>
            </w:r>
          </w:p>
        </w:tc>
        <w:tc>
          <w:tcPr>
            <w:tcW w:w="1169" w:type="dxa"/>
            <w:tcBorders>
              <w:top w:val="nil"/>
              <w:left w:val="nil"/>
              <w:right w:val="single" w:sz="4" w:space="0" w:color="auto"/>
            </w:tcBorders>
            <w:shd w:val="clear" w:color="auto" w:fill="auto"/>
            <w:noWrap/>
            <w:vAlign w:val="bottom"/>
          </w:tcPr>
          <w:p w:rsidR="006247F6" w:rsidRPr="00644E84" w:rsidRDefault="006247F6" w:rsidP="005C7D14">
            <w:pPr>
              <w:spacing w:after="0"/>
              <w:ind w:firstLine="0"/>
              <w:jc w:val="right"/>
              <w:rPr>
                <w:rFonts w:eastAsia="Times New Roman" w:cs="Times New Roman"/>
                <w:i/>
                <w:sz w:val="20"/>
                <w:szCs w:val="20"/>
                <w:lang w:eastAsia="lv-LV"/>
              </w:rPr>
            </w:pPr>
          </w:p>
        </w:tc>
        <w:tc>
          <w:tcPr>
            <w:tcW w:w="877"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i/>
                <w:sz w:val="20"/>
                <w:szCs w:val="20"/>
                <w:lang w:eastAsia="lv-LV"/>
              </w:rPr>
            </w:pPr>
            <w:r w:rsidRPr="00644E84">
              <w:rPr>
                <w:rFonts w:eastAsia="Times New Roman" w:cs="Times New Roman"/>
                <w:i/>
                <w:sz w:val="20"/>
                <w:szCs w:val="20"/>
                <w:lang w:eastAsia="lv-LV"/>
              </w:rPr>
              <w:t>100,1</w:t>
            </w:r>
          </w:p>
        </w:tc>
        <w:tc>
          <w:tcPr>
            <w:tcW w:w="876"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i/>
                <w:sz w:val="20"/>
                <w:szCs w:val="20"/>
                <w:lang w:eastAsia="lv-LV"/>
              </w:rPr>
            </w:pPr>
            <w:r w:rsidRPr="00644E84">
              <w:rPr>
                <w:rFonts w:eastAsia="Times New Roman" w:cs="Times New Roman"/>
                <w:i/>
                <w:sz w:val="20"/>
                <w:szCs w:val="20"/>
                <w:lang w:eastAsia="lv-LV"/>
              </w:rPr>
              <w:t> </w:t>
            </w:r>
          </w:p>
        </w:tc>
        <w:tc>
          <w:tcPr>
            <w:tcW w:w="877" w:type="dxa"/>
            <w:tcBorders>
              <w:top w:val="nil"/>
              <w:left w:val="nil"/>
              <w:right w:val="single" w:sz="4" w:space="0" w:color="auto"/>
            </w:tcBorders>
            <w:shd w:val="clear" w:color="auto" w:fill="auto"/>
            <w:noWrap/>
            <w:vAlign w:val="bottom"/>
          </w:tcPr>
          <w:p w:rsidR="006247F6" w:rsidRPr="00644E84" w:rsidRDefault="006247F6" w:rsidP="005C7D14">
            <w:pPr>
              <w:spacing w:after="0"/>
              <w:ind w:firstLine="0"/>
              <w:jc w:val="center"/>
              <w:rPr>
                <w:rFonts w:eastAsia="Times New Roman" w:cs="Times New Roman"/>
                <w:i/>
                <w:sz w:val="20"/>
                <w:szCs w:val="20"/>
                <w:lang w:eastAsia="lv-LV"/>
              </w:rPr>
            </w:pPr>
          </w:p>
        </w:tc>
      </w:tr>
      <w:tr w:rsidR="006247F6" w:rsidRPr="00644E84" w:rsidTr="00D44AAF">
        <w:trPr>
          <w:trHeight w:val="481"/>
        </w:trPr>
        <w:tc>
          <w:tcPr>
            <w:tcW w:w="2630" w:type="dxa"/>
            <w:tcBorders>
              <w:top w:val="nil"/>
              <w:left w:val="single" w:sz="4" w:space="0" w:color="auto"/>
              <w:right w:val="single" w:sz="4" w:space="0" w:color="auto"/>
            </w:tcBorders>
            <w:shd w:val="clear" w:color="auto" w:fill="auto"/>
            <w:vAlign w:val="center"/>
            <w:hideMark/>
          </w:tcPr>
          <w:p w:rsidR="006247F6" w:rsidRPr="00B01912" w:rsidRDefault="006247F6" w:rsidP="00D44AAF">
            <w:pPr>
              <w:rPr>
                <w:rFonts w:cs="Times New Roman"/>
                <w:i/>
                <w:sz w:val="24"/>
              </w:rPr>
            </w:pPr>
            <w:r w:rsidRPr="00B01912">
              <w:rPr>
                <w:rFonts w:cs="Times New Roman"/>
                <w:i/>
                <w:sz w:val="24"/>
              </w:rPr>
              <w:t xml:space="preserve">   Valsts un pašvaldību nodarbinātības pabalsti naudā</w:t>
            </w:r>
          </w:p>
        </w:tc>
        <w:tc>
          <w:tcPr>
            <w:tcW w:w="1022"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i/>
                <w:sz w:val="20"/>
                <w:szCs w:val="20"/>
                <w:lang w:eastAsia="lv-LV"/>
              </w:rPr>
            </w:pPr>
            <w:r w:rsidRPr="00644E84">
              <w:rPr>
                <w:rFonts w:eastAsia="Times New Roman" w:cs="Times New Roman"/>
                <w:i/>
                <w:sz w:val="20"/>
                <w:szCs w:val="20"/>
                <w:lang w:eastAsia="lv-LV"/>
              </w:rPr>
              <w:t>17 003</w:t>
            </w:r>
          </w:p>
        </w:tc>
        <w:tc>
          <w:tcPr>
            <w:tcW w:w="1022" w:type="dxa"/>
            <w:tcBorders>
              <w:top w:val="nil"/>
              <w:left w:val="nil"/>
              <w:right w:val="single" w:sz="4" w:space="0" w:color="auto"/>
            </w:tcBorders>
            <w:shd w:val="clear" w:color="auto" w:fill="auto"/>
            <w:noWrap/>
            <w:vAlign w:val="bottom"/>
          </w:tcPr>
          <w:p w:rsidR="006247F6" w:rsidRPr="00644E84" w:rsidRDefault="006247F6" w:rsidP="005C7D14">
            <w:pPr>
              <w:spacing w:after="0"/>
              <w:ind w:firstLine="0"/>
              <w:jc w:val="right"/>
              <w:rPr>
                <w:rFonts w:eastAsia="Times New Roman" w:cs="Times New Roman"/>
                <w:i/>
                <w:sz w:val="20"/>
                <w:szCs w:val="20"/>
                <w:lang w:eastAsia="lv-LV"/>
              </w:rPr>
            </w:pPr>
          </w:p>
        </w:tc>
        <w:tc>
          <w:tcPr>
            <w:tcW w:w="1023"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i/>
                <w:sz w:val="20"/>
                <w:szCs w:val="20"/>
                <w:lang w:eastAsia="lv-LV"/>
              </w:rPr>
            </w:pPr>
            <w:r w:rsidRPr="00644E84">
              <w:rPr>
                <w:rFonts w:eastAsia="Times New Roman" w:cs="Times New Roman"/>
                <w:i/>
                <w:sz w:val="20"/>
                <w:szCs w:val="20"/>
                <w:lang w:eastAsia="lv-LV"/>
              </w:rPr>
              <w:t>23 361</w:t>
            </w:r>
          </w:p>
        </w:tc>
        <w:tc>
          <w:tcPr>
            <w:tcW w:w="1169" w:type="dxa"/>
            <w:tcBorders>
              <w:top w:val="nil"/>
              <w:left w:val="nil"/>
              <w:right w:val="single" w:sz="4" w:space="0" w:color="auto"/>
            </w:tcBorders>
            <w:shd w:val="clear" w:color="auto" w:fill="auto"/>
            <w:noWrap/>
            <w:vAlign w:val="bottom"/>
          </w:tcPr>
          <w:p w:rsidR="006247F6" w:rsidRPr="00644E84" w:rsidRDefault="006247F6" w:rsidP="005C7D14">
            <w:pPr>
              <w:spacing w:after="0"/>
              <w:ind w:firstLine="0"/>
              <w:jc w:val="right"/>
              <w:rPr>
                <w:rFonts w:eastAsia="Times New Roman" w:cs="Times New Roman"/>
                <w:i/>
                <w:sz w:val="20"/>
                <w:szCs w:val="20"/>
                <w:lang w:eastAsia="lv-LV"/>
              </w:rPr>
            </w:pPr>
          </w:p>
        </w:tc>
        <w:tc>
          <w:tcPr>
            <w:tcW w:w="877"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i/>
                <w:sz w:val="20"/>
                <w:szCs w:val="20"/>
                <w:lang w:eastAsia="lv-LV"/>
              </w:rPr>
            </w:pPr>
            <w:r w:rsidRPr="00644E84">
              <w:rPr>
                <w:rFonts w:eastAsia="Times New Roman" w:cs="Times New Roman"/>
                <w:i/>
                <w:sz w:val="20"/>
                <w:szCs w:val="20"/>
                <w:lang w:eastAsia="lv-LV"/>
              </w:rPr>
              <w:t>137,4</w:t>
            </w:r>
          </w:p>
        </w:tc>
        <w:tc>
          <w:tcPr>
            <w:tcW w:w="876"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i/>
                <w:sz w:val="20"/>
                <w:szCs w:val="20"/>
                <w:lang w:eastAsia="lv-LV"/>
              </w:rPr>
            </w:pPr>
            <w:r w:rsidRPr="00644E84">
              <w:rPr>
                <w:rFonts w:eastAsia="Times New Roman" w:cs="Times New Roman"/>
                <w:i/>
                <w:sz w:val="20"/>
                <w:szCs w:val="20"/>
                <w:lang w:eastAsia="lv-LV"/>
              </w:rPr>
              <w:t> </w:t>
            </w:r>
          </w:p>
        </w:tc>
        <w:tc>
          <w:tcPr>
            <w:tcW w:w="877" w:type="dxa"/>
            <w:tcBorders>
              <w:top w:val="nil"/>
              <w:left w:val="nil"/>
              <w:right w:val="single" w:sz="4" w:space="0" w:color="auto"/>
            </w:tcBorders>
            <w:shd w:val="clear" w:color="auto" w:fill="auto"/>
            <w:noWrap/>
            <w:vAlign w:val="bottom"/>
          </w:tcPr>
          <w:p w:rsidR="006247F6" w:rsidRPr="00644E84" w:rsidRDefault="006247F6" w:rsidP="005C7D14">
            <w:pPr>
              <w:spacing w:after="0"/>
              <w:ind w:firstLine="0"/>
              <w:jc w:val="center"/>
              <w:rPr>
                <w:rFonts w:eastAsia="Times New Roman" w:cs="Times New Roman"/>
                <w:i/>
                <w:sz w:val="20"/>
                <w:szCs w:val="20"/>
                <w:lang w:eastAsia="lv-LV"/>
              </w:rPr>
            </w:pPr>
          </w:p>
        </w:tc>
      </w:tr>
      <w:tr w:rsidR="006247F6" w:rsidRPr="00644E84" w:rsidTr="00D44AAF">
        <w:trPr>
          <w:trHeight w:val="529"/>
        </w:trPr>
        <w:tc>
          <w:tcPr>
            <w:tcW w:w="2630" w:type="dxa"/>
            <w:tcBorders>
              <w:top w:val="nil"/>
              <w:left w:val="single" w:sz="4" w:space="0" w:color="auto"/>
              <w:bottom w:val="single" w:sz="4" w:space="0" w:color="auto"/>
              <w:right w:val="single" w:sz="4" w:space="0" w:color="auto"/>
            </w:tcBorders>
            <w:shd w:val="clear" w:color="auto" w:fill="auto"/>
            <w:vAlign w:val="center"/>
            <w:hideMark/>
          </w:tcPr>
          <w:p w:rsidR="006247F6" w:rsidRPr="00B01912" w:rsidRDefault="006247F6" w:rsidP="00D44AAF">
            <w:pPr>
              <w:rPr>
                <w:rFonts w:cs="Times New Roman"/>
                <w:i/>
                <w:sz w:val="24"/>
              </w:rPr>
            </w:pPr>
            <w:r w:rsidRPr="00D44AAF">
              <w:rPr>
                <w:rFonts w:cs="Times New Roman"/>
                <w:b/>
                <w:i/>
                <w:sz w:val="24"/>
              </w:rPr>
              <w:lastRenderedPageBreak/>
              <w:t xml:space="preserve">   </w:t>
            </w:r>
            <w:r w:rsidRPr="00B01912">
              <w:rPr>
                <w:rFonts w:cs="Times New Roman"/>
                <w:i/>
                <w:sz w:val="24"/>
              </w:rPr>
              <w:t>Valsts un pašvaldību budžeta maksājumi</w:t>
            </w:r>
          </w:p>
        </w:tc>
        <w:tc>
          <w:tcPr>
            <w:tcW w:w="1022" w:type="dxa"/>
            <w:tcBorders>
              <w:top w:val="nil"/>
              <w:left w:val="nil"/>
              <w:bottom w:val="single" w:sz="4" w:space="0" w:color="auto"/>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i/>
                <w:sz w:val="20"/>
                <w:szCs w:val="20"/>
                <w:lang w:eastAsia="lv-LV"/>
              </w:rPr>
            </w:pPr>
            <w:r w:rsidRPr="00644E84">
              <w:rPr>
                <w:rFonts w:eastAsia="Times New Roman" w:cs="Times New Roman"/>
                <w:i/>
                <w:sz w:val="20"/>
                <w:szCs w:val="20"/>
                <w:lang w:eastAsia="lv-LV"/>
              </w:rPr>
              <w:t>309</w:t>
            </w:r>
          </w:p>
        </w:tc>
        <w:tc>
          <w:tcPr>
            <w:tcW w:w="1022" w:type="dxa"/>
            <w:tcBorders>
              <w:top w:val="nil"/>
              <w:left w:val="nil"/>
              <w:bottom w:val="single" w:sz="4" w:space="0" w:color="auto"/>
              <w:right w:val="single" w:sz="4" w:space="0" w:color="auto"/>
            </w:tcBorders>
            <w:shd w:val="clear" w:color="auto" w:fill="auto"/>
            <w:noWrap/>
            <w:vAlign w:val="bottom"/>
          </w:tcPr>
          <w:p w:rsidR="006247F6" w:rsidRPr="00644E84" w:rsidRDefault="006247F6" w:rsidP="005C7D14">
            <w:pPr>
              <w:spacing w:after="0"/>
              <w:ind w:firstLine="0"/>
              <w:jc w:val="right"/>
              <w:rPr>
                <w:rFonts w:eastAsia="Times New Roman" w:cs="Times New Roman"/>
                <w:i/>
                <w:sz w:val="20"/>
                <w:szCs w:val="20"/>
                <w:lang w:eastAsia="lv-LV"/>
              </w:rPr>
            </w:pPr>
          </w:p>
        </w:tc>
        <w:tc>
          <w:tcPr>
            <w:tcW w:w="1023" w:type="dxa"/>
            <w:tcBorders>
              <w:top w:val="nil"/>
              <w:left w:val="nil"/>
              <w:bottom w:val="single" w:sz="4" w:space="0" w:color="auto"/>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i/>
                <w:sz w:val="20"/>
                <w:szCs w:val="20"/>
                <w:lang w:eastAsia="lv-LV"/>
              </w:rPr>
            </w:pPr>
            <w:r w:rsidRPr="00644E84">
              <w:rPr>
                <w:rFonts w:eastAsia="Times New Roman" w:cs="Times New Roman"/>
                <w:i/>
                <w:sz w:val="20"/>
                <w:szCs w:val="20"/>
                <w:lang w:eastAsia="lv-LV"/>
              </w:rPr>
              <w:t>173</w:t>
            </w:r>
          </w:p>
        </w:tc>
        <w:tc>
          <w:tcPr>
            <w:tcW w:w="1169" w:type="dxa"/>
            <w:tcBorders>
              <w:top w:val="nil"/>
              <w:left w:val="nil"/>
              <w:bottom w:val="single" w:sz="4" w:space="0" w:color="auto"/>
              <w:right w:val="single" w:sz="4" w:space="0" w:color="auto"/>
            </w:tcBorders>
            <w:shd w:val="clear" w:color="auto" w:fill="auto"/>
            <w:noWrap/>
            <w:vAlign w:val="bottom"/>
          </w:tcPr>
          <w:p w:rsidR="006247F6" w:rsidRPr="00644E84" w:rsidRDefault="006247F6" w:rsidP="005C7D14">
            <w:pPr>
              <w:spacing w:after="0"/>
              <w:ind w:firstLine="0"/>
              <w:jc w:val="right"/>
              <w:rPr>
                <w:rFonts w:eastAsia="Times New Roman" w:cs="Times New Roman"/>
                <w:i/>
                <w:sz w:val="20"/>
                <w:szCs w:val="20"/>
                <w:lang w:eastAsia="lv-LV"/>
              </w:rPr>
            </w:pPr>
          </w:p>
        </w:tc>
        <w:tc>
          <w:tcPr>
            <w:tcW w:w="877" w:type="dxa"/>
            <w:tcBorders>
              <w:top w:val="nil"/>
              <w:left w:val="nil"/>
              <w:bottom w:val="single" w:sz="4" w:space="0" w:color="auto"/>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i/>
                <w:sz w:val="20"/>
                <w:szCs w:val="20"/>
                <w:lang w:eastAsia="lv-LV"/>
              </w:rPr>
            </w:pPr>
            <w:r w:rsidRPr="00644E84">
              <w:rPr>
                <w:rFonts w:eastAsia="Times New Roman" w:cs="Times New Roman"/>
                <w:i/>
                <w:sz w:val="20"/>
                <w:szCs w:val="20"/>
                <w:lang w:eastAsia="lv-LV"/>
              </w:rPr>
              <w:t>56,0</w:t>
            </w:r>
          </w:p>
        </w:tc>
        <w:tc>
          <w:tcPr>
            <w:tcW w:w="876" w:type="dxa"/>
            <w:tcBorders>
              <w:top w:val="nil"/>
              <w:left w:val="nil"/>
              <w:bottom w:val="single" w:sz="4" w:space="0" w:color="auto"/>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i/>
                <w:sz w:val="20"/>
                <w:szCs w:val="20"/>
                <w:lang w:eastAsia="lv-LV"/>
              </w:rPr>
            </w:pPr>
            <w:r w:rsidRPr="00644E84">
              <w:rPr>
                <w:rFonts w:eastAsia="Times New Roman" w:cs="Times New Roman"/>
                <w:i/>
                <w:sz w:val="20"/>
                <w:szCs w:val="20"/>
                <w:lang w:eastAsia="lv-LV"/>
              </w:rPr>
              <w:t> </w:t>
            </w:r>
          </w:p>
        </w:tc>
        <w:tc>
          <w:tcPr>
            <w:tcW w:w="877" w:type="dxa"/>
            <w:tcBorders>
              <w:top w:val="nil"/>
              <w:left w:val="nil"/>
              <w:bottom w:val="single" w:sz="4" w:space="0" w:color="auto"/>
              <w:right w:val="single" w:sz="4" w:space="0" w:color="auto"/>
            </w:tcBorders>
            <w:shd w:val="clear" w:color="auto" w:fill="auto"/>
            <w:noWrap/>
            <w:vAlign w:val="bottom"/>
          </w:tcPr>
          <w:p w:rsidR="006247F6" w:rsidRPr="00644E84" w:rsidRDefault="006247F6" w:rsidP="005C7D14">
            <w:pPr>
              <w:spacing w:after="0"/>
              <w:ind w:firstLine="0"/>
              <w:jc w:val="center"/>
              <w:rPr>
                <w:rFonts w:eastAsia="Times New Roman" w:cs="Times New Roman"/>
                <w:i/>
                <w:sz w:val="20"/>
                <w:szCs w:val="20"/>
                <w:lang w:eastAsia="lv-LV"/>
              </w:rPr>
            </w:pPr>
          </w:p>
        </w:tc>
      </w:tr>
      <w:tr w:rsidR="006247F6" w:rsidRPr="00644E84" w:rsidTr="00D44AAF">
        <w:trPr>
          <w:trHeight w:val="255"/>
        </w:trPr>
        <w:tc>
          <w:tcPr>
            <w:tcW w:w="2630" w:type="dxa"/>
            <w:tcBorders>
              <w:top w:val="single" w:sz="4" w:space="0" w:color="auto"/>
              <w:left w:val="single" w:sz="4" w:space="0" w:color="auto"/>
              <w:right w:val="single" w:sz="4" w:space="0" w:color="auto"/>
            </w:tcBorders>
            <w:shd w:val="clear" w:color="auto" w:fill="auto"/>
            <w:vAlign w:val="center"/>
            <w:hideMark/>
          </w:tcPr>
          <w:p w:rsidR="006247F6" w:rsidRPr="00D44AAF" w:rsidRDefault="006247F6" w:rsidP="00D44AAF">
            <w:pPr>
              <w:rPr>
                <w:rFonts w:cs="Times New Roman"/>
                <w:b/>
                <w:i/>
                <w:sz w:val="24"/>
              </w:rPr>
            </w:pPr>
            <w:r w:rsidRPr="00D44AAF">
              <w:rPr>
                <w:rFonts w:cs="Times New Roman"/>
                <w:b/>
                <w:i/>
                <w:sz w:val="24"/>
              </w:rPr>
              <w:t>Kārtējie maksājumi Eiropas Savienības budžetā un starptautiskā sadarbība</w:t>
            </w:r>
          </w:p>
        </w:tc>
        <w:tc>
          <w:tcPr>
            <w:tcW w:w="1022" w:type="dxa"/>
            <w:tcBorders>
              <w:top w:val="single" w:sz="4" w:space="0" w:color="auto"/>
              <w:left w:val="nil"/>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b/>
                <w:sz w:val="20"/>
                <w:szCs w:val="20"/>
                <w:lang w:eastAsia="lv-LV"/>
              </w:rPr>
            </w:pPr>
            <w:r w:rsidRPr="00644E84">
              <w:rPr>
                <w:rFonts w:eastAsia="Times New Roman" w:cs="Times New Roman"/>
                <w:b/>
                <w:sz w:val="20"/>
                <w:szCs w:val="20"/>
                <w:lang w:eastAsia="lv-LV"/>
              </w:rPr>
              <w:t>17</w:t>
            </w:r>
          </w:p>
        </w:tc>
        <w:tc>
          <w:tcPr>
            <w:tcW w:w="1022" w:type="dxa"/>
            <w:tcBorders>
              <w:top w:val="single" w:sz="4" w:space="0" w:color="auto"/>
              <w:left w:val="nil"/>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b/>
                <w:sz w:val="20"/>
                <w:szCs w:val="20"/>
                <w:lang w:eastAsia="lv-LV"/>
              </w:rPr>
            </w:pPr>
            <w:r w:rsidRPr="00644E84">
              <w:rPr>
                <w:rFonts w:eastAsia="Times New Roman" w:cs="Times New Roman"/>
                <w:b/>
                <w:sz w:val="20"/>
                <w:szCs w:val="20"/>
                <w:lang w:eastAsia="lv-LV"/>
              </w:rPr>
              <w:t>17</w:t>
            </w:r>
          </w:p>
        </w:tc>
        <w:tc>
          <w:tcPr>
            <w:tcW w:w="1023" w:type="dxa"/>
            <w:tcBorders>
              <w:top w:val="single" w:sz="4" w:space="0" w:color="auto"/>
              <w:left w:val="nil"/>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b/>
                <w:sz w:val="20"/>
                <w:szCs w:val="20"/>
                <w:lang w:eastAsia="lv-LV"/>
              </w:rPr>
            </w:pPr>
            <w:r w:rsidRPr="00644E84">
              <w:rPr>
                <w:rFonts w:eastAsia="Times New Roman" w:cs="Times New Roman"/>
                <w:b/>
                <w:sz w:val="20"/>
                <w:szCs w:val="20"/>
                <w:lang w:eastAsia="lv-LV"/>
              </w:rPr>
              <w:t>17</w:t>
            </w:r>
          </w:p>
        </w:tc>
        <w:tc>
          <w:tcPr>
            <w:tcW w:w="1169" w:type="dxa"/>
            <w:tcBorders>
              <w:top w:val="single" w:sz="4" w:space="0" w:color="auto"/>
              <w:left w:val="nil"/>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b/>
                <w:sz w:val="20"/>
                <w:szCs w:val="20"/>
                <w:lang w:eastAsia="lv-LV"/>
              </w:rPr>
            </w:pPr>
            <w:r w:rsidRPr="00644E84">
              <w:rPr>
                <w:rFonts w:eastAsia="Times New Roman" w:cs="Times New Roman"/>
                <w:b/>
                <w:sz w:val="20"/>
                <w:szCs w:val="20"/>
                <w:lang w:eastAsia="lv-LV"/>
              </w:rPr>
              <w:t>17</w:t>
            </w:r>
          </w:p>
        </w:tc>
        <w:tc>
          <w:tcPr>
            <w:tcW w:w="877" w:type="dxa"/>
            <w:tcBorders>
              <w:top w:val="single" w:sz="4" w:space="0" w:color="auto"/>
              <w:left w:val="nil"/>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b/>
                <w:sz w:val="20"/>
                <w:szCs w:val="20"/>
                <w:lang w:eastAsia="lv-LV"/>
              </w:rPr>
            </w:pPr>
            <w:r w:rsidRPr="00644E84">
              <w:rPr>
                <w:rFonts w:eastAsia="Times New Roman" w:cs="Times New Roman"/>
                <w:b/>
                <w:sz w:val="20"/>
                <w:szCs w:val="20"/>
                <w:lang w:eastAsia="lv-LV"/>
              </w:rPr>
              <w:t>101,3</w:t>
            </w:r>
          </w:p>
        </w:tc>
        <w:tc>
          <w:tcPr>
            <w:tcW w:w="876" w:type="dxa"/>
            <w:tcBorders>
              <w:top w:val="single" w:sz="4" w:space="0" w:color="auto"/>
              <w:left w:val="nil"/>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b/>
                <w:sz w:val="20"/>
                <w:szCs w:val="20"/>
                <w:lang w:eastAsia="lv-LV"/>
              </w:rPr>
            </w:pPr>
            <w:r w:rsidRPr="00644E84">
              <w:rPr>
                <w:rFonts w:eastAsia="Times New Roman" w:cs="Times New Roman"/>
                <w:b/>
                <w:sz w:val="20"/>
                <w:szCs w:val="20"/>
                <w:lang w:eastAsia="lv-LV"/>
              </w:rPr>
              <w:t>97,9</w:t>
            </w:r>
          </w:p>
        </w:tc>
        <w:tc>
          <w:tcPr>
            <w:tcW w:w="877" w:type="dxa"/>
            <w:tcBorders>
              <w:top w:val="single" w:sz="4" w:space="0" w:color="auto"/>
              <w:left w:val="nil"/>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b/>
                <w:sz w:val="20"/>
                <w:szCs w:val="20"/>
                <w:lang w:eastAsia="lv-LV"/>
              </w:rPr>
            </w:pPr>
            <w:r w:rsidRPr="00644E84">
              <w:rPr>
                <w:rFonts w:eastAsia="Times New Roman" w:cs="Times New Roman"/>
                <w:b/>
                <w:sz w:val="20"/>
                <w:szCs w:val="20"/>
                <w:lang w:eastAsia="lv-LV"/>
              </w:rPr>
              <w:t>97,9</w:t>
            </w:r>
          </w:p>
        </w:tc>
      </w:tr>
      <w:tr w:rsidR="006247F6" w:rsidRPr="00644E84" w:rsidTr="00D44AAF">
        <w:trPr>
          <w:trHeight w:val="255"/>
        </w:trPr>
        <w:tc>
          <w:tcPr>
            <w:tcW w:w="2630" w:type="dxa"/>
            <w:tcBorders>
              <w:top w:val="nil"/>
              <w:left w:val="single" w:sz="4" w:space="0" w:color="auto"/>
              <w:bottom w:val="single" w:sz="4" w:space="0" w:color="auto"/>
              <w:right w:val="single" w:sz="4" w:space="0" w:color="auto"/>
            </w:tcBorders>
            <w:shd w:val="clear" w:color="auto" w:fill="auto"/>
            <w:vAlign w:val="center"/>
            <w:hideMark/>
          </w:tcPr>
          <w:p w:rsidR="006247F6" w:rsidRPr="00B01912" w:rsidRDefault="006247F6" w:rsidP="00D44AAF">
            <w:pPr>
              <w:rPr>
                <w:rFonts w:cs="Times New Roman"/>
                <w:i/>
                <w:sz w:val="24"/>
              </w:rPr>
            </w:pPr>
            <w:r w:rsidRPr="00B01912">
              <w:rPr>
                <w:rFonts w:cs="Times New Roman"/>
                <w:i/>
                <w:sz w:val="24"/>
              </w:rPr>
              <w:t>Starptautiskā sadarbība</w:t>
            </w:r>
          </w:p>
        </w:tc>
        <w:tc>
          <w:tcPr>
            <w:tcW w:w="1022" w:type="dxa"/>
            <w:tcBorders>
              <w:top w:val="nil"/>
              <w:left w:val="nil"/>
              <w:bottom w:val="single" w:sz="4" w:space="0" w:color="auto"/>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sz w:val="20"/>
                <w:szCs w:val="20"/>
                <w:lang w:eastAsia="lv-LV"/>
              </w:rPr>
            </w:pPr>
            <w:r w:rsidRPr="00644E84">
              <w:rPr>
                <w:rFonts w:eastAsia="Times New Roman" w:cs="Times New Roman"/>
                <w:sz w:val="20"/>
                <w:szCs w:val="20"/>
                <w:lang w:eastAsia="lv-LV"/>
              </w:rPr>
              <w:t>17</w:t>
            </w:r>
          </w:p>
        </w:tc>
        <w:tc>
          <w:tcPr>
            <w:tcW w:w="1022" w:type="dxa"/>
            <w:tcBorders>
              <w:top w:val="nil"/>
              <w:left w:val="nil"/>
              <w:bottom w:val="single" w:sz="4" w:space="0" w:color="auto"/>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sz w:val="20"/>
                <w:szCs w:val="20"/>
                <w:lang w:eastAsia="lv-LV"/>
              </w:rPr>
            </w:pPr>
            <w:r w:rsidRPr="00644E84">
              <w:rPr>
                <w:rFonts w:eastAsia="Times New Roman" w:cs="Times New Roman"/>
                <w:sz w:val="20"/>
                <w:szCs w:val="20"/>
                <w:lang w:eastAsia="lv-LV"/>
              </w:rPr>
              <w:t>17</w:t>
            </w:r>
          </w:p>
        </w:tc>
        <w:tc>
          <w:tcPr>
            <w:tcW w:w="1023" w:type="dxa"/>
            <w:tcBorders>
              <w:top w:val="nil"/>
              <w:left w:val="nil"/>
              <w:bottom w:val="single" w:sz="4" w:space="0" w:color="auto"/>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sz w:val="20"/>
                <w:szCs w:val="20"/>
                <w:lang w:eastAsia="lv-LV"/>
              </w:rPr>
            </w:pPr>
            <w:r w:rsidRPr="00644E84">
              <w:rPr>
                <w:rFonts w:eastAsia="Times New Roman" w:cs="Times New Roman"/>
                <w:sz w:val="20"/>
                <w:szCs w:val="20"/>
                <w:lang w:eastAsia="lv-LV"/>
              </w:rPr>
              <w:t>17</w:t>
            </w:r>
          </w:p>
        </w:tc>
        <w:tc>
          <w:tcPr>
            <w:tcW w:w="1169" w:type="dxa"/>
            <w:tcBorders>
              <w:top w:val="nil"/>
              <w:left w:val="nil"/>
              <w:bottom w:val="single" w:sz="4" w:space="0" w:color="auto"/>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sz w:val="20"/>
                <w:szCs w:val="20"/>
                <w:lang w:eastAsia="lv-LV"/>
              </w:rPr>
            </w:pPr>
            <w:r w:rsidRPr="00644E84">
              <w:rPr>
                <w:rFonts w:eastAsia="Times New Roman" w:cs="Times New Roman"/>
                <w:sz w:val="20"/>
                <w:szCs w:val="20"/>
                <w:lang w:eastAsia="lv-LV"/>
              </w:rPr>
              <w:t>17</w:t>
            </w:r>
          </w:p>
        </w:tc>
        <w:tc>
          <w:tcPr>
            <w:tcW w:w="877" w:type="dxa"/>
            <w:tcBorders>
              <w:top w:val="nil"/>
              <w:left w:val="nil"/>
              <w:bottom w:val="single" w:sz="4" w:space="0" w:color="auto"/>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sz w:val="20"/>
                <w:szCs w:val="20"/>
                <w:lang w:eastAsia="lv-LV"/>
              </w:rPr>
            </w:pPr>
            <w:r w:rsidRPr="00644E84">
              <w:rPr>
                <w:rFonts w:eastAsia="Times New Roman" w:cs="Times New Roman"/>
                <w:sz w:val="20"/>
                <w:szCs w:val="20"/>
                <w:lang w:eastAsia="lv-LV"/>
              </w:rPr>
              <w:t>101,3</w:t>
            </w:r>
          </w:p>
        </w:tc>
        <w:tc>
          <w:tcPr>
            <w:tcW w:w="876" w:type="dxa"/>
            <w:tcBorders>
              <w:top w:val="nil"/>
              <w:left w:val="nil"/>
              <w:bottom w:val="single" w:sz="4" w:space="0" w:color="auto"/>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sz w:val="20"/>
                <w:szCs w:val="20"/>
                <w:lang w:eastAsia="lv-LV"/>
              </w:rPr>
            </w:pPr>
            <w:r w:rsidRPr="00644E84">
              <w:rPr>
                <w:rFonts w:eastAsia="Times New Roman" w:cs="Times New Roman"/>
                <w:sz w:val="20"/>
                <w:szCs w:val="20"/>
                <w:lang w:eastAsia="lv-LV"/>
              </w:rPr>
              <w:t>97,9</w:t>
            </w:r>
          </w:p>
        </w:tc>
        <w:tc>
          <w:tcPr>
            <w:tcW w:w="877" w:type="dxa"/>
            <w:tcBorders>
              <w:top w:val="nil"/>
              <w:left w:val="nil"/>
              <w:bottom w:val="single" w:sz="4" w:space="0" w:color="auto"/>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sz w:val="20"/>
                <w:szCs w:val="20"/>
                <w:lang w:eastAsia="lv-LV"/>
              </w:rPr>
            </w:pPr>
            <w:r w:rsidRPr="00644E84">
              <w:rPr>
                <w:rFonts w:eastAsia="Times New Roman" w:cs="Times New Roman"/>
                <w:sz w:val="20"/>
                <w:szCs w:val="20"/>
                <w:lang w:eastAsia="lv-LV"/>
              </w:rPr>
              <w:t>97,9</w:t>
            </w:r>
          </w:p>
        </w:tc>
      </w:tr>
      <w:tr w:rsidR="006247F6" w:rsidRPr="00644E84" w:rsidTr="00D44AAF">
        <w:trPr>
          <w:trHeight w:val="255"/>
        </w:trPr>
        <w:tc>
          <w:tcPr>
            <w:tcW w:w="2630" w:type="dxa"/>
            <w:tcBorders>
              <w:top w:val="single" w:sz="4" w:space="0" w:color="auto"/>
              <w:left w:val="single" w:sz="4" w:space="0" w:color="auto"/>
              <w:right w:val="single" w:sz="4" w:space="0" w:color="auto"/>
            </w:tcBorders>
            <w:shd w:val="clear" w:color="auto" w:fill="auto"/>
            <w:vAlign w:val="center"/>
            <w:hideMark/>
          </w:tcPr>
          <w:p w:rsidR="006247F6" w:rsidRPr="00D44AAF" w:rsidRDefault="006247F6" w:rsidP="00D44AAF">
            <w:pPr>
              <w:rPr>
                <w:rFonts w:cs="Times New Roman"/>
                <w:b/>
                <w:i/>
                <w:sz w:val="24"/>
              </w:rPr>
            </w:pPr>
            <w:r w:rsidRPr="00D44AAF">
              <w:rPr>
                <w:rFonts w:cs="Times New Roman"/>
                <w:b/>
                <w:i/>
                <w:sz w:val="24"/>
              </w:rPr>
              <w:t xml:space="preserve">Uzturēšanas izdevumu </w:t>
            </w:r>
            <w:proofErr w:type="spellStart"/>
            <w:r w:rsidRPr="00D44AAF">
              <w:rPr>
                <w:rFonts w:cs="Times New Roman"/>
                <w:b/>
                <w:i/>
                <w:sz w:val="24"/>
              </w:rPr>
              <w:t>transferti</w:t>
            </w:r>
            <w:proofErr w:type="spellEnd"/>
          </w:p>
        </w:tc>
        <w:tc>
          <w:tcPr>
            <w:tcW w:w="1022" w:type="dxa"/>
            <w:tcBorders>
              <w:top w:val="single" w:sz="4" w:space="0" w:color="auto"/>
              <w:left w:val="nil"/>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b/>
                <w:sz w:val="20"/>
                <w:szCs w:val="20"/>
                <w:lang w:eastAsia="lv-LV"/>
              </w:rPr>
            </w:pPr>
            <w:r w:rsidRPr="00644E84">
              <w:rPr>
                <w:rFonts w:eastAsia="Times New Roman" w:cs="Times New Roman"/>
                <w:b/>
                <w:sz w:val="20"/>
                <w:szCs w:val="20"/>
                <w:lang w:eastAsia="lv-LV"/>
              </w:rPr>
              <w:t>93</w:t>
            </w:r>
          </w:p>
        </w:tc>
        <w:tc>
          <w:tcPr>
            <w:tcW w:w="1022" w:type="dxa"/>
            <w:tcBorders>
              <w:top w:val="single" w:sz="4" w:space="0" w:color="auto"/>
              <w:left w:val="nil"/>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b/>
                <w:sz w:val="20"/>
                <w:szCs w:val="20"/>
                <w:lang w:eastAsia="lv-LV"/>
              </w:rPr>
            </w:pPr>
            <w:r w:rsidRPr="00644E84">
              <w:rPr>
                <w:rFonts w:eastAsia="Times New Roman" w:cs="Times New Roman"/>
                <w:b/>
                <w:sz w:val="20"/>
                <w:szCs w:val="20"/>
                <w:lang w:eastAsia="lv-LV"/>
              </w:rPr>
              <w:t>95</w:t>
            </w:r>
          </w:p>
        </w:tc>
        <w:tc>
          <w:tcPr>
            <w:tcW w:w="1023" w:type="dxa"/>
            <w:tcBorders>
              <w:top w:val="single" w:sz="4" w:space="0" w:color="auto"/>
              <w:left w:val="nil"/>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b/>
                <w:sz w:val="20"/>
                <w:szCs w:val="20"/>
                <w:lang w:eastAsia="lv-LV"/>
              </w:rPr>
            </w:pPr>
            <w:r w:rsidRPr="00644E84">
              <w:rPr>
                <w:rFonts w:eastAsia="Times New Roman" w:cs="Times New Roman"/>
                <w:b/>
                <w:sz w:val="20"/>
                <w:szCs w:val="20"/>
                <w:lang w:eastAsia="lv-LV"/>
              </w:rPr>
              <w:t>95</w:t>
            </w:r>
          </w:p>
        </w:tc>
        <w:tc>
          <w:tcPr>
            <w:tcW w:w="1169" w:type="dxa"/>
            <w:tcBorders>
              <w:top w:val="single" w:sz="4" w:space="0" w:color="auto"/>
              <w:left w:val="nil"/>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b/>
                <w:sz w:val="20"/>
                <w:szCs w:val="20"/>
                <w:lang w:eastAsia="lv-LV"/>
              </w:rPr>
            </w:pPr>
            <w:r w:rsidRPr="00644E84">
              <w:rPr>
                <w:rFonts w:eastAsia="Times New Roman" w:cs="Times New Roman"/>
                <w:b/>
                <w:sz w:val="20"/>
                <w:szCs w:val="20"/>
                <w:lang w:eastAsia="lv-LV"/>
              </w:rPr>
              <w:t>618</w:t>
            </w:r>
          </w:p>
        </w:tc>
        <w:tc>
          <w:tcPr>
            <w:tcW w:w="877" w:type="dxa"/>
            <w:tcBorders>
              <w:top w:val="single" w:sz="4" w:space="0" w:color="auto"/>
              <w:left w:val="nil"/>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b/>
                <w:sz w:val="20"/>
                <w:szCs w:val="20"/>
                <w:lang w:eastAsia="lv-LV"/>
              </w:rPr>
            </w:pPr>
            <w:r w:rsidRPr="00644E84">
              <w:rPr>
                <w:rFonts w:eastAsia="Times New Roman" w:cs="Times New Roman"/>
                <w:b/>
                <w:sz w:val="20"/>
                <w:szCs w:val="20"/>
                <w:lang w:eastAsia="lv-LV"/>
              </w:rPr>
              <w:t>101,5</w:t>
            </w:r>
          </w:p>
        </w:tc>
        <w:tc>
          <w:tcPr>
            <w:tcW w:w="876" w:type="dxa"/>
            <w:tcBorders>
              <w:top w:val="single" w:sz="4" w:space="0" w:color="auto"/>
              <w:left w:val="nil"/>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b/>
                <w:sz w:val="20"/>
                <w:szCs w:val="20"/>
                <w:lang w:eastAsia="lv-LV"/>
              </w:rPr>
            </w:pPr>
            <w:r w:rsidRPr="00644E84">
              <w:rPr>
                <w:rFonts w:eastAsia="Times New Roman" w:cs="Times New Roman"/>
                <w:b/>
                <w:sz w:val="20"/>
                <w:szCs w:val="20"/>
                <w:lang w:eastAsia="lv-LV"/>
              </w:rPr>
              <w:t>100,0</w:t>
            </w:r>
          </w:p>
        </w:tc>
        <w:tc>
          <w:tcPr>
            <w:tcW w:w="877" w:type="dxa"/>
            <w:tcBorders>
              <w:top w:val="single" w:sz="4" w:space="0" w:color="auto"/>
              <w:left w:val="nil"/>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b/>
                <w:sz w:val="20"/>
                <w:szCs w:val="20"/>
                <w:lang w:eastAsia="lv-LV"/>
              </w:rPr>
            </w:pPr>
            <w:r w:rsidRPr="00644E84">
              <w:rPr>
                <w:rFonts w:eastAsia="Times New Roman" w:cs="Times New Roman"/>
                <w:b/>
                <w:sz w:val="20"/>
                <w:szCs w:val="20"/>
                <w:lang w:eastAsia="lv-LV"/>
              </w:rPr>
              <w:t>15,3</w:t>
            </w:r>
          </w:p>
        </w:tc>
      </w:tr>
      <w:tr w:rsidR="006247F6" w:rsidRPr="00644E84" w:rsidTr="00D44AAF">
        <w:trPr>
          <w:trHeight w:val="511"/>
        </w:trPr>
        <w:tc>
          <w:tcPr>
            <w:tcW w:w="2630" w:type="dxa"/>
            <w:tcBorders>
              <w:top w:val="nil"/>
              <w:left w:val="single" w:sz="4" w:space="0" w:color="auto"/>
              <w:right w:val="single" w:sz="4" w:space="0" w:color="auto"/>
            </w:tcBorders>
            <w:shd w:val="clear" w:color="auto" w:fill="auto"/>
            <w:vAlign w:val="center"/>
            <w:hideMark/>
          </w:tcPr>
          <w:p w:rsidR="006247F6" w:rsidRPr="00B01912" w:rsidRDefault="006247F6" w:rsidP="00D44AAF">
            <w:pPr>
              <w:rPr>
                <w:rFonts w:cs="Times New Roman"/>
                <w:i/>
                <w:sz w:val="24"/>
              </w:rPr>
            </w:pPr>
            <w:r w:rsidRPr="00B01912">
              <w:rPr>
                <w:rFonts w:cs="Times New Roman"/>
                <w:i/>
                <w:sz w:val="24"/>
              </w:rPr>
              <w:t xml:space="preserve">Valsts budžeta uzturēšanas izdevumu </w:t>
            </w:r>
            <w:proofErr w:type="spellStart"/>
            <w:r w:rsidRPr="00B01912">
              <w:rPr>
                <w:rFonts w:cs="Times New Roman"/>
                <w:i/>
                <w:sz w:val="24"/>
              </w:rPr>
              <w:t>transferti</w:t>
            </w:r>
            <w:proofErr w:type="spellEnd"/>
            <w:r w:rsidRPr="00B01912">
              <w:rPr>
                <w:rFonts w:cs="Times New Roman"/>
                <w:i/>
                <w:sz w:val="24"/>
              </w:rPr>
              <w:t xml:space="preserve"> citiem budžetiem noteiktam mērķim</w:t>
            </w:r>
          </w:p>
        </w:tc>
        <w:tc>
          <w:tcPr>
            <w:tcW w:w="1022"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sz w:val="20"/>
                <w:szCs w:val="20"/>
                <w:lang w:eastAsia="lv-LV"/>
              </w:rPr>
            </w:pPr>
            <w:r w:rsidRPr="00644E84">
              <w:rPr>
                <w:rFonts w:eastAsia="Times New Roman" w:cs="Times New Roman"/>
                <w:sz w:val="20"/>
                <w:szCs w:val="20"/>
                <w:lang w:eastAsia="lv-LV"/>
              </w:rPr>
              <w:t>93</w:t>
            </w:r>
          </w:p>
        </w:tc>
        <w:tc>
          <w:tcPr>
            <w:tcW w:w="1022"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sz w:val="20"/>
                <w:szCs w:val="20"/>
                <w:lang w:eastAsia="lv-LV"/>
              </w:rPr>
            </w:pPr>
            <w:r w:rsidRPr="00644E84">
              <w:rPr>
                <w:rFonts w:eastAsia="Times New Roman" w:cs="Times New Roman"/>
                <w:sz w:val="20"/>
                <w:szCs w:val="20"/>
                <w:lang w:eastAsia="lv-LV"/>
              </w:rPr>
              <w:t>95</w:t>
            </w:r>
          </w:p>
        </w:tc>
        <w:tc>
          <w:tcPr>
            <w:tcW w:w="1023"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sz w:val="20"/>
                <w:szCs w:val="20"/>
                <w:lang w:eastAsia="lv-LV"/>
              </w:rPr>
            </w:pPr>
            <w:r w:rsidRPr="00644E84">
              <w:rPr>
                <w:rFonts w:eastAsia="Times New Roman" w:cs="Times New Roman"/>
                <w:sz w:val="20"/>
                <w:szCs w:val="20"/>
                <w:lang w:eastAsia="lv-LV"/>
              </w:rPr>
              <w:t>95</w:t>
            </w:r>
          </w:p>
        </w:tc>
        <w:tc>
          <w:tcPr>
            <w:tcW w:w="1169"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sz w:val="20"/>
                <w:szCs w:val="20"/>
                <w:lang w:eastAsia="lv-LV"/>
              </w:rPr>
            </w:pPr>
            <w:r w:rsidRPr="00644E84">
              <w:rPr>
                <w:rFonts w:eastAsia="Times New Roman" w:cs="Times New Roman"/>
                <w:sz w:val="20"/>
                <w:szCs w:val="20"/>
                <w:lang w:eastAsia="lv-LV"/>
              </w:rPr>
              <w:t>618</w:t>
            </w:r>
          </w:p>
        </w:tc>
        <w:tc>
          <w:tcPr>
            <w:tcW w:w="877"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sz w:val="20"/>
                <w:szCs w:val="20"/>
                <w:lang w:eastAsia="lv-LV"/>
              </w:rPr>
            </w:pPr>
            <w:r w:rsidRPr="00644E84">
              <w:rPr>
                <w:rFonts w:eastAsia="Times New Roman" w:cs="Times New Roman"/>
                <w:sz w:val="20"/>
                <w:szCs w:val="20"/>
                <w:lang w:eastAsia="lv-LV"/>
              </w:rPr>
              <w:t>101,5</w:t>
            </w:r>
          </w:p>
        </w:tc>
        <w:tc>
          <w:tcPr>
            <w:tcW w:w="876"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sz w:val="20"/>
                <w:szCs w:val="20"/>
                <w:lang w:eastAsia="lv-LV"/>
              </w:rPr>
            </w:pPr>
            <w:r w:rsidRPr="00644E84">
              <w:rPr>
                <w:rFonts w:eastAsia="Times New Roman" w:cs="Times New Roman"/>
                <w:sz w:val="20"/>
                <w:szCs w:val="20"/>
                <w:lang w:eastAsia="lv-LV"/>
              </w:rPr>
              <w:t>100,0</w:t>
            </w:r>
          </w:p>
        </w:tc>
        <w:tc>
          <w:tcPr>
            <w:tcW w:w="877" w:type="dxa"/>
            <w:tcBorders>
              <w:top w:val="nil"/>
              <w:left w:val="nil"/>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sz w:val="20"/>
                <w:szCs w:val="20"/>
                <w:lang w:eastAsia="lv-LV"/>
              </w:rPr>
            </w:pPr>
            <w:r w:rsidRPr="00644E84">
              <w:rPr>
                <w:rFonts w:eastAsia="Times New Roman" w:cs="Times New Roman"/>
                <w:sz w:val="20"/>
                <w:szCs w:val="20"/>
                <w:lang w:eastAsia="lv-LV"/>
              </w:rPr>
              <w:t>15,3</w:t>
            </w:r>
          </w:p>
        </w:tc>
      </w:tr>
      <w:tr w:rsidR="006247F6" w:rsidRPr="00FB079C" w:rsidTr="00D44AAF">
        <w:trPr>
          <w:trHeight w:val="794"/>
        </w:trPr>
        <w:tc>
          <w:tcPr>
            <w:tcW w:w="2630" w:type="dxa"/>
            <w:tcBorders>
              <w:top w:val="nil"/>
              <w:left w:val="single" w:sz="4" w:space="0" w:color="auto"/>
              <w:right w:val="single" w:sz="4" w:space="0" w:color="auto"/>
            </w:tcBorders>
            <w:shd w:val="clear" w:color="auto" w:fill="auto"/>
            <w:vAlign w:val="center"/>
            <w:hideMark/>
          </w:tcPr>
          <w:p w:rsidR="006247F6" w:rsidRPr="00B01912" w:rsidRDefault="006247F6" w:rsidP="00D44AAF">
            <w:pPr>
              <w:rPr>
                <w:rFonts w:cs="Times New Roman"/>
                <w:i/>
                <w:sz w:val="24"/>
              </w:rPr>
            </w:pPr>
            <w:r w:rsidRPr="00B01912">
              <w:rPr>
                <w:rFonts w:cs="Times New Roman"/>
                <w:i/>
                <w:sz w:val="24"/>
              </w:rPr>
              <w:t xml:space="preserve">   Valsts budžeta uzturēšanas izdevumu </w:t>
            </w:r>
            <w:proofErr w:type="spellStart"/>
            <w:r w:rsidRPr="00B01912">
              <w:rPr>
                <w:rFonts w:cs="Times New Roman"/>
                <w:i/>
                <w:sz w:val="24"/>
              </w:rPr>
              <w:t>transferti</w:t>
            </w:r>
            <w:proofErr w:type="spellEnd"/>
            <w:r w:rsidRPr="00B01912">
              <w:rPr>
                <w:rFonts w:cs="Times New Roman"/>
                <w:i/>
                <w:sz w:val="24"/>
              </w:rPr>
              <w:t xml:space="preserve"> pašvaldībām noteiktam mērķim</w:t>
            </w:r>
          </w:p>
        </w:tc>
        <w:tc>
          <w:tcPr>
            <w:tcW w:w="1022" w:type="dxa"/>
            <w:tcBorders>
              <w:top w:val="nil"/>
              <w:left w:val="nil"/>
              <w:right w:val="single" w:sz="4" w:space="0" w:color="auto"/>
            </w:tcBorders>
            <w:shd w:val="clear" w:color="auto" w:fill="auto"/>
            <w:noWrap/>
            <w:vAlign w:val="bottom"/>
            <w:hideMark/>
          </w:tcPr>
          <w:p w:rsidR="006247F6" w:rsidRPr="00FB079C" w:rsidRDefault="006247F6" w:rsidP="005C7D14">
            <w:pPr>
              <w:spacing w:after="0"/>
              <w:ind w:firstLine="0"/>
              <w:jc w:val="right"/>
              <w:rPr>
                <w:rFonts w:eastAsia="Times New Roman" w:cs="Times New Roman"/>
                <w:i/>
                <w:sz w:val="20"/>
                <w:szCs w:val="20"/>
                <w:lang w:eastAsia="lv-LV"/>
              </w:rPr>
            </w:pPr>
            <w:r w:rsidRPr="00FB079C">
              <w:rPr>
                <w:rFonts w:eastAsia="Times New Roman" w:cs="Times New Roman"/>
                <w:i/>
                <w:sz w:val="20"/>
                <w:szCs w:val="20"/>
                <w:lang w:eastAsia="lv-LV"/>
              </w:rPr>
              <w:t>85</w:t>
            </w:r>
          </w:p>
        </w:tc>
        <w:tc>
          <w:tcPr>
            <w:tcW w:w="1022" w:type="dxa"/>
            <w:tcBorders>
              <w:top w:val="nil"/>
              <w:left w:val="nil"/>
              <w:right w:val="single" w:sz="4" w:space="0" w:color="auto"/>
            </w:tcBorders>
            <w:shd w:val="clear" w:color="auto" w:fill="auto"/>
            <w:noWrap/>
            <w:vAlign w:val="bottom"/>
            <w:hideMark/>
          </w:tcPr>
          <w:p w:rsidR="006247F6" w:rsidRPr="00FB079C" w:rsidRDefault="006247F6" w:rsidP="005C7D14">
            <w:pPr>
              <w:spacing w:after="0"/>
              <w:ind w:firstLine="0"/>
              <w:jc w:val="right"/>
              <w:rPr>
                <w:rFonts w:eastAsia="Times New Roman" w:cs="Times New Roman"/>
                <w:i/>
                <w:sz w:val="20"/>
                <w:szCs w:val="20"/>
                <w:lang w:eastAsia="lv-LV"/>
              </w:rPr>
            </w:pPr>
            <w:r w:rsidRPr="00FB079C">
              <w:rPr>
                <w:rFonts w:eastAsia="Times New Roman" w:cs="Times New Roman"/>
                <w:i/>
                <w:sz w:val="20"/>
                <w:szCs w:val="20"/>
                <w:lang w:eastAsia="lv-LV"/>
              </w:rPr>
              <w:t>60</w:t>
            </w:r>
          </w:p>
        </w:tc>
        <w:tc>
          <w:tcPr>
            <w:tcW w:w="1023" w:type="dxa"/>
            <w:tcBorders>
              <w:top w:val="nil"/>
              <w:left w:val="nil"/>
              <w:right w:val="single" w:sz="4" w:space="0" w:color="auto"/>
            </w:tcBorders>
            <w:shd w:val="clear" w:color="auto" w:fill="auto"/>
            <w:noWrap/>
            <w:vAlign w:val="bottom"/>
            <w:hideMark/>
          </w:tcPr>
          <w:p w:rsidR="006247F6" w:rsidRPr="00FB079C" w:rsidRDefault="006247F6" w:rsidP="005C7D14">
            <w:pPr>
              <w:spacing w:after="0"/>
              <w:ind w:firstLine="0"/>
              <w:jc w:val="right"/>
              <w:rPr>
                <w:rFonts w:eastAsia="Times New Roman" w:cs="Times New Roman"/>
                <w:i/>
                <w:sz w:val="20"/>
                <w:szCs w:val="20"/>
                <w:lang w:eastAsia="lv-LV"/>
              </w:rPr>
            </w:pPr>
            <w:r w:rsidRPr="00FB079C">
              <w:rPr>
                <w:rFonts w:eastAsia="Times New Roman" w:cs="Times New Roman"/>
                <w:i/>
                <w:sz w:val="20"/>
                <w:szCs w:val="20"/>
                <w:lang w:eastAsia="lv-LV"/>
              </w:rPr>
              <w:t>60</w:t>
            </w:r>
          </w:p>
        </w:tc>
        <w:tc>
          <w:tcPr>
            <w:tcW w:w="1169" w:type="dxa"/>
            <w:tcBorders>
              <w:top w:val="nil"/>
              <w:left w:val="nil"/>
              <w:right w:val="single" w:sz="4" w:space="0" w:color="auto"/>
            </w:tcBorders>
            <w:shd w:val="clear" w:color="auto" w:fill="auto"/>
            <w:noWrap/>
            <w:vAlign w:val="bottom"/>
            <w:hideMark/>
          </w:tcPr>
          <w:p w:rsidR="006247F6" w:rsidRPr="00FB079C" w:rsidRDefault="006247F6" w:rsidP="005C7D14">
            <w:pPr>
              <w:spacing w:after="0"/>
              <w:ind w:firstLine="0"/>
              <w:jc w:val="right"/>
              <w:rPr>
                <w:rFonts w:eastAsia="Times New Roman" w:cs="Times New Roman"/>
                <w:i/>
                <w:sz w:val="20"/>
                <w:szCs w:val="20"/>
                <w:lang w:eastAsia="lv-LV"/>
              </w:rPr>
            </w:pPr>
            <w:r w:rsidRPr="00FB079C">
              <w:rPr>
                <w:rFonts w:eastAsia="Times New Roman" w:cs="Times New Roman"/>
                <w:i/>
                <w:sz w:val="20"/>
                <w:szCs w:val="20"/>
                <w:lang w:eastAsia="lv-LV"/>
              </w:rPr>
              <w:t>490</w:t>
            </w:r>
          </w:p>
        </w:tc>
        <w:tc>
          <w:tcPr>
            <w:tcW w:w="877" w:type="dxa"/>
            <w:tcBorders>
              <w:top w:val="nil"/>
              <w:left w:val="nil"/>
              <w:right w:val="single" w:sz="4" w:space="0" w:color="auto"/>
            </w:tcBorders>
            <w:shd w:val="clear" w:color="auto" w:fill="auto"/>
            <w:noWrap/>
            <w:vAlign w:val="bottom"/>
            <w:hideMark/>
          </w:tcPr>
          <w:p w:rsidR="006247F6" w:rsidRPr="00FB079C" w:rsidRDefault="006247F6" w:rsidP="005C7D14">
            <w:pPr>
              <w:spacing w:after="0"/>
              <w:ind w:firstLine="0"/>
              <w:jc w:val="center"/>
              <w:rPr>
                <w:rFonts w:eastAsia="Times New Roman" w:cs="Times New Roman"/>
                <w:i/>
                <w:sz w:val="20"/>
                <w:szCs w:val="20"/>
                <w:lang w:eastAsia="lv-LV"/>
              </w:rPr>
            </w:pPr>
            <w:r w:rsidRPr="00FB079C">
              <w:rPr>
                <w:rFonts w:eastAsia="Times New Roman" w:cs="Times New Roman"/>
                <w:i/>
                <w:sz w:val="20"/>
                <w:szCs w:val="20"/>
                <w:lang w:eastAsia="lv-LV"/>
              </w:rPr>
              <w:t>70,2</w:t>
            </w:r>
          </w:p>
        </w:tc>
        <w:tc>
          <w:tcPr>
            <w:tcW w:w="876" w:type="dxa"/>
            <w:tcBorders>
              <w:top w:val="nil"/>
              <w:left w:val="nil"/>
              <w:right w:val="single" w:sz="4" w:space="0" w:color="auto"/>
            </w:tcBorders>
            <w:shd w:val="clear" w:color="auto" w:fill="auto"/>
            <w:noWrap/>
            <w:vAlign w:val="bottom"/>
            <w:hideMark/>
          </w:tcPr>
          <w:p w:rsidR="006247F6" w:rsidRPr="00FB079C" w:rsidRDefault="006247F6" w:rsidP="005C7D14">
            <w:pPr>
              <w:spacing w:after="0"/>
              <w:ind w:firstLine="0"/>
              <w:jc w:val="center"/>
              <w:rPr>
                <w:rFonts w:eastAsia="Times New Roman" w:cs="Times New Roman"/>
                <w:i/>
                <w:sz w:val="20"/>
                <w:szCs w:val="20"/>
                <w:lang w:eastAsia="lv-LV"/>
              </w:rPr>
            </w:pPr>
            <w:r w:rsidRPr="00FB079C">
              <w:rPr>
                <w:rFonts w:eastAsia="Times New Roman" w:cs="Times New Roman"/>
                <w:i/>
                <w:sz w:val="20"/>
                <w:szCs w:val="20"/>
                <w:lang w:eastAsia="lv-LV"/>
              </w:rPr>
              <w:t>100,0</w:t>
            </w:r>
          </w:p>
        </w:tc>
        <w:tc>
          <w:tcPr>
            <w:tcW w:w="877" w:type="dxa"/>
            <w:tcBorders>
              <w:top w:val="nil"/>
              <w:left w:val="nil"/>
              <w:right w:val="single" w:sz="4" w:space="0" w:color="auto"/>
            </w:tcBorders>
            <w:shd w:val="clear" w:color="auto" w:fill="auto"/>
            <w:noWrap/>
            <w:vAlign w:val="bottom"/>
            <w:hideMark/>
          </w:tcPr>
          <w:p w:rsidR="006247F6" w:rsidRPr="00FB079C" w:rsidRDefault="006247F6" w:rsidP="005C7D14">
            <w:pPr>
              <w:spacing w:after="0"/>
              <w:ind w:firstLine="0"/>
              <w:jc w:val="center"/>
              <w:rPr>
                <w:rFonts w:eastAsia="Times New Roman" w:cs="Times New Roman"/>
                <w:i/>
                <w:sz w:val="20"/>
                <w:szCs w:val="20"/>
                <w:lang w:eastAsia="lv-LV"/>
              </w:rPr>
            </w:pPr>
            <w:r w:rsidRPr="00FB079C">
              <w:rPr>
                <w:rFonts w:eastAsia="Times New Roman" w:cs="Times New Roman"/>
                <w:i/>
                <w:sz w:val="20"/>
                <w:szCs w:val="20"/>
                <w:lang w:eastAsia="lv-LV"/>
              </w:rPr>
              <w:t>12,2</w:t>
            </w:r>
          </w:p>
        </w:tc>
      </w:tr>
      <w:tr w:rsidR="006247F6" w:rsidRPr="00FB079C" w:rsidTr="00D44AAF">
        <w:trPr>
          <w:trHeight w:val="1323"/>
        </w:trPr>
        <w:tc>
          <w:tcPr>
            <w:tcW w:w="2630" w:type="dxa"/>
            <w:tcBorders>
              <w:top w:val="nil"/>
              <w:left w:val="single" w:sz="4" w:space="0" w:color="auto"/>
              <w:bottom w:val="single" w:sz="4" w:space="0" w:color="auto"/>
              <w:right w:val="single" w:sz="4" w:space="0" w:color="auto"/>
            </w:tcBorders>
            <w:shd w:val="clear" w:color="auto" w:fill="auto"/>
            <w:vAlign w:val="center"/>
            <w:hideMark/>
          </w:tcPr>
          <w:p w:rsidR="006247F6" w:rsidRPr="00B01912" w:rsidRDefault="006247F6" w:rsidP="00D44AAF">
            <w:pPr>
              <w:rPr>
                <w:rFonts w:cs="Times New Roman"/>
                <w:i/>
                <w:sz w:val="24"/>
              </w:rPr>
            </w:pPr>
            <w:r w:rsidRPr="00B01912">
              <w:rPr>
                <w:rFonts w:cs="Times New Roman"/>
                <w:i/>
                <w:sz w:val="24"/>
              </w:rPr>
              <w:t xml:space="preserve">   Valsts budžeta </w:t>
            </w:r>
            <w:proofErr w:type="spellStart"/>
            <w:r w:rsidRPr="00B01912">
              <w:rPr>
                <w:rFonts w:cs="Times New Roman"/>
                <w:i/>
                <w:sz w:val="24"/>
              </w:rPr>
              <w:t>transferti</w:t>
            </w:r>
            <w:proofErr w:type="spellEnd"/>
            <w:r w:rsidRPr="00B01912">
              <w:rPr>
                <w:rFonts w:cs="Times New Roman"/>
                <w:i/>
                <w:sz w:val="24"/>
              </w:rPr>
              <w:t xml:space="preserve"> valsts budžeta daļēji finansētām atvasinātām publiskām personām un budžeta nefinansētām iestādēm noteiktam mērķim</w:t>
            </w:r>
          </w:p>
        </w:tc>
        <w:tc>
          <w:tcPr>
            <w:tcW w:w="1022" w:type="dxa"/>
            <w:tcBorders>
              <w:top w:val="nil"/>
              <w:left w:val="nil"/>
              <w:bottom w:val="single" w:sz="4" w:space="0" w:color="auto"/>
              <w:right w:val="single" w:sz="4" w:space="0" w:color="auto"/>
            </w:tcBorders>
            <w:shd w:val="clear" w:color="auto" w:fill="auto"/>
            <w:noWrap/>
            <w:vAlign w:val="bottom"/>
            <w:hideMark/>
          </w:tcPr>
          <w:p w:rsidR="006247F6" w:rsidRPr="00FB079C" w:rsidRDefault="006247F6" w:rsidP="005C7D14">
            <w:pPr>
              <w:spacing w:after="0"/>
              <w:ind w:firstLine="0"/>
              <w:jc w:val="right"/>
              <w:rPr>
                <w:rFonts w:eastAsia="Times New Roman" w:cs="Times New Roman"/>
                <w:i/>
                <w:sz w:val="20"/>
                <w:szCs w:val="20"/>
                <w:lang w:eastAsia="lv-LV"/>
              </w:rPr>
            </w:pPr>
            <w:r w:rsidRPr="00FB079C">
              <w:rPr>
                <w:rFonts w:eastAsia="Times New Roman" w:cs="Times New Roman"/>
                <w:i/>
                <w:sz w:val="20"/>
                <w:szCs w:val="20"/>
                <w:lang w:eastAsia="lv-LV"/>
              </w:rPr>
              <w:t>8</w:t>
            </w:r>
          </w:p>
        </w:tc>
        <w:tc>
          <w:tcPr>
            <w:tcW w:w="1022" w:type="dxa"/>
            <w:tcBorders>
              <w:top w:val="nil"/>
              <w:left w:val="nil"/>
              <w:bottom w:val="single" w:sz="4" w:space="0" w:color="auto"/>
              <w:right w:val="single" w:sz="4" w:space="0" w:color="auto"/>
            </w:tcBorders>
            <w:shd w:val="clear" w:color="auto" w:fill="auto"/>
            <w:noWrap/>
            <w:vAlign w:val="bottom"/>
            <w:hideMark/>
          </w:tcPr>
          <w:p w:rsidR="006247F6" w:rsidRPr="00FB079C" w:rsidRDefault="006247F6" w:rsidP="005C7D14">
            <w:pPr>
              <w:spacing w:after="0"/>
              <w:ind w:firstLine="0"/>
              <w:jc w:val="right"/>
              <w:rPr>
                <w:rFonts w:eastAsia="Times New Roman" w:cs="Times New Roman"/>
                <w:i/>
                <w:sz w:val="20"/>
                <w:szCs w:val="20"/>
                <w:lang w:eastAsia="lv-LV"/>
              </w:rPr>
            </w:pPr>
            <w:r w:rsidRPr="00FB079C">
              <w:rPr>
                <w:rFonts w:eastAsia="Times New Roman" w:cs="Times New Roman"/>
                <w:i/>
                <w:sz w:val="20"/>
                <w:szCs w:val="20"/>
                <w:lang w:eastAsia="lv-LV"/>
              </w:rPr>
              <w:t>35</w:t>
            </w:r>
          </w:p>
        </w:tc>
        <w:tc>
          <w:tcPr>
            <w:tcW w:w="1023" w:type="dxa"/>
            <w:tcBorders>
              <w:top w:val="nil"/>
              <w:left w:val="nil"/>
              <w:bottom w:val="single" w:sz="4" w:space="0" w:color="auto"/>
              <w:right w:val="single" w:sz="4" w:space="0" w:color="auto"/>
            </w:tcBorders>
            <w:shd w:val="clear" w:color="auto" w:fill="auto"/>
            <w:noWrap/>
            <w:vAlign w:val="bottom"/>
            <w:hideMark/>
          </w:tcPr>
          <w:p w:rsidR="006247F6" w:rsidRPr="00FB079C" w:rsidRDefault="006247F6" w:rsidP="005C7D14">
            <w:pPr>
              <w:spacing w:after="0"/>
              <w:ind w:firstLine="0"/>
              <w:jc w:val="right"/>
              <w:rPr>
                <w:rFonts w:eastAsia="Times New Roman" w:cs="Times New Roman"/>
                <w:i/>
                <w:sz w:val="20"/>
                <w:szCs w:val="20"/>
                <w:lang w:eastAsia="lv-LV"/>
              </w:rPr>
            </w:pPr>
            <w:r w:rsidRPr="00FB079C">
              <w:rPr>
                <w:rFonts w:eastAsia="Times New Roman" w:cs="Times New Roman"/>
                <w:i/>
                <w:sz w:val="20"/>
                <w:szCs w:val="20"/>
                <w:lang w:eastAsia="lv-LV"/>
              </w:rPr>
              <w:t>35</w:t>
            </w:r>
          </w:p>
        </w:tc>
        <w:tc>
          <w:tcPr>
            <w:tcW w:w="1169" w:type="dxa"/>
            <w:tcBorders>
              <w:top w:val="nil"/>
              <w:left w:val="nil"/>
              <w:bottom w:val="single" w:sz="4" w:space="0" w:color="auto"/>
              <w:right w:val="single" w:sz="4" w:space="0" w:color="auto"/>
            </w:tcBorders>
            <w:shd w:val="clear" w:color="auto" w:fill="auto"/>
            <w:noWrap/>
            <w:vAlign w:val="bottom"/>
            <w:hideMark/>
          </w:tcPr>
          <w:p w:rsidR="006247F6" w:rsidRPr="00FB079C" w:rsidRDefault="006247F6" w:rsidP="005C7D14">
            <w:pPr>
              <w:spacing w:after="0"/>
              <w:ind w:firstLine="0"/>
              <w:jc w:val="right"/>
              <w:rPr>
                <w:rFonts w:eastAsia="Times New Roman" w:cs="Times New Roman"/>
                <w:i/>
                <w:sz w:val="20"/>
                <w:szCs w:val="20"/>
                <w:lang w:eastAsia="lv-LV"/>
              </w:rPr>
            </w:pPr>
            <w:r w:rsidRPr="00FB079C">
              <w:rPr>
                <w:rFonts w:eastAsia="Times New Roman" w:cs="Times New Roman"/>
                <w:i/>
                <w:sz w:val="20"/>
                <w:szCs w:val="20"/>
                <w:lang w:eastAsia="lv-LV"/>
              </w:rPr>
              <w:t>128</w:t>
            </w:r>
          </w:p>
        </w:tc>
        <w:tc>
          <w:tcPr>
            <w:tcW w:w="877" w:type="dxa"/>
            <w:tcBorders>
              <w:top w:val="nil"/>
              <w:left w:val="nil"/>
              <w:bottom w:val="single" w:sz="4" w:space="0" w:color="auto"/>
              <w:right w:val="single" w:sz="4" w:space="0" w:color="auto"/>
            </w:tcBorders>
            <w:shd w:val="clear" w:color="auto" w:fill="auto"/>
            <w:noWrap/>
            <w:vAlign w:val="bottom"/>
            <w:hideMark/>
          </w:tcPr>
          <w:p w:rsidR="006247F6" w:rsidRPr="00FB079C" w:rsidRDefault="006247F6" w:rsidP="005C7D14">
            <w:pPr>
              <w:spacing w:after="0"/>
              <w:ind w:firstLine="0"/>
              <w:jc w:val="center"/>
              <w:rPr>
                <w:rFonts w:eastAsia="Times New Roman" w:cs="Times New Roman"/>
                <w:i/>
                <w:sz w:val="20"/>
                <w:szCs w:val="20"/>
                <w:lang w:eastAsia="lv-LV"/>
              </w:rPr>
            </w:pPr>
            <w:r w:rsidRPr="00FB079C">
              <w:rPr>
                <w:rFonts w:eastAsia="Times New Roman" w:cs="Times New Roman"/>
                <w:i/>
                <w:sz w:val="20"/>
                <w:szCs w:val="20"/>
                <w:lang w:eastAsia="lv-LV"/>
              </w:rPr>
              <w:t>439,5</w:t>
            </w:r>
          </w:p>
        </w:tc>
        <w:tc>
          <w:tcPr>
            <w:tcW w:w="876" w:type="dxa"/>
            <w:tcBorders>
              <w:top w:val="nil"/>
              <w:left w:val="nil"/>
              <w:bottom w:val="single" w:sz="4" w:space="0" w:color="auto"/>
              <w:right w:val="single" w:sz="4" w:space="0" w:color="auto"/>
            </w:tcBorders>
            <w:shd w:val="clear" w:color="auto" w:fill="auto"/>
            <w:noWrap/>
            <w:vAlign w:val="bottom"/>
            <w:hideMark/>
          </w:tcPr>
          <w:p w:rsidR="006247F6" w:rsidRPr="00FB079C" w:rsidRDefault="006247F6" w:rsidP="005C7D14">
            <w:pPr>
              <w:spacing w:after="0"/>
              <w:ind w:firstLine="0"/>
              <w:jc w:val="center"/>
              <w:rPr>
                <w:rFonts w:eastAsia="Times New Roman" w:cs="Times New Roman"/>
                <w:i/>
                <w:sz w:val="20"/>
                <w:szCs w:val="20"/>
                <w:lang w:eastAsia="lv-LV"/>
              </w:rPr>
            </w:pPr>
            <w:r w:rsidRPr="00FB079C">
              <w:rPr>
                <w:rFonts w:eastAsia="Times New Roman" w:cs="Times New Roman"/>
                <w:i/>
                <w:sz w:val="20"/>
                <w:szCs w:val="20"/>
                <w:lang w:eastAsia="lv-LV"/>
              </w:rPr>
              <w:t>100,0</w:t>
            </w:r>
          </w:p>
        </w:tc>
        <w:tc>
          <w:tcPr>
            <w:tcW w:w="877" w:type="dxa"/>
            <w:tcBorders>
              <w:top w:val="nil"/>
              <w:left w:val="nil"/>
              <w:bottom w:val="single" w:sz="4" w:space="0" w:color="auto"/>
              <w:right w:val="single" w:sz="4" w:space="0" w:color="auto"/>
            </w:tcBorders>
            <w:shd w:val="clear" w:color="auto" w:fill="auto"/>
            <w:noWrap/>
            <w:vAlign w:val="bottom"/>
            <w:hideMark/>
          </w:tcPr>
          <w:p w:rsidR="006247F6" w:rsidRPr="00FB079C" w:rsidRDefault="006247F6" w:rsidP="005C7D14">
            <w:pPr>
              <w:spacing w:after="0"/>
              <w:ind w:firstLine="0"/>
              <w:jc w:val="center"/>
              <w:rPr>
                <w:rFonts w:eastAsia="Times New Roman" w:cs="Times New Roman"/>
                <w:i/>
                <w:sz w:val="20"/>
                <w:szCs w:val="20"/>
                <w:lang w:eastAsia="lv-LV"/>
              </w:rPr>
            </w:pPr>
            <w:r w:rsidRPr="00FB079C">
              <w:rPr>
                <w:rFonts w:eastAsia="Times New Roman" w:cs="Times New Roman"/>
                <w:i/>
                <w:sz w:val="20"/>
                <w:szCs w:val="20"/>
                <w:lang w:eastAsia="lv-LV"/>
              </w:rPr>
              <w:t>27,3</w:t>
            </w:r>
          </w:p>
        </w:tc>
      </w:tr>
      <w:tr w:rsidR="006247F6" w:rsidRPr="00644E84" w:rsidTr="00D44AAF">
        <w:trPr>
          <w:trHeight w:val="412"/>
        </w:trPr>
        <w:tc>
          <w:tcPr>
            <w:tcW w:w="2630" w:type="dxa"/>
            <w:tcBorders>
              <w:top w:val="single" w:sz="4" w:space="0" w:color="auto"/>
              <w:left w:val="single" w:sz="4" w:space="0" w:color="auto"/>
              <w:right w:val="single" w:sz="4" w:space="0" w:color="auto"/>
            </w:tcBorders>
            <w:shd w:val="clear" w:color="auto" w:fill="auto"/>
            <w:vAlign w:val="center"/>
            <w:hideMark/>
          </w:tcPr>
          <w:p w:rsidR="006247F6" w:rsidRPr="00D44AAF" w:rsidRDefault="006247F6" w:rsidP="00D44AAF">
            <w:pPr>
              <w:rPr>
                <w:rFonts w:cs="Times New Roman"/>
                <w:b/>
                <w:i/>
                <w:sz w:val="24"/>
              </w:rPr>
            </w:pPr>
            <w:r w:rsidRPr="00D44AAF">
              <w:rPr>
                <w:rFonts w:cs="Times New Roman"/>
                <w:b/>
                <w:i/>
                <w:sz w:val="24"/>
              </w:rPr>
              <w:t>1.2. Kapitālie izdevumi</w:t>
            </w:r>
          </w:p>
        </w:tc>
        <w:tc>
          <w:tcPr>
            <w:tcW w:w="1022" w:type="dxa"/>
            <w:tcBorders>
              <w:top w:val="single" w:sz="4" w:space="0" w:color="auto"/>
              <w:left w:val="nil"/>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b/>
                <w:sz w:val="20"/>
                <w:szCs w:val="20"/>
                <w:lang w:eastAsia="lv-LV"/>
              </w:rPr>
            </w:pPr>
            <w:r w:rsidRPr="00644E84">
              <w:rPr>
                <w:rFonts w:eastAsia="Times New Roman" w:cs="Times New Roman"/>
                <w:b/>
                <w:sz w:val="20"/>
                <w:szCs w:val="20"/>
                <w:lang w:eastAsia="lv-LV"/>
              </w:rPr>
              <w:t>128</w:t>
            </w:r>
          </w:p>
        </w:tc>
        <w:tc>
          <w:tcPr>
            <w:tcW w:w="1022" w:type="dxa"/>
            <w:tcBorders>
              <w:top w:val="single" w:sz="4" w:space="0" w:color="auto"/>
              <w:left w:val="nil"/>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b/>
                <w:sz w:val="20"/>
                <w:szCs w:val="20"/>
                <w:lang w:eastAsia="lv-LV"/>
              </w:rPr>
            </w:pPr>
            <w:r w:rsidRPr="00644E84">
              <w:rPr>
                <w:rFonts w:eastAsia="Times New Roman" w:cs="Times New Roman"/>
                <w:b/>
                <w:sz w:val="20"/>
                <w:szCs w:val="20"/>
                <w:lang w:eastAsia="lv-LV"/>
              </w:rPr>
              <w:t>176</w:t>
            </w:r>
          </w:p>
        </w:tc>
        <w:tc>
          <w:tcPr>
            <w:tcW w:w="1023" w:type="dxa"/>
            <w:tcBorders>
              <w:top w:val="single" w:sz="4" w:space="0" w:color="auto"/>
              <w:left w:val="nil"/>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b/>
                <w:sz w:val="20"/>
                <w:szCs w:val="20"/>
                <w:lang w:eastAsia="lv-LV"/>
              </w:rPr>
            </w:pPr>
            <w:r w:rsidRPr="00644E84">
              <w:rPr>
                <w:rFonts w:eastAsia="Times New Roman" w:cs="Times New Roman"/>
                <w:b/>
                <w:sz w:val="20"/>
                <w:szCs w:val="20"/>
                <w:lang w:eastAsia="lv-LV"/>
              </w:rPr>
              <w:t>176</w:t>
            </w:r>
          </w:p>
        </w:tc>
        <w:tc>
          <w:tcPr>
            <w:tcW w:w="1169" w:type="dxa"/>
            <w:tcBorders>
              <w:top w:val="single" w:sz="4" w:space="0" w:color="auto"/>
              <w:left w:val="nil"/>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b/>
                <w:sz w:val="20"/>
                <w:szCs w:val="20"/>
                <w:lang w:eastAsia="lv-LV"/>
              </w:rPr>
            </w:pPr>
            <w:r w:rsidRPr="00644E84">
              <w:rPr>
                <w:rFonts w:eastAsia="Times New Roman" w:cs="Times New Roman"/>
                <w:b/>
                <w:sz w:val="20"/>
                <w:szCs w:val="20"/>
                <w:lang w:eastAsia="lv-LV"/>
              </w:rPr>
              <w:t>810</w:t>
            </w:r>
          </w:p>
        </w:tc>
        <w:tc>
          <w:tcPr>
            <w:tcW w:w="877" w:type="dxa"/>
            <w:tcBorders>
              <w:top w:val="single" w:sz="4" w:space="0" w:color="auto"/>
              <w:left w:val="nil"/>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b/>
                <w:sz w:val="20"/>
                <w:szCs w:val="20"/>
                <w:lang w:eastAsia="lv-LV"/>
              </w:rPr>
            </w:pPr>
            <w:r w:rsidRPr="00644E84">
              <w:rPr>
                <w:rFonts w:eastAsia="Times New Roman" w:cs="Times New Roman"/>
                <w:b/>
                <w:sz w:val="20"/>
                <w:szCs w:val="20"/>
                <w:lang w:eastAsia="lv-LV"/>
              </w:rPr>
              <w:t>138,4</w:t>
            </w:r>
          </w:p>
        </w:tc>
        <w:tc>
          <w:tcPr>
            <w:tcW w:w="876" w:type="dxa"/>
            <w:tcBorders>
              <w:top w:val="single" w:sz="4" w:space="0" w:color="auto"/>
              <w:left w:val="nil"/>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b/>
                <w:sz w:val="20"/>
                <w:szCs w:val="20"/>
                <w:lang w:eastAsia="lv-LV"/>
              </w:rPr>
            </w:pPr>
            <w:r w:rsidRPr="00644E84">
              <w:rPr>
                <w:rFonts w:eastAsia="Times New Roman" w:cs="Times New Roman"/>
                <w:b/>
                <w:sz w:val="20"/>
                <w:szCs w:val="20"/>
                <w:lang w:eastAsia="lv-LV"/>
              </w:rPr>
              <w:t>100,0</w:t>
            </w:r>
          </w:p>
        </w:tc>
        <w:tc>
          <w:tcPr>
            <w:tcW w:w="877" w:type="dxa"/>
            <w:tcBorders>
              <w:top w:val="single" w:sz="4" w:space="0" w:color="auto"/>
              <w:left w:val="nil"/>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b/>
                <w:sz w:val="20"/>
                <w:szCs w:val="20"/>
                <w:lang w:eastAsia="lv-LV"/>
              </w:rPr>
            </w:pPr>
            <w:r w:rsidRPr="00644E84">
              <w:rPr>
                <w:rFonts w:eastAsia="Times New Roman" w:cs="Times New Roman"/>
                <w:b/>
                <w:sz w:val="20"/>
                <w:szCs w:val="20"/>
                <w:lang w:eastAsia="lv-LV"/>
              </w:rPr>
              <w:t>21,8</w:t>
            </w:r>
          </w:p>
        </w:tc>
      </w:tr>
      <w:tr w:rsidR="006247F6" w:rsidRPr="00644E84" w:rsidTr="00D44AAF">
        <w:trPr>
          <w:trHeight w:val="255"/>
        </w:trPr>
        <w:tc>
          <w:tcPr>
            <w:tcW w:w="2630" w:type="dxa"/>
            <w:tcBorders>
              <w:top w:val="nil"/>
              <w:left w:val="single" w:sz="4" w:space="0" w:color="auto"/>
              <w:bottom w:val="single" w:sz="4" w:space="0" w:color="auto"/>
              <w:right w:val="single" w:sz="4" w:space="0" w:color="auto"/>
            </w:tcBorders>
            <w:shd w:val="clear" w:color="auto" w:fill="auto"/>
            <w:vAlign w:val="center"/>
            <w:hideMark/>
          </w:tcPr>
          <w:p w:rsidR="006247F6" w:rsidRPr="00B01912" w:rsidRDefault="006247F6" w:rsidP="00D44AAF">
            <w:pPr>
              <w:rPr>
                <w:rFonts w:cs="Times New Roman"/>
                <w:i/>
                <w:sz w:val="24"/>
              </w:rPr>
            </w:pPr>
            <w:r w:rsidRPr="00B01912">
              <w:rPr>
                <w:rFonts w:cs="Times New Roman"/>
                <w:i/>
                <w:sz w:val="24"/>
              </w:rPr>
              <w:t>Pamatkapitāla veidošana</w:t>
            </w:r>
          </w:p>
        </w:tc>
        <w:tc>
          <w:tcPr>
            <w:tcW w:w="1022" w:type="dxa"/>
            <w:tcBorders>
              <w:top w:val="nil"/>
              <w:left w:val="nil"/>
              <w:bottom w:val="single" w:sz="4" w:space="0" w:color="auto"/>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sz w:val="20"/>
                <w:szCs w:val="20"/>
                <w:lang w:eastAsia="lv-LV"/>
              </w:rPr>
            </w:pPr>
            <w:r w:rsidRPr="00644E84">
              <w:rPr>
                <w:rFonts w:eastAsia="Times New Roman" w:cs="Times New Roman"/>
                <w:sz w:val="20"/>
                <w:szCs w:val="20"/>
                <w:lang w:eastAsia="lv-LV"/>
              </w:rPr>
              <w:t>128</w:t>
            </w:r>
          </w:p>
        </w:tc>
        <w:tc>
          <w:tcPr>
            <w:tcW w:w="1022" w:type="dxa"/>
            <w:tcBorders>
              <w:top w:val="nil"/>
              <w:left w:val="nil"/>
              <w:bottom w:val="single" w:sz="4" w:space="0" w:color="auto"/>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sz w:val="20"/>
                <w:szCs w:val="20"/>
                <w:lang w:eastAsia="lv-LV"/>
              </w:rPr>
            </w:pPr>
            <w:r w:rsidRPr="00644E84">
              <w:rPr>
                <w:rFonts w:eastAsia="Times New Roman" w:cs="Times New Roman"/>
                <w:sz w:val="20"/>
                <w:szCs w:val="20"/>
                <w:lang w:eastAsia="lv-LV"/>
              </w:rPr>
              <w:t>176</w:t>
            </w:r>
          </w:p>
        </w:tc>
        <w:tc>
          <w:tcPr>
            <w:tcW w:w="1023" w:type="dxa"/>
            <w:tcBorders>
              <w:top w:val="nil"/>
              <w:left w:val="nil"/>
              <w:bottom w:val="single" w:sz="4" w:space="0" w:color="auto"/>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sz w:val="20"/>
                <w:szCs w:val="20"/>
                <w:lang w:eastAsia="lv-LV"/>
              </w:rPr>
            </w:pPr>
            <w:r w:rsidRPr="00644E84">
              <w:rPr>
                <w:rFonts w:eastAsia="Times New Roman" w:cs="Times New Roman"/>
                <w:sz w:val="20"/>
                <w:szCs w:val="20"/>
                <w:lang w:eastAsia="lv-LV"/>
              </w:rPr>
              <w:t>176</w:t>
            </w:r>
          </w:p>
        </w:tc>
        <w:tc>
          <w:tcPr>
            <w:tcW w:w="1169" w:type="dxa"/>
            <w:tcBorders>
              <w:top w:val="nil"/>
              <w:left w:val="nil"/>
              <w:bottom w:val="single" w:sz="4" w:space="0" w:color="auto"/>
              <w:right w:val="single" w:sz="4" w:space="0" w:color="auto"/>
            </w:tcBorders>
            <w:shd w:val="clear" w:color="auto" w:fill="auto"/>
            <w:noWrap/>
            <w:vAlign w:val="bottom"/>
            <w:hideMark/>
          </w:tcPr>
          <w:p w:rsidR="006247F6" w:rsidRPr="00644E84" w:rsidRDefault="006247F6" w:rsidP="005C7D14">
            <w:pPr>
              <w:spacing w:after="0"/>
              <w:ind w:firstLine="0"/>
              <w:jc w:val="right"/>
              <w:rPr>
                <w:rFonts w:eastAsia="Times New Roman" w:cs="Times New Roman"/>
                <w:sz w:val="20"/>
                <w:szCs w:val="20"/>
                <w:lang w:eastAsia="lv-LV"/>
              </w:rPr>
            </w:pPr>
            <w:r w:rsidRPr="00644E84">
              <w:rPr>
                <w:rFonts w:eastAsia="Times New Roman" w:cs="Times New Roman"/>
                <w:sz w:val="20"/>
                <w:szCs w:val="20"/>
                <w:lang w:eastAsia="lv-LV"/>
              </w:rPr>
              <w:t>810</w:t>
            </w:r>
          </w:p>
        </w:tc>
        <w:tc>
          <w:tcPr>
            <w:tcW w:w="877" w:type="dxa"/>
            <w:tcBorders>
              <w:top w:val="nil"/>
              <w:left w:val="nil"/>
              <w:bottom w:val="single" w:sz="4" w:space="0" w:color="auto"/>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sz w:val="20"/>
                <w:szCs w:val="20"/>
                <w:lang w:eastAsia="lv-LV"/>
              </w:rPr>
            </w:pPr>
            <w:r w:rsidRPr="00644E84">
              <w:rPr>
                <w:rFonts w:eastAsia="Times New Roman" w:cs="Times New Roman"/>
                <w:sz w:val="20"/>
                <w:szCs w:val="20"/>
                <w:lang w:eastAsia="lv-LV"/>
              </w:rPr>
              <w:t>138,4</w:t>
            </w:r>
          </w:p>
        </w:tc>
        <w:tc>
          <w:tcPr>
            <w:tcW w:w="876" w:type="dxa"/>
            <w:tcBorders>
              <w:top w:val="nil"/>
              <w:left w:val="nil"/>
              <w:bottom w:val="single" w:sz="4" w:space="0" w:color="auto"/>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sz w:val="20"/>
                <w:szCs w:val="20"/>
                <w:lang w:eastAsia="lv-LV"/>
              </w:rPr>
            </w:pPr>
            <w:r w:rsidRPr="00644E84">
              <w:rPr>
                <w:rFonts w:eastAsia="Times New Roman" w:cs="Times New Roman"/>
                <w:sz w:val="20"/>
                <w:szCs w:val="20"/>
                <w:lang w:eastAsia="lv-LV"/>
              </w:rPr>
              <w:t>100,0</w:t>
            </w:r>
          </w:p>
        </w:tc>
        <w:tc>
          <w:tcPr>
            <w:tcW w:w="877" w:type="dxa"/>
            <w:tcBorders>
              <w:top w:val="nil"/>
              <w:left w:val="nil"/>
              <w:bottom w:val="single" w:sz="4" w:space="0" w:color="auto"/>
              <w:right w:val="single" w:sz="4" w:space="0" w:color="auto"/>
            </w:tcBorders>
            <w:shd w:val="clear" w:color="auto" w:fill="auto"/>
            <w:noWrap/>
            <w:vAlign w:val="bottom"/>
            <w:hideMark/>
          </w:tcPr>
          <w:p w:rsidR="006247F6" w:rsidRPr="00644E84" w:rsidRDefault="006247F6" w:rsidP="005C7D14">
            <w:pPr>
              <w:spacing w:after="0"/>
              <w:ind w:firstLine="0"/>
              <w:jc w:val="center"/>
              <w:rPr>
                <w:rFonts w:eastAsia="Times New Roman" w:cs="Times New Roman"/>
                <w:sz w:val="20"/>
                <w:szCs w:val="20"/>
                <w:lang w:eastAsia="lv-LV"/>
              </w:rPr>
            </w:pPr>
            <w:r w:rsidRPr="00644E84">
              <w:rPr>
                <w:rFonts w:eastAsia="Times New Roman" w:cs="Times New Roman"/>
                <w:sz w:val="20"/>
                <w:szCs w:val="20"/>
                <w:lang w:eastAsia="lv-LV"/>
              </w:rPr>
              <w:t>21,8</w:t>
            </w:r>
          </w:p>
        </w:tc>
      </w:tr>
    </w:tbl>
    <w:p w:rsidR="006247F6" w:rsidRDefault="006247F6" w:rsidP="006247F6">
      <w:pPr>
        <w:ind w:firstLine="0"/>
        <w:rPr>
          <w:rFonts w:eastAsia="Times New Roman"/>
          <w:sz w:val="20"/>
          <w:szCs w:val="20"/>
        </w:rPr>
      </w:pPr>
      <w:r w:rsidRPr="00D4319A">
        <w:rPr>
          <w:rFonts w:eastAsia="Times New Roman"/>
          <w:sz w:val="20"/>
          <w:szCs w:val="20"/>
        </w:rPr>
        <w:t xml:space="preserve"> Pārskata periodā spēkā esošais 2014.gada plāns atbilstoši likumam „Par valsts budžetu 2014.gadam” ar Finanšu ministrijas rīkojumiem</w:t>
      </w:r>
    </w:p>
    <w:p w:rsidR="006247F6" w:rsidRPr="003E5D9B" w:rsidRDefault="006247F6" w:rsidP="006247F6">
      <w:pPr>
        <w:rPr>
          <w:rFonts w:eastAsia="Times New Roman"/>
          <w:sz w:val="20"/>
          <w:szCs w:val="20"/>
        </w:rPr>
      </w:pPr>
    </w:p>
    <w:p w:rsidR="006247F6" w:rsidRDefault="006247F6" w:rsidP="006247F6">
      <w:pPr>
        <w:rPr>
          <w:rFonts w:eastAsia="Times New Roman"/>
          <w:szCs w:val="20"/>
        </w:rPr>
      </w:pPr>
      <w:r w:rsidRPr="005D3C78">
        <w:rPr>
          <w:rFonts w:eastAsia="Times New Roman"/>
          <w:szCs w:val="20"/>
        </w:rPr>
        <w:t>Valsts obligātā sociālā apdrošināšana sociālās apdrošināšanas iemaksu veicējam daļēji kompensē līdzšinējos ienākumus, ja viņš tos zaudējis, aiziedams pensijā, zaudēdams darbu, iegūdams invaliditāti, zaudēdams apgādnieku, sa</w:t>
      </w:r>
      <w:r w:rsidRPr="005D3C78">
        <w:rPr>
          <w:rFonts w:eastAsia="Times New Roman"/>
          <w:szCs w:val="20"/>
        </w:rPr>
        <w:softHyphen/>
        <w:t xml:space="preserve">slimdams, ejot pirmsdzemdību un </w:t>
      </w:r>
      <w:proofErr w:type="spellStart"/>
      <w:r w:rsidRPr="005D3C78">
        <w:rPr>
          <w:rFonts w:eastAsia="Times New Roman"/>
          <w:szCs w:val="20"/>
        </w:rPr>
        <w:t>pēcdzemdību</w:t>
      </w:r>
      <w:proofErr w:type="spellEnd"/>
      <w:r w:rsidRPr="005D3C78">
        <w:rPr>
          <w:rFonts w:eastAsia="Times New Roman"/>
          <w:szCs w:val="20"/>
        </w:rPr>
        <w:t xml:space="preserve"> atvaļinājumā, kā arī ciezdams nelaimes gadījumā vai iegūdams arodslimību.</w:t>
      </w:r>
    </w:p>
    <w:p w:rsidR="006247F6" w:rsidRDefault="006247F6" w:rsidP="006247F6">
      <w:pPr>
        <w:ind w:firstLine="0"/>
        <w:rPr>
          <w:rFonts w:eastAsia="Times New Roman"/>
          <w:szCs w:val="20"/>
        </w:rPr>
      </w:pPr>
      <w:r>
        <w:rPr>
          <w:noProof/>
          <w:lang w:eastAsia="lv-LV"/>
        </w:rPr>
        <w:lastRenderedPageBreak/>
        <w:drawing>
          <wp:inline distT="0" distB="0" distL="0" distR="0" wp14:anchorId="04ABA5C4" wp14:editId="4802F67E">
            <wp:extent cx="5747657" cy="3331029"/>
            <wp:effectExtent l="0" t="0" r="5715" b="3175"/>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247F6" w:rsidRDefault="006247F6" w:rsidP="006247F6">
      <w:pPr>
        <w:ind w:firstLine="0"/>
        <w:rPr>
          <w:rFonts w:eastAsia="Times New Roman"/>
          <w:szCs w:val="20"/>
        </w:rPr>
      </w:pPr>
    </w:p>
    <w:p w:rsidR="006247F6" w:rsidRPr="00D24FBD" w:rsidRDefault="006247F6" w:rsidP="006247F6">
      <w:pPr>
        <w:ind w:firstLine="0"/>
        <w:jc w:val="center"/>
        <w:rPr>
          <w:rFonts w:cs="Times New Roman"/>
          <w:b/>
          <w:i/>
          <w:sz w:val="24"/>
        </w:rPr>
      </w:pPr>
      <w:r w:rsidRPr="00D24FBD">
        <w:rPr>
          <w:rFonts w:cs="Times New Roman"/>
          <w:b/>
          <w:i/>
          <w:sz w:val="24"/>
        </w:rPr>
        <w:t>3</w:t>
      </w:r>
      <w:r w:rsidR="00D24FBD">
        <w:rPr>
          <w:rFonts w:cs="Times New Roman"/>
          <w:b/>
          <w:i/>
          <w:sz w:val="24"/>
        </w:rPr>
        <w:t>6</w:t>
      </w:r>
      <w:r w:rsidRPr="00D24FBD">
        <w:rPr>
          <w:rFonts w:cs="Times New Roman"/>
          <w:b/>
          <w:i/>
          <w:sz w:val="24"/>
        </w:rPr>
        <w:t>. att. Valsts speciālā budžeta izdevumu izpilde 2014. gada pirmajā ceturksnī atbilstoši ekonomiskajām kategorijām</w:t>
      </w:r>
    </w:p>
    <w:p w:rsidR="006247F6" w:rsidRPr="003A70FD" w:rsidRDefault="006247F6" w:rsidP="006247F6">
      <w:pPr>
        <w:ind w:firstLine="0"/>
        <w:jc w:val="center"/>
        <w:rPr>
          <w:rFonts w:eastAsia="Times New Roman"/>
          <w:b/>
          <w:i/>
          <w:szCs w:val="20"/>
        </w:rPr>
      </w:pPr>
    </w:p>
    <w:p w:rsidR="006247F6" w:rsidRDefault="006247F6" w:rsidP="006247F6">
      <w:pPr>
        <w:rPr>
          <w:rFonts w:eastAsia="Times New Roman"/>
          <w:snapToGrid w:val="0"/>
        </w:rPr>
      </w:pPr>
      <w:r w:rsidRPr="003A70FD">
        <w:rPr>
          <w:rFonts w:eastAsia="Times New Roman"/>
        </w:rPr>
        <w:t xml:space="preserve">Valsts speciālā budžeta līdzekļi atbilstoši funkcionālajām kategorijām izlietoti </w:t>
      </w:r>
      <w:r w:rsidRPr="003A70FD">
        <w:rPr>
          <w:rFonts w:eastAsia="Times New Roman"/>
          <w:snapToGrid w:val="0"/>
        </w:rPr>
        <w:t>Sociālajai aizsardzībai.</w:t>
      </w:r>
      <w:bookmarkStart w:id="77" w:name="_Toc4467568"/>
      <w:bookmarkStart w:id="78" w:name="_Toc97362247"/>
      <w:bookmarkEnd w:id="77"/>
      <w:bookmarkEnd w:id="78"/>
    </w:p>
    <w:p w:rsidR="005C7D14" w:rsidRPr="00C1733B" w:rsidRDefault="005C7D14" w:rsidP="006247F6">
      <w:pPr>
        <w:rPr>
          <w:rFonts w:eastAsia="Times New Roman"/>
          <w:snapToGrid w:val="0"/>
        </w:rPr>
      </w:pPr>
    </w:p>
    <w:p w:rsidR="006247F6" w:rsidRDefault="004648EC" w:rsidP="005C7D14">
      <w:pPr>
        <w:jc w:val="center"/>
        <w:rPr>
          <w:rStyle w:val="Hyperlink"/>
          <w:b/>
          <w:color w:val="auto"/>
          <w:sz w:val="32"/>
          <w:u w:val="none"/>
        </w:rPr>
      </w:pPr>
      <w:hyperlink w:anchor="_Toc325101929" w:history="1">
        <w:r w:rsidR="00A23274">
          <w:rPr>
            <w:rStyle w:val="Hyperlink"/>
            <w:b/>
            <w:color w:val="auto"/>
            <w:sz w:val="32"/>
            <w:u w:val="none"/>
          </w:rPr>
          <w:t>2.3</w:t>
        </w:r>
        <w:r w:rsidR="006247F6" w:rsidRPr="00A90239">
          <w:rPr>
            <w:rStyle w:val="Hyperlink"/>
            <w:b/>
            <w:color w:val="auto"/>
            <w:sz w:val="32"/>
            <w:u w:val="none"/>
          </w:rPr>
          <w:t>.3</w:t>
        </w:r>
        <w:r w:rsidR="006247F6" w:rsidRPr="005C7D14">
          <w:rPr>
            <w:rStyle w:val="Hyperlink"/>
            <w:b/>
            <w:color w:val="auto"/>
            <w:sz w:val="32"/>
            <w:u w:val="none"/>
          </w:rPr>
          <w:t>. </w:t>
        </w:r>
      </w:hyperlink>
      <w:r w:rsidR="006247F6" w:rsidRPr="005C7D14">
        <w:rPr>
          <w:rStyle w:val="Hyperlink"/>
          <w:b/>
          <w:color w:val="auto"/>
          <w:sz w:val="32"/>
          <w:u w:val="none"/>
        </w:rPr>
        <w:t>Valsts pamatbudžeta izpilde valsts pamatfunkciju un Eiropas Savienības politiku instrumentu un pārējās ārvalstu finanšu palīdzības līdzfinansēto un finansēto projektu un pasākumu īstenošanai</w:t>
      </w:r>
    </w:p>
    <w:p w:rsidR="005C7D14" w:rsidRPr="005C7D14" w:rsidRDefault="005C7D14" w:rsidP="005C7D14">
      <w:pPr>
        <w:jc w:val="center"/>
        <w:rPr>
          <w:rStyle w:val="Hyperlink"/>
          <w:b/>
          <w:color w:val="auto"/>
          <w:sz w:val="32"/>
          <w:u w:val="none"/>
        </w:rPr>
      </w:pPr>
    </w:p>
    <w:p w:rsidR="006247F6" w:rsidRPr="00D4319A" w:rsidRDefault="006247F6" w:rsidP="006247F6">
      <w:pPr>
        <w:ind w:firstLine="720"/>
      </w:pPr>
      <w:r w:rsidRPr="00D4319A">
        <w:t>Valsts pamatbudžetā</w:t>
      </w:r>
      <w:r w:rsidRPr="00D4319A">
        <w:rPr>
          <w:b/>
        </w:rPr>
        <w:t xml:space="preserve"> </w:t>
      </w:r>
      <w:r w:rsidRPr="00D4319A">
        <w:t xml:space="preserve">2014. gada pirmajā ceturksnī kopējie izdevumi bija 1232,4 milj. </w:t>
      </w:r>
      <w:proofErr w:type="spellStart"/>
      <w:r w:rsidRPr="00D4319A">
        <w:rPr>
          <w:i/>
        </w:rPr>
        <w:t>euro</w:t>
      </w:r>
      <w:proofErr w:type="spellEnd"/>
      <w:r w:rsidRPr="00D4319A">
        <w:t>, no kuriem 977,1 milj.</w:t>
      </w:r>
      <w:r w:rsidRPr="00D4319A">
        <w:rPr>
          <w:i/>
        </w:rPr>
        <w:t xml:space="preserve"> </w:t>
      </w:r>
      <w:proofErr w:type="spellStart"/>
      <w:r w:rsidRPr="00D4319A">
        <w:rPr>
          <w:i/>
        </w:rPr>
        <w:t>euro</w:t>
      </w:r>
      <w:proofErr w:type="spellEnd"/>
      <w:r w:rsidRPr="00D4319A">
        <w:t xml:space="preserve"> jeb 79,3% bija izdevumi valsts pamatfunkciju īstenošanai, savukārt 255,2 milj. </w:t>
      </w:r>
      <w:proofErr w:type="spellStart"/>
      <w:r w:rsidRPr="00D4319A">
        <w:rPr>
          <w:i/>
        </w:rPr>
        <w:t>euro</w:t>
      </w:r>
      <w:proofErr w:type="spellEnd"/>
      <w:r w:rsidRPr="00D4319A">
        <w:t xml:space="preserve"> jeb 20,7% bija izdevumi ES politiku instrumentu un pārējās ārvalstu finanšu palīdzības līdzfinansēto un finansēto projektu un pasākumu īstenošanai. 2013.gada atbilstošajā periodā valsts pamatfunkciju īstenošanai tika izlietoti 884,4 milj. </w:t>
      </w:r>
      <w:proofErr w:type="spellStart"/>
      <w:r w:rsidRPr="00D4319A">
        <w:rPr>
          <w:i/>
        </w:rPr>
        <w:t>euro</w:t>
      </w:r>
      <w:proofErr w:type="spellEnd"/>
      <w:r w:rsidRPr="00D4319A">
        <w:t xml:space="preserve">, bet ES fondu apguvei – 240,1 milj. </w:t>
      </w:r>
      <w:proofErr w:type="spellStart"/>
      <w:r w:rsidRPr="00D4319A">
        <w:rPr>
          <w:i/>
        </w:rPr>
        <w:t>euro</w:t>
      </w:r>
      <w:proofErr w:type="spellEnd"/>
      <w:r w:rsidRPr="00D4319A">
        <w:t>.</w:t>
      </w:r>
    </w:p>
    <w:p w:rsidR="006247F6" w:rsidRPr="00D4319A" w:rsidRDefault="006247F6" w:rsidP="006247F6">
      <w:pPr>
        <w:ind w:firstLine="720"/>
      </w:pPr>
      <w:r w:rsidRPr="00D4319A">
        <w:rPr>
          <w:rFonts w:eastAsia="Times New Roman"/>
          <w:szCs w:val="20"/>
        </w:rPr>
        <w:t>2014. gada pirmajā ceturksnī i</w:t>
      </w:r>
      <w:r w:rsidRPr="00D4319A">
        <w:t xml:space="preserve">zdevumi ES politiku instrumentu un pārējās ārvalstu finanšu palīdzības apguvei ir izlietoti par 13,5 milj. </w:t>
      </w:r>
      <w:proofErr w:type="spellStart"/>
      <w:r w:rsidRPr="00D4319A">
        <w:rPr>
          <w:i/>
        </w:rPr>
        <w:t>euro</w:t>
      </w:r>
      <w:proofErr w:type="spellEnd"/>
      <w:r w:rsidRPr="00D4319A">
        <w:t xml:space="preserve"> mazāk nekā plānots, bet izdevumi valsts pamatfunkciju īstenošanai apgūti par 23,4 milj. </w:t>
      </w:r>
      <w:proofErr w:type="spellStart"/>
      <w:r w:rsidRPr="00D4319A">
        <w:rPr>
          <w:i/>
        </w:rPr>
        <w:t>euro</w:t>
      </w:r>
      <w:proofErr w:type="spellEnd"/>
      <w:r w:rsidRPr="00D4319A">
        <w:t xml:space="preserve"> mazāk nekā plānots.</w:t>
      </w:r>
    </w:p>
    <w:p w:rsidR="006247F6" w:rsidRDefault="006247F6" w:rsidP="006247F6">
      <w:pPr>
        <w:ind w:firstLine="720"/>
      </w:pPr>
      <w:r w:rsidRPr="00D4319A">
        <w:lastRenderedPageBreak/>
        <w:t>Valsts pamatbudžeta izdevumi ES politiku instrumentu un pārējās ārvalstu finanšu palīdzības apguvei</w:t>
      </w:r>
      <w:r w:rsidRPr="00D4319A">
        <w:rPr>
          <w:rFonts w:eastAsia="Times New Roman"/>
          <w:szCs w:val="20"/>
        </w:rPr>
        <w:t xml:space="preserve"> 2014. gada pirmajā ceturksnī, salīdzinot ar 2013. gada atbilstošo periodu, palielinājušies </w:t>
      </w:r>
      <w:r w:rsidRPr="00D4319A">
        <w:t xml:space="preserve">par 15,1 milj. </w:t>
      </w:r>
      <w:proofErr w:type="spellStart"/>
      <w:r w:rsidRPr="00D4319A">
        <w:rPr>
          <w:i/>
        </w:rPr>
        <w:t>euro</w:t>
      </w:r>
      <w:proofErr w:type="spellEnd"/>
      <w:r w:rsidRPr="00D4319A">
        <w:t xml:space="preserve"> jeb 6,3%, savukārt izdevumi valsts pamatfunkciju īstenošanai ir palielinājušies par 92,7 milj. </w:t>
      </w:r>
      <w:proofErr w:type="spellStart"/>
      <w:r w:rsidRPr="00D4319A">
        <w:rPr>
          <w:i/>
        </w:rPr>
        <w:t>euro</w:t>
      </w:r>
      <w:proofErr w:type="spellEnd"/>
      <w:r w:rsidRPr="00D4319A">
        <w:t xml:space="preserve"> jeb 10,5 procentiem.</w:t>
      </w:r>
    </w:p>
    <w:p w:rsidR="006247F6" w:rsidRDefault="006247F6" w:rsidP="006247F6">
      <w:pPr>
        <w:jc w:val="center"/>
        <w:rPr>
          <w:b/>
          <w:bCs/>
          <w:i/>
          <w:szCs w:val="24"/>
        </w:rPr>
      </w:pPr>
    </w:p>
    <w:p w:rsidR="006247F6" w:rsidRPr="00D44AAF" w:rsidRDefault="006247F6" w:rsidP="00D44AAF">
      <w:pPr>
        <w:rPr>
          <w:rFonts w:cs="Times New Roman"/>
          <w:b/>
          <w:i/>
          <w:sz w:val="24"/>
        </w:rPr>
      </w:pPr>
      <w:r w:rsidRPr="00D44AAF">
        <w:rPr>
          <w:rFonts w:cs="Times New Roman"/>
          <w:b/>
          <w:i/>
          <w:sz w:val="24"/>
        </w:rPr>
        <w:t>9. tabula. Finansiālo rādītāju kopsavilkums</w:t>
      </w:r>
    </w:p>
    <w:tbl>
      <w:tblPr>
        <w:tblW w:w="9478" w:type="dxa"/>
        <w:tblLook w:val="04A0" w:firstRow="1" w:lastRow="0" w:firstColumn="1" w:lastColumn="0" w:noHBand="0" w:noVBand="1"/>
      </w:tblPr>
      <w:tblGrid>
        <w:gridCol w:w="1980"/>
        <w:gridCol w:w="1044"/>
        <w:gridCol w:w="1044"/>
        <w:gridCol w:w="1044"/>
        <w:gridCol w:w="1044"/>
        <w:gridCol w:w="1044"/>
        <w:gridCol w:w="1151"/>
        <w:gridCol w:w="1127"/>
      </w:tblGrid>
      <w:tr w:rsidR="006247F6" w:rsidRPr="003C3685" w:rsidTr="00D44AAF">
        <w:trPr>
          <w:trHeight w:val="2640"/>
          <w:tblHead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47F6" w:rsidRPr="003C3685" w:rsidRDefault="006247F6" w:rsidP="005C7D14">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Finansiālie rādītāji</w:t>
            </w:r>
          </w:p>
        </w:tc>
        <w:tc>
          <w:tcPr>
            <w:tcW w:w="1044" w:type="dxa"/>
            <w:tcBorders>
              <w:top w:val="single" w:sz="4" w:space="0" w:color="auto"/>
              <w:left w:val="nil"/>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2013.gada 3 mēnešu izpilde</w:t>
            </w:r>
            <w:r w:rsidRPr="003C3685">
              <w:rPr>
                <w:rFonts w:eastAsia="Times New Roman" w:cs="Times New Roman"/>
                <w:color w:val="000000"/>
                <w:sz w:val="20"/>
                <w:szCs w:val="20"/>
                <w:lang w:eastAsia="lv-LV"/>
              </w:rPr>
              <w:br/>
              <w:t xml:space="preserve">(tūkstošos </w:t>
            </w:r>
            <w:proofErr w:type="spellStart"/>
            <w:r w:rsidRPr="003C3685">
              <w:rPr>
                <w:rFonts w:eastAsia="Times New Roman" w:cs="Times New Roman"/>
                <w:i/>
                <w:iCs/>
                <w:color w:val="000000"/>
                <w:sz w:val="20"/>
                <w:szCs w:val="20"/>
                <w:lang w:eastAsia="lv-LV"/>
              </w:rPr>
              <w:t>euro</w:t>
            </w:r>
            <w:proofErr w:type="spellEnd"/>
            <w:r w:rsidRPr="003C3685">
              <w:rPr>
                <w:rFonts w:eastAsia="Times New Roman" w:cs="Times New Roman"/>
                <w:color w:val="000000"/>
                <w:sz w:val="20"/>
                <w:szCs w:val="20"/>
                <w:lang w:eastAsia="lv-LV"/>
              </w:rPr>
              <w:t>)</w:t>
            </w:r>
          </w:p>
        </w:tc>
        <w:tc>
          <w:tcPr>
            <w:tcW w:w="1044" w:type="dxa"/>
            <w:tcBorders>
              <w:top w:val="single" w:sz="4" w:space="0" w:color="auto"/>
              <w:left w:val="nil"/>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2014.gada 3 mēnešu plāns</w:t>
            </w:r>
            <w:r w:rsidRPr="003C3685">
              <w:rPr>
                <w:rFonts w:eastAsia="Times New Roman" w:cs="Times New Roman"/>
                <w:color w:val="000000"/>
                <w:sz w:val="20"/>
                <w:szCs w:val="20"/>
                <w:lang w:eastAsia="lv-LV"/>
              </w:rPr>
              <w:br/>
              <w:t>(tūkstošos</w:t>
            </w:r>
            <w:r w:rsidRPr="003C3685">
              <w:rPr>
                <w:rFonts w:eastAsia="Times New Roman" w:cs="Times New Roman"/>
                <w:i/>
                <w:iCs/>
                <w:color w:val="000000"/>
                <w:sz w:val="20"/>
                <w:szCs w:val="20"/>
                <w:lang w:eastAsia="lv-LV"/>
              </w:rPr>
              <w:t xml:space="preserve"> </w:t>
            </w:r>
            <w:proofErr w:type="spellStart"/>
            <w:r w:rsidRPr="003C3685">
              <w:rPr>
                <w:rFonts w:eastAsia="Times New Roman" w:cs="Times New Roman"/>
                <w:i/>
                <w:iCs/>
                <w:color w:val="000000"/>
                <w:sz w:val="20"/>
                <w:szCs w:val="20"/>
                <w:lang w:eastAsia="lv-LV"/>
              </w:rPr>
              <w:t>euro</w:t>
            </w:r>
            <w:proofErr w:type="spellEnd"/>
            <w:r w:rsidRPr="003C3685">
              <w:rPr>
                <w:rFonts w:eastAsia="Times New Roman" w:cs="Times New Roman"/>
                <w:color w:val="000000"/>
                <w:sz w:val="20"/>
                <w:szCs w:val="20"/>
                <w:lang w:eastAsia="lv-LV"/>
              </w:rPr>
              <w:t>)</w:t>
            </w:r>
          </w:p>
        </w:tc>
        <w:tc>
          <w:tcPr>
            <w:tcW w:w="1044" w:type="dxa"/>
            <w:tcBorders>
              <w:top w:val="single" w:sz="4" w:space="0" w:color="auto"/>
              <w:left w:val="nil"/>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2014.gada 3 mēnešu izpilde</w:t>
            </w:r>
            <w:r w:rsidRPr="003C3685">
              <w:rPr>
                <w:rFonts w:eastAsia="Times New Roman" w:cs="Times New Roman"/>
                <w:color w:val="000000"/>
                <w:sz w:val="20"/>
                <w:szCs w:val="20"/>
                <w:lang w:eastAsia="lv-LV"/>
              </w:rPr>
              <w:br/>
              <w:t xml:space="preserve">(tūkstošos </w:t>
            </w:r>
            <w:proofErr w:type="spellStart"/>
            <w:r w:rsidRPr="003C3685">
              <w:rPr>
                <w:rFonts w:eastAsia="Times New Roman" w:cs="Times New Roman"/>
                <w:i/>
                <w:iCs/>
                <w:color w:val="000000"/>
                <w:sz w:val="20"/>
                <w:szCs w:val="20"/>
                <w:lang w:eastAsia="lv-LV"/>
              </w:rPr>
              <w:t>euro</w:t>
            </w:r>
            <w:proofErr w:type="spellEnd"/>
            <w:r w:rsidRPr="003C3685">
              <w:rPr>
                <w:rFonts w:eastAsia="Times New Roman" w:cs="Times New Roman"/>
                <w:color w:val="000000"/>
                <w:sz w:val="20"/>
                <w:szCs w:val="20"/>
                <w:lang w:eastAsia="lv-LV"/>
              </w:rPr>
              <w:t>)</w:t>
            </w:r>
          </w:p>
        </w:tc>
        <w:tc>
          <w:tcPr>
            <w:tcW w:w="1044" w:type="dxa"/>
            <w:tcBorders>
              <w:top w:val="single" w:sz="4" w:space="0" w:color="auto"/>
              <w:left w:val="nil"/>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2014.gada 3 mēne</w:t>
            </w:r>
            <w:r w:rsidR="00541DEF">
              <w:rPr>
                <w:rFonts w:eastAsia="Times New Roman" w:cs="Times New Roman"/>
                <w:color w:val="000000"/>
                <w:sz w:val="20"/>
                <w:szCs w:val="20"/>
                <w:lang w:eastAsia="lv-LV"/>
              </w:rPr>
              <w:t xml:space="preserve">šu izpildes izmaiņas (+,–)/ </w:t>
            </w:r>
            <w:r w:rsidRPr="003C3685">
              <w:rPr>
                <w:rFonts w:eastAsia="Times New Roman" w:cs="Times New Roman"/>
                <w:color w:val="000000"/>
                <w:sz w:val="20"/>
                <w:szCs w:val="20"/>
                <w:lang w:eastAsia="lv-LV"/>
              </w:rPr>
              <w:t>2013.gada 3 mēnešu izpildi</w:t>
            </w:r>
            <w:r w:rsidRPr="003C3685">
              <w:rPr>
                <w:rFonts w:eastAsia="Times New Roman" w:cs="Times New Roman"/>
                <w:color w:val="000000"/>
                <w:sz w:val="20"/>
                <w:szCs w:val="20"/>
                <w:lang w:eastAsia="lv-LV"/>
              </w:rPr>
              <w:br/>
              <w:t xml:space="preserve">(tūkstošos </w:t>
            </w:r>
            <w:proofErr w:type="spellStart"/>
            <w:r w:rsidRPr="003C3685">
              <w:rPr>
                <w:rFonts w:eastAsia="Times New Roman" w:cs="Times New Roman"/>
                <w:i/>
                <w:iCs/>
                <w:color w:val="000000"/>
                <w:sz w:val="20"/>
                <w:szCs w:val="20"/>
                <w:lang w:eastAsia="lv-LV"/>
              </w:rPr>
              <w:t>euro</w:t>
            </w:r>
            <w:proofErr w:type="spellEnd"/>
            <w:r w:rsidRPr="003C3685">
              <w:rPr>
                <w:rFonts w:eastAsia="Times New Roman" w:cs="Times New Roman"/>
                <w:color w:val="000000"/>
                <w:sz w:val="20"/>
                <w:szCs w:val="20"/>
                <w:lang w:eastAsia="lv-LV"/>
              </w:rPr>
              <w:t>)</w:t>
            </w:r>
          </w:p>
        </w:tc>
        <w:tc>
          <w:tcPr>
            <w:tcW w:w="1044" w:type="dxa"/>
            <w:tcBorders>
              <w:top w:val="single" w:sz="4" w:space="0" w:color="auto"/>
              <w:left w:val="nil"/>
              <w:bottom w:val="single" w:sz="4" w:space="0" w:color="auto"/>
              <w:right w:val="single" w:sz="4" w:space="0" w:color="auto"/>
            </w:tcBorders>
            <w:shd w:val="clear" w:color="000000" w:fill="FFFFFF"/>
            <w:vAlign w:val="center"/>
            <w:hideMark/>
          </w:tcPr>
          <w:p w:rsidR="006247F6" w:rsidRPr="003C3685" w:rsidRDefault="006247F6" w:rsidP="00541DEF">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2014.gada 3 mēnešu izpilde (+,–)</w:t>
            </w:r>
            <w:r w:rsidR="00541DEF">
              <w:rPr>
                <w:rFonts w:eastAsia="Times New Roman" w:cs="Times New Roman"/>
                <w:color w:val="000000"/>
                <w:sz w:val="20"/>
                <w:szCs w:val="20"/>
                <w:lang w:eastAsia="lv-LV"/>
              </w:rPr>
              <w:t>/</w:t>
            </w:r>
            <w:r w:rsidRPr="003C3685">
              <w:rPr>
                <w:rFonts w:eastAsia="Times New Roman" w:cs="Times New Roman"/>
                <w:color w:val="000000"/>
                <w:sz w:val="20"/>
                <w:szCs w:val="20"/>
                <w:lang w:eastAsia="lv-LV"/>
              </w:rPr>
              <w:t xml:space="preserve"> 2014.gada 3 mēnešu plānu</w:t>
            </w:r>
            <w:r w:rsidRPr="003C3685">
              <w:rPr>
                <w:rFonts w:eastAsia="Times New Roman" w:cs="Times New Roman"/>
                <w:color w:val="000000"/>
                <w:sz w:val="20"/>
                <w:szCs w:val="20"/>
                <w:lang w:eastAsia="lv-LV"/>
              </w:rPr>
              <w:br/>
              <w:t xml:space="preserve">(tūkstošos </w:t>
            </w:r>
            <w:proofErr w:type="spellStart"/>
            <w:r w:rsidRPr="003C3685">
              <w:rPr>
                <w:rFonts w:eastAsia="Times New Roman" w:cs="Times New Roman"/>
                <w:i/>
                <w:iCs/>
                <w:color w:val="000000"/>
                <w:sz w:val="20"/>
                <w:szCs w:val="20"/>
                <w:lang w:eastAsia="lv-LV"/>
              </w:rPr>
              <w:t>euro</w:t>
            </w:r>
            <w:proofErr w:type="spellEnd"/>
            <w:r w:rsidRPr="003C3685">
              <w:rPr>
                <w:rFonts w:eastAsia="Times New Roman" w:cs="Times New Roman"/>
                <w:color w:val="000000"/>
                <w:sz w:val="20"/>
                <w:szCs w:val="20"/>
                <w:lang w:eastAsia="lv-LV"/>
              </w:rPr>
              <w:t>)</w:t>
            </w:r>
          </w:p>
        </w:tc>
        <w:tc>
          <w:tcPr>
            <w:tcW w:w="1151" w:type="dxa"/>
            <w:tcBorders>
              <w:top w:val="single" w:sz="4" w:space="0" w:color="auto"/>
              <w:left w:val="nil"/>
              <w:bottom w:val="single" w:sz="4" w:space="0" w:color="auto"/>
              <w:right w:val="single" w:sz="4" w:space="0" w:color="auto"/>
            </w:tcBorders>
            <w:shd w:val="clear" w:color="000000" w:fill="FFFFFF"/>
            <w:vAlign w:val="center"/>
            <w:hideMark/>
          </w:tcPr>
          <w:p w:rsidR="006247F6" w:rsidRPr="003C3685" w:rsidRDefault="006247F6" w:rsidP="00541DEF">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2014.gada 3 mēnešu izpildes izmaiņas (+,–)</w:t>
            </w:r>
            <w:r w:rsidR="00541DEF">
              <w:rPr>
                <w:rFonts w:eastAsia="Times New Roman" w:cs="Times New Roman"/>
                <w:color w:val="000000"/>
                <w:sz w:val="20"/>
                <w:szCs w:val="20"/>
                <w:lang w:eastAsia="lv-LV"/>
              </w:rPr>
              <w:t>/</w:t>
            </w:r>
            <w:r w:rsidRPr="003C3685">
              <w:rPr>
                <w:rFonts w:eastAsia="Times New Roman" w:cs="Times New Roman"/>
                <w:color w:val="000000"/>
                <w:sz w:val="20"/>
                <w:szCs w:val="20"/>
                <w:lang w:eastAsia="lv-LV"/>
              </w:rPr>
              <w:t xml:space="preserve"> 2013.gada 3 mēnešu izpildi</w:t>
            </w:r>
            <w:r w:rsidRPr="003C3685">
              <w:rPr>
                <w:rFonts w:eastAsia="Times New Roman" w:cs="Times New Roman"/>
                <w:color w:val="000000"/>
                <w:sz w:val="20"/>
                <w:szCs w:val="20"/>
                <w:lang w:eastAsia="lv-LV"/>
              </w:rPr>
              <w:br/>
              <w:t>(procentos)</w:t>
            </w:r>
          </w:p>
        </w:tc>
        <w:tc>
          <w:tcPr>
            <w:tcW w:w="1127" w:type="dxa"/>
            <w:tcBorders>
              <w:top w:val="single" w:sz="4" w:space="0" w:color="auto"/>
              <w:left w:val="nil"/>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2014.gada 3 mēnešu izpilde no 2014.gada 3 mēnešu plāna</w:t>
            </w:r>
            <w:r w:rsidRPr="003C3685">
              <w:rPr>
                <w:rFonts w:eastAsia="Times New Roman" w:cs="Times New Roman"/>
                <w:color w:val="000000"/>
                <w:sz w:val="20"/>
                <w:szCs w:val="20"/>
                <w:lang w:eastAsia="lv-LV"/>
              </w:rPr>
              <w:br/>
              <w:t>(procentos)</w:t>
            </w:r>
          </w:p>
        </w:tc>
      </w:tr>
      <w:tr w:rsidR="006247F6" w:rsidRPr="003C3685" w:rsidTr="00541DEF">
        <w:trPr>
          <w:trHeight w:val="528"/>
        </w:trPr>
        <w:tc>
          <w:tcPr>
            <w:tcW w:w="1980" w:type="dxa"/>
            <w:tcBorders>
              <w:top w:val="nil"/>
              <w:left w:val="single" w:sz="4" w:space="0" w:color="auto"/>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1</w:t>
            </w:r>
          </w:p>
        </w:tc>
        <w:tc>
          <w:tcPr>
            <w:tcW w:w="1044" w:type="dxa"/>
            <w:tcBorders>
              <w:top w:val="nil"/>
              <w:left w:val="nil"/>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2</w:t>
            </w:r>
          </w:p>
        </w:tc>
        <w:tc>
          <w:tcPr>
            <w:tcW w:w="1044" w:type="dxa"/>
            <w:tcBorders>
              <w:top w:val="nil"/>
              <w:left w:val="nil"/>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3</w:t>
            </w:r>
          </w:p>
        </w:tc>
        <w:tc>
          <w:tcPr>
            <w:tcW w:w="1044" w:type="dxa"/>
            <w:tcBorders>
              <w:top w:val="nil"/>
              <w:left w:val="nil"/>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4</w:t>
            </w:r>
          </w:p>
        </w:tc>
        <w:tc>
          <w:tcPr>
            <w:tcW w:w="1044" w:type="dxa"/>
            <w:tcBorders>
              <w:top w:val="nil"/>
              <w:left w:val="nil"/>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5 = 4-2</w:t>
            </w:r>
          </w:p>
        </w:tc>
        <w:tc>
          <w:tcPr>
            <w:tcW w:w="1044" w:type="dxa"/>
            <w:tcBorders>
              <w:top w:val="nil"/>
              <w:left w:val="nil"/>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6=4-3</w:t>
            </w:r>
          </w:p>
        </w:tc>
        <w:tc>
          <w:tcPr>
            <w:tcW w:w="1151" w:type="dxa"/>
            <w:tcBorders>
              <w:top w:val="nil"/>
              <w:left w:val="nil"/>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7=4/2*100-100</w:t>
            </w:r>
          </w:p>
        </w:tc>
        <w:tc>
          <w:tcPr>
            <w:tcW w:w="1127" w:type="dxa"/>
            <w:tcBorders>
              <w:top w:val="nil"/>
              <w:left w:val="nil"/>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8=4/3*100</w:t>
            </w:r>
          </w:p>
        </w:tc>
      </w:tr>
      <w:tr w:rsidR="006247F6" w:rsidRPr="003C3685" w:rsidTr="00541DEF">
        <w:trPr>
          <w:trHeight w:val="264"/>
        </w:trPr>
        <w:tc>
          <w:tcPr>
            <w:tcW w:w="1980" w:type="dxa"/>
            <w:tcBorders>
              <w:top w:val="nil"/>
              <w:left w:val="single" w:sz="4" w:space="0" w:color="auto"/>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left"/>
              <w:rPr>
                <w:rFonts w:eastAsia="Times New Roman" w:cs="Times New Roman"/>
                <w:b/>
                <w:bCs/>
                <w:color w:val="000000"/>
                <w:sz w:val="20"/>
                <w:szCs w:val="20"/>
                <w:lang w:eastAsia="lv-LV"/>
              </w:rPr>
            </w:pPr>
            <w:r w:rsidRPr="003C3685">
              <w:rPr>
                <w:rFonts w:eastAsia="Times New Roman" w:cs="Times New Roman"/>
                <w:b/>
                <w:bCs/>
                <w:color w:val="000000"/>
                <w:sz w:val="20"/>
                <w:szCs w:val="20"/>
                <w:lang w:eastAsia="lv-LV"/>
              </w:rPr>
              <w:t>Resursi izdevumu segšanai</w:t>
            </w:r>
          </w:p>
        </w:tc>
        <w:tc>
          <w:tcPr>
            <w:tcW w:w="1044" w:type="dxa"/>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b/>
                <w:bCs/>
                <w:sz w:val="20"/>
                <w:szCs w:val="20"/>
                <w:lang w:eastAsia="lv-LV"/>
              </w:rPr>
            </w:pPr>
            <w:r w:rsidRPr="003C3685">
              <w:rPr>
                <w:rFonts w:eastAsia="Times New Roman" w:cs="Times New Roman"/>
                <w:b/>
                <w:bCs/>
                <w:sz w:val="20"/>
                <w:szCs w:val="20"/>
                <w:lang w:eastAsia="lv-LV"/>
              </w:rPr>
              <w:t>1 154 489</w:t>
            </w:r>
          </w:p>
        </w:tc>
        <w:tc>
          <w:tcPr>
            <w:tcW w:w="1044" w:type="dxa"/>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b/>
                <w:bCs/>
                <w:sz w:val="20"/>
                <w:szCs w:val="20"/>
                <w:lang w:eastAsia="lv-LV"/>
              </w:rPr>
            </w:pPr>
            <w:r w:rsidRPr="003C3685">
              <w:rPr>
                <w:rFonts w:eastAsia="Times New Roman" w:cs="Times New Roman"/>
                <w:b/>
                <w:bCs/>
                <w:sz w:val="20"/>
                <w:szCs w:val="20"/>
                <w:lang w:eastAsia="lv-LV"/>
              </w:rPr>
              <w:t>1 305 574</w:t>
            </w:r>
          </w:p>
        </w:tc>
        <w:tc>
          <w:tcPr>
            <w:tcW w:w="1044" w:type="dxa"/>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b/>
                <w:bCs/>
                <w:sz w:val="20"/>
                <w:szCs w:val="20"/>
                <w:lang w:eastAsia="lv-LV"/>
              </w:rPr>
            </w:pPr>
            <w:r w:rsidRPr="003C3685">
              <w:rPr>
                <w:rFonts w:eastAsia="Times New Roman" w:cs="Times New Roman"/>
                <w:b/>
                <w:bCs/>
                <w:sz w:val="20"/>
                <w:szCs w:val="20"/>
                <w:lang w:eastAsia="lv-LV"/>
              </w:rPr>
              <w:t>1 306 436</w:t>
            </w:r>
          </w:p>
        </w:tc>
        <w:tc>
          <w:tcPr>
            <w:tcW w:w="1044" w:type="dxa"/>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b/>
                <w:bCs/>
                <w:color w:val="000000"/>
                <w:sz w:val="20"/>
                <w:szCs w:val="20"/>
                <w:lang w:eastAsia="lv-LV"/>
              </w:rPr>
            </w:pPr>
            <w:r w:rsidRPr="003C3685">
              <w:rPr>
                <w:rFonts w:eastAsia="Times New Roman" w:cs="Times New Roman"/>
                <w:b/>
                <w:bCs/>
                <w:color w:val="000000"/>
                <w:sz w:val="20"/>
                <w:szCs w:val="20"/>
                <w:lang w:eastAsia="lv-LV"/>
              </w:rPr>
              <w:t>151 947</w:t>
            </w:r>
          </w:p>
        </w:tc>
        <w:tc>
          <w:tcPr>
            <w:tcW w:w="1044" w:type="dxa"/>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b/>
                <w:bCs/>
                <w:color w:val="000000"/>
                <w:sz w:val="20"/>
                <w:szCs w:val="20"/>
                <w:lang w:eastAsia="lv-LV"/>
              </w:rPr>
            </w:pPr>
            <w:r w:rsidRPr="003C3685">
              <w:rPr>
                <w:rFonts w:eastAsia="Times New Roman" w:cs="Times New Roman"/>
                <w:b/>
                <w:bCs/>
                <w:color w:val="000000"/>
                <w:sz w:val="20"/>
                <w:szCs w:val="20"/>
                <w:lang w:eastAsia="lv-LV"/>
              </w:rPr>
              <w:t>862</w:t>
            </w:r>
          </w:p>
        </w:tc>
        <w:tc>
          <w:tcPr>
            <w:tcW w:w="1151" w:type="dxa"/>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b/>
                <w:bCs/>
                <w:color w:val="000000"/>
                <w:sz w:val="20"/>
                <w:szCs w:val="20"/>
                <w:lang w:eastAsia="lv-LV"/>
              </w:rPr>
            </w:pPr>
            <w:r w:rsidRPr="003C3685">
              <w:rPr>
                <w:rFonts w:eastAsia="Times New Roman" w:cs="Times New Roman"/>
                <w:b/>
                <w:bCs/>
                <w:color w:val="000000"/>
                <w:sz w:val="20"/>
                <w:szCs w:val="20"/>
                <w:lang w:eastAsia="lv-LV"/>
              </w:rPr>
              <w:t>13,2</w:t>
            </w:r>
          </w:p>
        </w:tc>
        <w:tc>
          <w:tcPr>
            <w:tcW w:w="1127" w:type="dxa"/>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b/>
                <w:bCs/>
                <w:color w:val="000000"/>
                <w:sz w:val="20"/>
                <w:szCs w:val="20"/>
                <w:lang w:eastAsia="lv-LV"/>
              </w:rPr>
            </w:pPr>
            <w:r w:rsidRPr="003C3685">
              <w:rPr>
                <w:rFonts w:eastAsia="Times New Roman" w:cs="Times New Roman"/>
                <w:b/>
                <w:bCs/>
                <w:color w:val="000000"/>
                <w:sz w:val="20"/>
                <w:szCs w:val="20"/>
                <w:lang w:eastAsia="lv-LV"/>
              </w:rPr>
              <w:t>100,1</w:t>
            </w:r>
          </w:p>
        </w:tc>
      </w:tr>
      <w:tr w:rsidR="006247F6" w:rsidRPr="003C3685" w:rsidTr="00541DEF">
        <w:trPr>
          <w:trHeight w:val="792"/>
        </w:trPr>
        <w:tc>
          <w:tcPr>
            <w:tcW w:w="1980" w:type="dxa"/>
            <w:tcBorders>
              <w:top w:val="nil"/>
              <w:left w:val="single" w:sz="4" w:space="0" w:color="auto"/>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left"/>
              <w:rPr>
                <w:rFonts w:eastAsia="Times New Roman" w:cs="Times New Roman"/>
                <w:color w:val="000000"/>
                <w:sz w:val="20"/>
                <w:szCs w:val="20"/>
                <w:lang w:eastAsia="lv-LV"/>
              </w:rPr>
            </w:pPr>
            <w:r w:rsidRPr="003C3685">
              <w:rPr>
                <w:rFonts w:eastAsia="Times New Roman" w:cs="Times New Roman"/>
                <w:color w:val="000000"/>
                <w:sz w:val="20"/>
                <w:szCs w:val="20"/>
                <w:lang w:eastAsia="lv-LV"/>
              </w:rPr>
              <w:t>Ieņēmumi no maksas pakalpojumiem un citi pašu ieņēmumi</w:t>
            </w:r>
          </w:p>
        </w:tc>
        <w:tc>
          <w:tcPr>
            <w:tcW w:w="1044" w:type="dxa"/>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sz w:val="20"/>
                <w:szCs w:val="20"/>
                <w:lang w:eastAsia="lv-LV"/>
              </w:rPr>
            </w:pPr>
            <w:r w:rsidRPr="003C3685">
              <w:rPr>
                <w:rFonts w:eastAsia="Times New Roman" w:cs="Times New Roman"/>
                <w:sz w:val="20"/>
                <w:szCs w:val="20"/>
                <w:lang w:eastAsia="lv-LV"/>
              </w:rPr>
              <w:t>21</w:t>
            </w:r>
            <w:r>
              <w:rPr>
                <w:rFonts w:eastAsia="Times New Roman" w:cs="Times New Roman"/>
                <w:sz w:val="20"/>
                <w:szCs w:val="20"/>
                <w:lang w:eastAsia="lv-LV"/>
              </w:rPr>
              <w:t> </w:t>
            </w:r>
            <w:r w:rsidRPr="003C3685">
              <w:rPr>
                <w:rFonts w:eastAsia="Times New Roman" w:cs="Times New Roman"/>
                <w:sz w:val="20"/>
                <w:szCs w:val="20"/>
                <w:lang w:eastAsia="lv-LV"/>
              </w:rPr>
              <w:t>211</w:t>
            </w:r>
          </w:p>
        </w:tc>
        <w:tc>
          <w:tcPr>
            <w:tcW w:w="1044" w:type="dxa"/>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sz w:val="20"/>
                <w:szCs w:val="20"/>
                <w:lang w:eastAsia="lv-LV"/>
              </w:rPr>
            </w:pPr>
            <w:r w:rsidRPr="003C3685">
              <w:rPr>
                <w:rFonts w:eastAsia="Times New Roman" w:cs="Times New Roman"/>
                <w:sz w:val="20"/>
                <w:szCs w:val="20"/>
                <w:lang w:eastAsia="lv-LV"/>
              </w:rPr>
              <w:t>17 384</w:t>
            </w:r>
          </w:p>
        </w:tc>
        <w:tc>
          <w:tcPr>
            <w:tcW w:w="1044" w:type="dxa"/>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sz w:val="20"/>
                <w:szCs w:val="20"/>
                <w:lang w:eastAsia="lv-LV"/>
              </w:rPr>
            </w:pPr>
            <w:r w:rsidRPr="003C3685">
              <w:rPr>
                <w:rFonts w:eastAsia="Times New Roman" w:cs="Times New Roman"/>
                <w:sz w:val="20"/>
                <w:szCs w:val="20"/>
                <w:lang w:eastAsia="lv-LV"/>
              </w:rPr>
              <w:t>18 062</w:t>
            </w:r>
          </w:p>
        </w:tc>
        <w:tc>
          <w:tcPr>
            <w:tcW w:w="1044" w:type="dxa"/>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-3 149</w:t>
            </w:r>
          </w:p>
        </w:tc>
        <w:tc>
          <w:tcPr>
            <w:tcW w:w="1044" w:type="dxa"/>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678</w:t>
            </w:r>
          </w:p>
        </w:tc>
        <w:tc>
          <w:tcPr>
            <w:tcW w:w="1151" w:type="dxa"/>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-14,8</w:t>
            </w:r>
          </w:p>
        </w:tc>
        <w:tc>
          <w:tcPr>
            <w:tcW w:w="1127" w:type="dxa"/>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103,9</w:t>
            </w:r>
          </w:p>
        </w:tc>
      </w:tr>
      <w:tr w:rsidR="006247F6" w:rsidRPr="003C3685" w:rsidTr="00541DEF">
        <w:trPr>
          <w:trHeight w:val="528"/>
        </w:trPr>
        <w:tc>
          <w:tcPr>
            <w:tcW w:w="1980" w:type="dxa"/>
            <w:tcBorders>
              <w:top w:val="nil"/>
              <w:left w:val="single" w:sz="4" w:space="0" w:color="auto"/>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left"/>
              <w:rPr>
                <w:rFonts w:eastAsia="Times New Roman" w:cs="Times New Roman"/>
                <w:color w:val="000000"/>
                <w:sz w:val="20"/>
                <w:szCs w:val="20"/>
                <w:lang w:eastAsia="lv-LV"/>
              </w:rPr>
            </w:pPr>
            <w:r w:rsidRPr="003C3685">
              <w:rPr>
                <w:rFonts w:eastAsia="Times New Roman" w:cs="Times New Roman"/>
                <w:color w:val="000000"/>
                <w:sz w:val="20"/>
                <w:szCs w:val="20"/>
                <w:lang w:eastAsia="lv-LV"/>
              </w:rPr>
              <w:t>Ārvalstu finanšu palīdzība iestādes ieņēmumos</w:t>
            </w:r>
          </w:p>
        </w:tc>
        <w:tc>
          <w:tcPr>
            <w:tcW w:w="1044" w:type="dxa"/>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sz w:val="20"/>
                <w:szCs w:val="20"/>
                <w:lang w:eastAsia="lv-LV"/>
              </w:rPr>
            </w:pPr>
            <w:r w:rsidRPr="003C3685">
              <w:rPr>
                <w:rFonts w:eastAsia="Times New Roman" w:cs="Times New Roman"/>
                <w:sz w:val="20"/>
                <w:szCs w:val="20"/>
                <w:lang w:eastAsia="lv-LV"/>
              </w:rPr>
              <w:t>7 632</w:t>
            </w:r>
          </w:p>
        </w:tc>
        <w:tc>
          <w:tcPr>
            <w:tcW w:w="1044" w:type="dxa"/>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sz w:val="20"/>
                <w:szCs w:val="20"/>
                <w:lang w:eastAsia="lv-LV"/>
              </w:rPr>
            </w:pPr>
            <w:r w:rsidRPr="003C3685">
              <w:rPr>
                <w:rFonts w:eastAsia="Times New Roman" w:cs="Times New Roman"/>
                <w:sz w:val="20"/>
                <w:szCs w:val="20"/>
                <w:lang w:eastAsia="lv-LV"/>
              </w:rPr>
              <w:t>2 187</w:t>
            </w:r>
          </w:p>
        </w:tc>
        <w:tc>
          <w:tcPr>
            <w:tcW w:w="1044" w:type="dxa"/>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sz w:val="20"/>
                <w:szCs w:val="20"/>
                <w:lang w:eastAsia="lv-LV"/>
              </w:rPr>
            </w:pPr>
            <w:r w:rsidRPr="003C3685">
              <w:rPr>
                <w:rFonts w:eastAsia="Times New Roman" w:cs="Times New Roman"/>
                <w:sz w:val="20"/>
                <w:szCs w:val="20"/>
                <w:lang w:eastAsia="lv-LV"/>
              </w:rPr>
              <w:t>2 270</w:t>
            </w:r>
          </w:p>
        </w:tc>
        <w:tc>
          <w:tcPr>
            <w:tcW w:w="1044" w:type="dxa"/>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-5 362</w:t>
            </w:r>
          </w:p>
        </w:tc>
        <w:tc>
          <w:tcPr>
            <w:tcW w:w="1044" w:type="dxa"/>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83</w:t>
            </w:r>
          </w:p>
        </w:tc>
        <w:tc>
          <w:tcPr>
            <w:tcW w:w="1151" w:type="dxa"/>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-70,3</w:t>
            </w:r>
          </w:p>
        </w:tc>
        <w:tc>
          <w:tcPr>
            <w:tcW w:w="1127" w:type="dxa"/>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103,8</w:t>
            </w:r>
          </w:p>
        </w:tc>
      </w:tr>
      <w:tr w:rsidR="006247F6" w:rsidRPr="003C3685" w:rsidTr="00541DEF">
        <w:trPr>
          <w:trHeight w:val="264"/>
        </w:trPr>
        <w:tc>
          <w:tcPr>
            <w:tcW w:w="1980" w:type="dxa"/>
            <w:tcBorders>
              <w:top w:val="nil"/>
              <w:left w:val="single" w:sz="4" w:space="0" w:color="auto"/>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left"/>
              <w:rPr>
                <w:rFonts w:eastAsia="Times New Roman" w:cs="Times New Roman"/>
                <w:color w:val="000000"/>
                <w:sz w:val="20"/>
                <w:szCs w:val="20"/>
                <w:lang w:eastAsia="lv-LV"/>
              </w:rPr>
            </w:pPr>
            <w:proofErr w:type="spellStart"/>
            <w:r w:rsidRPr="003C3685">
              <w:rPr>
                <w:rFonts w:eastAsia="Times New Roman" w:cs="Times New Roman"/>
                <w:color w:val="000000"/>
                <w:sz w:val="20"/>
                <w:szCs w:val="20"/>
                <w:lang w:eastAsia="lv-LV"/>
              </w:rPr>
              <w:t>Transferti</w:t>
            </w:r>
            <w:proofErr w:type="spellEnd"/>
          </w:p>
        </w:tc>
        <w:tc>
          <w:tcPr>
            <w:tcW w:w="1044" w:type="dxa"/>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sz w:val="20"/>
                <w:szCs w:val="20"/>
                <w:lang w:eastAsia="lv-LV"/>
              </w:rPr>
            </w:pPr>
            <w:r w:rsidRPr="003C3685">
              <w:rPr>
                <w:rFonts w:eastAsia="Times New Roman" w:cs="Times New Roman"/>
                <w:sz w:val="20"/>
                <w:szCs w:val="20"/>
                <w:lang w:eastAsia="lv-LV"/>
              </w:rPr>
              <w:t>750</w:t>
            </w:r>
          </w:p>
        </w:tc>
        <w:tc>
          <w:tcPr>
            <w:tcW w:w="1044" w:type="dxa"/>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sz w:val="20"/>
                <w:szCs w:val="20"/>
                <w:lang w:eastAsia="lv-LV"/>
              </w:rPr>
            </w:pPr>
            <w:r w:rsidRPr="003C3685">
              <w:rPr>
                <w:rFonts w:eastAsia="Times New Roman" w:cs="Times New Roman"/>
                <w:sz w:val="20"/>
                <w:szCs w:val="20"/>
                <w:lang w:eastAsia="lv-LV"/>
              </w:rPr>
              <w:t>1 502</w:t>
            </w:r>
          </w:p>
        </w:tc>
        <w:tc>
          <w:tcPr>
            <w:tcW w:w="1044" w:type="dxa"/>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sz w:val="20"/>
                <w:szCs w:val="20"/>
                <w:lang w:eastAsia="lv-LV"/>
              </w:rPr>
            </w:pPr>
            <w:r w:rsidRPr="003C3685">
              <w:rPr>
                <w:rFonts w:eastAsia="Times New Roman" w:cs="Times New Roman"/>
                <w:sz w:val="20"/>
                <w:szCs w:val="20"/>
                <w:lang w:eastAsia="lv-LV"/>
              </w:rPr>
              <w:t>1 604</w:t>
            </w:r>
          </w:p>
        </w:tc>
        <w:tc>
          <w:tcPr>
            <w:tcW w:w="1044" w:type="dxa"/>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854</w:t>
            </w:r>
          </w:p>
        </w:tc>
        <w:tc>
          <w:tcPr>
            <w:tcW w:w="1044" w:type="dxa"/>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102</w:t>
            </w:r>
          </w:p>
        </w:tc>
        <w:tc>
          <w:tcPr>
            <w:tcW w:w="1151" w:type="dxa"/>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114,0</w:t>
            </w:r>
          </w:p>
        </w:tc>
        <w:tc>
          <w:tcPr>
            <w:tcW w:w="1127" w:type="dxa"/>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106,8</w:t>
            </w:r>
          </w:p>
        </w:tc>
      </w:tr>
      <w:tr w:rsidR="006247F6" w:rsidRPr="003C3685" w:rsidTr="00541DEF">
        <w:trPr>
          <w:trHeight w:val="528"/>
        </w:trPr>
        <w:tc>
          <w:tcPr>
            <w:tcW w:w="1980" w:type="dxa"/>
            <w:tcBorders>
              <w:top w:val="nil"/>
              <w:left w:val="single" w:sz="4" w:space="0" w:color="auto"/>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left"/>
              <w:rPr>
                <w:rFonts w:eastAsia="Times New Roman" w:cs="Times New Roman"/>
                <w:color w:val="000000"/>
                <w:sz w:val="20"/>
                <w:szCs w:val="20"/>
                <w:lang w:eastAsia="lv-LV"/>
              </w:rPr>
            </w:pPr>
            <w:r w:rsidRPr="003C3685">
              <w:rPr>
                <w:rFonts w:eastAsia="Times New Roman" w:cs="Times New Roman"/>
                <w:color w:val="000000"/>
                <w:sz w:val="20"/>
                <w:szCs w:val="20"/>
                <w:lang w:eastAsia="lv-LV"/>
              </w:rPr>
              <w:t>Dotācija no vispārējiem ieņēmumiem</w:t>
            </w:r>
          </w:p>
        </w:tc>
        <w:tc>
          <w:tcPr>
            <w:tcW w:w="1044" w:type="dxa"/>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sz w:val="20"/>
                <w:szCs w:val="20"/>
                <w:lang w:eastAsia="lv-LV"/>
              </w:rPr>
            </w:pPr>
            <w:r w:rsidRPr="003C3685">
              <w:rPr>
                <w:rFonts w:eastAsia="Times New Roman" w:cs="Times New Roman"/>
                <w:sz w:val="20"/>
                <w:szCs w:val="20"/>
                <w:lang w:eastAsia="lv-LV"/>
              </w:rPr>
              <w:t>1 124 896</w:t>
            </w:r>
          </w:p>
        </w:tc>
        <w:tc>
          <w:tcPr>
            <w:tcW w:w="1044" w:type="dxa"/>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sz w:val="20"/>
                <w:szCs w:val="20"/>
                <w:lang w:eastAsia="lv-LV"/>
              </w:rPr>
            </w:pPr>
            <w:r w:rsidRPr="003C3685">
              <w:rPr>
                <w:rFonts w:eastAsia="Times New Roman" w:cs="Times New Roman"/>
                <w:sz w:val="20"/>
                <w:szCs w:val="20"/>
                <w:lang w:eastAsia="lv-LV"/>
              </w:rPr>
              <w:t>1 284 500</w:t>
            </w:r>
          </w:p>
        </w:tc>
        <w:tc>
          <w:tcPr>
            <w:tcW w:w="1044" w:type="dxa"/>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sz w:val="20"/>
                <w:szCs w:val="20"/>
                <w:lang w:eastAsia="lv-LV"/>
              </w:rPr>
            </w:pPr>
            <w:r w:rsidRPr="003C3685">
              <w:rPr>
                <w:rFonts w:eastAsia="Times New Roman" w:cs="Times New Roman"/>
                <w:sz w:val="20"/>
                <w:szCs w:val="20"/>
                <w:lang w:eastAsia="lv-LV"/>
              </w:rPr>
              <w:t>1 284 500</w:t>
            </w:r>
          </w:p>
        </w:tc>
        <w:tc>
          <w:tcPr>
            <w:tcW w:w="1044" w:type="dxa"/>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159 604</w:t>
            </w:r>
          </w:p>
        </w:tc>
        <w:tc>
          <w:tcPr>
            <w:tcW w:w="1044" w:type="dxa"/>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0</w:t>
            </w:r>
          </w:p>
        </w:tc>
        <w:tc>
          <w:tcPr>
            <w:tcW w:w="1151" w:type="dxa"/>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14,2</w:t>
            </w:r>
          </w:p>
        </w:tc>
        <w:tc>
          <w:tcPr>
            <w:tcW w:w="1127" w:type="dxa"/>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100,0</w:t>
            </w:r>
          </w:p>
        </w:tc>
      </w:tr>
      <w:tr w:rsidR="006247F6" w:rsidRPr="003C3685" w:rsidTr="00541DEF">
        <w:trPr>
          <w:trHeight w:val="264"/>
        </w:trPr>
        <w:tc>
          <w:tcPr>
            <w:tcW w:w="1980" w:type="dxa"/>
            <w:tcBorders>
              <w:top w:val="nil"/>
              <w:left w:val="single" w:sz="4" w:space="0" w:color="auto"/>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left"/>
              <w:rPr>
                <w:rFonts w:eastAsia="Times New Roman" w:cs="Times New Roman"/>
                <w:b/>
                <w:bCs/>
                <w:color w:val="000000"/>
                <w:sz w:val="20"/>
                <w:szCs w:val="20"/>
                <w:lang w:eastAsia="lv-LV"/>
              </w:rPr>
            </w:pPr>
            <w:r w:rsidRPr="003C3685">
              <w:rPr>
                <w:rFonts w:eastAsia="Times New Roman" w:cs="Times New Roman"/>
                <w:b/>
                <w:bCs/>
                <w:color w:val="000000"/>
                <w:sz w:val="20"/>
                <w:szCs w:val="20"/>
                <w:lang w:eastAsia="lv-LV"/>
              </w:rPr>
              <w:t>Izdevumi – kopā</w:t>
            </w:r>
          </w:p>
        </w:tc>
        <w:tc>
          <w:tcPr>
            <w:tcW w:w="1044" w:type="dxa"/>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b/>
                <w:bCs/>
                <w:sz w:val="20"/>
                <w:szCs w:val="20"/>
                <w:lang w:eastAsia="lv-LV"/>
              </w:rPr>
            </w:pPr>
            <w:r w:rsidRPr="003C3685">
              <w:rPr>
                <w:rFonts w:eastAsia="Times New Roman" w:cs="Times New Roman"/>
                <w:b/>
                <w:bCs/>
                <w:sz w:val="20"/>
                <w:szCs w:val="20"/>
                <w:lang w:eastAsia="lv-LV"/>
              </w:rPr>
              <w:t>1 124 519</w:t>
            </w:r>
          </w:p>
        </w:tc>
        <w:tc>
          <w:tcPr>
            <w:tcW w:w="1044" w:type="dxa"/>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b/>
                <w:bCs/>
                <w:sz w:val="20"/>
                <w:szCs w:val="20"/>
                <w:lang w:eastAsia="lv-LV"/>
              </w:rPr>
            </w:pPr>
            <w:r w:rsidRPr="003C3685">
              <w:rPr>
                <w:rFonts w:eastAsia="Times New Roman" w:cs="Times New Roman"/>
                <w:b/>
                <w:bCs/>
                <w:sz w:val="20"/>
                <w:szCs w:val="20"/>
                <w:lang w:eastAsia="lv-LV"/>
              </w:rPr>
              <w:t>1 269 210</w:t>
            </w:r>
          </w:p>
        </w:tc>
        <w:tc>
          <w:tcPr>
            <w:tcW w:w="1044" w:type="dxa"/>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b/>
                <w:bCs/>
                <w:sz w:val="20"/>
                <w:szCs w:val="20"/>
                <w:lang w:eastAsia="lv-LV"/>
              </w:rPr>
            </w:pPr>
            <w:r w:rsidRPr="003C3685">
              <w:rPr>
                <w:rFonts w:eastAsia="Times New Roman" w:cs="Times New Roman"/>
                <w:b/>
                <w:bCs/>
                <w:sz w:val="20"/>
                <w:szCs w:val="20"/>
                <w:lang w:eastAsia="lv-LV"/>
              </w:rPr>
              <w:t>1 232 361</w:t>
            </w:r>
          </w:p>
        </w:tc>
        <w:tc>
          <w:tcPr>
            <w:tcW w:w="1044" w:type="dxa"/>
            <w:tcBorders>
              <w:top w:val="nil"/>
              <w:left w:val="nil"/>
              <w:bottom w:val="single" w:sz="4" w:space="0" w:color="auto"/>
              <w:right w:val="single" w:sz="4" w:space="0" w:color="auto"/>
            </w:tcBorders>
            <w:shd w:val="clear" w:color="auto" w:fill="auto"/>
            <w:vAlign w:val="bottom"/>
            <w:hideMark/>
          </w:tcPr>
          <w:p w:rsidR="006247F6" w:rsidRPr="003C3685" w:rsidRDefault="006247F6" w:rsidP="005C7D14">
            <w:pPr>
              <w:spacing w:after="0"/>
              <w:ind w:firstLine="0"/>
              <w:jc w:val="right"/>
              <w:rPr>
                <w:rFonts w:eastAsia="Times New Roman" w:cs="Times New Roman"/>
                <w:b/>
                <w:bCs/>
                <w:color w:val="000000"/>
                <w:sz w:val="20"/>
                <w:szCs w:val="20"/>
                <w:lang w:eastAsia="lv-LV"/>
              </w:rPr>
            </w:pPr>
            <w:r w:rsidRPr="003C3685">
              <w:rPr>
                <w:rFonts w:eastAsia="Times New Roman" w:cs="Times New Roman"/>
                <w:b/>
                <w:bCs/>
                <w:color w:val="000000"/>
                <w:sz w:val="20"/>
                <w:szCs w:val="20"/>
                <w:lang w:eastAsia="lv-LV"/>
              </w:rPr>
              <w:t>107 842</w:t>
            </w:r>
          </w:p>
        </w:tc>
        <w:tc>
          <w:tcPr>
            <w:tcW w:w="1044" w:type="dxa"/>
            <w:tcBorders>
              <w:top w:val="nil"/>
              <w:left w:val="nil"/>
              <w:bottom w:val="single" w:sz="4" w:space="0" w:color="auto"/>
              <w:right w:val="single" w:sz="4" w:space="0" w:color="auto"/>
            </w:tcBorders>
            <w:shd w:val="clear" w:color="auto" w:fill="auto"/>
            <w:vAlign w:val="bottom"/>
            <w:hideMark/>
          </w:tcPr>
          <w:p w:rsidR="006247F6" w:rsidRPr="003C3685" w:rsidRDefault="006247F6" w:rsidP="005C7D14">
            <w:pPr>
              <w:spacing w:after="0"/>
              <w:ind w:firstLine="0"/>
              <w:jc w:val="right"/>
              <w:rPr>
                <w:rFonts w:eastAsia="Times New Roman" w:cs="Times New Roman"/>
                <w:b/>
                <w:bCs/>
                <w:color w:val="000000"/>
                <w:sz w:val="20"/>
                <w:szCs w:val="20"/>
                <w:lang w:eastAsia="lv-LV"/>
              </w:rPr>
            </w:pPr>
            <w:r w:rsidRPr="003C3685">
              <w:rPr>
                <w:rFonts w:eastAsia="Times New Roman" w:cs="Times New Roman"/>
                <w:b/>
                <w:bCs/>
                <w:color w:val="000000"/>
                <w:sz w:val="20"/>
                <w:szCs w:val="20"/>
                <w:lang w:eastAsia="lv-LV"/>
              </w:rPr>
              <w:t>-36 849</w:t>
            </w:r>
          </w:p>
        </w:tc>
        <w:tc>
          <w:tcPr>
            <w:tcW w:w="1151" w:type="dxa"/>
            <w:tcBorders>
              <w:top w:val="nil"/>
              <w:left w:val="nil"/>
              <w:bottom w:val="single" w:sz="4" w:space="0" w:color="auto"/>
              <w:right w:val="single" w:sz="4" w:space="0" w:color="auto"/>
            </w:tcBorders>
            <w:shd w:val="clear" w:color="auto" w:fill="auto"/>
            <w:vAlign w:val="bottom"/>
            <w:hideMark/>
          </w:tcPr>
          <w:p w:rsidR="006247F6" w:rsidRPr="003C3685" w:rsidRDefault="006247F6" w:rsidP="005C7D14">
            <w:pPr>
              <w:spacing w:after="0"/>
              <w:ind w:firstLine="0"/>
              <w:jc w:val="right"/>
              <w:rPr>
                <w:rFonts w:eastAsia="Times New Roman" w:cs="Times New Roman"/>
                <w:b/>
                <w:bCs/>
                <w:color w:val="000000"/>
                <w:sz w:val="20"/>
                <w:szCs w:val="20"/>
                <w:lang w:eastAsia="lv-LV"/>
              </w:rPr>
            </w:pPr>
            <w:r w:rsidRPr="003C3685">
              <w:rPr>
                <w:rFonts w:eastAsia="Times New Roman" w:cs="Times New Roman"/>
                <w:b/>
                <w:bCs/>
                <w:color w:val="000000"/>
                <w:sz w:val="20"/>
                <w:szCs w:val="20"/>
                <w:lang w:eastAsia="lv-LV"/>
              </w:rPr>
              <w:t>9,6</w:t>
            </w:r>
          </w:p>
        </w:tc>
        <w:tc>
          <w:tcPr>
            <w:tcW w:w="1127" w:type="dxa"/>
            <w:tcBorders>
              <w:top w:val="nil"/>
              <w:left w:val="nil"/>
              <w:bottom w:val="single" w:sz="4" w:space="0" w:color="auto"/>
              <w:right w:val="single" w:sz="4" w:space="0" w:color="auto"/>
            </w:tcBorders>
            <w:shd w:val="clear" w:color="auto" w:fill="auto"/>
            <w:vAlign w:val="bottom"/>
            <w:hideMark/>
          </w:tcPr>
          <w:p w:rsidR="006247F6" w:rsidRPr="003C3685" w:rsidRDefault="006247F6" w:rsidP="005C7D14">
            <w:pPr>
              <w:spacing w:after="0"/>
              <w:ind w:firstLine="0"/>
              <w:jc w:val="right"/>
              <w:rPr>
                <w:rFonts w:eastAsia="Times New Roman" w:cs="Times New Roman"/>
                <w:b/>
                <w:bCs/>
                <w:color w:val="000000"/>
                <w:sz w:val="20"/>
                <w:szCs w:val="20"/>
                <w:lang w:eastAsia="lv-LV"/>
              </w:rPr>
            </w:pPr>
            <w:r w:rsidRPr="003C3685">
              <w:rPr>
                <w:rFonts w:eastAsia="Times New Roman" w:cs="Times New Roman"/>
                <w:b/>
                <w:bCs/>
                <w:color w:val="000000"/>
                <w:sz w:val="20"/>
                <w:szCs w:val="20"/>
                <w:lang w:eastAsia="lv-LV"/>
              </w:rPr>
              <w:t>97,1</w:t>
            </w:r>
          </w:p>
        </w:tc>
      </w:tr>
      <w:tr w:rsidR="006247F6" w:rsidRPr="003C3685" w:rsidTr="00541DEF">
        <w:trPr>
          <w:trHeight w:val="264"/>
        </w:trPr>
        <w:tc>
          <w:tcPr>
            <w:tcW w:w="1980" w:type="dxa"/>
            <w:tcBorders>
              <w:top w:val="nil"/>
              <w:left w:val="single" w:sz="4" w:space="0" w:color="auto"/>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left"/>
              <w:rPr>
                <w:rFonts w:eastAsia="Times New Roman" w:cs="Times New Roman"/>
                <w:color w:val="000000"/>
                <w:sz w:val="20"/>
                <w:szCs w:val="20"/>
                <w:lang w:eastAsia="lv-LV"/>
              </w:rPr>
            </w:pPr>
            <w:r w:rsidRPr="003C3685">
              <w:rPr>
                <w:rFonts w:eastAsia="Times New Roman" w:cs="Times New Roman"/>
                <w:color w:val="000000"/>
                <w:sz w:val="20"/>
                <w:szCs w:val="20"/>
                <w:lang w:eastAsia="lv-LV"/>
              </w:rPr>
              <w:t>Atlīdzība</w:t>
            </w:r>
          </w:p>
        </w:tc>
        <w:tc>
          <w:tcPr>
            <w:tcW w:w="1044" w:type="dxa"/>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sz w:val="20"/>
                <w:szCs w:val="20"/>
                <w:lang w:eastAsia="lv-LV"/>
              </w:rPr>
            </w:pPr>
            <w:r w:rsidRPr="003C3685">
              <w:rPr>
                <w:rFonts w:eastAsia="Times New Roman" w:cs="Times New Roman"/>
                <w:sz w:val="20"/>
                <w:szCs w:val="20"/>
                <w:lang w:eastAsia="lv-LV"/>
              </w:rPr>
              <w:t>154 563</w:t>
            </w:r>
          </w:p>
        </w:tc>
        <w:tc>
          <w:tcPr>
            <w:tcW w:w="1044" w:type="dxa"/>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sz w:val="20"/>
                <w:szCs w:val="20"/>
                <w:lang w:eastAsia="lv-LV"/>
              </w:rPr>
            </w:pPr>
            <w:r w:rsidRPr="003C3685">
              <w:rPr>
                <w:rFonts w:eastAsia="Times New Roman" w:cs="Times New Roman"/>
                <w:sz w:val="20"/>
                <w:szCs w:val="20"/>
                <w:lang w:eastAsia="lv-LV"/>
              </w:rPr>
              <w:t>179 694</w:t>
            </w:r>
          </w:p>
        </w:tc>
        <w:tc>
          <w:tcPr>
            <w:tcW w:w="1044" w:type="dxa"/>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sz w:val="20"/>
                <w:szCs w:val="20"/>
                <w:lang w:eastAsia="lv-LV"/>
              </w:rPr>
            </w:pPr>
            <w:r w:rsidRPr="003C3685">
              <w:rPr>
                <w:rFonts w:eastAsia="Times New Roman" w:cs="Times New Roman"/>
                <w:sz w:val="20"/>
                <w:szCs w:val="20"/>
                <w:lang w:eastAsia="lv-LV"/>
              </w:rPr>
              <w:t>173 872</w:t>
            </w:r>
          </w:p>
        </w:tc>
        <w:tc>
          <w:tcPr>
            <w:tcW w:w="1044" w:type="dxa"/>
            <w:tcBorders>
              <w:top w:val="nil"/>
              <w:left w:val="nil"/>
              <w:bottom w:val="single" w:sz="4" w:space="0" w:color="auto"/>
              <w:right w:val="single" w:sz="4" w:space="0" w:color="auto"/>
            </w:tcBorders>
            <w:shd w:val="clear" w:color="auto" w:fill="auto"/>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19 308</w:t>
            </w:r>
          </w:p>
        </w:tc>
        <w:tc>
          <w:tcPr>
            <w:tcW w:w="1044" w:type="dxa"/>
            <w:tcBorders>
              <w:top w:val="nil"/>
              <w:left w:val="nil"/>
              <w:bottom w:val="single" w:sz="4" w:space="0" w:color="auto"/>
              <w:right w:val="single" w:sz="4" w:space="0" w:color="auto"/>
            </w:tcBorders>
            <w:shd w:val="clear" w:color="auto" w:fill="auto"/>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-5 823</w:t>
            </w:r>
          </w:p>
        </w:tc>
        <w:tc>
          <w:tcPr>
            <w:tcW w:w="1151" w:type="dxa"/>
            <w:tcBorders>
              <w:top w:val="nil"/>
              <w:left w:val="nil"/>
              <w:bottom w:val="single" w:sz="4" w:space="0" w:color="auto"/>
              <w:right w:val="single" w:sz="4" w:space="0" w:color="auto"/>
            </w:tcBorders>
            <w:shd w:val="clear" w:color="auto" w:fill="auto"/>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12,5</w:t>
            </w:r>
          </w:p>
        </w:tc>
        <w:tc>
          <w:tcPr>
            <w:tcW w:w="1127" w:type="dxa"/>
            <w:tcBorders>
              <w:top w:val="nil"/>
              <w:left w:val="nil"/>
              <w:bottom w:val="single" w:sz="4" w:space="0" w:color="auto"/>
              <w:right w:val="single" w:sz="4" w:space="0" w:color="auto"/>
            </w:tcBorders>
            <w:shd w:val="clear" w:color="auto" w:fill="auto"/>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96,8</w:t>
            </w:r>
          </w:p>
        </w:tc>
      </w:tr>
      <w:tr w:rsidR="006247F6" w:rsidRPr="003C3685" w:rsidTr="00541DEF">
        <w:trPr>
          <w:trHeight w:val="264"/>
        </w:trPr>
        <w:tc>
          <w:tcPr>
            <w:tcW w:w="1980" w:type="dxa"/>
            <w:tcBorders>
              <w:top w:val="nil"/>
              <w:left w:val="single" w:sz="4" w:space="0" w:color="auto"/>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left"/>
              <w:rPr>
                <w:rFonts w:eastAsia="Times New Roman" w:cs="Times New Roman"/>
                <w:i/>
                <w:iCs/>
                <w:color w:val="000000"/>
                <w:sz w:val="20"/>
                <w:szCs w:val="20"/>
                <w:lang w:eastAsia="lv-LV"/>
              </w:rPr>
            </w:pPr>
            <w:r w:rsidRPr="003C3685">
              <w:rPr>
                <w:rFonts w:eastAsia="Times New Roman" w:cs="Times New Roman"/>
                <w:i/>
                <w:iCs/>
                <w:color w:val="000000"/>
                <w:sz w:val="20"/>
                <w:szCs w:val="20"/>
                <w:lang w:eastAsia="lv-LV"/>
              </w:rPr>
              <w:t>t.sk. atalgojums</w:t>
            </w:r>
          </w:p>
        </w:tc>
        <w:tc>
          <w:tcPr>
            <w:tcW w:w="1044" w:type="dxa"/>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sz w:val="20"/>
                <w:szCs w:val="20"/>
                <w:lang w:eastAsia="lv-LV"/>
              </w:rPr>
            </w:pPr>
            <w:r w:rsidRPr="003C3685">
              <w:rPr>
                <w:rFonts w:eastAsia="Times New Roman" w:cs="Times New Roman"/>
                <w:sz w:val="20"/>
                <w:szCs w:val="20"/>
                <w:lang w:eastAsia="lv-LV"/>
              </w:rPr>
              <w:t>116 052</w:t>
            </w:r>
          </w:p>
        </w:tc>
        <w:tc>
          <w:tcPr>
            <w:tcW w:w="1044" w:type="dxa"/>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sz w:val="20"/>
                <w:szCs w:val="20"/>
                <w:lang w:eastAsia="lv-LV"/>
              </w:rPr>
            </w:pPr>
            <w:r w:rsidRPr="003C3685">
              <w:rPr>
                <w:rFonts w:eastAsia="Times New Roman" w:cs="Times New Roman"/>
                <w:sz w:val="20"/>
                <w:szCs w:val="20"/>
                <w:lang w:eastAsia="lv-LV"/>
              </w:rPr>
              <w:t>133 673</w:t>
            </w:r>
          </w:p>
        </w:tc>
        <w:tc>
          <w:tcPr>
            <w:tcW w:w="1044" w:type="dxa"/>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sz w:val="20"/>
                <w:szCs w:val="20"/>
                <w:lang w:eastAsia="lv-LV"/>
              </w:rPr>
            </w:pPr>
            <w:r w:rsidRPr="003C3685">
              <w:rPr>
                <w:rFonts w:eastAsia="Times New Roman" w:cs="Times New Roman"/>
                <w:sz w:val="20"/>
                <w:szCs w:val="20"/>
                <w:lang w:eastAsia="lv-LV"/>
              </w:rPr>
              <w:t>129 684</w:t>
            </w:r>
          </w:p>
        </w:tc>
        <w:tc>
          <w:tcPr>
            <w:tcW w:w="1044" w:type="dxa"/>
            <w:tcBorders>
              <w:top w:val="nil"/>
              <w:left w:val="nil"/>
              <w:bottom w:val="single" w:sz="4" w:space="0" w:color="auto"/>
              <w:right w:val="single" w:sz="4" w:space="0" w:color="auto"/>
            </w:tcBorders>
            <w:shd w:val="clear" w:color="auto" w:fill="auto"/>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13 632</w:t>
            </w:r>
          </w:p>
        </w:tc>
        <w:tc>
          <w:tcPr>
            <w:tcW w:w="1044" w:type="dxa"/>
            <w:tcBorders>
              <w:top w:val="nil"/>
              <w:left w:val="nil"/>
              <w:bottom w:val="single" w:sz="4" w:space="0" w:color="auto"/>
              <w:right w:val="single" w:sz="4" w:space="0" w:color="auto"/>
            </w:tcBorders>
            <w:shd w:val="clear" w:color="auto" w:fill="auto"/>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-3 989</w:t>
            </w:r>
          </w:p>
        </w:tc>
        <w:tc>
          <w:tcPr>
            <w:tcW w:w="1151" w:type="dxa"/>
            <w:tcBorders>
              <w:top w:val="nil"/>
              <w:left w:val="nil"/>
              <w:bottom w:val="single" w:sz="4" w:space="0" w:color="auto"/>
              <w:right w:val="single" w:sz="4" w:space="0" w:color="auto"/>
            </w:tcBorders>
            <w:shd w:val="clear" w:color="auto" w:fill="auto"/>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11,7</w:t>
            </w:r>
          </w:p>
        </w:tc>
        <w:tc>
          <w:tcPr>
            <w:tcW w:w="1127" w:type="dxa"/>
            <w:tcBorders>
              <w:top w:val="nil"/>
              <w:left w:val="nil"/>
              <w:bottom w:val="single" w:sz="4" w:space="0" w:color="auto"/>
              <w:right w:val="single" w:sz="4" w:space="0" w:color="auto"/>
            </w:tcBorders>
            <w:shd w:val="clear" w:color="auto" w:fill="auto"/>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97,0</w:t>
            </w:r>
          </w:p>
        </w:tc>
      </w:tr>
    </w:tbl>
    <w:p w:rsidR="006247F6" w:rsidRPr="00FB3DD1" w:rsidRDefault="006247F6" w:rsidP="006247F6">
      <w:pPr>
        <w:ind w:firstLine="0"/>
        <w:jc w:val="right"/>
        <w:rPr>
          <w:b/>
          <w:i/>
          <w:sz w:val="14"/>
        </w:rPr>
      </w:pPr>
    </w:p>
    <w:p w:rsidR="006247F6" w:rsidRPr="00D44AAF" w:rsidRDefault="006247F6" w:rsidP="00D44AAF">
      <w:pPr>
        <w:rPr>
          <w:rFonts w:cs="Times New Roman"/>
          <w:b/>
          <w:i/>
          <w:sz w:val="24"/>
        </w:rPr>
      </w:pPr>
      <w:r w:rsidRPr="00D44AAF">
        <w:rPr>
          <w:rFonts w:cs="Times New Roman"/>
          <w:b/>
          <w:i/>
          <w:sz w:val="24"/>
        </w:rPr>
        <w:t>9.1. tabula. Valsts pamatfunkciju īstenošana</w:t>
      </w:r>
    </w:p>
    <w:tbl>
      <w:tblPr>
        <w:tblW w:w="10152" w:type="dxa"/>
        <w:tblInd w:w="-459" w:type="dxa"/>
        <w:tblLook w:val="04A0" w:firstRow="1" w:lastRow="0" w:firstColumn="1" w:lastColumn="0" w:noHBand="0" w:noVBand="1"/>
      </w:tblPr>
      <w:tblGrid>
        <w:gridCol w:w="464"/>
        <w:gridCol w:w="1775"/>
        <w:gridCol w:w="367"/>
        <w:gridCol w:w="732"/>
        <w:gridCol w:w="312"/>
        <w:gridCol w:w="786"/>
        <w:gridCol w:w="258"/>
        <w:gridCol w:w="840"/>
        <w:gridCol w:w="204"/>
        <w:gridCol w:w="894"/>
        <w:gridCol w:w="150"/>
        <w:gridCol w:w="948"/>
        <w:gridCol w:w="96"/>
        <w:gridCol w:w="1140"/>
        <w:gridCol w:w="11"/>
        <w:gridCol w:w="1127"/>
        <w:gridCol w:w="48"/>
      </w:tblGrid>
      <w:tr w:rsidR="006247F6" w:rsidRPr="00085970" w:rsidTr="005C7D14">
        <w:trPr>
          <w:trHeight w:val="264"/>
        </w:trPr>
        <w:tc>
          <w:tcPr>
            <w:tcW w:w="2239" w:type="dxa"/>
            <w:gridSpan w:val="2"/>
            <w:tcBorders>
              <w:top w:val="nil"/>
              <w:left w:val="nil"/>
              <w:bottom w:val="nil"/>
              <w:right w:val="nil"/>
            </w:tcBorders>
            <w:shd w:val="clear" w:color="auto" w:fill="auto"/>
            <w:vAlign w:val="center"/>
            <w:hideMark/>
          </w:tcPr>
          <w:p w:rsidR="006247F6" w:rsidRPr="00FB3DD1" w:rsidRDefault="006247F6" w:rsidP="005C7D14">
            <w:pPr>
              <w:spacing w:after="0"/>
              <w:ind w:firstLine="0"/>
              <w:jc w:val="left"/>
              <w:rPr>
                <w:rFonts w:eastAsia="Times New Roman"/>
                <w:i/>
                <w:iCs/>
                <w:color w:val="000000"/>
                <w:sz w:val="10"/>
                <w:szCs w:val="20"/>
                <w:lang w:eastAsia="lv-LV"/>
              </w:rPr>
            </w:pPr>
          </w:p>
        </w:tc>
        <w:tc>
          <w:tcPr>
            <w:tcW w:w="1099" w:type="dxa"/>
            <w:gridSpan w:val="2"/>
            <w:tcBorders>
              <w:top w:val="nil"/>
              <w:left w:val="nil"/>
              <w:bottom w:val="nil"/>
              <w:right w:val="nil"/>
            </w:tcBorders>
            <w:shd w:val="clear" w:color="auto" w:fill="auto"/>
            <w:vAlign w:val="center"/>
            <w:hideMark/>
          </w:tcPr>
          <w:p w:rsidR="006247F6" w:rsidRPr="00085970" w:rsidRDefault="006247F6" w:rsidP="005C7D14">
            <w:pPr>
              <w:spacing w:after="0"/>
              <w:rPr>
                <w:rFonts w:eastAsia="Times New Roman"/>
                <w:color w:val="000000"/>
                <w:sz w:val="20"/>
                <w:szCs w:val="20"/>
                <w:lang w:eastAsia="lv-LV"/>
              </w:rPr>
            </w:pPr>
          </w:p>
        </w:tc>
        <w:tc>
          <w:tcPr>
            <w:tcW w:w="1098" w:type="dxa"/>
            <w:gridSpan w:val="2"/>
            <w:tcBorders>
              <w:top w:val="nil"/>
              <w:left w:val="nil"/>
              <w:bottom w:val="nil"/>
              <w:right w:val="nil"/>
            </w:tcBorders>
            <w:shd w:val="clear" w:color="auto" w:fill="auto"/>
            <w:noWrap/>
            <w:vAlign w:val="center"/>
            <w:hideMark/>
          </w:tcPr>
          <w:p w:rsidR="006247F6" w:rsidRPr="00085970" w:rsidRDefault="006247F6" w:rsidP="005C7D14">
            <w:pPr>
              <w:spacing w:after="0"/>
              <w:rPr>
                <w:rFonts w:eastAsia="Times New Roman"/>
                <w:sz w:val="20"/>
                <w:szCs w:val="20"/>
                <w:lang w:eastAsia="lv-LV"/>
              </w:rPr>
            </w:pPr>
          </w:p>
        </w:tc>
        <w:tc>
          <w:tcPr>
            <w:tcW w:w="1098" w:type="dxa"/>
            <w:gridSpan w:val="2"/>
            <w:tcBorders>
              <w:top w:val="nil"/>
              <w:left w:val="nil"/>
              <w:bottom w:val="nil"/>
              <w:right w:val="nil"/>
            </w:tcBorders>
            <w:shd w:val="clear" w:color="auto" w:fill="auto"/>
            <w:noWrap/>
            <w:vAlign w:val="center"/>
            <w:hideMark/>
          </w:tcPr>
          <w:p w:rsidR="006247F6" w:rsidRPr="00085970" w:rsidRDefault="006247F6" w:rsidP="005C7D14">
            <w:pPr>
              <w:spacing w:after="0"/>
              <w:rPr>
                <w:rFonts w:eastAsia="Times New Roman"/>
                <w:sz w:val="20"/>
                <w:szCs w:val="20"/>
                <w:lang w:eastAsia="lv-LV"/>
              </w:rPr>
            </w:pPr>
          </w:p>
        </w:tc>
        <w:tc>
          <w:tcPr>
            <w:tcW w:w="1098" w:type="dxa"/>
            <w:gridSpan w:val="2"/>
            <w:tcBorders>
              <w:top w:val="nil"/>
              <w:left w:val="nil"/>
              <w:bottom w:val="nil"/>
              <w:right w:val="nil"/>
            </w:tcBorders>
            <w:shd w:val="clear" w:color="auto" w:fill="auto"/>
            <w:vAlign w:val="center"/>
            <w:hideMark/>
          </w:tcPr>
          <w:p w:rsidR="006247F6" w:rsidRPr="00085970" w:rsidRDefault="006247F6" w:rsidP="005C7D14">
            <w:pPr>
              <w:spacing w:after="0"/>
              <w:rPr>
                <w:rFonts w:eastAsia="Times New Roman"/>
                <w:color w:val="000000"/>
                <w:sz w:val="20"/>
                <w:szCs w:val="20"/>
                <w:lang w:eastAsia="lv-LV"/>
              </w:rPr>
            </w:pPr>
          </w:p>
        </w:tc>
        <w:tc>
          <w:tcPr>
            <w:tcW w:w="1098" w:type="dxa"/>
            <w:gridSpan w:val="2"/>
            <w:tcBorders>
              <w:top w:val="nil"/>
              <w:left w:val="nil"/>
              <w:bottom w:val="nil"/>
              <w:right w:val="nil"/>
            </w:tcBorders>
            <w:shd w:val="clear" w:color="auto" w:fill="auto"/>
            <w:vAlign w:val="center"/>
            <w:hideMark/>
          </w:tcPr>
          <w:p w:rsidR="006247F6" w:rsidRPr="00085970" w:rsidRDefault="006247F6" w:rsidP="005C7D14">
            <w:pPr>
              <w:spacing w:after="0"/>
              <w:rPr>
                <w:rFonts w:eastAsia="Times New Roman"/>
                <w:color w:val="000000"/>
                <w:sz w:val="20"/>
                <w:szCs w:val="20"/>
                <w:lang w:eastAsia="lv-LV"/>
              </w:rPr>
            </w:pPr>
          </w:p>
        </w:tc>
        <w:tc>
          <w:tcPr>
            <w:tcW w:w="1236" w:type="dxa"/>
            <w:gridSpan w:val="2"/>
            <w:tcBorders>
              <w:top w:val="nil"/>
              <w:left w:val="nil"/>
              <w:bottom w:val="nil"/>
              <w:right w:val="nil"/>
            </w:tcBorders>
            <w:shd w:val="clear" w:color="auto" w:fill="auto"/>
            <w:vAlign w:val="center"/>
            <w:hideMark/>
          </w:tcPr>
          <w:p w:rsidR="006247F6" w:rsidRPr="00085970" w:rsidRDefault="006247F6" w:rsidP="005C7D14">
            <w:pPr>
              <w:spacing w:after="0"/>
              <w:rPr>
                <w:rFonts w:eastAsia="Times New Roman"/>
                <w:color w:val="000000"/>
                <w:sz w:val="20"/>
                <w:szCs w:val="20"/>
                <w:lang w:eastAsia="lv-LV"/>
              </w:rPr>
            </w:pPr>
          </w:p>
        </w:tc>
        <w:tc>
          <w:tcPr>
            <w:tcW w:w="1186" w:type="dxa"/>
            <w:gridSpan w:val="3"/>
            <w:tcBorders>
              <w:top w:val="nil"/>
              <w:left w:val="nil"/>
              <w:bottom w:val="nil"/>
              <w:right w:val="nil"/>
            </w:tcBorders>
            <w:shd w:val="clear" w:color="auto" w:fill="auto"/>
            <w:vAlign w:val="center"/>
            <w:hideMark/>
          </w:tcPr>
          <w:p w:rsidR="006247F6" w:rsidRPr="00085970" w:rsidRDefault="006247F6" w:rsidP="005C7D14">
            <w:pPr>
              <w:spacing w:after="0"/>
              <w:ind w:firstLine="0"/>
              <w:jc w:val="left"/>
              <w:rPr>
                <w:rFonts w:eastAsia="Times New Roman"/>
                <w:color w:val="000000"/>
                <w:sz w:val="20"/>
                <w:szCs w:val="20"/>
                <w:lang w:eastAsia="lv-LV"/>
              </w:rPr>
            </w:pPr>
          </w:p>
        </w:tc>
      </w:tr>
      <w:tr w:rsidR="006247F6" w:rsidRPr="003C3685" w:rsidTr="00FB3DD1">
        <w:trPr>
          <w:gridBefore w:val="1"/>
          <w:gridAfter w:val="1"/>
          <w:wBefore w:w="464" w:type="dxa"/>
          <w:wAfter w:w="48" w:type="dxa"/>
          <w:trHeight w:val="2436"/>
        </w:trPr>
        <w:tc>
          <w:tcPr>
            <w:tcW w:w="21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47F6" w:rsidRPr="003C3685" w:rsidRDefault="006247F6" w:rsidP="005C7D14">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Finansiālie rādītāji</w:t>
            </w:r>
          </w:p>
        </w:tc>
        <w:tc>
          <w:tcPr>
            <w:tcW w:w="1044" w:type="dxa"/>
            <w:gridSpan w:val="2"/>
            <w:tcBorders>
              <w:top w:val="single" w:sz="4" w:space="0" w:color="auto"/>
              <w:left w:val="nil"/>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2013.gada 3 mēnešu izpilde</w:t>
            </w:r>
            <w:r w:rsidRPr="003C3685">
              <w:rPr>
                <w:rFonts w:eastAsia="Times New Roman" w:cs="Times New Roman"/>
                <w:color w:val="000000"/>
                <w:sz w:val="20"/>
                <w:szCs w:val="20"/>
                <w:lang w:eastAsia="lv-LV"/>
              </w:rPr>
              <w:br/>
              <w:t xml:space="preserve">(tūkstošos </w:t>
            </w:r>
            <w:proofErr w:type="spellStart"/>
            <w:r w:rsidRPr="003C3685">
              <w:rPr>
                <w:rFonts w:eastAsia="Times New Roman" w:cs="Times New Roman"/>
                <w:i/>
                <w:iCs/>
                <w:color w:val="000000"/>
                <w:sz w:val="20"/>
                <w:szCs w:val="20"/>
                <w:lang w:eastAsia="lv-LV"/>
              </w:rPr>
              <w:t>euro</w:t>
            </w:r>
            <w:proofErr w:type="spellEnd"/>
            <w:r w:rsidRPr="003C3685">
              <w:rPr>
                <w:rFonts w:eastAsia="Times New Roman" w:cs="Times New Roman"/>
                <w:color w:val="000000"/>
                <w:sz w:val="20"/>
                <w:szCs w:val="20"/>
                <w:lang w:eastAsia="lv-LV"/>
              </w:rPr>
              <w:t>)</w:t>
            </w:r>
          </w:p>
        </w:tc>
        <w:tc>
          <w:tcPr>
            <w:tcW w:w="1044" w:type="dxa"/>
            <w:gridSpan w:val="2"/>
            <w:tcBorders>
              <w:top w:val="single" w:sz="4" w:space="0" w:color="auto"/>
              <w:left w:val="nil"/>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2014.gada 3 mēnešu plāns</w:t>
            </w:r>
            <w:r w:rsidRPr="003C3685">
              <w:rPr>
                <w:rFonts w:eastAsia="Times New Roman" w:cs="Times New Roman"/>
                <w:color w:val="000000"/>
                <w:sz w:val="20"/>
                <w:szCs w:val="20"/>
                <w:lang w:eastAsia="lv-LV"/>
              </w:rPr>
              <w:br/>
              <w:t>(tūkstošos</w:t>
            </w:r>
            <w:r w:rsidRPr="003C3685">
              <w:rPr>
                <w:rFonts w:eastAsia="Times New Roman" w:cs="Times New Roman"/>
                <w:i/>
                <w:iCs/>
                <w:color w:val="000000"/>
                <w:sz w:val="20"/>
                <w:szCs w:val="20"/>
                <w:lang w:eastAsia="lv-LV"/>
              </w:rPr>
              <w:t xml:space="preserve"> </w:t>
            </w:r>
            <w:proofErr w:type="spellStart"/>
            <w:r w:rsidRPr="003C3685">
              <w:rPr>
                <w:rFonts w:eastAsia="Times New Roman" w:cs="Times New Roman"/>
                <w:i/>
                <w:iCs/>
                <w:color w:val="000000"/>
                <w:sz w:val="20"/>
                <w:szCs w:val="20"/>
                <w:lang w:eastAsia="lv-LV"/>
              </w:rPr>
              <w:t>euro</w:t>
            </w:r>
            <w:proofErr w:type="spellEnd"/>
            <w:r w:rsidRPr="003C3685">
              <w:rPr>
                <w:rFonts w:eastAsia="Times New Roman" w:cs="Times New Roman"/>
                <w:color w:val="000000"/>
                <w:sz w:val="20"/>
                <w:szCs w:val="20"/>
                <w:lang w:eastAsia="lv-LV"/>
              </w:rPr>
              <w:t>)</w:t>
            </w:r>
          </w:p>
        </w:tc>
        <w:tc>
          <w:tcPr>
            <w:tcW w:w="1044" w:type="dxa"/>
            <w:gridSpan w:val="2"/>
            <w:tcBorders>
              <w:top w:val="single" w:sz="4" w:space="0" w:color="auto"/>
              <w:left w:val="nil"/>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2014.gada 3 mēnešu izpilde</w:t>
            </w:r>
            <w:r w:rsidRPr="003C3685">
              <w:rPr>
                <w:rFonts w:eastAsia="Times New Roman" w:cs="Times New Roman"/>
                <w:color w:val="000000"/>
                <w:sz w:val="20"/>
                <w:szCs w:val="20"/>
                <w:lang w:eastAsia="lv-LV"/>
              </w:rPr>
              <w:br/>
              <w:t xml:space="preserve">(tūkstošos </w:t>
            </w:r>
            <w:proofErr w:type="spellStart"/>
            <w:r w:rsidRPr="003C3685">
              <w:rPr>
                <w:rFonts w:eastAsia="Times New Roman" w:cs="Times New Roman"/>
                <w:i/>
                <w:iCs/>
                <w:color w:val="000000"/>
                <w:sz w:val="20"/>
                <w:szCs w:val="20"/>
                <w:lang w:eastAsia="lv-LV"/>
              </w:rPr>
              <w:t>euro</w:t>
            </w:r>
            <w:proofErr w:type="spellEnd"/>
            <w:r w:rsidRPr="003C3685">
              <w:rPr>
                <w:rFonts w:eastAsia="Times New Roman" w:cs="Times New Roman"/>
                <w:color w:val="000000"/>
                <w:sz w:val="20"/>
                <w:szCs w:val="20"/>
                <w:lang w:eastAsia="lv-LV"/>
              </w:rPr>
              <w:t>)</w:t>
            </w:r>
          </w:p>
        </w:tc>
        <w:tc>
          <w:tcPr>
            <w:tcW w:w="1044" w:type="dxa"/>
            <w:gridSpan w:val="2"/>
            <w:tcBorders>
              <w:top w:val="single" w:sz="4" w:space="0" w:color="auto"/>
              <w:left w:val="nil"/>
              <w:bottom w:val="single" w:sz="4" w:space="0" w:color="auto"/>
              <w:right w:val="single" w:sz="4" w:space="0" w:color="auto"/>
            </w:tcBorders>
            <w:shd w:val="clear" w:color="000000" w:fill="FFFFFF"/>
            <w:vAlign w:val="center"/>
            <w:hideMark/>
          </w:tcPr>
          <w:p w:rsidR="006247F6" w:rsidRPr="003C3685" w:rsidRDefault="006247F6" w:rsidP="00D44AAF">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2014.gada 3 mēnešu izpildes izmaiņas (+,–)</w:t>
            </w:r>
            <w:r w:rsidR="00D44AAF">
              <w:rPr>
                <w:rFonts w:eastAsia="Times New Roman" w:cs="Times New Roman"/>
                <w:color w:val="000000"/>
                <w:sz w:val="20"/>
                <w:szCs w:val="20"/>
                <w:lang w:eastAsia="lv-LV"/>
              </w:rPr>
              <w:t xml:space="preserve">/ </w:t>
            </w:r>
            <w:r w:rsidRPr="003C3685">
              <w:rPr>
                <w:rFonts w:eastAsia="Times New Roman" w:cs="Times New Roman"/>
                <w:color w:val="000000"/>
                <w:sz w:val="20"/>
                <w:szCs w:val="20"/>
                <w:lang w:eastAsia="lv-LV"/>
              </w:rPr>
              <w:t>2013.gada 3 mēnešu izpildi</w:t>
            </w:r>
            <w:r w:rsidRPr="003C3685">
              <w:rPr>
                <w:rFonts w:eastAsia="Times New Roman" w:cs="Times New Roman"/>
                <w:color w:val="000000"/>
                <w:sz w:val="20"/>
                <w:szCs w:val="20"/>
                <w:lang w:eastAsia="lv-LV"/>
              </w:rPr>
              <w:br/>
              <w:t xml:space="preserve">(tūkstošos </w:t>
            </w:r>
            <w:proofErr w:type="spellStart"/>
            <w:r w:rsidRPr="003C3685">
              <w:rPr>
                <w:rFonts w:eastAsia="Times New Roman" w:cs="Times New Roman"/>
                <w:i/>
                <w:iCs/>
                <w:color w:val="000000"/>
                <w:sz w:val="20"/>
                <w:szCs w:val="20"/>
                <w:lang w:eastAsia="lv-LV"/>
              </w:rPr>
              <w:t>euro</w:t>
            </w:r>
            <w:proofErr w:type="spellEnd"/>
            <w:r w:rsidRPr="003C3685">
              <w:rPr>
                <w:rFonts w:eastAsia="Times New Roman" w:cs="Times New Roman"/>
                <w:color w:val="000000"/>
                <w:sz w:val="20"/>
                <w:szCs w:val="20"/>
                <w:lang w:eastAsia="lv-LV"/>
              </w:rPr>
              <w:t>)</w:t>
            </w:r>
          </w:p>
        </w:tc>
        <w:tc>
          <w:tcPr>
            <w:tcW w:w="1044" w:type="dxa"/>
            <w:gridSpan w:val="2"/>
            <w:tcBorders>
              <w:top w:val="single" w:sz="4" w:space="0" w:color="auto"/>
              <w:left w:val="nil"/>
              <w:bottom w:val="single" w:sz="4" w:space="0" w:color="auto"/>
              <w:right w:val="single" w:sz="4" w:space="0" w:color="auto"/>
            </w:tcBorders>
            <w:shd w:val="clear" w:color="000000" w:fill="FFFFFF"/>
            <w:vAlign w:val="center"/>
            <w:hideMark/>
          </w:tcPr>
          <w:p w:rsidR="006247F6" w:rsidRPr="003C3685" w:rsidRDefault="006247F6" w:rsidP="00D44AAF">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2014.gada 3 mēnešu izpilde (+,–)</w:t>
            </w:r>
            <w:r w:rsidR="00D44AAF">
              <w:rPr>
                <w:rFonts w:eastAsia="Times New Roman" w:cs="Times New Roman"/>
                <w:color w:val="000000"/>
                <w:sz w:val="20"/>
                <w:szCs w:val="20"/>
                <w:lang w:eastAsia="lv-LV"/>
              </w:rPr>
              <w:t>/</w:t>
            </w:r>
            <w:r w:rsidRPr="003C3685">
              <w:rPr>
                <w:rFonts w:eastAsia="Times New Roman" w:cs="Times New Roman"/>
                <w:color w:val="000000"/>
                <w:sz w:val="20"/>
                <w:szCs w:val="20"/>
                <w:lang w:eastAsia="lv-LV"/>
              </w:rPr>
              <w:t xml:space="preserve"> 2014.gada 3 mēnešu plānu</w:t>
            </w:r>
            <w:r w:rsidRPr="003C3685">
              <w:rPr>
                <w:rFonts w:eastAsia="Times New Roman" w:cs="Times New Roman"/>
                <w:color w:val="000000"/>
                <w:sz w:val="20"/>
                <w:szCs w:val="20"/>
                <w:lang w:eastAsia="lv-LV"/>
              </w:rPr>
              <w:br/>
              <w:t xml:space="preserve">(tūkstošos </w:t>
            </w:r>
            <w:proofErr w:type="spellStart"/>
            <w:r w:rsidRPr="003C3685">
              <w:rPr>
                <w:rFonts w:eastAsia="Times New Roman" w:cs="Times New Roman"/>
                <w:i/>
                <w:iCs/>
                <w:color w:val="000000"/>
                <w:sz w:val="20"/>
                <w:szCs w:val="20"/>
                <w:lang w:eastAsia="lv-LV"/>
              </w:rPr>
              <w:t>euro</w:t>
            </w:r>
            <w:proofErr w:type="spellEnd"/>
            <w:r w:rsidRPr="003C3685">
              <w:rPr>
                <w:rFonts w:eastAsia="Times New Roman" w:cs="Times New Roman"/>
                <w:color w:val="000000"/>
                <w:sz w:val="20"/>
                <w:szCs w:val="20"/>
                <w:lang w:eastAsia="lv-LV"/>
              </w:rPr>
              <w:t>)</w:t>
            </w:r>
          </w:p>
        </w:tc>
        <w:tc>
          <w:tcPr>
            <w:tcW w:w="1151" w:type="dxa"/>
            <w:gridSpan w:val="2"/>
            <w:tcBorders>
              <w:top w:val="single" w:sz="4" w:space="0" w:color="auto"/>
              <w:left w:val="nil"/>
              <w:bottom w:val="single" w:sz="4" w:space="0" w:color="auto"/>
              <w:right w:val="single" w:sz="4" w:space="0" w:color="auto"/>
            </w:tcBorders>
            <w:shd w:val="clear" w:color="000000" w:fill="FFFFFF"/>
            <w:vAlign w:val="center"/>
            <w:hideMark/>
          </w:tcPr>
          <w:p w:rsidR="006247F6" w:rsidRPr="003C3685" w:rsidRDefault="006247F6" w:rsidP="00D44AAF">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2014.gada 3 mēnešu izpildes izmaiņas (+,–)</w:t>
            </w:r>
            <w:r w:rsidR="00D44AAF">
              <w:rPr>
                <w:rFonts w:eastAsia="Times New Roman" w:cs="Times New Roman"/>
                <w:color w:val="000000"/>
                <w:sz w:val="20"/>
                <w:szCs w:val="20"/>
                <w:lang w:eastAsia="lv-LV"/>
              </w:rPr>
              <w:t>/</w:t>
            </w:r>
            <w:r w:rsidRPr="003C3685">
              <w:rPr>
                <w:rFonts w:eastAsia="Times New Roman" w:cs="Times New Roman"/>
                <w:color w:val="000000"/>
                <w:sz w:val="20"/>
                <w:szCs w:val="20"/>
                <w:lang w:eastAsia="lv-LV"/>
              </w:rPr>
              <w:t xml:space="preserve"> 2013.gada 3 mēnešu izpildi</w:t>
            </w:r>
            <w:r w:rsidRPr="003C3685">
              <w:rPr>
                <w:rFonts w:eastAsia="Times New Roman" w:cs="Times New Roman"/>
                <w:color w:val="000000"/>
                <w:sz w:val="20"/>
                <w:szCs w:val="20"/>
                <w:lang w:eastAsia="lv-LV"/>
              </w:rPr>
              <w:br/>
              <w:t>(procentos)</w:t>
            </w:r>
          </w:p>
        </w:tc>
        <w:tc>
          <w:tcPr>
            <w:tcW w:w="1127" w:type="dxa"/>
            <w:tcBorders>
              <w:top w:val="single" w:sz="4" w:space="0" w:color="auto"/>
              <w:left w:val="nil"/>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2014.gada 3 mēnešu izpilde no 2014.gada 3 mēnešu plāna</w:t>
            </w:r>
            <w:r w:rsidRPr="003C3685">
              <w:rPr>
                <w:rFonts w:eastAsia="Times New Roman" w:cs="Times New Roman"/>
                <w:color w:val="000000"/>
                <w:sz w:val="20"/>
                <w:szCs w:val="20"/>
                <w:lang w:eastAsia="lv-LV"/>
              </w:rPr>
              <w:br/>
              <w:t>(procentos)</w:t>
            </w:r>
          </w:p>
        </w:tc>
      </w:tr>
      <w:tr w:rsidR="006247F6" w:rsidRPr="003C3685" w:rsidTr="005C7D14">
        <w:trPr>
          <w:gridBefore w:val="1"/>
          <w:gridAfter w:val="1"/>
          <w:wBefore w:w="464" w:type="dxa"/>
          <w:wAfter w:w="48" w:type="dxa"/>
          <w:trHeight w:val="528"/>
        </w:trPr>
        <w:tc>
          <w:tcPr>
            <w:tcW w:w="2142" w:type="dxa"/>
            <w:gridSpan w:val="2"/>
            <w:tcBorders>
              <w:top w:val="nil"/>
              <w:left w:val="single" w:sz="4" w:space="0" w:color="auto"/>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1</w:t>
            </w:r>
          </w:p>
        </w:tc>
        <w:tc>
          <w:tcPr>
            <w:tcW w:w="1044" w:type="dxa"/>
            <w:gridSpan w:val="2"/>
            <w:tcBorders>
              <w:top w:val="nil"/>
              <w:left w:val="nil"/>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2</w:t>
            </w:r>
          </w:p>
        </w:tc>
        <w:tc>
          <w:tcPr>
            <w:tcW w:w="1044" w:type="dxa"/>
            <w:gridSpan w:val="2"/>
            <w:tcBorders>
              <w:top w:val="nil"/>
              <w:left w:val="nil"/>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3</w:t>
            </w:r>
          </w:p>
        </w:tc>
        <w:tc>
          <w:tcPr>
            <w:tcW w:w="1044" w:type="dxa"/>
            <w:gridSpan w:val="2"/>
            <w:tcBorders>
              <w:top w:val="nil"/>
              <w:left w:val="nil"/>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4</w:t>
            </w:r>
          </w:p>
        </w:tc>
        <w:tc>
          <w:tcPr>
            <w:tcW w:w="1044" w:type="dxa"/>
            <w:gridSpan w:val="2"/>
            <w:tcBorders>
              <w:top w:val="nil"/>
              <w:left w:val="nil"/>
              <w:bottom w:val="single" w:sz="4" w:space="0" w:color="auto"/>
              <w:right w:val="single" w:sz="4" w:space="0" w:color="auto"/>
            </w:tcBorders>
            <w:shd w:val="clear" w:color="auto" w:fill="auto"/>
            <w:vAlign w:val="center"/>
            <w:hideMark/>
          </w:tcPr>
          <w:p w:rsidR="006247F6" w:rsidRPr="003C3685" w:rsidRDefault="006247F6" w:rsidP="005C7D14">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5 = 4-2</w:t>
            </w:r>
          </w:p>
        </w:tc>
        <w:tc>
          <w:tcPr>
            <w:tcW w:w="1044" w:type="dxa"/>
            <w:gridSpan w:val="2"/>
            <w:tcBorders>
              <w:top w:val="nil"/>
              <w:left w:val="nil"/>
              <w:bottom w:val="single" w:sz="4" w:space="0" w:color="auto"/>
              <w:right w:val="single" w:sz="4" w:space="0" w:color="auto"/>
            </w:tcBorders>
            <w:shd w:val="clear" w:color="auto" w:fill="auto"/>
            <w:vAlign w:val="center"/>
            <w:hideMark/>
          </w:tcPr>
          <w:p w:rsidR="006247F6" w:rsidRPr="003C3685" w:rsidRDefault="006247F6" w:rsidP="005C7D14">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6=4-3</w:t>
            </w:r>
          </w:p>
        </w:tc>
        <w:tc>
          <w:tcPr>
            <w:tcW w:w="1151" w:type="dxa"/>
            <w:gridSpan w:val="2"/>
            <w:tcBorders>
              <w:top w:val="nil"/>
              <w:left w:val="nil"/>
              <w:bottom w:val="single" w:sz="4" w:space="0" w:color="auto"/>
              <w:right w:val="single" w:sz="4" w:space="0" w:color="auto"/>
            </w:tcBorders>
            <w:shd w:val="clear" w:color="auto" w:fill="auto"/>
            <w:vAlign w:val="center"/>
            <w:hideMark/>
          </w:tcPr>
          <w:p w:rsidR="006247F6" w:rsidRPr="003C3685" w:rsidRDefault="006247F6" w:rsidP="005C7D14">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7=4/2*100-100</w:t>
            </w:r>
          </w:p>
        </w:tc>
        <w:tc>
          <w:tcPr>
            <w:tcW w:w="1127" w:type="dxa"/>
            <w:tcBorders>
              <w:top w:val="nil"/>
              <w:left w:val="nil"/>
              <w:bottom w:val="single" w:sz="4" w:space="0" w:color="auto"/>
              <w:right w:val="single" w:sz="4" w:space="0" w:color="auto"/>
            </w:tcBorders>
            <w:shd w:val="clear" w:color="auto" w:fill="auto"/>
            <w:vAlign w:val="center"/>
            <w:hideMark/>
          </w:tcPr>
          <w:p w:rsidR="006247F6" w:rsidRPr="003C3685" w:rsidRDefault="006247F6" w:rsidP="005C7D14">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8=4/3*100</w:t>
            </w:r>
          </w:p>
        </w:tc>
      </w:tr>
      <w:tr w:rsidR="006247F6" w:rsidRPr="003C3685" w:rsidTr="005C7D14">
        <w:trPr>
          <w:gridBefore w:val="1"/>
          <w:gridAfter w:val="1"/>
          <w:wBefore w:w="464" w:type="dxa"/>
          <w:wAfter w:w="48" w:type="dxa"/>
          <w:trHeight w:val="264"/>
        </w:trPr>
        <w:tc>
          <w:tcPr>
            <w:tcW w:w="2142" w:type="dxa"/>
            <w:gridSpan w:val="2"/>
            <w:tcBorders>
              <w:top w:val="nil"/>
              <w:left w:val="single" w:sz="4" w:space="0" w:color="auto"/>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left"/>
              <w:rPr>
                <w:rFonts w:eastAsia="Times New Roman" w:cs="Times New Roman"/>
                <w:b/>
                <w:bCs/>
                <w:color w:val="000000"/>
                <w:sz w:val="20"/>
                <w:szCs w:val="20"/>
                <w:lang w:eastAsia="lv-LV"/>
              </w:rPr>
            </w:pPr>
            <w:r w:rsidRPr="003C3685">
              <w:rPr>
                <w:rFonts w:eastAsia="Times New Roman" w:cs="Times New Roman"/>
                <w:b/>
                <w:bCs/>
                <w:color w:val="000000"/>
                <w:sz w:val="20"/>
                <w:szCs w:val="20"/>
                <w:lang w:eastAsia="lv-LV"/>
              </w:rPr>
              <w:t>Resursi izdevumu segšanai</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b/>
                <w:bCs/>
                <w:sz w:val="20"/>
                <w:szCs w:val="20"/>
                <w:lang w:eastAsia="lv-LV"/>
              </w:rPr>
            </w:pPr>
            <w:r w:rsidRPr="003C3685">
              <w:rPr>
                <w:rFonts w:eastAsia="Times New Roman" w:cs="Times New Roman"/>
                <w:b/>
                <w:bCs/>
                <w:sz w:val="20"/>
                <w:szCs w:val="20"/>
                <w:lang w:eastAsia="lv-LV"/>
              </w:rPr>
              <w:t>914 693</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b/>
                <w:bCs/>
                <w:sz w:val="20"/>
                <w:szCs w:val="20"/>
                <w:lang w:eastAsia="lv-LV"/>
              </w:rPr>
            </w:pPr>
            <w:r w:rsidRPr="003C3685">
              <w:rPr>
                <w:rFonts w:eastAsia="Times New Roman" w:cs="Times New Roman"/>
                <w:b/>
                <w:bCs/>
                <w:sz w:val="20"/>
                <w:szCs w:val="20"/>
                <w:lang w:eastAsia="lv-LV"/>
              </w:rPr>
              <w:t>1 045 360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b/>
                <w:bCs/>
                <w:sz w:val="20"/>
                <w:szCs w:val="20"/>
                <w:lang w:eastAsia="lv-LV"/>
              </w:rPr>
            </w:pPr>
            <w:r w:rsidRPr="003C3685">
              <w:rPr>
                <w:rFonts w:eastAsia="Times New Roman" w:cs="Times New Roman"/>
                <w:b/>
                <w:bCs/>
                <w:sz w:val="20"/>
                <w:szCs w:val="20"/>
                <w:lang w:eastAsia="lv-LV"/>
              </w:rPr>
              <w:t>1 046 083</w:t>
            </w:r>
          </w:p>
        </w:tc>
        <w:tc>
          <w:tcPr>
            <w:tcW w:w="1044" w:type="dxa"/>
            <w:gridSpan w:val="2"/>
            <w:tcBorders>
              <w:top w:val="nil"/>
              <w:left w:val="nil"/>
              <w:bottom w:val="single" w:sz="4" w:space="0" w:color="auto"/>
              <w:right w:val="single" w:sz="4" w:space="0" w:color="auto"/>
            </w:tcBorders>
            <w:shd w:val="clear" w:color="auto" w:fill="auto"/>
            <w:vAlign w:val="bottom"/>
            <w:hideMark/>
          </w:tcPr>
          <w:p w:rsidR="006247F6" w:rsidRPr="003C3685" w:rsidRDefault="006247F6" w:rsidP="005C7D14">
            <w:pPr>
              <w:spacing w:after="0"/>
              <w:ind w:firstLine="0"/>
              <w:jc w:val="right"/>
              <w:rPr>
                <w:rFonts w:eastAsia="Times New Roman" w:cs="Times New Roman"/>
                <w:b/>
                <w:bCs/>
                <w:color w:val="000000"/>
                <w:sz w:val="20"/>
                <w:szCs w:val="20"/>
                <w:lang w:eastAsia="lv-LV"/>
              </w:rPr>
            </w:pPr>
            <w:r w:rsidRPr="003C3685">
              <w:rPr>
                <w:rFonts w:eastAsia="Times New Roman" w:cs="Times New Roman"/>
                <w:b/>
                <w:bCs/>
                <w:color w:val="000000"/>
                <w:sz w:val="20"/>
                <w:szCs w:val="20"/>
                <w:lang w:eastAsia="lv-LV"/>
              </w:rPr>
              <w:t>131 390</w:t>
            </w:r>
          </w:p>
        </w:tc>
        <w:tc>
          <w:tcPr>
            <w:tcW w:w="1044" w:type="dxa"/>
            <w:gridSpan w:val="2"/>
            <w:tcBorders>
              <w:top w:val="nil"/>
              <w:left w:val="nil"/>
              <w:bottom w:val="single" w:sz="4" w:space="0" w:color="auto"/>
              <w:right w:val="single" w:sz="4" w:space="0" w:color="auto"/>
            </w:tcBorders>
            <w:shd w:val="clear" w:color="auto" w:fill="auto"/>
            <w:vAlign w:val="bottom"/>
            <w:hideMark/>
          </w:tcPr>
          <w:p w:rsidR="006247F6" w:rsidRPr="003C3685" w:rsidRDefault="006247F6" w:rsidP="005C7D14">
            <w:pPr>
              <w:spacing w:after="0"/>
              <w:ind w:firstLine="0"/>
              <w:jc w:val="right"/>
              <w:rPr>
                <w:rFonts w:eastAsia="Times New Roman" w:cs="Times New Roman"/>
                <w:b/>
                <w:bCs/>
                <w:color w:val="000000"/>
                <w:sz w:val="20"/>
                <w:szCs w:val="20"/>
                <w:lang w:eastAsia="lv-LV"/>
              </w:rPr>
            </w:pPr>
            <w:r w:rsidRPr="003C3685">
              <w:rPr>
                <w:rFonts w:eastAsia="Times New Roman" w:cs="Times New Roman"/>
                <w:b/>
                <w:bCs/>
                <w:color w:val="000000"/>
                <w:sz w:val="20"/>
                <w:szCs w:val="20"/>
                <w:lang w:eastAsia="lv-LV"/>
              </w:rPr>
              <w:t>723</w:t>
            </w:r>
          </w:p>
        </w:tc>
        <w:tc>
          <w:tcPr>
            <w:tcW w:w="1151" w:type="dxa"/>
            <w:gridSpan w:val="2"/>
            <w:tcBorders>
              <w:top w:val="nil"/>
              <w:left w:val="nil"/>
              <w:bottom w:val="single" w:sz="4" w:space="0" w:color="auto"/>
              <w:right w:val="single" w:sz="4" w:space="0" w:color="auto"/>
            </w:tcBorders>
            <w:shd w:val="clear" w:color="auto" w:fill="auto"/>
            <w:vAlign w:val="bottom"/>
            <w:hideMark/>
          </w:tcPr>
          <w:p w:rsidR="006247F6" w:rsidRPr="003C3685" w:rsidRDefault="006247F6" w:rsidP="005C7D14">
            <w:pPr>
              <w:spacing w:after="0"/>
              <w:ind w:firstLine="0"/>
              <w:jc w:val="right"/>
              <w:rPr>
                <w:rFonts w:eastAsia="Times New Roman" w:cs="Times New Roman"/>
                <w:b/>
                <w:bCs/>
                <w:color w:val="000000"/>
                <w:sz w:val="20"/>
                <w:szCs w:val="20"/>
                <w:lang w:eastAsia="lv-LV"/>
              </w:rPr>
            </w:pPr>
            <w:r w:rsidRPr="003C3685">
              <w:rPr>
                <w:rFonts w:eastAsia="Times New Roman" w:cs="Times New Roman"/>
                <w:b/>
                <w:bCs/>
                <w:color w:val="000000"/>
                <w:sz w:val="20"/>
                <w:szCs w:val="20"/>
                <w:lang w:eastAsia="lv-LV"/>
              </w:rPr>
              <w:t>14,4</w:t>
            </w:r>
          </w:p>
        </w:tc>
        <w:tc>
          <w:tcPr>
            <w:tcW w:w="1127" w:type="dxa"/>
            <w:tcBorders>
              <w:top w:val="nil"/>
              <w:left w:val="nil"/>
              <w:bottom w:val="single" w:sz="4" w:space="0" w:color="auto"/>
              <w:right w:val="single" w:sz="4" w:space="0" w:color="auto"/>
            </w:tcBorders>
            <w:shd w:val="clear" w:color="auto" w:fill="auto"/>
            <w:vAlign w:val="bottom"/>
            <w:hideMark/>
          </w:tcPr>
          <w:p w:rsidR="006247F6" w:rsidRPr="003C3685" w:rsidRDefault="006247F6" w:rsidP="005C7D14">
            <w:pPr>
              <w:spacing w:after="0"/>
              <w:ind w:firstLine="0"/>
              <w:jc w:val="right"/>
              <w:rPr>
                <w:rFonts w:eastAsia="Times New Roman" w:cs="Times New Roman"/>
                <w:b/>
                <w:bCs/>
                <w:color w:val="000000"/>
                <w:sz w:val="20"/>
                <w:szCs w:val="20"/>
                <w:lang w:eastAsia="lv-LV"/>
              </w:rPr>
            </w:pPr>
            <w:r w:rsidRPr="003C3685">
              <w:rPr>
                <w:rFonts w:eastAsia="Times New Roman" w:cs="Times New Roman"/>
                <w:b/>
                <w:bCs/>
                <w:color w:val="000000"/>
                <w:sz w:val="20"/>
                <w:szCs w:val="20"/>
                <w:lang w:eastAsia="lv-LV"/>
              </w:rPr>
              <w:t>100,1</w:t>
            </w:r>
          </w:p>
        </w:tc>
      </w:tr>
      <w:tr w:rsidR="006247F6" w:rsidRPr="003C3685" w:rsidTr="005C7D14">
        <w:trPr>
          <w:gridBefore w:val="1"/>
          <w:gridAfter w:val="1"/>
          <w:wBefore w:w="464" w:type="dxa"/>
          <w:wAfter w:w="48" w:type="dxa"/>
          <w:trHeight w:val="792"/>
        </w:trPr>
        <w:tc>
          <w:tcPr>
            <w:tcW w:w="2142" w:type="dxa"/>
            <w:gridSpan w:val="2"/>
            <w:tcBorders>
              <w:top w:val="nil"/>
              <w:left w:val="single" w:sz="4" w:space="0" w:color="auto"/>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left"/>
              <w:rPr>
                <w:rFonts w:eastAsia="Times New Roman" w:cs="Times New Roman"/>
                <w:color w:val="000000"/>
                <w:sz w:val="20"/>
                <w:szCs w:val="20"/>
                <w:lang w:eastAsia="lv-LV"/>
              </w:rPr>
            </w:pPr>
            <w:r w:rsidRPr="003C3685">
              <w:rPr>
                <w:rFonts w:eastAsia="Times New Roman" w:cs="Times New Roman"/>
                <w:color w:val="000000"/>
                <w:sz w:val="20"/>
                <w:szCs w:val="20"/>
                <w:lang w:eastAsia="lv-LV"/>
              </w:rPr>
              <w:lastRenderedPageBreak/>
              <w:t>Ieņēmumi no maksas pakalpojumiem un citi pašu ieņēmumi</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sz w:val="20"/>
                <w:szCs w:val="20"/>
                <w:lang w:eastAsia="lv-LV"/>
              </w:rPr>
            </w:pPr>
            <w:r w:rsidRPr="003C3685">
              <w:rPr>
                <w:rFonts w:eastAsia="Times New Roman" w:cs="Times New Roman"/>
                <w:sz w:val="20"/>
                <w:szCs w:val="20"/>
                <w:lang w:eastAsia="lv-LV"/>
              </w:rPr>
              <w:t>21 204</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sz w:val="20"/>
                <w:szCs w:val="20"/>
                <w:lang w:eastAsia="lv-LV"/>
              </w:rPr>
            </w:pPr>
            <w:r w:rsidRPr="003C3685">
              <w:rPr>
                <w:rFonts w:eastAsia="Times New Roman" w:cs="Times New Roman"/>
                <w:sz w:val="20"/>
                <w:szCs w:val="20"/>
                <w:lang w:eastAsia="lv-LV"/>
              </w:rPr>
              <w:t>17 339</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sz w:val="20"/>
                <w:szCs w:val="20"/>
                <w:lang w:eastAsia="lv-LV"/>
              </w:rPr>
            </w:pPr>
            <w:r w:rsidRPr="003C3685">
              <w:rPr>
                <w:rFonts w:eastAsia="Times New Roman" w:cs="Times New Roman"/>
                <w:sz w:val="20"/>
                <w:szCs w:val="20"/>
                <w:lang w:eastAsia="lv-LV"/>
              </w:rPr>
              <w:t>18 045</w:t>
            </w:r>
          </w:p>
        </w:tc>
        <w:tc>
          <w:tcPr>
            <w:tcW w:w="1044" w:type="dxa"/>
            <w:gridSpan w:val="2"/>
            <w:tcBorders>
              <w:top w:val="nil"/>
              <w:left w:val="nil"/>
              <w:bottom w:val="single" w:sz="4" w:space="0" w:color="auto"/>
              <w:right w:val="single" w:sz="4" w:space="0" w:color="auto"/>
            </w:tcBorders>
            <w:shd w:val="clear" w:color="auto" w:fill="auto"/>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-3 159</w:t>
            </w:r>
          </w:p>
        </w:tc>
        <w:tc>
          <w:tcPr>
            <w:tcW w:w="1044" w:type="dxa"/>
            <w:gridSpan w:val="2"/>
            <w:tcBorders>
              <w:top w:val="nil"/>
              <w:left w:val="nil"/>
              <w:bottom w:val="single" w:sz="4" w:space="0" w:color="auto"/>
              <w:right w:val="single" w:sz="4" w:space="0" w:color="auto"/>
            </w:tcBorders>
            <w:shd w:val="clear" w:color="auto" w:fill="auto"/>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706</w:t>
            </w:r>
          </w:p>
        </w:tc>
        <w:tc>
          <w:tcPr>
            <w:tcW w:w="1151" w:type="dxa"/>
            <w:gridSpan w:val="2"/>
            <w:tcBorders>
              <w:top w:val="nil"/>
              <w:left w:val="nil"/>
              <w:bottom w:val="single" w:sz="4" w:space="0" w:color="auto"/>
              <w:right w:val="single" w:sz="4" w:space="0" w:color="auto"/>
            </w:tcBorders>
            <w:shd w:val="clear" w:color="auto" w:fill="auto"/>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-14,9</w:t>
            </w:r>
          </w:p>
        </w:tc>
        <w:tc>
          <w:tcPr>
            <w:tcW w:w="1127" w:type="dxa"/>
            <w:tcBorders>
              <w:top w:val="nil"/>
              <w:left w:val="nil"/>
              <w:bottom w:val="single" w:sz="4" w:space="0" w:color="auto"/>
              <w:right w:val="single" w:sz="4" w:space="0" w:color="auto"/>
            </w:tcBorders>
            <w:shd w:val="clear" w:color="auto" w:fill="auto"/>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104,1</w:t>
            </w:r>
          </w:p>
        </w:tc>
      </w:tr>
      <w:tr w:rsidR="006247F6" w:rsidRPr="003C3685" w:rsidTr="005C7D14">
        <w:trPr>
          <w:gridBefore w:val="1"/>
          <w:gridAfter w:val="1"/>
          <w:wBefore w:w="464" w:type="dxa"/>
          <w:wAfter w:w="48" w:type="dxa"/>
          <w:trHeight w:val="264"/>
        </w:trPr>
        <w:tc>
          <w:tcPr>
            <w:tcW w:w="2142" w:type="dxa"/>
            <w:gridSpan w:val="2"/>
            <w:tcBorders>
              <w:top w:val="nil"/>
              <w:left w:val="single" w:sz="4" w:space="0" w:color="auto"/>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left"/>
              <w:rPr>
                <w:rFonts w:eastAsia="Times New Roman" w:cs="Times New Roman"/>
                <w:color w:val="000000"/>
                <w:sz w:val="20"/>
                <w:szCs w:val="20"/>
                <w:lang w:eastAsia="lv-LV"/>
              </w:rPr>
            </w:pPr>
            <w:proofErr w:type="spellStart"/>
            <w:r w:rsidRPr="003C3685">
              <w:rPr>
                <w:rFonts w:eastAsia="Times New Roman" w:cs="Times New Roman"/>
                <w:color w:val="000000"/>
                <w:sz w:val="20"/>
                <w:szCs w:val="20"/>
                <w:lang w:eastAsia="lv-LV"/>
              </w:rPr>
              <w:t>Transferti</w:t>
            </w:r>
            <w:proofErr w:type="spellEnd"/>
          </w:p>
        </w:tc>
        <w:tc>
          <w:tcPr>
            <w:tcW w:w="1044" w:type="dxa"/>
            <w:gridSpan w:val="2"/>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sz w:val="20"/>
                <w:szCs w:val="20"/>
                <w:lang w:eastAsia="lv-LV"/>
              </w:rPr>
            </w:pPr>
            <w:r w:rsidRPr="003C3685">
              <w:rPr>
                <w:rFonts w:eastAsia="Times New Roman" w:cs="Times New Roman"/>
                <w:sz w:val="20"/>
                <w:szCs w:val="20"/>
                <w:lang w:eastAsia="lv-LV"/>
              </w:rPr>
              <w:t>3</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sz w:val="20"/>
                <w:szCs w:val="20"/>
                <w:lang w:eastAsia="lv-LV"/>
              </w:rPr>
            </w:pPr>
            <w:r w:rsidRPr="003C3685">
              <w:rPr>
                <w:rFonts w:eastAsia="Times New Roman" w:cs="Times New Roman"/>
                <w:sz w:val="20"/>
                <w:szCs w:val="20"/>
                <w:lang w:eastAsia="lv-LV"/>
              </w:rPr>
              <w:t>3</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sz w:val="20"/>
                <w:szCs w:val="20"/>
                <w:lang w:eastAsia="lv-LV"/>
              </w:rPr>
            </w:pPr>
            <w:r w:rsidRPr="003C3685">
              <w:rPr>
                <w:rFonts w:eastAsia="Times New Roman" w:cs="Times New Roman"/>
                <w:sz w:val="20"/>
                <w:szCs w:val="20"/>
                <w:lang w:eastAsia="lv-LV"/>
              </w:rPr>
              <w:t>20</w:t>
            </w:r>
          </w:p>
        </w:tc>
        <w:tc>
          <w:tcPr>
            <w:tcW w:w="1044" w:type="dxa"/>
            <w:gridSpan w:val="2"/>
            <w:tcBorders>
              <w:top w:val="nil"/>
              <w:left w:val="nil"/>
              <w:bottom w:val="single" w:sz="4" w:space="0" w:color="auto"/>
              <w:right w:val="single" w:sz="4" w:space="0" w:color="auto"/>
            </w:tcBorders>
            <w:shd w:val="clear" w:color="auto" w:fill="auto"/>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17</w:t>
            </w:r>
          </w:p>
        </w:tc>
        <w:tc>
          <w:tcPr>
            <w:tcW w:w="1044" w:type="dxa"/>
            <w:gridSpan w:val="2"/>
            <w:tcBorders>
              <w:top w:val="nil"/>
              <w:left w:val="nil"/>
              <w:bottom w:val="single" w:sz="4" w:space="0" w:color="auto"/>
              <w:right w:val="single" w:sz="4" w:space="0" w:color="auto"/>
            </w:tcBorders>
            <w:shd w:val="clear" w:color="auto" w:fill="auto"/>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17</w:t>
            </w:r>
          </w:p>
        </w:tc>
        <w:tc>
          <w:tcPr>
            <w:tcW w:w="1151" w:type="dxa"/>
            <w:gridSpan w:val="2"/>
            <w:tcBorders>
              <w:top w:val="nil"/>
              <w:left w:val="nil"/>
              <w:bottom w:val="single" w:sz="4" w:space="0" w:color="auto"/>
              <w:right w:val="single" w:sz="4" w:space="0" w:color="auto"/>
            </w:tcBorders>
            <w:shd w:val="clear" w:color="auto" w:fill="auto"/>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541,3</w:t>
            </w:r>
          </w:p>
        </w:tc>
        <w:tc>
          <w:tcPr>
            <w:tcW w:w="1127" w:type="dxa"/>
            <w:tcBorders>
              <w:top w:val="nil"/>
              <w:left w:val="nil"/>
              <w:bottom w:val="single" w:sz="4" w:space="0" w:color="auto"/>
              <w:right w:val="single" w:sz="4" w:space="0" w:color="auto"/>
            </w:tcBorders>
            <w:shd w:val="clear" w:color="auto" w:fill="auto"/>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601,3</w:t>
            </w:r>
          </w:p>
        </w:tc>
      </w:tr>
      <w:tr w:rsidR="006247F6" w:rsidRPr="003C3685" w:rsidTr="005C7D14">
        <w:trPr>
          <w:gridBefore w:val="1"/>
          <w:gridAfter w:val="1"/>
          <w:wBefore w:w="464" w:type="dxa"/>
          <w:wAfter w:w="48" w:type="dxa"/>
          <w:trHeight w:val="528"/>
        </w:trPr>
        <w:tc>
          <w:tcPr>
            <w:tcW w:w="2142" w:type="dxa"/>
            <w:gridSpan w:val="2"/>
            <w:tcBorders>
              <w:top w:val="nil"/>
              <w:left w:val="single" w:sz="4" w:space="0" w:color="auto"/>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left"/>
              <w:rPr>
                <w:rFonts w:eastAsia="Times New Roman" w:cs="Times New Roman"/>
                <w:color w:val="000000"/>
                <w:sz w:val="20"/>
                <w:szCs w:val="20"/>
                <w:lang w:eastAsia="lv-LV"/>
              </w:rPr>
            </w:pPr>
            <w:r w:rsidRPr="003C3685">
              <w:rPr>
                <w:rFonts w:eastAsia="Times New Roman" w:cs="Times New Roman"/>
                <w:color w:val="000000"/>
                <w:sz w:val="20"/>
                <w:szCs w:val="20"/>
                <w:lang w:eastAsia="lv-LV"/>
              </w:rPr>
              <w:t>Dotācija no vispārējiem ieņēmumiem</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sz w:val="20"/>
                <w:szCs w:val="20"/>
                <w:lang w:eastAsia="lv-LV"/>
              </w:rPr>
            </w:pPr>
            <w:r w:rsidRPr="003C3685">
              <w:rPr>
                <w:rFonts w:eastAsia="Times New Roman" w:cs="Times New Roman"/>
                <w:sz w:val="20"/>
                <w:szCs w:val="20"/>
                <w:lang w:eastAsia="lv-LV"/>
              </w:rPr>
              <w:t>893 486</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sz w:val="20"/>
                <w:szCs w:val="20"/>
                <w:lang w:eastAsia="lv-LV"/>
              </w:rPr>
            </w:pPr>
            <w:r w:rsidRPr="003C3685">
              <w:rPr>
                <w:rFonts w:eastAsia="Times New Roman" w:cs="Times New Roman"/>
                <w:sz w:val="20"/>
                <w:szCs w:val="20"/>
                <w:lang w:eastAsia="lv-LV"/>
              </w:rPr>
              <w:t>1 028 018</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sz w:val="20"/>
                <w:szCs w:val="20"/>
                <w:lang w:eastAsia="lv-LV"/>
              </w:rPr>
            </w:pPr>
            <w:r w:rsidRPr="003C3685">
              <w:rPr>
                <w:rFonts w:eastAsia="Times New Roman" w:cs="Times New Roman"/>
                <w:sz w:val="20"/>
                <w:szCs w:val="20"/>
                <w:lang w:eastAsia="lv-LV"/>
              </w:rPr>
              <w:t>1 028 018</w:t>
            </w:r>
          </w:p>
        </w:tc>
        <w:tc>
          <w:tcPr>
            <w:tcW w:w="1044" w:type="dxa"/>
            <w:gridSpan w:val="2"/>
            <w:tcBorders>
              <w:top w:val="nil"/>
              <w:left w:val="nil"/>
              <w:bottom w:val="single" w:sz="4" w:space="0" w:color="auto"/>
              <w:right w:val="single" w:sz="4" w:space="0" w:color="auto"/>
            </w:tcBorders>
            <w:shd w:val="clear" w:color="auto" w:fill="auto"/>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134 533</w:t>
            </w:r>
          </w:p>
        </w:tc>
        <w:tc>
          <w:tcPr>
            <w:tcW w:w="1044" w:type="dxa"/>
            <w:gridSpan w:val="2"/>
            <w:tcBorders>
              <w:top w:val="nil"/>
              <w:left w:val="nil"/>
              <w:bottom w:val="single" w:sz="4" w:space="0" w:color="auto"/>
              <w:right w:val="single" w:sz="4" w:space="0" w:color="auto"/>
            </w:tcBorders>
            <w:shd w:val="clear" w:color="auto" w:fill="auto"/>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0</w:t>
            </w:r>
          </w:p>
        </w:tc>
        <w:tc>
          <w:tcPr>
            <w:tcW w:w="1151" w:type="dxa"/>
            <w:gridSpan w:val="2"/>
            <w:tcBorders>
              <w:top w:val="nil"/>
              <w:left w:val="nil"/>
              <w:bottom w:val="single" w:sz="4" w:space="0" w:color="auto"/>
              <w:right w:val="single" w:sz="4" w:space="0" w:color="auto"/>
            </w:tcBorders>
            <w:shd w:val="clear" w:color="auto" w:fill="auto"/>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15,1</w:t>
            </w:r>
          </w:p>
        </w:tc>
        <w:tc>
          <w:tcPr>
            <w:tcW w:w="1127" w:type="dxa"/>
            <w:tcBorders>
              <w:top w:val="nil"/>
              <w:left w:val="nil"/>
              <w:bottom w:val="single" w:sz="4" w:space="0" w:color="auto"/>
              <w:right w:val="single" w:sz="4" w:space="0" w:color="auto"/>
            </w:tcBorders>
            <w:shd w:val="clear" w:color="auto" w:fill="auto"/>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100,0</w:t>
            </w:r>
          </w:p>
        </w:tc>
      </w:tr>
      <w:tr w:rsidR="006247F6" w:rsidRPr="003C3685" w:rsidTr="005C7D14">
        <w:trPr>
          <w:gridBefore w:val="1"/>
          <w:gridAfter w:val="1"/>
          <w:wBefore w:w="464" w:type="dxa"/>
          <w:wAfter w:w="48" w:type="dxa"/>
          <w:trHeight w:val="264"/>
        </w:trPr>
        <w:tc>
          <w:tcPr>
            <w:tcW w:w="2142" w:type="dxa"/>
            <w:gridSpan w:val="2"/>
            <w:tcBorders>
              <w:top w:val="nil"/>
              <w:left w:val="single" w:sz="4" w:space="0" w:color="auto"/>
              <w:bottom w:val="nil"/>
              <w:right w:val="single" w:sz="4" w:space="0" w:color="auto"/>
            </w:tcBorders>
            <w:shd w:val="clear" w:color="000000" w:fill="FFFFFF"/>
            <w:vAlign w:val="center"/>
            <w:hideMark/>
          </w:tcPr>
          <w:p w:rsidR="006247F6" w:rsidRPr="003C3685" w:rsidRDefault="006247F6" w:rsidP="005C7D14">
            <w:pPr>
              <w:spacing w:after="0"/>
              <w:ind w:firstLine="0"/>
              <w:jc w:val="left"/>
              <w:rPr>
                <w:rFonts w:eastAsia="Times New Roman" w:cs="Times New Roman"/>
                <w:b/>
                <w:bCs/>
                <w:color w:val="000000"/>
                <w:sz w:val="20"/>
                <w:szCs w:val="20"/>
                <w:lang w:eastAsia="lv-LV"/>
              </w:rPr>
            </w:pPr>
            <w:r w:rsidRPr="003C3685">
              <w:rPr>
                <w:rFonts w:eastAsia="Times New Roman" w:cs="Times New Roman"/>
                <w:b/>
                <w:bCs/>
                <w:color w:val="000000"/>
                <w:sz w:val="20"/>
                <w:szCs w:val="20"/>
                <w:lang w:eastAsia="lv-LV"/>
              </w:rPr>
              <w:t>Izdevumi – kopā</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b/>
                <w:bCs/>
                <w:sz w:val="20"/>
                <w:szCs w:val="20"/>
                <w:lang w:eastAsia="lv-LV"/>
              </w:rPr>
            </w:pPr>
            <w:r w:rsidRPr="003C3685">
              <w:rPr>
                <w:rFonts w:eastAsia="Times New Roman" w:cs="Times New Roman"/>
                <w:b/>
                <w:bCs/>
                <w:sz w:val="20"/>
                <w:szCs w:val="20"/>
                <w:lang w:eastAsia="lv-LV"/>
              </w:rPr>
              <w:t>884 405</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b/>
                <w:bCs/>
                <w:sz w:val="20"/>
                <w:szCs w:val="20"/>
                <w:lang w:eastAsia="lv-LV"/>
              </w:rPr>
            </w:pPr>
            <w:r w:rsidRPr="003C3685">
              <w:rPr>
                <w:rFonts w:eastAsia="Times New Roman" w:cs="Times New Roman"/>
                <w:b/>
                <w:bCs/>
                <w:sz w:val="20"/>
                <w:szCs w:val="20"/>
                <w:lang w:eastAsia="lv-LV"/>
              </w:rPr>
              <w:t>1 000 540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b/>
                <w:bCs/>
                <w:sz w:val="20"/>
                <w:szCs w:val="20"/>
                <w:lang w:eastAsia="lv-LV"/>
              </w:rPr>
            </w:pPr>
            <w:r w:rsidRPr="003C3685">
              <w:rPr>
                <w:rFonts w:eastAsia="Times New Roman" w:cs="Times New Roman"/>
                <w:b/>
                <w:bCs/>
                <w:sz w:val="20"/>
                <w:szCs w:val="20"/>
                <w:lang w:eastAsia="lv-LV"/>
              </w:rPr>
              <w:t>977 141</w:t>
            </w:r>
          </w:p>
        </w:tc>
        <w:tc>
          <w:tcPr>
            <w:tcW w:w="1044" w:type="dxa"/>
            <w:gridSpan w:val="2"/>
            <w:tcBorders>
              <w:top w:val="nil"/>
              <w:left w:val="nil"/>
              <w:bottom w:val="single" w:sz="4" w:space="0" w:color="auto"/>
              <w:right w:val="single" w:sz="4" w:space="0" w:color="auto"/>
            </w:tcBorders>
            <w:shd w:val="clear" w:color="auto" w:fill="auto"/>
            <w:vAlign w:val="bottom"/>
            <w:hideMark/>
          </w:tcPr>
          <w:p w:rsidR="006247F6" w:rsidRPr="003C3685" w:rsidRDefault="006247F6" w:rsidP="005C7D14">
            <w:pPr>
              <w:spacing w:after="0"/>
              <w:ind w:firstLine="0"/>
              <w:jc w:val="right"/>
              <w:rPr>
                <w:rFonts w:eastAsia="Times New Roman" w:cs="Times New Roman"/>
                <w:b/>
                <w:bCs/>
                <w:color w:val="000000"/>
                <w:sz w:val="20"/>
                <w:szCs w:val="20"/>
                <w:lang w:eastAsia="lv-LV"/>
              </w:rPr>
            </w:pPr>
            <w:r w:rsidRPr="003C3685">
              <w:rPr>
                <w:rFonts w:eastAsia="Times New Roman" w:cs="Times New Roman"/>
                <w:b/>
                <w:bCs/>
                <w:color w:val="000000"/>
                <w:sz w:val="20"/>
                <w:szCs w:val="20"/>
                <w:lang w:eastAsia="lv-LV"/>
              </w:rPr>
              <w:t>92 736</w:t>
            </w:r>
          </w:p>
        </w:tc>
        <w:tc>
          <w:tcPr>
            <w:tcW w:w="1044" w:type="dxa"/>
            <w:gridSpan w:val="2"/>
            <w:tcBorders>
              <w:top w:val="nil"/>
              <w:left w:val="nil"/>
              <w:bottom w:val="single" w:sz="4" w:space="0" w:color="auto"/>
              <w:right w:val="single" w:sz="4" w:space="0" w:color="auto"/>
            </w:tcBorders>
            <w:shd w:val="clear" w:color="auto" w:fill="auto"/>
            <w:vAlign w:val="bottom"/>
            <w:hideMark/>
          </w:tcPr>
          <w:p w:rsidR="006247F6" w:rsidRPr="003C3685" w:rsidRDefault="006247F6" w:rsidP="005C7D14">
            <w:pPr>
              <w:spacing w:after="0"/>
              <w:ind w:firstLine="0"/>
              <w:jc w:val="right"/>
              <w:rPr>
                <w:rFonts w:eastAsia="Times New Roman" w:cs="Times New Roman"/>
                <w:b/>
                <w:bCs/>
                <w:color w:val="000000"/>
                <w:sz w:val="20"/>
                <w:szCs w:val="20"/>
                <w:lang w:eastAsia="lv-LV"/>
              </w:rPr>
            </w:pPr>
            <w:r w:rsidRPr="003C3685">
              <w:rPr>
                <w:rFonts w:eastAsia="Times New Roman" w:cs="Times New Roman"/>
                <w:b/>
                <w:bCs/>
                <w:color w:val="000000"/>
                <w:sz w:val="20"/>
                <w:szCs w:val="20"/>
                <w:lang w:eastAsia="lv-LV"/>
              </w:rPr>
              <w:t>-23 399</w:t>
            </w:r>
          </w:p>
        </w:tc>
        <w:tc>
          <w:tcPr>
            <w:tcW w:w="1151" w:type="dxa"/>
            <w:gridSpan w:val="2"/>
            <w:tcBorders>
              <w:top w:val="nil"/>
              <w:left w:val="nil"/>
              <w:bottom w:val="single" w:sz="4" w:space="0" w:color="auto"/>
              <w:right w:val="single" w:sz="4" w:space="0" w:color="auto"/>
            </w:tcBorders>
            <w:shd w:val="clear" w:color="auto" w:fill="auto"/>
            <w:vAlign w:val="bottom"/>
            <w:hideMark/>
          </w:tcPr>
          <w:p w:rsidR="006247F6" w:rsidRPr="003C3685" w:rsidRDefault="006247F6" w:rsidP="005C7D14">
            <w:pPr>
              <w:spacing w:after="0"/>
              <w:ind w:firstLine="0"/>
              <w:jc w:val="right"/>
              <w:rPr>
                <w:rFonts w:eastAsia="Times New Roman" w:cs="Times New Roman"/>
                <w:b/>
                <w:bCs/>
                <w:color w:val="000000"/>
                <w:sz w:val="20"/>
                <w:szCs w:val="20"/>
                <w:lang w:eastAsia="lv-LV"/>
              </w:rPr>
            </w:pPr>
            <w:r w:rsidRPr="003C3685">
              <w:rPr>
                <w:rFonts w:eastAsia="Times New Roman" w:cs="Times New Roman"/>
                <w:b/>
                <w:bCs/>
                <w:color w:val="000000"/>
                <w:sz w:val="20"/>
                <w:szCs w:val="20"/>
                <w:lang w:eastAsia="lv-LV"/>
              </w:rPr>
              <w:t>10,5</w:t>
            </w:r>
          </w:p>
        </w:tc>
        <w:tc>
          <w:tcPr>
            <w:tcW w:w="1127" w:type="dxa"/>
            <w:tcBorders>
              <w:top w:val="nil"/>
              <w:left w:val="nil"/>
              <w:bottom w:val="single" w:sz="4" w:space="0" w:color="auto"/>
              <w:right w:val="single" w:sz="4" w:space="0" w:color="auto"/>
            </w:tcBorders>
            <w:shd w:val="clear" w:color="auto" w:fill="auto"/>
            <w:vAlign w:val="bottom"/>
            <w:hideMark/>
          </w:tcPr>
          <w:p w:rsidR="006247F6" w:rsidRPr="003C3685" w:rsidRDefault="006247F6" w:rsidP="005C7D14">
            <w:pPr>
              <w:spacing w:after="0"/>
              <w:ind w:firstLine="0"/>
              <w:jc w:val="right"/>
              <w:rPr>
                <w:rFonts w:eastAsia="Times New Roman" w:cs="Times New Roman"/>
                <w:b/>
                <w:bCs/>
                <w:color w:val="000000"/>
                <w:sz w:val="20"/>
                <w:szCs w:val="20"/>
                <w:lang w:eastAsia="lv-LV"/>
              </w:rPr>
            </w:pPr>
            <w:r w:rsidRPr="003C3685">
              <w:rPr>
                <w:rFonts w:eastAsia="Times New Roman" w:cs="Times New Roman"/>
                <w:b/>
                <w:bCs/>
                <w:color w:val="000000"/>
                <w:sz w:val="20"/>
                <w:szCs w:val="20"/>
                <w:lang w:eastAsia="lv-LV"/>
              </w:rPr>
              <w:t>97,7</w:t>
            </w:r>
          </w:p>
        </w:tc>
      </w:tr>
      <w:tr w:rsidR="006247F6" w:rsidRPr="003C3685" w:rsidTr="005C7D14">
        <w:trPr>
          <w:gridBefore w:val="1"/>
          <w:gridAfter w:val="1"/>
          <w:wBefore w:w="464" w:type="dxa"/>
          <w:wAfter w:w="48" w:type="dxa"/>
          <w:trHeight w:val="264"/>
        </w:trPr>
        <w:tc>
          <w:tcPr>
            <w:tcW w:w="214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left"/>
              <w:rPr>
                <w:rFonts w:eastAsia="Times New Roman" w:cs="Times New Roman"/>
                <w:color w:val="000000"/>
                <w:sz w:val="20"/>
                <w:szCs w:val="20"/>
                <w:lang w:eastAsia="lv-LV"/>
              </w:rPr>
            </w:pPr>
            <w:r w:rsidRPr="003C3685">
              <w:rPr>
                <w:rFonts w:eastAsia="Times New Roman" w:cs="Times New Roman"/>
                <w:color w:val="000000"/>
                <w:sz w:val="20"/>
                <w:szCs w:val="20"/>
                <w:lang w:eastAsia="lv-LV"/>
              </w:rPr>
              <w:t>Atlīdzība</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sz w:val="20"/>
                <w:szCs w:val="20"/>
                <w:lang w:eastAsia="lv-LV"/>
              </w:rPr>
            </w:pPr>
            <w:r w:rsidRPr="003C3685">
              <w:rPr>
                <w:rFonts w:eastAsia="Times New Roman" w:cs="Times New Roman"/>
                <w:sz w:val="20"/>
                <w:szCs w:val="20"/>
                <w:lang w:eastAsia="lv-LV"/>
              </w:rPr>
              <w:t>148 268</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sz w:val="20"/>
                <w:szCs w:val="20"/>
                <w:lang w:eastAsia="lv-LV"/>
              </w:rPr>
            </w:pPr>
            <w:r w:rsidRPr="003C3685">
              <w:rPr>
                <w:rFonts w:eastAsia="Times New Roman" w:cs="Times New Roman"/>
                <w:sz w:val="20"/>
                <w:szCs w:val="20"/>
                <w:lang w:eastAsia="lv-LV"/>
              </w:rPr>
              <w:t>171 921</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sz w:val="20"/>
                <w:szCs w:val="20"/>
                <w:lang w:eastAsia="lv-LV"/>
              </w:rPr>
            </w:pPr>
            <w:r w:rsidRPr="003C3685">
              <w:rPr>
                <w:rFonts w:eastAsia="Times New Roman" w:cs="Times New Roman"/>
                <w:sz w:val="20"/>
                <w:szCs w:val="20"/>
                <w:lang w:eastAsia="lv-LV"/>
              </w:rPr>
              <w:t>166 803</w:t>
            </w:r>
          </w:p>
        </w:tc>
        <w:tc>
          <w:tcPr>
            <w:tcW w:w="1044" w:type="dxa"/>
            <w:gridSpan w:val="2"/>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18 535</w:t>
            </w:r>
          </w:p>
        </w:tc>
        <w:tc>
          <w:tcPr>
            <w:tcW w:w="1044" w:type="dxa"/>
            <w:gridSpan w:val="2"/>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-5 118</w:t>
            </w:r>
          </w:p>
        </w:tc>
        <w:tc>
          <w:tcPr>
            <w:tcW w:w="1151" w:type="dxa"/>
            <w:gridSpan w:val="2"/>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12,5</w:t>
            </w:r>
          </w:p>
        </w:tc>
        <w:tc>
          <w:tcPr>
            <w:tcW w:w="1127" w:type="dxa"/>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97,0</w:t>
            </w:r>
          </w:p>
        </w:tc>
      </w:tr>
      <w:tr w:rsidR="006247F6" w:rsidRPr="003C3685" w:rsidTr="005C7D14">
        <w:trPr>
          <w:gridBefore w:val="1"/>
          <w:gridAfter w:val="1"/>
          <w:wBefore w:w="464" w:type="dxa"/>
          <w:wAfter w:w="48" w:type="dxa"/>
          <w:trHeight w:val="264"/>
        </w:trPr>
        <w:tc>
          <w:tcPr>
            <w:tcW w:w="2142" w:type="dxa"/>
            <w:gridSpan w:val="2"/>
            <w:tcBorders>
              <w:top w:val="nil"/>
              <w:left w:val="single" w:sz="4" w:space="0" w:color="auto"/>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left"/>
              <w:rPr>
                <w:rFonts w:eastAsia="Times New Roman" w:cs="Times New Roman"/>
                <w:i/>
                <w:iCs/>
                <w:color w:val="000000"/>
                <w:sz w:val="20"/>
                <w:szCs w:val="20"/>
                <w:lang w:eastAsia="lv-LV"/>
              </w:rPr>
            </w:pPr>
            <w:r w:rsidRPr="003C3685">
              <w:rPr>
                <w:rFonts w:eastAsia="Times New Roman" w:cs="Times New Roman"/>
                <w:i/>
                <w:iCs/>
                <w:color w:val="000000"/>
                <w:sz w:val="20"/>
                <w:szCs w:val="20"/>
                <w:lang w:eastAsia="lv-LV"/>
              </w:rPr>
              <w:t>t.sk. atalgojums</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sz w:val="20"/>
                <w:szCs w:val="20"/>
                <w:lang w:eastAsia="lv-LV"/>
              </w:rPr>
            </w:pPr>
            <w:r w:rsidRPr="003C3685">
              <w:rPr>
                <w:rFonts w:eastAsia="Times New Roman" w:cs="Times New Roman"/>
                <w:sz w:val="20"/>
                <w:szCs w:val="20"/>
                <w:lang w:eastAsia="lv-LV"/>
              </w:rPr>
              <w:t>111 143</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sz w:val="20"/>
                <w:szCs w:val="20"/>
                <w:lang w:eastAsia="lv-LV"/>
              </w:rPr>
            </w:pPr>
            <w:r w:rsidRPr="003C3685">
              <w:rPr>
                <w:rFonts w:eastAsia="Times New Roman" w:cs="Times New Roman"/>
                <w:sz w:val="20"/>
                <w:szCs w:val="20"/>
                <w:lang w:eastAsia="lv-LV"/>
              </w:rPr>
              <w:t>127 696</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sz w:val="20"/>
                <w:szCs w:val="20"/>
                <w:lang w:eastAsia="lv-LV"/>
              </w:rPr>
            </w:pPr>
            <w:r w:rsidRPr="003C3685">
              <w:rPr>
                <w:rFonts w:eastAsia="Times New Roman" w:cs="Times New Roman"/>
                <w:sz w:val="20"/>
                <w:szCs w:val="20"/>
                <w:lang w:eastAsia="lv-LV"/>
              </w:rPr>
              <w:t>124 195</w:t>
            </w:r>
          </w:p>
        </w:tc>
        <w:tc>
          <w:tcPr>
            <w:tcW w:w="1044" w:type="dxa"/>
            <w:gridSpan w:val="2"/>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13 052</w:t>
            </w:r>
          </w:p>
        </w:tc>
        <w:tc>
          <w:tcPr>
            <w:tcW w:w="1044" w:type="dxa"/>
            <w:gridSpan w:val="2"/>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-3 501</w:t>
            </w:r>
          </w:p>
        </w:tc>
        <w:tc>
          <w:tcPr>
            <w:tcW w:w="1151" w:type="dxa"/>
            <w:gridSpan w:val="2"/>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11,7</w:t>
            </w:r>
          </w:p>
        </w:tc>
        <w:tc>
          <w:tcPr>
            <w:tcW w:w="1127" w:type="dxa"/>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97,3</w:t>
            </w:r>
          </w:p>
        </w:tc>
      </w:tr>
    </w:tbl>
    <w:p w:rsidR="006247F6" w:rsidRDefault="006247F6" w:rsidP="006247F6">
      <w:pPr>
        <w:ind w:firstLine="0"/>
        <w:rPr>
          <w:rFonts w:eastAsia="Times New Roman"/>
          <w:sz w:val="24"/>
          <w:szCs w:val="24"/>
          <w:lang w:eastAsia="lv-LV"/>
        </w:rPr>
      </w:pPr>
    </w:p>
    <w:p w:rsidR="006247F6" w:rsidRPr="00D44AAF" w:rsidRDefault="006247F6" w:rsidP="00D44AAF">
      <w:pPr>
        <w:rPr>
          <w:rFonts w:cs="Times New Roman"/>
          <w:b/>
          <w:i/>
          <w:sz w:val="24"/>
        </w:rPr>
      </w:pPr>
      <w:r w:rsidRPr="00D44AAF">
        <w:rPr>
          <w:rFonts w:cs="Times New Roman"/>
          <w:b/>
          <w:i/>
          <w:sz w:val="24"/>
        </w:rPr>
        <w:t>9.2. tabula. Eiropas Savienības politiku instrumentu un pārējās ārvalstu finanšu palīdzības līdzfinansēto un finansēto projektu un pasākumu īstenošana</w:t>
      </w:r>
    </w:p>
    <w:tbl>
      <w:tblPr>
        <w:tblW w:w="9640" w:type="dxa"/>
        <w:tblLook w:val="04A0" w:firstRow="1" w:lastRow="0" w:firstColumn="1" w:lastColumn="0" w:noHBand="0" w:noVBand="1"/>
      </w:tblPr>
      <w:tblGrid>
        <w:gridCol w:w="2142"/>
        <w:gridCol w:w="1044"/>
        <w:gridCol w:w="1044"/>
        <w:gridCol w:w="1044"/>
        <w:gridCol w:w="1044"/>
        <w:gridCol w:w="1044"/>
        <w:gridCol w:w="1151"/>
        <w:gridCol w:w="1127"/>
      </w:tblGrid>
      <w:tr w:rsidR="006247F6" w:rsidRPr="003C3685" w:rsidTr="005C7D14">
        <w:trPr>
          <w:trHeight w:val="2640"/>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47F6" w:rsidRPr="003C3685" w:rsidRDefault="006247F6" w:rsidP="005C7D14">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Finansiālie rādītāji</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2013.gada 3 mēnešu izpilde</w:t>
            </w:r>
            <w:r w:rsidRPr="003C3685">
              <w:rPr>
                <w:rFonts w:eastAsia="Times New Roman" w:cs="Times New Roman"/>
                <w:color w:val="000000"/>
                <w:sz w:val="20"/>
                <w:szCs w:val="20"/>
                <w:lang w:eastAsia="lv-LV"/>
              </w:rPr>
              <w:br/>
              <w:t xml:space="preserve">(tūkstošos </w:t>
            </w:r>
            <w:proofErr w:type="spellStart"/>
            <w:r w:rsidRPr="003C3685">
              <w:rPr>
                <w:rFonts w:eastAsia="Times New Roman" w:cs="Times New Roman"/>
                <w:i/>
                <w:iCs/>
                <w:color w:val="000000"/>
                <w:sz w:val="20"/>
                <w:szCs w:val="20"/>
                <w:lang w:eastAsia="lv-LV"/>
              </w:rPr>
              <w:t>euro</w:t>
            </w:r>
            <w:proofErr w:type="spellEnd"/>
            <w:r w:rsidRPr="003C3685">
              <w:rPr>
                <w:rFonts w:eastAsia="Times New Roman" w:cs="Times New Roman"/>
                <w:color w:val="000000"/>
                <w:sz w:val="20"/>
                <w:szCs w:val="20"/>
                <w:lang w:eastAsia="lv-LV"/>
              </w:rPr>
              <w:t>)</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2014.gada 3 mēnešu plāns</w:t>
            </w:r>
            <w:r w:rsidRPr="003C3685">
              <w:rPr>
                <w:rFonts w:eastAsia="Times New Roman" w:cs="Times New Roman"/>
                <w:color w:val="000000"/>
                <w:sz w:val="20"/>
                <w:szCs w:val="20"/>
                <w:lang w:eastAsia="lv-LV"/>
              </w:rPr>
              <w:br/>
              <w:t>(tūkstošos</w:t>
            </w:r>
            <w:r w:rsidRPr="003C3685">
              <w:rPr>
                <w:rFonts w:eastAsia="Times New Roman" w:cs="Times New Roman"/>
                <w:i/>
                <w:iCs/>
                <w:color w:val="000000"/>
                <w:sz w:val="20"/>
                <w:szCs w:val="20"/>
                <w:lang w:eastAsia="lv-LV"/>
              </w:rPr>
              <w:t xml:space="preserve"> </w:t>
            </w:r>
            <w:proofErr w:type="spellStart"/>
            <w:r w:rsidRPr="003C3685">
              <w:rPr>
                <w:rFonts w:eastAsia="Times New Roman" w:cs="Times New Roman"/>
                <w:i/>
                <w:iCs/>
                <w:color w:val="000000"/>
                <w:sz w:val="20"/>
                <w:szCs w:val="20"/>
                <w:lang w:eastAsia="lv-LV"/>
              </w:rPr>
              <w:t>euro</w:t>
            </w:r>
            <w:proofErr w:type="spellEnd"/>
            <w:r w:rsidRPr="003C3685">
              <w:rPr>
                <w:rFonts w:eastAsia="Times New Roman" w:cs="Times New Roman"/>
                <w:color w:val="000000"/>
                <w:sz w:val="20"/>
                <w:szCs w:val="20"/>
                <w:lang w:eastAsia="lv-LV"/>
              </w:rPr>
              <w:t>)</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2014.gada 3 mēnešu izpilde</w:t>
            </w:r>
            <w:r w:rsidRPr="003C3685">
              <w:rPr>
                <w:rFonts w:eastAsia="Times New Roman" w:cs="Times New Roman"/>
                <w:color w:val="000000"/>
                <w:sz w:val="20"/>
                <w:szCs w:val="20"/>
                <w:lang w:eastAsia="lv-LV"/>
              </w:rPr>
              <w:br/>
              <w:t xml:space="preserve">(tūkstošos </w:t>
            </w:r>
            <w:proofErr w:type="spellStart"/>
            <w:r w:rsidRPr="003C3685">
              <w:rPr>
                <w:rFonts w:eastAsia="Times New Roman" w:cs="Times New Roman"/>
                <w:i/>
                <w:iCs/>
                <w:color w:val="000000"/>
                <w:sz w:val="20"/>
                <w:szCs w:val="20"/>
                <w:lang w:eastAsia="lv-LV"/>
              </w:rPr>
              <w:t>euro</w:t>
            </w:r>
            <w:proofErr w:type="spellEnd"/>
            <w:r w:rsidRPr="003C3685">
              <w:rPr>
                <w:rFonts w:eastAsia="Times New Roman" w:cs="Times New Roman"/>
                <w:color w:val="000000"/>
                <w:sz w:val="20"/>
                <w:szCs w:val="20"/>
                <w:lang w:eastAsia="lv-LV"/>
              </w:rPr>
              <w:t>)</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2014.gada 3 mēnešu izpildes izmaiņas (+,–) pret 2013.gada 3 mēnešu izpildi</w:t>
            </w:r>
            <w:r w:rsidRPr="003C3685">
              <w:rPr>
                <w:rFonts w:eastAsia="Times New Roman" w:cs="Times New Roman"/>
                <w:color w:val="000000"/>
                <w:sz w:val="20"/>
                <w:szCs w:val="20"/>
                <w:lang w:eastAsia="lv-LV"/>
              </w:rPr>
              <w:br/>
              <w:t xml:space="preserve">(tūkstošos </w:t>
            </w:r>
            <w:proofErr w:type="spellStart"/>
            <w:r w:rsidRPr="003C3685">
              <w:rPr>
                <w:rFonts w:eastAsia="Times New Roman" w:cs="Times New Roman"/>
                <w:i/>
                <w:iCs/>
                <w:color w:val="000000"/>
                <w:sz w:val="20"/>
                <w:szCs w:val="20"/>
                <w:lang w:eastAsia="lv-LV"/>
              </w:rPr>
              <w:t>euro</w:t>
            </w:r>
            <w:proofErr w:type="spellEnd"/>
            <w:r w:rsidRPr="003C3685">
              <w:rPr>
                <w:rFonts w:eastAsia="Times New Roman" w:cs="Times New Roman"/>
                <w:color w:val="000000"/>
                <w:sz w:val="20"/>
                <w:szCs w:val="20"/>
                <w:lang w:eastAsia="lv-LV"/>
              </w:rPr>
              <w:t>)</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2014.gada 3 mēnešu izpilde (+,–) pret 2014.gada 3 mēnešu plānu</w:t>
            </w:r>
            <w:r w:rsidRPr="003C3685">
              <w:rPr>
                <w:rFonts w:eastAsia="Times New Roman" w:cs="Times New Roman"/>
                <w:color w:val="000000"/>
                <w:sz w:val="20"/>
                <w:szCs w:val="20"/>
                <w:lang w:eastAsia="lv-LV"/>
              </w:rPr>
              <w:br/>
              <w:t xml:space="preserve">(tūkstošos </w:t>
            </w:r>
            <w:proofErr w:type="spellStart"/>
            <w:r w:rsidRPr="003C3685">
              <w:rPr>
                <w:rFonts w:eastAsia="Times New Roman" w:cs="Times New Roman"/>
                <w:i/>
                <w:iCs/>
                <w:color w:val="000000"/>
                <w:sz w:val="20"/>
                <w:szCs w:val="20"/>
                <w:lang w:eastAsia="lv-LV"/>
              </w:rPr>
              <w:t>euro</w:t>
            </w:r>
            <w:proofErr w:type="spellEnd"/>
            <w:r w:rsidRPr="003C3685">
              <w:rPr>
                <w:rFonts w:eastAsia="Times New Roman" w:cs="Times New Roman"/>
                <w:color w:val="000000"/>
                <w:sz w:val="20"/>
                <w:szCs w:val="20"/>
                <w:lang w:eastAsia="lv-LV"/>
              </w:rPr>
              <w:t>)</w:t>
            </w:r>
          </w:p>
        </w:tc>
        <w:tc>
          <w:tcPr>
            <w:tcW w:w="1040" w:type="dxa"/>
            <w:tcBorders>
              <w:top w:val="single" w:sz="4" w:space="0" w:color="auto"/>
              <w:left w:val="nil"/>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2014.gada 3 mēnešu izpildes izmaiņas (+,–) pret 2013.gada 3 mēnešu izpildi</w:t>
            </w:r>
            <w:r w:rsidRPr="003C3685">
              <w:rPr>
                <w:rFonts w:eastAsia="Times New Roman" w:cs="Times New Roman"/>
                <w:color w:val="000000"/>
                <w:sz w:val="20"/>
                <w:szCs w:val="20"/>
                <w:lang w:eastAsia="lv-LV"/>
              </w:rPr>
              <w:br/>
              <w:t>(procentos)</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2014.gada 3 mēnešu izpilde no 2014.gada 3 mēnešu plāna</w:t>
            </w:r>
            <w:r w:rsidRPr="003C3685">
              <w:rPr>
                <w:rFonts w:eastAsia="Times New Roman" w:cs="Times New Roman"/>
                <w:color w:val="000000"/>
                <w:sz w:val="20"/>
                <w:szCs w:val="20"/>
                <w:lang w:eastAsia="lv-LV"/>
              </w:rPr>
              <w:br/>
              <w:t>(procentos)</w:t>
            </w:r>
          </w:p>
        </w:tc>
      </w:tr>
      <w:tr w:rsidR="006247F6" w:rsidRPr="003C3685" w:rsidTr="005C7D14">
        <w:trPr>
          <w:trHeight w:val="528"/>
        </w:trPr>
        <w:tc>
          <w:tcPr>
            <w:tcW w:w="2600" w:type="dxa"/>
            <w:tcBorders>
              <w:top w:val="nil"/>
              <w:left w:val="single" w:sz="4" w:space="0" w:color="auto"/>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1</w:t>
            </w:r>
          </w:p>
        </w:tc>
        <w:tc>
          <w:tcPr>
            <w:tcW w:w="1000" w:type="dxa"/>
            <w:tcBorders>
              <w:top w:val="nil"/>
              <w:left w:val="nil"/>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2</w:t>
            </w:r>
          </w:p>
        </w:tc>
        <w:tc>
          <w:tcPr>
            <w:tcW w:w="1000" w:type="dxa"/>
            <w:tcBorders>
              <w:top w:val="nil"/>
              <w:left w:val="nil"/>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3</w:t>
            </w:r>
          </w:p>
        </w:tc>
        <w:tc>
          <w:tcPr>
            <w:tcW w:w="1000" w:type="dxa"/>
            <w:tcBorders>
              <w:top w:val="nil"/>
              <w:left w:val="nil"/>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4</w:t>
            </w:r>
          </w:p>
        </w:tc>
        <w:tc>
          <w:tcPr>
            <w:tcW w:w="1000" w:type="dxa"/>
            <w:tcBorders>
              <w:top w:val="nil"/>
              <w:left w:val="nil"/>
              <w:bottom w:val="single" w:sz="4" w:space="0" w:color="auto"/>
              <w:right w:val="single" w:sz="4" w:space="0" w:color="auto"/>
            </w:tcBorders>
            <w:shd w:val="clear" w:color="auto" w:fill="auto"/>
            <w:vAlign w:val="center"/>
            <w:hideMark/>
          </w:tcPr>
          <w:p w:rsidR="006247F6" w:rsidRPr="003C3685" w:rsidRDefault="006247F6" w:rsidP="005C7D14">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5 = 4-2</w:t>
            </w:r>
          </w:p>
        </w:tc>
        <w:tc>
          <w:tcPr>
            <w:tcW w:w="1000" w:type="dxa"/>
            <w:tcBorders>
              <w:top w:val="nil"/>
              <w:left w:val="nil"/>
              <w:bottom w:val="single" w:sz="4" w:space="0" w:color="auto"/>
              <w:right w:val="single" w:sz="4" w:space="0" w:color="auto"/>
            </w:tcBorders>
            <w:shd w:val="clear" w:color="auto" w:fill="auto"/>
            <w:vAlign w:val="center"/>
            <w:hideMark/>
          </w:tcPr>
          <w:p w:rsidR="006247F6" w:rsidRPr="003C3685" w:rsidRDefault="006247F6" w:rsidP="005C7D14">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6=4-3</w:t>
            </w:r>
          </w:p>
        </w:tc>
        <w:tc>
          <w:tcPr>
            <w:tcW w:w="1040" w:type="dxa"/>
            <w:tcBorders>
              <w:top w:val="nil"/>
              <w:left w:val="nil"/>
              <w:bottom w:val="single" w:sz="4" w:space="0" w:color="auto"/>
              <w:right w:val="single" w:sz="4" w:space="0" w:color="auto"/>
            </w:tcBorders>
            <w:shd w:val="clear" w:color="auto" w:fill="auto"/>
            <w:vAlign w:val="center"/>
            <w:hideMark/>
          </w:tcPr>
          <w:p w:rsidR="006247F6" w:rsidRPr="003C3685" w:rsidRDefault="006247F6" w:rsidP="005C7D14">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7=4/2*100-100</w:t>
            </w:r>
          </w:p>
        </w:tc>
        <w:tc>
          <w:tcPr>
            <w:tcW w:w="1000" w:type="dxa"/>
            <w:tcBorders>
              <w:top w:val="nil"/>
              <w:left w:val="nil"/>
              <w:bottom w:val="single" w:sz="4" w:space="0" w:color="auto"/>
              <w:right w:val="single" w:sz="4" w:space="0" w:color="auto"/>
            </w:tcBorders>
            <w:shd w:val="clear" w:color="auto" w:fill="auto"/>
            <w:vAlign w:val="center"/>
            <w:hideMark/>
          </w:tcPr>
          <w:p w:rsidR="006247F6" w:rsidRPr="003C3685" w:rsidRDefault="006247F6" w:rsidP="005C7D14">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8=4/3*100</w:t>
            </w:r>
          </w:p>
        </w:tc>
      </w:tr>
      <w:tr w:rsidR="006247F6" w:rsidRPr="003C3685" w:rsidTr="005C7D14">
        <w:trPr>
          <w:trHeight w:val="264"/>
        </w:trPr>
        <w:tc>
          <w:tcPr>
            <w:tcW w:w="2600" w:type="dxa"/>
            <w:tcBorders>
              <w:top w:val="nil"/>
              <w:left w:val="single" w:sz="4" w:space="0" w:color="auto"/>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left"/>
              <w:rPr>
                <w:rFonts w:eastAsia="Times New Roman" w:cs="Times New Roman"/>
                <w:b/>
                <w:bCs/>
                <w:color w:val="000000"/>
                <w:sz w:val="20"/>
                <w:szCs w:val="20"/>
                <w:lang w:eastAsia="lv-LV"/>
              </w:rPr>
            </w:pPr>
            <w:r w:rsidRPr="003C3685">
              <w:rPr>
                <w:rFonts w:eastAsia="Times New Roman" w:cs="Times New Roman"/>
                <w:b/>
                <w:bCs/>
                <w:color w:val="000000"/>
                <w:sz w:val="20"/>
                <w:szCs w:val="20"/>
                <w:lang w:eastAsia="lv-LV"/>
              </w:rPr>
              <w:t>Resursi izdevumu segšanai</w:t>
            </w:r>
          </w:p>
        </w:tc>
        <w:tc>
          <w:tcPr>
            <w:tcW w:w="1000" w:type="dxa"/>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b/>
                <w:bCs/>
                <w:sz w:val="20"/>
                <w:szCs w:val="20"/>
                <w:lang w:eastAsia="lv-LV"/>
              </w:rPr>
            </w:pPr>
            <w:r w:rsidRPr="003C3685">
              <w:rPr>
                <w:rFonts w:eastAsia="Times New Roman" w:cs="Times New Roman"/>
                <w:b/>
                <w:bCs/>
                <w:sz w:val="20"/>
                <w:szCs w:val="20"/>
                <w:lang w:eastAsia="lv-LV"/>
              </w:rPr>
              <w:t>239 796</w:t>
            </w:r>
          </w:p>
        </w:tc>
        <w:tc>
          <w:tcPr>
            <w:tcW w:w="1000" w:type="dxa"/>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b/>
                <w:bCs/>
                <w:sz w:val="20"/>
                <w:szCs w:val="20"/>
                <w:lang w:eastAsia="lv-LV"/>
              </w:rPr>
            </w:pPr>
            <w:r w:rsidRPr="003C3685">
              <w:rPr>
                <w:rFonts w:eastAsia="Times New Roman" w:cs="Times New Roman"/>
                <w:b/>
                <w:bCs/>
                <w:sz w:val="20"/>
                <w:szCs w:val="20"/>
                <w:lang w:eastAsia="lv-LV"/>
              </w:rPr>
              <w:t>260 213</w:t>
            </w:r>
          </w:p>
        </w:tc>
        <w:tc>
          <w:tcPr>
            <w:tcW w:w="1000" w:type="dxa"/>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b/>
                <w:bCs/>
                <w:sz w:val="20"/>
                <w:szCs w:val="20"/>
                <w:lang w:eastAsia="lv-LV"/>
              </w:rPr>
            </w:pPr>
            <w:r w:rsidRPr="003C3685">
              <w:rPr>
                <w:rFonts w:eastAsia="Times New Roman" w:cs="Times New Roman"/>
                <w:b/>
                <w:bCs/>
                <w:sz w:val="20"/>
                <w:szCs w:val="20"/>
                <w:lang w:eastAsia="lv-LV"/>
              </w:rPr>
              <w:t>260 353</w:t>
            </w:r>
          </w:p>
        </w:tc>
        <w:tc>
          <w:tcPr>
            <w:tcW w:w="1000" w:type="dxa"/>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b/>
                <w:bCs/>
                <w:color w:val="000000"/>
                <w:sz w:val="20"/>
                <w:szCs w:val="20"/>
                <w:lang w:eastAsia="lv-LV"/>
              </w:rPr>
            </w:pPr>
            <w:r w:rsidRPr="003C3685">
              <w:rPr>
                <w:rFonts w:eastAsia="Times New Roman" w:cs="Times New Roman"/>
                <w:b/>
                <w:bCs/>
                <w:color w:val="000000"/>
                <w:sz w:val="20"/>
                <w:szCs w:val="20"/>
                <w:lang w:eastAsia="lv-LV"/>
              </w:rPr>
              <w:t>20 556</w:t>
            </w:r>
          </w:p>
        </w:tc>
        <w:tc>
          <w:tcPr>
            <w:tcW w:w="1000" w:type="dxa"/>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b/>
                <w:bCs/>
                <w:color w:val="000000"/>
                <w:sz w:val="20"/>
                <w:szCs w:val="20"/>
                <w:lang w:eastAsia="lv-LV"/>
              </w:rPr>
            </w:pPr>
            <w:r w:rsidRPr="003C3685">
              <w:rPr>
                <w:rFonts w:eastAsia="Times New Roman" w:cs="Times New Roman"/>
                <w:b/>
                <w:bCs/>
                <w:color w:val="000000"/>
                <w:sz w:val="20"/>
                <w:szCs w:val="20"/>
                <w:lang w:eastAsia="lv-LV"/>
              </w:rPr>
              <w:t>139</w:t>
            </w:r>
          </w:p>
        </w:tc>
        <w:tc>
          <w:tcPr>
            <w:tcW w:w="1040" w:type="dxa"/>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b/>
                <w:bCs/>
                <w:color w:val="000000"/>
                <w:sz w:val="20"/>
                <w:szCs w:val="20"/>
                <w:lang w:eastAsia="lv-LV"/>
              </w:rPr>
            </w:pPr>
            <w:r w:rsidRPr="003C3685">
              <w:rPr>
                <w:rFonts w:eastAsia="Times New Roman" w:cs="Times New Roman"/>
                <w:b/>
                <w:bCs/>
                <w:color w:val="000000"/>
                <w:sz w:val="20"/>
                <w:szCs w:val="20"/>
                <w:lang w:eastAsia="lv-LV"/>
              </w:rPr>
              <w:t>8,6</w:t>
            </w:r>
          </w:p>
        </w:tc>
        <w:tc>
          <w:tcPr>
            <w:tcW w:w="1000" w:type="dxa"/>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b/>
                <w:bCs/>
                <w:color w:val="000000"/>
                <w:sz w:val="20"/>
                <w:szCs w:val="20"/>
                <w:lang w:eastAsia="lv-LV"/>
              </w:rPr>
            </w:pPr>
            <w:r w:rsidRPr="003C3685">
              <w:rPr>
                <w:rFonts w:eastAsia="Times New Roman" w:cs="Times New Roman"/>
                <w:b/>
                <w:bCs/>
                <w:color w:val="000000"/>
                <w:sz w:val="20"/>
                <w:szCs w:val="20"/>
                <w:lang w:eastAsia="lv-LV"/>
              </w:rPr>
              <w:t>100,1</w:t>
            </w:r>
          </w:p>
        </w:tc>
      </w:tr>
      <w:tr w:rsidR="006247F6" w:rsidRPr="003C3685" w:rsidTr="005C7D14">
        <w:trPr>
          <w:trHeight w:val="792"/>
        </w:trPr>
        <w:tc>
          <w:tcPr>
            <w:tcW w:w="2600" w:type="dxa"/>
            <w:tcBorders>
              <w:top w:val="nil"/>
              <w:left w:val="single" w:sz="4" w:space="0" w:color="auto"/>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left"/>
              <w:rPr>
                <w:rFonts w:eastAsia="Times New Roman" w:cs="Times New Roman"/>
                <w:color w:val="000000"/>
                <w:sz w:val="20"/>
                <w:szCs w:val="20"/>
                <w:lang w:eastAsia="lv-LV"/>
              </w:rPr>
            </w:pPr>
            <w:r w:rsidRPr="003C3685">
              <w:rPr>
                <w:rFonts w:eastAsia="Times New Roman" w:cs="Times New Roman"/>
                <w:color w:val="000000"/>
                <w:sz w:val="20"/>
                <w:szCs w:val="20"/>
                <w:lang w:eastAsia="lv-LV"/>
              </w:rPr>
              <w:t>Ieņēmumi no maksas pakalpojumiem un citi pašu ieņēmumi</w:t>
            </w:r>
          </w:p>
        </w:tc>
        <w:tc>
          <w:tcPr>
            <w:tcW w:w="1000" w:type="dxa"/>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sz w:val="20"/>
                <w:szCs w:val="20"/>
                <w:lang w:eastAsia="lv-LV"/>
              </w:rPr>
            </w:pPr>
            <w:r w:rsidRPr="003C3685">
              <w:rPr>
                <w:rFonts w:eastAsia="Times New Roman" w:cs="Times New Roman"/>
                <w:sz w:val="20"/>
                <w:szCs w:val="20"/>
                <w:lang w:eastAsia="lv-LV"/>
              </w:rPr>
              <w:t>7</w:t>
            </w:r>
          </w:p>
        </w:tc>
        <w:tc>
          <w:tcPr>
            <w:tcW w:w="1000" w:type="dxa"/>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sz w:val="20"/>
                <w:szCs w:val="20"/>
                <w:lang w:eastAsia="lv-LV"/>
              </w:rPr>
            </w:pPr>
            <w:r w:rsidRPr="003C3685">
              <w:rPr>
                <w:rFonts w:eastAsia="Times New Roman" w:cs="Times New Roman"/>
                <w:sz w:val="20"/>
                <w:szCs w:val="20"/>
                <w:lang w:eastAsia="lv-LV"/>
              </w:rPr>
              <w:t>46</w:t>
            </w:r>
          </w:p>
        </w:tc>
        <w:tc>
          <w:tcPr>
            <w:tcW w:w="1000" w:type="dxa"/>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sz w:val="20"/>
                <w:szCs w:val="20"/>
                <w:lang w:eastAsia="lv-LV"/>
              </w:rPr>
            </w:pPr>
            <w:r w:rsidRPr="003C3685">
              <w:rPr>
                <w:rFonts w:eastAsia="Times New Roman" w:cs="Times New Roman"/>
                <w:sz w:val="20"/>
                <w:szCs w:val="20"/>
                <w:lang w:eastAsia="lv-LV"/>
              </w:rPr>
              <w:t>17</w:t>
            </w:r>
          </w:p>
        </w:tc>
        <w:tc>
          <w:tcPr>
            <w:tcW w:w="1000" w:type="dxa"/>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10</w:t>
            </w:r>
          </w:p>
        </w:tc>
        <w:tc>
          <w:tcPr>
            <w:tcW w:w="1000" w:type="dxa"/>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-29</w:t>
            </w:r>
          </w:p>
        </w:tc>
        <w:tc>
          <w:tcPr>
            <w:tcW w:w="1040" w:type="dxa"/>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147,1</w:t>
            </w:r>
          </w:p>
        </w:tc>
        <w:tc>
          <w:tcPr>
            <w:tcW w:w="1000" w:type="dxa"/>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37,4</w:t>
            </w:r>
          </w:p>
        </w:tc>
      </w:tr>
      <w:tr w:rsidR="006247F6" w:rsidRPr="003C3685" w:rsidTr="005C7D14">
        <w:trPr>
          <w:trHeight w:val="528"/>
        </w:trPr>
        <w:tc>
          <w:tcPr>
            <w:tcW w:w="2600" w:type="dxa"/>
            <w:tcBorders>
              <w:top w:val="nil"/>
              <w:left w:val="single" w:sz="4" w:space="0" w:color="auto"/>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left"/>
              <w:rPr>
                <w:rFonts w:eastAsia="Times New Roman" w:cs="Times New Roman"/>
                <w:color w:val="000000"/>
                <w:sz w:val="20"/>
                <w:szCs w:val="20"/>
                <w:lang w:eastAsia="lv-LV"/>
              </w:rPr>
            </w:pPr>
            <w:r w:rsidRPr="003C3685">
              <w:rPr>
                <w:rFonts w:eastAsia="Times New Roman" w:cs="Times New Roman"/>
                <w:color w:val="000000"/>
                <w:sz w:val="20"/>
                <w:szCs w:val="20"/>
                <w:lang w:eastAsia="lv-LV"/>
              </w:rPr>
              <w:t>Ārvalstu finanšu palīdzība iestādes ieņēmumos</w:t>
            </w:r>
          </w:p>
        </w:tc>
        <w:tc>
          <w:tcPr>
            <w:tcW w:w="1000" w:type="dxa"/>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sz w:val="20"/>
                <w:szCs w:val="20"/>
                <w:lang w:eastAsia="lv-LV"/>
              </w:rPr>
            </w:pPr>
            <w:r w:rsidRPr="003C3685">
              <w:rPr>
                <w:rFonts w:eastAsia="Times New Roman" w:cs="Times New Roman"/>
                <w:sz w:val="20"/>
                <w:szCs w:val="20"/>
                <w:lang w:eastAsia="lv-LV"/>
              </w:rPr>
              <w:t>7 632</w:t>
            </w:r>
          </w:p>
        </w:tc>
        <w:tc>
          <w:tcPr>
            <w:tcW w:w="1000" w:type="dxa"/>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sz w:val="20"/>
                <w:szCs w:val="20"/>
                <w:lang w:eastAsia="lv-LV"/>
              </w:rPr>
            </w:pPr>
            <w:r w:rsidRPr="003C3685">
              <w:rPr>
                <w:rFonts w:eastAsia="Times New Roman" w:cs="Times New Roman"/>
                <w:sz w:val="20"/>
                <w:szCs w:val="20"/>
                <w:lang w:eastAsia="lv-LV"/>
              </w:rPr>
              <w:t>2 187</w:t>
            </w:r>
          </w:p>
        </w:tc>
        <w:tc>
          <w:tcPr>
            <w:tcW w:w="1000" w:type="dxa"/>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sz w:val="20"/>
                <w:szCs w:val="20"/>
                <w:lang w:eastAsia="lv-LV"/>
              </w:rPr>
            </w:pPr>
            <w:r w:rsidRPr="003C3685">
              <w:rPr>
                <w:rFonts w:eastAsia="Times New Roman" w:cs="Times New Roman"/>
                <w:sz w:val="20"/>
                <w:szCs w:val="20"/>
                <w:lang w:eastAsia="lv-LV"/>
              </w:rPr>
              <w:t>2 270</w:t>
            </w:r>
          </w:p>
        </w:tc>
        <w:tc>
          <w:tcPr>
            <w:tcW w:w="1000" w:type="dxa"/>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-5 362</w:t>
            </w:r>
          </w:p>
        </w:tc>
        <w:tc>
          <w:tcPr>
            <w:tcW w:w="1000" w:type="dxa"/>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83</w:t>
            </w:r>
          </w:p>
        </w:tc>
        <w:tc>
          <w:tcPr>
            <w:tcW w:w="1040" w:type="dxa"/>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-70,3</w:t>
            </w:r>
          </w:p>
        </w:tc>
        <w:tc>
          <w:tcPr>
            <w:tcW w:w="1000" w:type="dxa"/>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103,8</w:t>
            </w:r>
          </w:p>
        </w:tc>
      </w:tr>
      <w:tr w:rsidR="006247F6" w:rsidRPr="003C3685" w:rsidTr="005C7D14">
        <w:trPr>
          <w:trHeight w:val="264"/>
        </w:trPr>
        <w:tc>
          <w:tcPr>
            <w:tcW w:w="2600" w:type="dxa"/>
            <w:tcBorders>
              <w:top w:val="nil"/>
              <w:left w:val="single" w:sz="4" w:space="0" w:color="auto"/>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left"/>
              <w:rPr>
                <w:rFonts w:eastAsia="Times New Roman" w:cs="Times New Roman"/>
                <w:color w:val="000000"/>
                <w:sz w:val="20"/>
                <w:szCs w:val="20"/>
                <w:lang w:eastAsia="lv-LV"/>
              </w:rPr>
            </w:pPr>
            <w:proofErr w:type="spellStart"/>
            <w:r w:rsidRPr="003C3685">
              <w:rPr>
                <w:rFonts w:eastAsia="Times New Roman" w:cs="Times New Roman"/>
                <w:color w:val="000000"/>
                <w:sz w:val="20"/>
                <w:szCs w:val="20"/>
                <w:lang w:eastAsia="lv-LV"/>
              </w:rPr>
              <w:t>Transferti</w:t>
            </w:r>
            <w:proofErr w:type="spellEnd"/>
          </w:p>
        </w:tc>
        <w:tc>
          <w:tcPr>
            <w:tcW w:w="1000" w:type="dxa"/>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sz w:val="20"/>
                <w:szCs w:val="20"/>
                <w:lang w:eastAsia="lv-LV"/>
              </w:rPr>
            </w:pPr>
            <w:r w:rsidRPr="003C3685">
              <w:rPr>
                <w:rFonts w:eastAsia="Times New Roman" w:cs="Times New Roman"/>
                <w:sz w:val="20"/>
                <w:szCs w:val="20"/>
                <w:lang w:eastAsia="lv-LV"/>
              </w:rPr>
              <w:t>746</w:t>
            </w:r>
          </w:p>
        </w:tc>
        <w:tc>
          <w:tcPr>
            <w:tcW w:w="1000" w:type="dxa"/>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sz w:val="20"/>
                <w:szCs w:val="20"/>
                <w:lang w:eastAsia="lv-LV"/>
              </w:rPr>
            </w:pPr>
            <w:r w:rsidRPr="003C3685">
              <w:rPr>
                <w:rFonts w:eastAsia="Times New Roman" w:cs="Times New Roman"/>
                <w:sz w:val="20"/>
                <w:szCs w:val="20"/>
                <w:lang w:eastAsia="lv-LV"/>
              </w:rPr>
              <w:t>1 499</w:t>
            </w:r>
          </w:p>
        </w:tc>
        <w:tc>
          <w:tcPr>
            <w:tcW w:w="1000" w:type="dxa"/>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sz w:val="20"/>
                <w:szCs w:val="20"/>
                <w:lang w:eastAsia="lv-LV"/>
              </w:rPr>
            </w:pPr>
            <w:r w:rsidRPr="003C3685">
              <w:rPr>
                <w:rFonts w:eastAsia="Times New Roman" w:cs="Times New Roman"/>
                <w:sz w:val="20"/>
                <w:szCs w:val="20"/>
                <w:lang w:eastAsia="lv-LV"/>
              </w:rPr>
              <w:t>1 584</w:t>
            </w:r>
          </w:p>
        </w:tc>
        <w:tc>
          <w:tcPr>
            <w:tcW w:w="1000" w:type="dxa"/>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837</w:t>
            </w:r>
          </w:p>
        </w:tc>
        <w:tc>
          <w:tcPr>
            <w:tcW w:w="1000" w:type="dxa"/>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85</w:t>
            </w:r>
          </w:p>
        </w:tc>
        <w:tc>
          <w:tcPr>
            <w:tcW w:w="1040" w:type="dxa"/>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112,2</w:t>
            </w:r>
          </w:p>
        </w:tc>
        <w:tc>
          <w:tcPr>
            <w:tcW w:w="1000" w:type="dxa"/>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105,7</w:t>
            </w:r>
          </w:p>
        </w:tc>
      </w:tr>
      <w:tr w:rsidR="006247F6" w:rsidRPr="003C3685" w:rsidTr="005C7D14">
        <w:trPr>
          <w:trHeight w:val="528"/>
        </w:trPr>
        <w:tc>
          <w:tcPr>
            <w:tcW w:w="2600" w:type="dxa"/>
            <w:tcBorders>
              <w:top w:val="nil"/>
              <w:left w:val="single" w:sz="4" w:space="0" w:color="auto"/>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left"/>
              <w:rPr>
                <w:rFonts w:eastAsia="Times New Roman" w:cs="Times New Roman"/>
                <w:color w:val="000000"/>
                <w:sz w:val="20"/>
                <w:szCs w:val="20"/>
                <w:lang w:eastAsia="lv-LV"/>
              </w:rPr>
            </w:pPr>
            <w:r w:rsidRPr="003C3685">
              <w:rPr>
                <w:rFonts w:eastAsia="Times New Roman" w:cs="Times New Roman"/>
                <w:color w:val="000000"/>
                <w:sz w:val="20"/>
                <w:szCs w:val="20"/>
                <w:lang w:eastAsia="lv-LV"/>
              </w:rPr>
              <w:t>Dotācija no vispārējiem ieņēmumiem</w:t>
            </w:r>
          </w:p>
        </w:tc>
        <w:tc>
          <w:tcPr>
            <w:tcW w:w="1000" w:type="dxa"/>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sz w:val="20"/>
                <w:szCs w:val="20"/>
                <w:lang w:eastAsia="lv-LV"/>
              </w:rPr>
            </w:pPr>
            <w:r w:rsidRPr="003C3685">
              <w:rPr>
                <w:rFonts w:eastAsia="Times New Roman" w:cs="Times New Roman"/>
                <w:sz w:val="20"/>
                <w:szCs w:val="20"/>
                <w:lang w:eastAsia="lv-LV"/>
              </w:rPr>
              <w:t>231 411</w:t>
            </w:r>
          </w:p>
        </w:tc>
        <w:tc>
          <w:tcPr>
            <w:tcW w:w="1000" w:type="dxa"/>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sz w:val="20"/>
                <w:szCs w:val="20"/>
                <w:lang w:eastAsia="lv-LV"/>
              </w:rPr>
            </w:pPr>
            <w:r w:rsidRPr="003C3685">
              <w:rPr>
                <w:rFonts w:eastAsia="Times New Roman" w:cs="Times New Roman"/>
                <w:sz w:val="20"/>
                <w:szCs w:val="20"/>
                <w:lang w:eastAsia="lv-LV"/>
              </w:rPr>
              <w:t>256 482</w:t>
            </w:r>
          </w:p>
        </w:tc>
        <w:tc>
          <w:tcPr>
            <w:tcW w:w="1000" w:type="dxa"/>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sz w:val="20"/>
                <w:szCs w:val="20"/>
                <w:lang w:eastAsia="lv-LV"/>
              </w:rPr>
            </w:pPr>
            <w:r w:rsidRPr="003C3685">
              <w:rPr>
                <w:rFonts w:eastAsia="Times New Roman" w:cs="Times New Roman"/>
                <w:sz w:val="20"/>
                <w:szCs w:val="20"/>
                <w:lang w:eastAsia="lv-LV"/>
              </w:rPr>
              <w:t>256 482</w:t>
            </w:r>
          </w:p>
        </w:tc>
        <w:tc>
          <w:tcPr>
            <w:tcW w:w="1000" w:type="dxa"/>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25 071</w:t>
            </w:r>
          </w:p>
        </w:tc>
        <w:tc>
          <w:tcPr>
            <w:tcW w:w="1000" w:type="dxa"/>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0</w:t>
            </w:r>
          </w:p>
        </w:tc>
        <w:tc>
          <w:tcPr>
            <w:tcW w:w="1040" w:type="dxa"/>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10,8</w:t>
            </w:r>
          </w:p>
        </w:tc>
        <w:tc>
          <w:tcPr>
            <w:tcW w:w="1000" w:type="dxa"/>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100,0</w:t>
            </w:r>
          </w:p>
        </w:tc>
      </w:tr>
      <w:tr w:rsidR="006247F6" w:rsidRPr="003C3685" w:rsidTr="005C7D14">
        <w:trPr>
          <w:trHeight w:val="264"/>
        </w:trPr>
        <w:tc>
          <w:tcPr>
            <w:tcW w:w="2600" w:type="dxa"/>
            <w:tcBorders>
              <w:top w:val="nil"/>
              <w:left w:val="single" w:sz="4" w:space="0" w:color="auto"/>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left"/>
              <w:rPr>
                <w:rFonts w:eastAsia="Times New Roman" w:cs="Times New Roman"/>
                <w:b/>
                <w:bCs/>
                <w:color w:val="000000"/>
                <w:sz w:val="20"/>
                <w:szCs w:val="20"/>
                <w:lang w:eastAsia="lv-LV"/>
              </w:rPr>
            </w:pPr>
            <w:r w:rsidRPr="003C3685">
              <w:rPr>
                <w:rFonts w:eastAsia="Times New Roman" w:cs="Times New Roman"/>
                <w:b/>
                <w:bCs/>
                <w:color w:val="000000"/>
                <w:sz w:val="20"/>
                <w:szCs w:val="20"/>
                <w:lang w:eastAsia="lv-LV"/>
              </w:rPr>
              <w:t>Izdevumi – kopā</w:t>
            </w:r>
          </w:p>
        </w:tc>
        <w:tc>
          <w:tcPr>
            <w:tcW w:w="1000" w:type="dxa"/>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b/>
                <w:bCs/>
                <w:sz w:val="20"/>
                <w:szCs w:val="20"/>
                <w:lang w:eastAsia="lv-LV"/>
              </w:rPr>
            </w:pPr>
            <w:r w:rsidRPr="003C3685">
              <w:rPr>
                <w:rFonts w:eastAsia="Times New Roman" w:cs="Times New Roman"/>
                <w:b/>
                <w:bCs/>
                <w:sz w:val="20"/>
                <w:szCs w:val="20"/>
                <w:lang w:eastAsia="lv-LV"/>
              </w:rPr>
              <w:t>240 114</w:t>
            </w:r>
          </w:p>
        </w:tc>
        <w:tc>
          <w:tcPr>
            <w:tcW w:w="1000" w:type="dxa"/>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b/>
                <w:bCs/>
                <w:sz w:val="20"/>
                <w:szCs w:val="20"/>
                <w:lang w:eastAsia="lv-LV"/>
              </w:rPr>
            </w:pPr>
            <w:r w:rsidRPr="003C3685">
              <w:rPr>
                <w:rFonts w:eastAsia="Times New Roman" w:cs="Times New Roman"/>
                <w:b/>
                <w:bCs/>
                <w:sz w:val="20"/>
                <w:szCs w:val="20"/>
                <w:lang w:eastAsia="lv-LV"/>
              </w:rPr>
              <w:t>268 670</w:t>
            </w:r>
          </w:p>
        </w:tc>
        <w:tc>
          <w:tcPr>
            <w:tcW w:w="1000" w:type="dxa"/>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b/>
                <w:bCs/>
                <w:sz w:val="20"/>
                <w:szCs w:val="20"/>
                <w:lang w:eastAsia="lv-LV"/>
              </w:rPr>
            </w:pPr>
            <w:r w:rsidRPr="003C3685">
              <w:rPr>
                <w:rFonts w:eastAsia="Times New Roman" w:cs="Times New Roman"/>
                <w:b/>
                <w:bCs/>
                <w:sz w:val="20"/>
                <w:szCs w:val="20"/>
                <w:lang w:eastAsia="lv-LV"/>
              </w:rPr>
              <w:t>255 220</w:t>
            </w:r>
          </w:p>
        </w:tc>
        <w:tc>
          <w:tcPr>
            <w:tcW w:w="1000" w:type="dxa"/>
            <w:tcBorders>
              <w:top w:val="nil"/>
              <w:left w:val="nil"/>
              <w:bottom w:val="single" w:sz="4" w:space="0" w:color="auto"/>
              <w:right w:val="single" w:sz="4" w:space="0" w:color="auto"/>
            </w:tcBorders>
            <w:shd w:val="clear" w:color="auto" w:fill="auto"/>
            <w:vAlign w:val="bottom"/>
            <w:hideMark/>
          </w:tcPr>
          <w:p w:rsidR="006247F6" w:rsidRPr="003C3685" w:rsidRDefault="006247F6" w:rsidP="005C7D14">
            <w:pPr>
              <w:spacing w:after="0"/>
              <w:ind w:firstLine="0"/>
              <w:jc w:val="right"/>
              <w:rPr>
                <w:rFonts w:eastAsia="Times New Roman" w:cs="Times New Roman"/>
                <w:b/>
                <w:bCs/>
                <w:color w:val="000000"/>
                <w:sz w:val="20"/>
                <w:szCs w:val="20"/>
                <w:lang w:eastAsia="lv-LV"/>
              </w:rPr>
            </w:pPr>
            <w:r w:rsidRPr="003C3685">
              <w:rPr>
                <w:rFonts w:eastAsia="Times New Roman" w:cs="Times New Roman"/>
                <w:b/>
                <w:bCs/>
                <w:color w:val="000000"/>
                <w:sz w:val="20"/>
                <w:szCs w:val="20"/>
                <w:lang w:eastAsia="lv-LV"/>
              </w:rPr>
              <w:t>15 106</w:t>
            </w:r>
          </w:p>
        </w:tc>
        <w:tc>
          <w:tcPr>
            <w:tcW w:w="1000" w:type="dxa"/>
            <w:tcBorders>
              <w:top w:val="nil"/>
              <w:left w:val="nil"/>
              <w:bottom w:val="single" w:sz="4" w:space="0" w:color="auto"/>
              <w:right w:val="single" w:sz="4" w:space="0" w:color="auto"/>
            </w:tcBorders>
            <w:shd w:val="clear" w:color="auto" w:fill="auto"/>
            <w:vAlign w:val="bottom"/>
            <w:hideMark/>
          </w:tcPr>
          <w:p w:rsidR="006247F6" w:rsidRPr="003C3685" w:rsidRDefault="006247F6" w:rsidP="005C7D14">
            <w:pPr>
              <w:spacing w:after="0"/>
              <w:ind w:firstLine="0"/>
              <w:jc w:val="right"/>
              <w:rPr>
                <w:rFonts w:eastAsia="Times New Roman" w:cs="Times New Roman"/>
                <w:b/>
                <w:bCs/>
                <w:color w:val="000000"/>
                <w:sz w:val="20"/>
                <w:szCs w:val="20"/>
                <w:lang w:eastAsia="lv-LV"/>
              </w:rPr>
            </w:pPr>
            <w:r w:rsidRPr="003C3685">
              <w:rPr>
                <w:rFonts w:eastAsia="Times New Roman" w:cs="Times New Roman"/>
                <w:b/>
                <w:bCs/>
                <w:color w:val="000000"/>
                <w:sz w:val="20"/>
                <w:szCs w:val="20"/>
                <w:lang w:eastAsia="lv-LV"/>
              </w:rPr>
              <w:t>-13 450</w:t>
            </w:r>
          </w:p>
        </w:tc>
        <w:tc>
          <w:tcPr>
            <w:tcW w:w="1040" w:type="dxa"/>
            <w:tcBorders>
              <w:top w:val="nil"/>
              <w:left w:val="nil"/>
              <w:bottom w:val="single" w:sz="4" w:space="0" w:color="auto"/>
              <w:right w:val="single" w:sz="4" w:space="0" w:color="auto"/>
            </w:tcBorders>
            <w:shd w:val="clear" w:color="auto" w:fill="auto"/>
            <w:vAlign w:val="bottom"/>
            <w:hideMark/>
          </w:tcPr>
          <w:p w:rsidR="006247F6" w:rsidRPr="003C3685" w:rsidRDefault="006247F6" w:rsidP="005C7D14">
            <w:pPr>
              <w:spacing w:after="0"/>
              <w:ind w:firstLine="0"/>
              <w:jc w:val="right"/>
              <w:rPr>
                <w:rFonts w:eastAsia="Times New Roman" w:cs="Times New Roman"/>
                <w:b/>
                <w:bCs/>
                <w:color w:val="000000"/>
                <w:sz w:val="20"/>
                <w:szCs w:val="20"/>
                <w:lang w:eastAsia="lv-LV"/>
              </w:rPr>
            </w:pPr>
            <w:r w:rsidRPr="003C3685">
              <w:rPr>
                <w:rFonts w:eastAsia="Times New Roman" w:cs="Times New Roman"/>
                <w:b/>
                <w:bCs/>
                <w:color w:val="000000"/>
                <w:sz w:val="20"/>
                <w:szCs w:val="20"/>
                <w:lang w:eastAsia="lv-LV"/>
              </w:rPr>
              <w:t>6,3</w:t>
            </w:r>
          </w:p>
        </w:tc>
        <w:tc>
          <w:tcPr>
            <w:tcW w:w="1000" w:type="dxa"/>
            <w:tcBorders>
              <w:top w:val="nil"/>
              <w:left w:val="nil"/>
              <w:bottom w:val="single" w:sz="4" w:space="0" w:color="auto"/>
              <w:right w:val="single" w:sz="4" w:space="0" w:color="auto"/>
            </w:tcBorders>
            <w:shd w:val="clear" w:color="auto" w:fill="auto"/>
            <w:vAlign w:val="bottom"/>
            <w:hideMark/>
          </w:tcPr>
          <w:p w:rsidR="006247F6" w:rsidRPr="003C3685" w:rsidRDefault="006247F6" w:rsidP="005C7D14">
            <w:pPr>
              <w:spacing w:after="0"/>
              <w:ind w:firstLine="0"/>
              <w:jc w:val="right"/>
              <w:rPr>
                <w:rFonts w:eastAsia="Times New Roman" w:cs="Times New Roman"/>
                <w:b/>
                <w:bCs/>
                <w:color w:val="000000"/>
                <w:sz w:val="20"/>
                <w:szCs w:val="20"/>
                <w:lang w:eastAsia="lv-LV"/>
              </w:rPr>
            </w:pPr>
            <w:r w:rsidRPr="003C3685">
              <w:rPr>
                <w:rFonts w:eastAsia="Times New Roman" w:cs="Times New Roman"/>
                <w:b/>
                <w:bCs/>
                <w:color w:val="000000"/>
                <w:sz w:val="20"/>
                <w:szCs w:val="20"/>
                <w:lang w:eastAsia="lv-LV"/>
              </w:rPr>
              <w:t>95,0</w:t>
            </w:r>
          </w:p>
        </w:tc>
      </w:tr>
      <w:tr w:rsidR="006247F6" w:rsidRPr="003C3685" w:rsidTr="005C7D14">
        <w:trPr>
          <w:trHeight w:val="264"/>
        </w:trPr>
        <w:tc>
          <w:tcPr>
            <w:tcW w:w="2600" w:type="dxa"/>
            <w:tcBorders>
              <w:top w:val="nil"/>
              <w:left w:val="single" w:sz="4" w:space="0" w:color="auto"/>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left"/>
              <w:rPr>
                <w:rFonts w:eastAsia="Times New Roman" w:cs="Times New Roman"/>
                <w:color w:val="000000"/>
                <w:sz w:val="20"/>
                <w:szCs w:val="20"/>
                <w:lang w:eastAsia="lv-LV"/>
              </w:rPr>
            </w:pPr>
            <w:r w:rsidRPr="003C3685">
              <w:rPr>
                <w:rFonts w:eastAsia="Times New Roman" w:cs="Times New Roman"/>
                <w:color w:val="000000"/>
                <w:sz w:val="20"/>
                <w:szCs w:val="20"/>
                <w:lang w:eastAsia="lv-LV"/>
              </w:rPr>
              <w:t>Atlīdzība</w:t>
            </w:r>
          </w:p>
        </w:tc>
        <w:tc>
          <w:tcPr>
            <w:tcW w:w="1000" w:type="dxa"/>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sz w:val="20"/>
                <w:szCs w:val="20"/>
                <w:lang w:eastAsia="lv-LV"/>
              </w:rPr>
            </w:pPr>
            <w:r w:rsidRPr="003C3685">
              <w:rPr>
                <w:rFonts w:eastAsia="Times New Roman" w:cs="Times New Roman"/>
                <w:sz w:val="20"/>
                <w:szCs w:val="20"/>
                <w:lang w:eastAsia="lv-LV"/>
              </w:rPr>
              <w:t>6 295</w:t>
            </w:r>
          </w:p>
        </w:tc>
        <w:tc>
          <w:tcPr>
            <w:tcW w:w="1000" w:type="dxa"/>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sz w:val="20"/>
                <w:szCs w:val="20"/>
                <w:lang w:eastAsia="lv-LV"/>
              </w:rPr>
            </w:pPr>
            <w:r w:rsidRPr="003C3685">
              <w:rPr>
                <w:rFonts w:eastAsia="Times New Roman" w:cs="Times New Roman"/>
                <w:sz w:val="20"/>
                <w:szCs w:val="20"/>
                <w:lang w:eastAsia="lv-LV"/>
              </w:rPr>
              <w:t>7 774</w:t>
            </w:r>
          </w:p>
        </w:tc>
        <w:tc>
          <w:tcPr>
            <w:tcW w:w="1000" w:type="dxa"/>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sz w:val="20"/>
                <w:szCs w:val="20"/>
                <w:lang w:eastAsia="lv-LV"/>
              </w:rPr>
            </w:pPr>
            <w:r w:rsidRPr="003C3685">
              <w:rPr>
                <w:rFonts w:eastAsia="Times New Roman" w:cs="Times New Roman"/>
                <w:sz w:val="20"/>
                <w:szCs w:val="20"/>
                <w:lang w:eastAsia="lv-LV"/>
              </w:rPr>
              <w:t>7 069</w:t>
            </w:r>
          </w:p>
        </w:tc>
        <w:tc>
          <w:tcPr>
            <w:tcW w:w="1000" w:type="dxa"/>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774</w:t>
            </w:r>
          </w:p>
        </w:tc>
        <w:tc>
          <w:tcPr>
            <w:tcW w:w="1000" w:type="dxa"/>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-705</w:t>
            </w:r>
          </w:p>
        </w:tc>
        <w:tc>
          <w:tcPr>
            <w:tcW w:w="1040" w:type="dxa"/>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12,3</w:t>
            </w:r>
          </w:p>
        </w:tc>
        <w:tc>
          <w:tcPr>
            <w:tcW w:w="1000" w:type="dxa"/>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90,9</w:t>
            </w:r>
          </w:p>
        </w:tc>
      </w:tr>
      <w:tr w:rsidR="006247F6" w:rsidRPr="003C3685" w:rsidTr="005C7D14">
        <w:trPr>
          <w:trHeight w:val="264"/>
        </w:trPr>
        <w:tc>
          <w:tcPr>
            <w:tcW w:w="2600" w:type="dxa"/>
            <w:tcBorders>
              <w:top w:val="nil"/>
              <w:left w:val="single" w:sz="4" w:space="0" w:color="auto"/>
              <w:bottom w:val="single" w:sz="4" w:space="0" w:color="auto"/>
              <w:right w:val="single" w:sz="4" w:space="0" w:color="auto"/>
            </w:tcBorders>
            <w:shd w:val="clear" w:color="000000" w:fill="FFFFFF"/>
            <w:vAlign w:val="center"/>
            <w:hideMark/>
          </w:tcPr>
          <w:p w:rsidR="006247F6" w:rsidRPr="003C3685" w:rsidRDefault="006247F6" w:rsidP="005C7D14">
            <w:pPr>
              <w:spacing w:after="0"/>
              <w:ind w:firstLine="0"/>
              <w:jc w:val="left"/>
              <w:rPr>
                <w:rFonts w:eastAsia="Times New Roman" w:cs="Times New Roman"/>
                <w:i/>
                <w:iCs/>
                <w:color w:val="000000"/>
                <w:sz w:val="20"/>
                <w:szCs w:val="20"/>
                <w:lang w:eastAsia="lv-LV"/>
              </w:rPr>
            </w:pPr>
            <w:r w:rsidRPr="003C3685">
              <w:rPr>
                <w:rFonts w:eastAsia="Times New Roman" w:cs="Times New Roman"/>
                <w:i/>
                <w:iCs/>
                <w:color w:val="000000"/>
                <w:sz w:val="20"/>
                <w:szCs w:val="20"/>
                <w:lang w:eastAsia="lv-LV"/>
              </w:rPr>
              <w:t>t.sk. atalgojums</w:t>
            </w:r>
          </w:p>
        </w:tc>
        <w:tc>
          <w:tcPr>
            <w:tcW w:w="1000" w:type="dxa"/>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sz w:val="20"/>
                <w:szCs w:val="20"/>
                <w:lang w:eastAsia="lv-LV"/>
              </w:rPr>
            </w:pPr>
            <w:r w:rsidRPr="003C3685">
              <w:rPr>
                <w:rFonts w:eastAsia="Times New Roman" w:cs="Times New Roman"/>
                <w:sz w:val="20"/>
                <w:szCs w:val="20"/>
                <w:lang w:eastAsia="lv-LV"/>
              </w:rPr>
              <w:t>4 909</w:t>
            </w:r>
          </w:p>
        </w:tc>
        <w:tc>
          <w:tcPr>
            <w:tcW w:w="1000" w:type="dxa"/>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sz w:val="20"/>
                <w:szCs w:val="20"/>
                <w:lang w:eastAsia="lv-LV"/>
              </w:rPr>
            </w:pPr>
            <w:r w:rsidRPr="003C3685">
              <w:rPr>
                <w:rFonts w:eastAsia="Times New Roman" w:cs="Times New Roman"/>
                <w:sz w:val="20"/>
                <w:szCs w:val="20"/>
                <w:lang w:eastAsia="lv-LV"/>
              </w:rPr>
              <w:t>5 977</w:t>
            </w:r>
          </w:p>
        </w:tc>
        <w:tc>
          <w:tcPr>
            <w:tcW w:w="1000" w:type="dxa"/>
            <w:tcBorders>
              <w:top w:val="nil"/>
              <w:left w:val="nil"/>
              <w:bottom w:val="single" w:sz="4" w:space="0" w:color="auto"/>
              <w:right w:val="single" w:sz="4" w:space="0" w:color="auto"/>
            </w:tcBorders>
            <w:shd w:val="clear" w:color="auto" w:fill="auto"/>
            <w:noWrap/>
            <w:vAlign w:val="bottom"/>
            <w:hideMark/>
          </w:tcPr>
          <w:p w:rsidR="006247F6" w:rsidRPr="003C3685" w:rsidRDefault="006247F6" w:rsidP="005C7D14">
            <w:pPr>
              <w:spacing w:after="0"/>
              <w:ind w:firstLine="0"/>
              <w:jc w:val="right"/>
              <w:rPr>
                <w:rFonts w:eastAsia="Times New Roman" w:cs="Times New Roman"/>
                <w:sz w:val="20"/>
                <w:szCs w:val="20"/>
                <w:lang w:eastAsia="lv-LV"/>
              </w:rPr>
            </w:pPr>
            <w:r w:rsidRPr="003C3685">
              <w:rPr>
                <w:rFonts w:eastAsia="Times New Roman" w:cs="Times New Roman"/>
                <w:sz w:val="20"/>
                <w:szCs w:val="20"/>
                <w:lang w:eastAsia="lv-LV"/>
              </w:rPr>
              <w:t>5 489</w:t>
            </w:r>
          </w:p>
        </w:tc>
        <w:tc>
          <w:tcPr>
            <w:tcW w:w="1000" w:type="dxa"/>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580</w:t>
            </w:r>
          </w:p>
        </w:tc>
        <w:tc>
          <w:tcPr>
            <w:tcW w:w="1000" w:type="dxa"/>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-488</w:t>
            </w:r>
          </w:p>
        </w:tc>
        <w:tc>
          <w:tcPr>
            <w:tcW w:w="1040" w:type="dxa"/>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11,8</w:t>
            </w:r>
          </w:p>
        </w:tc>
        <w:tc>
          <w:tcPr>
            <w:tcW w:w="1000" w:type="dxa"/>
            <w:tcBorders>
              <w:top w:val="nil"/>
              <w:left w:val="nil"/>
              <w:bottom w:val="single" w:sz="4" w:space="0" w:color="auto"/>
              <w:right w:val="single" w:sz="4" w:space="0" w:color="auto"/>
            </w:tcBorders>
            <w:shd w:val="clear" w:color="000000" w:fill="FFFFFF"/>
            <w:vAlign w:val="bottom"/>
            <w:hideMark/>
          </w:tcPr>
          <w:p w:rsidR="006247F6" w:rsidRPr="003C3685" w:rsidRDefault="006247F6" w:rsidP="005C7D14">
            <w:pPr>
              <w:spacing w:after="0"/>
              <w:ind w:firstLine="0"/>
              <w:jc w:val="right"/>
              <w:rPr>
                <w:rFonts w:eastAsia="Times New Roman" w:cs="Times New Roman"/>
                <w:color w:val="000000"/>
                <w:sz w:val="20"/>
                <w:szCs w:val="20"/>
                <w:lang w:eastAsia="lv-LV"/>
              </w:rPr>
            </w:pPr>
            <w:r w:rsidRPr="003C3685">
              <w:rPr>
                <w:rFonts w:eastAsia="Times New Roman" w:cs="Times New Roman"/>
                <w:color w:val="000000"/>
                <w:sz w:val="20"/>
                <w:szCs w:val="20"/>
                <w:lang w:eastAsia="lv-LV"/>
              </w:rPr>
              <w:t>91,8</w:t>
            </w:r>
          </w:p>
        </w:tc>
      </w:tr>
    </w:tbl>
    <w:p w:rsidR="006247F6" w:rsidRDefault="006247F6" w:rsidP="006247F6">
      <w:pPr>
        <w:ind w:firstLine="0"/>
        <w:rPr>
          <w:rFonts w:eastAsia="Times New Roman"/>
          <w:sz w:val="24"/>
          <w:szCs w:val="24"/>
          <w:lang w:eastAsia="lv-LV"/>
        </w:rPr>
      </w:pPr>
    </w:p>
    <w:p w:rsidR="006247F6" w:rsidRDefault="006247F6" w:rsidP="006247F6">
      <w:pPr>
        <w:ind w:firstLine="0"/>
        <w:rPr>
          <w:rFonts w:eastAsia="Times New Roman"/>
          <w:sz w:val="24"/>
          <w:szCs w:val="24"/>
          <w:lang w:eastAsia="lv-LV"/>
        </w:rPr>
      </w:pPr>
      <w:r>
        <w:rPr>
          <w:noProof/>
          <w:lang w:eastAsia="lv-LV"/>
        </w:rPr>
        <w:lastRenderedPageBreak/>
        <w:drawing>
          <wp:inline distT="0" distB="0" distL="0" distR="0" wp14:anchorId="34B712A5" wp14:editId="6E5319BB">
            <wp:extent cx="6048375" cy="3514725"/>
            <wp:effectExtent l="0" t="0" r="9525" b="9525"/>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247F6" w:rsidRPr="00D24FBD" w:rsidRDefault="006247F6" w:rsidP="006247F6">
      <w:pPr>
        <w:ind w:firstLine="0"/>
        <w:jc w:val="center"/>
        <w:rPr>
          <w:rFonts w:cs="Times New Roman"/>
          <w:b/>
          <w:i/>
          <w:sz w:val="24"/>
        </w:rPr>
      </w:pPr>
      <w:r w:rsidRPr="00D24FBD">
        <w:rPr>
          <w:rFonts w:cs="Times New Roman"/>
          <w:b/>
          <w:i/>
          <w:sz w:val="24"/>
        </w:rPr>
        <w:t>3</w:t>
      </w:r>
      <w:r w:rsidR="00D24FBD">
        <w:rPr>
          <w:rFonts w:cs="Times New Roman"/>
          <w:b/>
          <w:i/>
          <w:sz w:val="24"/>
        </w:rPr>
        <w:t>7</w:t>
      </w:r>
      <w:r w:rsidRPr="00D24FBD">
        <w:rPr>
          <w:rFonts w:cs="Times New Roman"/>
          <w:b/>
          <w:i/>
          <w:sz w:val="24"/>
        </w:rPr>
        <w:t xml:space="preserve">. att. „Valsts pamatbudžeta izdevumi ES fondu apguvei un pamatfunkciju finansēšanai” (milj. </w:t>
      </w:r>
      <w:proofErr w:type="spellStart"/>
      <w:r w:rsidRPr="00D24FBD">
        <w:rPr>
          <w:rFonts w:cs="Times New Roman"/>
          <w:b/>
          <w:i/>
          <w:sz w:val="24"/>
        </w:rPr>
        <w:t>euro</w:t>
      </w:r>
      <w:proofErr w:type="spellEnd"/>
      <w:r w:rsidRPr="00D24FBD">
        <w:rPr>
          <w:rFonts w:cs="Times New Roman"/>
          <w:b/>
          <w:i/>
          <w:sz w:val="24"/>
        </w:rPr>
        <w:t>)</w:t>
      </w:r>
    </w:p>
    <w:p w:rsidR="006247F6" w:rsidRPr="00A90239" w:rsidRDefault="006247F6" w:rsidP="006247F6">
      <w:pPr>
        <w:ind w:firstLine="0"/>
        <w:jc w:val="center"/>
        <w:rPr>
          <w:b/>
          <w:i/>
          <w:sz w:val="24"/>
        </w:rPr>
      </w:pPr>
    </w:p>
    <w:p w:rsidR="006247F6" w:rsidRDefault="006247F6" w:rsidP="006247F6">
      <w:pPr>
        <w:rPr>
          <w:lang w:eastAsia="lv-LV"/>
        </w:rPr>
      </w:pPr>
      <w:r w:rsidRPr="00D4319A">
        <w:t>Tendence, ka gada beigās pieaug izdevumu apjoms ES politiku instrumentu un pārējās ārvalstu finanšu palīdzības līdzfinansēto un finansēto projektu un pasākumu īstenošanai bija vērojama jau iepriekšējos gados. Attēlā redzams, ka 2013.</w:t>
      </w:r>
      <w:r>
        <w:t xml:space="preserve"> </w:t>
      </w:r>
      <w:r w:rsidRPr="00D4319A">
        <w:t xml:space="preserve">gadā decembrī izdevumi ES fondu apguvei bija 221 milj. </w:t>
      </w:r>
      <w:proofErr w:type="spellStart"/>
      <w:r w:rsidRPr="00D4319A">
        <w:rPr>
          <w:i/>
        </w:rPr>
        <w:t>euro</w:t>
      </w:r>
      <w:proofErr w:type="spellEnd"/>
      <w:r w:rsidRPr="00D4319A">
        <w:t>, kas būtiski pārsniedza izdevumus citos mēnešos. Savukārt, gan 2013.</w:t>
      </w:r>
      <w:r>
        <w:t xml:space="preserve"> </w:t>
      </w:r>
      <w:r w:rsidRPr="00D4319A">
        <w:t>gada gan 2014.</w:t>
      </w:r>
      <w:r>
        <w:t xml:space="preserve"> </w:t>
      </w:r>
      <w:r w:rsidRPr="00D4319A">
        <w:t>gada pirmajā ceturksnī šie izdevumi ir aptuveni līdzīgā apjomā.</w:t>
      </w:r>
    </w:p>
    <w:p w:rsidR="006247F6" w:rsidRPr="00466C46" w:rsidRDefault="006247F6" w:rsidP="006247F6">
      <w:pPr>
        <w:pStyle w:val="izdevumi"/>
        <w:rPr>
          <w:b/>
          <w:u w:val="single"/>
        </w:rPr>
      </w:pPr>
      <w:r w:rsidRPr="00466C46">
        <w:rPr>
          <w:b/>
          <w:u w:val="single"/>
        </w:rPr>
        <w:t>Informācijai!</w:t>
      </w:r>
    </w:p>
    <w:p w:rsidR="006247F6" w:rsidRPr="00AC6D0D" w:rsidRDefault="006247F6" w:rsidP="006247F6">
      <w:pPr>
        <w:rPr>
          <w:i/>
        </w:rPr>
      </w:pPr>
      <w:r w:rsidRPr="00AC6D0D">
        <w:rPr>
          <w:i/>
        </w:rPr>
        <w:t xml:space="preserve">Datu salīdzināšanai veikta 2013.gada datu konvertācija uz </w:t>
      </w:r>
      <w:proofErr w:type="spellStart"/>
      <w:r w:rsidRPr="00AC6D0D">
        <w:rPr>
          <w:i/>
          <w:iCs/>
        </w:rPr>
        <w:t>euro</w:t>
      </w:r>
      <w:proofErr w:type="spellEnd"/>
      <w:r w:rsidRPr="00AC6D0D">
        <w:rPr>
          <w:i/>
          <w:iCs/>
        </w:rPr>
        <w:t xml:space="preserve">, </w:t>
      </w:r>
      <w:r w:rsidRPr="00AC6D0D">
        <w:rPr>
          <w:i/>
        </w:rPr>
        <w:t>kā rezultātā iespējamas nebūtiskas novirzes datu noapaļošanas dēļ.</w:t>
      </w:r>
    </w:p>
    <w:p w:rsidR="006247F6" w:rsidRPr="00062774" w:rsidRDefault="006247F6" w:rsidP="00062774">
      <w:pPr>
        <w:rPr>
          <w:rFonts w:cs="Times New Roman"/>
        </w:rPr>
      </w:pPr>
    </w:p>
    <w:p w:rsidR="00062774" w:rsidRPr="00494C2B" w:rsidRDefault="004648EC" w:rsidP="00494C2B">
      <w:pPr>
        <w:pStyle w:val="ListParagraph"/>
        <w:keepNext/>
        <w:numPr>
          <w:ilvl w:val="1"/>
          <w:numId w:val="27"/>
        </w:numPr>
        <w:spacing w:before="240" w:after="60"/>
        <w:ind w:left="851"/>
        <w:jc w:val="center"/>
        <w:outlineLvl w:val="1"/>
        <w:rPr>
          <w:rFonts w:cs="Times New Roman"/>
          <w:b/>
          <w:color w:val="000000" w:themeColor="text1"/>
          <w:sz w:val="36"/>
        </w:rPr>
      </w:pPr>
      <w:hyperlink w:anchor="_Toc325101930" w:history="1">
        <w:bookmarkStart w:id="79" w:name="_Toc356399264"/>
        <w:bookmarkStart w:id="80" w:name="_Toc387845629"/>
        <w:bookmarkStart w:id="81" w:name="_Toc387911153"/>
        <w:r w:rsidR="00062774" w:rsidRPr="00494C2B">
          <w:rPr>
            <w:rFonts w:cs="Times New Roman"/>
            <w:b/>
            <w:color w:val="000000" w:themeColor="text1"/>
            <w:sz w:val="36"/>
          </w:rPr>
          <w:t>Pašvaldību budžeta izpilde</w:t>
        </w:r>
        <w:bookmarkEnd w:id="79"/>
        <w:bookmarkEnd w:id="80"/>
        <w:bookmarkEnd w:id="81"/>
      </w:hyperlink>
    </w:p>
    <w:p w:rsidR="00062774" w:rsidRPr="00791A21" w:rsidRDefault="00062774" w:rsidP="00062774">
      <w:pPr>
        <w:rPr>
          <w:sz w:val="4"/>
        </w:rPr>
      </w:pPr>
    </w:p>
    <w:p w:rsidR="00062774" w:rsidRPr="00062774" w:rsidRDefault="00062774" w:rsidP="00062774">
      <w:bookmarkStart w:id="82" w:name="_Toc356399265"/>
      <w:r w:rsidRPr="00062774">
        <w:t xml:space="preserve">Pašvaldību konsolidētajā budžetā šā gada pirmajā ceturksnī bija pārpalikums 78,2 milj. </w:t>
      </w:r>
      <w:proofErr w:type="spellStart"/>
      <w:r w:rsidR="00404D8F" w:rsidRPr="00B87469">
        <w:rPr>
          <w:i/>
        </w:rPr>
        <w:t>euro</w:t>
      </w:r>
      <w:proofErr w:type="spellEnd"/>
      <w:r w:rsidRPr="00062774">
        <w:t xml:space="preserve"> apmērā un salīdzinājumā ar iepriekšējā gada janvāri-martu</w:t>
      </w:r>
      <w:bookmarkStart w:id="83" w:name="_Toc356399266"/>
      <w:bookmarkEnd w:id="82"/>
      <w:r w:rsidRPr="00062774">
        <w:t xml:space="preserve"> finansiālā bilance uzlabojās par 16,3 milj. </w:t>
      </w:r>
      <w:proofErr w:type="spellStart"/>
      <w:r w:rsidR="00404D8F" w:rsidRPr="00B87469">
        <w:rPr>
          <w:i/>
        </w:rPr>
        <w:t>euro</w:t>
      </w:r>
      <w:proofErr w:type="spellEnd"/>
      <w:r w:rsidRPr="00062774">
        <w:t xml:space="preserve">. Uzlabojumu pamatā noteica labāka situācija ieņēmumu pusē, kur lielāko pieaugumu nodrošināja ieņēmumi no nekustamā īpašuma nodokļa, kā arī </w:t>
      </w:r>
      <w:proofErr w:type="spellStart"/>
      <w:r w:rsidRPr="00062774">
        <w:t>transferts</w:t>
      </w:r>
      <w:proofErr w:type="spellEnd"/>
      <w:r w:rsidRPr="00062774">
        <w:t xml:space="preserve"> no valsts pamatbudžeta ES fondu projektu īstenošanai. </w:t>
      </w:r>
      <w:bookmarkStart w:id="84" w:name="_Toc356399267"/>
    </w:p>
    <w:p w:rsidR="00062774" w:rsidRPr="00062774" w:rsidRDefault="00062774" w:rsidP="00062774">
      <w:r w:rsidRPr="00062774">
        <w:t>2014. gada pirmajā ceturksnī pašvaldību konsolidētā budžeta ieņēmumi bija 514,4 milj. </w:t>
      </w:r>
      <w:proofErr w:type="spellStart"/>
      <w:r w:rsidR="00404D8F" w:rsidRPr="00B87469">
        <w:rPr>
          <w:i/>
        </w:rPr>
        <w:t>euro</w:t>
      </w:r>
      <w:proofErr w:type="spellEnd"/>
      <w:r w:rsidRPr="00062774">
        <w:t>, kas salīdzinājumā ar 2013. gada pirmo ceturksni pieauga par 15,9 milj. </w:t>
      </w:r>
      <w:proofErr w:type="spellStart"/>
      <w:r w:rsidR="00404D8F" w:rsidRPr="00B87469">
        <w:rPr>
          <w:i/>
        </w:rPr>
        <w:t>euro</w:t>
      </w:r>
      <w:proofErr w:type="spellEnd"/>
      <w:r w:rsidRPr="00062774">
        <w:t xml:space="preserve"> jeb 3,2 procentiem. Vērtējot pašvaldību konsolidētā budžeta lielākās ieņēmumu pozīcijas, var secināt, ka </w:t>
      </w:r>
      <w:proofErr w:type="spellStart"/>
      <w:r w:rsidRPr="00062774">
        <w:t>transfertu</w:t>
      </w:r>
      <w:proofErr w:type="spellEnd"/>
      <w:r w:rsidRPr="00062774">
        <w:t xml:space="preserve"> apjoms no valsts pamatbudžeta bija par </w:t>
      </w:r>
      <w:r w:rsidRPr="00062774">
        <w:lastRenderedPageBreak/>
        <w:t xml:space="preserve">11,5 milj. </w:t>
      </w:r>
      <w:proofErr w:type="spellStart"/>
      <w:r w:rsidR="00404D8F" w:rsidRPr="00B87469">
        <w:rPr>
          <w:i/>
        </w:rPr>
        <w:t>euro</w:t>
      </w:r>
      <w:proofErr w:type="spellEnd"/>
      <w:r w:rsidRPr="00062774">
        <w:t xml:space="preserve"> jeb 8,5% lielāks. Arī nodokļu ieņēmumi pieauga par 9,6 milj.</w:t>
      </w:r>
      <w:r w:rsidRPr="00B87469">
        <w:rPr>
          <w:i/>
        </w:rPr>
        <w:t xml:space="preserve"> </w:t>
      </w:r>
      <w:proofErr w:type="spellStart"/>
      <w:r w:rsidR="00404D8F" w:rsidRPr="00B87469">
        <w:rPr>
          <w:i/>
        </w:rPr>
        <w:t>euro</w:t>
      </w:r>
      <w:proofErr w:type="spellEnd"/>
      <w:r w:rsidRPr="00B87469">
        <w:rPr>
          <w:i/>
        </w:rPr>
        <w:t xml:space="preserve"> </w:t>
      </w:r>
      <w:r w:rsidRPr="00062774">
        <w:t xml:space="preserve">jeb 3,0%, ko pamatā noteica izmaiņas pašvaldību budžeta lielākajās nodokļu ieņēmumu pozīcijas  - iedzīvotāju ienākuma nodoklis  (samazinājās par 7,4 milj. </w:t>
      </w:r>
      <w:proofErr w:type="spellStart"/>
      <w:r w:rsidR="00404D8F" w:rsidRPr="00B87469">
        <w:rPr>
          <w:i/>
        </w:rPr>
        <w:t>euro</w:t>
      </w:r>
      <w:proofErr w:type="spellEnd"/>
      <w:r w:rsidRPr="00062774">
        <w:t xml:space="preserve"> jeb 2,9%) un nekustamā īpašuma nodoklis (pieauga par 18,4 milj. </w:t>
      </w:r>
      <w:proofErr w:type="spellStart"/>
      <w:r w:rsidR="00404D8F" w:rsidRPr="00B87469">
        <w:rPr>
          <w:i/>
        </w:rPr>
        <w:t>euro</w:t>
      </w:r>
      <w:proofErr w:type="spellEnd"/>
      <w:r w:rsidRPr="00062774">
        <w:t xml:space="preserve"> jeb 33,6%). Savukārt </w:t>
      </w:r>
      <w:proofErr w:type="spellStart"/>
      <w:r w:rsidRPr="00062774">
        <w:t>nenodokļu</w:t>
      </w:r>
      <w:proofErr w:type="spellEnd"/>
      <w:r w:rsidRPr="00062774">
        <w:t xml:space="preserve"> ieņēmumos un pašu ieņēmumos bija vērojams nebūtisks samazinājums, salīdzinot ar iepriekšējā gada pirmo ceturksni, attiecīgi par 5,3 milj. </w:t>
      </w:r>
      <w:proofErr w:type="spellStart"/>
      <w:r w:rsidR="00404D8F" w:rsidRPr="00B87469">
        <w:rPr>
          <w:i/>
        </w:rPr>
        <w:t>euro</w:t>
      </w:r>
      <w:proofErr w:type="spellEnd"/>
      <w:r w:rsidRPr="00062774">
        <w:t xml:space="preserve"> jeb 36,9% un par 1,6 milj. </w:t>
      </w:r>
      <w:proofErr w:type="spellStart"/>
      <w:r w:rsidR="00404D8F" w:rsidRPr="00B87469">
        <w:rPr>
          <w:i/>
        </w:rPr>
        <w:t>euro</w:t>
      </w:r>
      <w:proofErr w:type="spellEnd"/>
      <w:r w:rsidRPr="00062774">
        <w:t xml:space="preserve"> jeb 4,6 procentiem. </w:t>
      </w:r>
    </w:p>
    <w:p w:rsidR="00062774" w:rsidRPr="00062774" w:rsidRDefault="00062774" w:rsidP="00062774">
      <w:r w:rsidRPr="00062774">
        <w:t xml:space="preserve">Labu izpildi ieņēmumos no nekustamā īpašuma nodokļa pamatā noteica pagājušajā gadā pārskatītās kadastrālās vērtības. Piemēram, Rīgā nekustamo īpašumu kopējās kadastrālās vērtības 2014.gadam pieaugums sniedzas līdz pat 5%. Tāpat, ieņēmumus pozitīvi ietekmēja arvien lielāks to iedzīvotāju skaits, kas cenšas nodokļa maksājumus veikt gada sākumā. Tomēr sagaidāms, ka turpmākajos mēnešos pieauguma tempi palēnināsies. Savukārt samazinājums ieņēmumos no iedzīvotāju ienākuma nodokļa galvenokārt skaidrojams ar to, ka saistībā ar </w:t>
      </w:r>
      <w:proofErr w:type="spellStart"/>
      <w:r w:rsidR="00404D8F" w:rsidRPr="00B87469">
        <w:rPr>
          <w:i/>
        </w:rPr>
        <w:t>euro</w:t>
      </w:r>
      <w:proofErr w:type="spellEnd"/>
      <w:r w:rsidRPr="00062774">
        <w:t xml:space="preserve"> ieviešanu daļa maksājumu par 2014.gada janvāri tika samaksāti 2013.gada decembrī. Turklāt saskaņā ar VID apkopoto informāciju par iesniegtajām “Gada ienākuma deklarācijām” 2014.gada 3 mēnešos IIN atmaksas ir pieaugušas par 4,9 milj. </w:t>
      </w:r>
      <w:proofErr w:type="spellStart"/>
      <w:r w:rsidR="00404D8F" w:rsidRPr="00B87469">
        <w:rPr>
          <w:i/>
        </w:rPr>
        <w:t>euro</w:t>
      </w:r>
      <w:proofErr w:type="spellEnd"/>
      <w:r w:rsidRPr="00062774">
        <w:t xml:space="preserve"> jeb 92,1%, salīdzinot ar 2013.gada attiecīgo periodu. </w:t>
      </w:r>
    </w:p>
    <w:bookmarkEnd w:id="83"/>
    <w:bookmarkEnd w:id="84"/>
    <w:p w:rsidR="00062774" w:rsidRPr="00062774" w:rsidRDefault="00062774" w:rsidP="00062774">
      <w:pPr>
        <w:ind w:firstLine="0"/>
        <w:rPr>
          <w:b/>
          <w:i/>
        </w:rPr>
      </w:pPr>
      <w:r w:rsidRPr="00062774">
        <w:rPr>
          <w:noProof/>
          <w:lang w:eastAsia="lv-LV"/>
        </w:rPr>
        <w:drawing>
          <wp:inline distT="0" distB="0" distL="0" distR="0" wp14:anchorId="1EB87120" wp14:editId="24D8A248">
            <wp:extent cx="6029325" cy="2733675"/>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62774" w:rsidRPr="00D24FBD" w:rsidRDefault="00062774" w:rsidP="00062774">
      <w:pPr>
        <w:ind w:firstLine="0"/>
        <w:jc w:val="center"/>
        <w:rPr>
          <w:rFonts w:cs="Times New Roman"/>
          <w:b/>
          <w:i/>
          <w:sz w:val="24"/>
        </w:rPr>
      </w:pPr>
      <w:r w:rsidRPr="00D24FBD">
        <w:rPr>
          <w:rFonts w:cs="Times New Roman"/>
          <w:b/>
          <w:i/>
          <w:sz w:val="24"/>
        </w:rPr>
        <w:t>3</w:t>
      </w:r>
      <w:r w:rsidR="00D24FBD">
        <w:rPr>
          <w:rFonts w:cs="Times New Roman"/>
          <w:b/>
          <w:i/>
          <w:sz w:val="24"/>
        </w:rPr>
        <w:t>8</w:t>
      </w:r>
      <w:r w:rsidRPr="00D24FBD">
        <w:rPr>
          <w:rFonts w:cs="Times New Roman"/>
          <w:b/>
          <w:i/>
          <w:sz w:val="24"/>
        </w:rPr>
        <w:t>. att. Pašvaldību konsolidētā budžeta ieņēmumi un izdevumi, % pret iepriekšējā gada atbilstošo periodu</w:t>
      </w:r>
    </w:p>
    <w:p w:rsidR="00062774" w:rsidRPr="00062774" w:rsidRDefault="00062774" w:rsidP="00062774">
      <w:bookmarkStart w:id="85" w:name="_Toc356399268"/>
      <w:r w:rsidRPr="00062774">
        <w:t>Pašvaldību konsolidētā budžeta izdevumi (436,2 milj. </w:t>
      </w:r>
      <w:proofErr w:type="spellStart"/>
      <w:r w:rsidR="00404D8F" w:rsidRPr="00B87469">
        <w:rPr>
          <w:i/>
        </w:rPr>
        <w:t>euro</w:t>
      </w:r>
      <w:proofErr w:type="spellEnd"/>
      <w:r w:rsidRPr="00062774">
        <w:t xml:space="preserve">) 2014. gada pirmajā ceturksnī bija iepriekšējā gada atbilstošā perioda līmenī. Apskatot pašvaldību izdevumus pa pozīcijām, izdevumi atlīdzībai pieauga par 5,4 milj. </w:t>
      </w:r>
      <w:proofErr w:type="spellStart"/>
      <w:r w:rsidR="00404D8F" w:rsidRPr="00B87469">
        <w:rPr>
          <w:i/>
        </w:rPr>
        <w:t>euro</w:t>
      </w:r>
      <w:proofErr w:type="spellEnd"/>
      <w:r w:rsidRPr="00062774">
        <w:t xml:space="preserve"> jeb 3,2%, subsīdijām un dotācijām (galvenokārt sabiedriskā transporta pakalpojumu nodrošinātājiem) par 4,0 milj. </w:t>
      </w:r>
      <w:proofErr w:type="spellStart"/>
      <w:r w:rsidR="00404D8F" w:rsidRPr="00B87469">
        <w:rPr>
          <w:i/>
        </w:rPr>
        <w:t>euro</w:t>
      </w:r>
      <w:proofErr w:type="spellEnd"/>
      <w:r w:rsidRPr="00062774">
        <w:t xml:space="preserve"> jeb 13,0% un procentu izdevumiem par 3,3 milj. </w:t>
      </w:r>
      <w:proofErr w:type="spellStart"/>
      <w:r w:rsidR="00404D8F" w:rsidRPr="00B87469">
        <w:rPr>
          <w:i/>
        </w:rPr>
        <w:t>euro</w:t>
      </w:r>
      <w:proofErr w:type="spellEnd"/>
      <w:r w:rsidRPr="00062774">
        <w:t xml:space="preserve"> jeb 25,5%. Turpretī izdevumi precēm un pakalpojumiem samazinājās par 6,9 milj. </w:t>
      </w:r>
      <w:proofErr w:type="spellStart"/>
      <w:r w:rsidR="00404D8F" w:rsidRPr="00B87469">
        <w:rPr>
          <w:i/>
        </w:rPr>
        <w:t>euro</w:t>
      </w:r>
      <w:proofErr w:type="spellEnd"/>
      <w:r w:rsidRPr="00062774">
        <w:t xml:space="preserve"> jeb 5,6%, kapitālajiem izdevumiem - par 4,4 milj. </w:t>
      </w:r>
      <w:proofErr w:type="spellStart"/>
      <w:r w:rsidR="00404D8F" w:rsidRPr="00B87469">
        <w:rPr>
          <w:i/>
        </w:rPr>
        <w:t>euro</w:t>
      </w:r>
      <w:proofErr w:type="spellEnd"/>
      <w:r w:rsidRPr="00062774">
        <w:t xml:space="preserve"> jeb 6,1% un sociālajiem pabalstiem - par 1,7 milj. </w:t>
      </w:r>
      <w:proofErr w:type="spellStart"/>
      <w:r w:rsidR="00404D8F" w:rsidRPr="00B87469">
        <w:rPr>
          <w:i/>
        </w:rPr>
        <w:t>euro</w:t>
      </w:r>
      <w:proofErr w:type="spellEnd"/>
      <w:r w:rsidRPr="00062774">
        <w:t xml:space="preserve"> jeb 6,8 procentiem.</w:t>
      </w:r>
      <w:bookmarkEnd w:id="85"/>
      <w:r w:rsidRPr="00062774">
        <w:t xml:space="preserve"> </w:t>
      </w:r>
    </w:p>
    <w:p w:rsidR="007C2AB0" w:rsidRPr="007C2AB0" w:rsidRDefault="007C2AB0" w:rsidP="007C2AB0"/>
    <w:p w:rsidR="00565B8A" w:rsidRPr="00494C2B" w:rsidRDefault="004648EC" w:rsidP="00494C2B">
      <w:pPr>
        <w:pStyle w:val="ListParagraph"/>
        <w:keepNext/>
        <w:keepLines/>
        <w:numPr>
          <w:ilvl w:val="1"/>
          <w:numId w:val="27"/>
        </w:numPr>
        <w:spacing w:before="200"/>
        <w:ind w:left="851"/>
        <w:jc w:val="center"/>
        <w:outlineLvl w:val="1"/>
        <w:rPr>
          <w:rFonts w:eastAsiaTheme="majorEastAsia" w:cs="Times New Roman"/>
          <w:b/>
          <w:bCs/>
          <w:color w:val="000000" w:themeColor="text1"/>
          <w:sz w:val="36"/>
          <w:szCs w:val="26"/>
        </w:rPr>
      </w:pPr>
      <w:hyperlink w:anchor="_Toc325101931" w:history="1">
        <w:bookmarkStart w:id="86" w:name="_Toc356399270"/>
        <w:bookmarkStart w:id="87" w:name="_Toc356399767"/>
        <w:bookmarkStart w:id="88" w:name="_Toc387911154"/>
        <w:r w:rsidR="00565B8A" w:rsidRPr="00494C2B">
          <w:rPr>
            <w:rFonts w:eastAsiaTheme="majorEastAsia" w:cs="Times New Roman"/>
            <w:b/>
            <w:bCs/>
            <w:color w:val="000000" w:themeColor="text1"/>
            <w:sz w:val="36"/>
            <w:szCs w:val="26"/>
          </w:rPr>
          <w:t>Valsts aizdevumu kopsavilkums</w:t>
        </w:r>
        <w:bookmarkEnd w:id="86"/>
        <w:bookmarkEnd w:id="87"/>
        <w:bookmarkEnd w:id="88"/>
      </w:hyperlink>
    </w:p>
    <w:p w:rsidR="00565B8A" w:rsidRDefault="00565B8A" w:rsidP="00565B8A">
      <w:r w:rsidRPr="00565B8A">
        <w:t>Likumā „Par valsts budžetu 2014.gadam” valsts aizdevumu kopējais palielinājums 2014.gadā ir noteikts 296 </w:t>
      </w:r>
      <w:proofErr w:type="spellStart"/>
      <w:r w:rsidRPr="00565B8A">
        <w:t>milj.</w:t>
      </w:r>
      <w:r w:rsidRPr="00B87469">
        <w:rPr>
          <w:i/>
        </w:rPr>
        <w:t>euro</w:t>
      </w:r>
      <w:proofErr w:type="spellEnd"/>
      <w:r w:rsidRPr="00565B8A">
        <w:t xml:space="preserve"> apmērā, t.sk. pašvaldību aizņēmumu kopējais palielinājums 118,1 </w:t>
      </w:r>
      <w:proofErr w:type="spellStart"/>
      <w:r w:rsidRPr="00565B8A">
        <w:t>milj.</w:t>
      </w:r>
      <w:r w:rsidRPr="00B87469">
        <w:rPr>
          <w:i/>
        </w:rPr>
        <w:t>euro</w:t>
      </w:r>
      <w:proofErr w:type="spellEnd"/>
      <w:r w:rsidRPr="00565B8A">
        <w:t xml:space="preserve"> apmērā. Savukārt kopējais 2014.gadā pieļaujamais izsniedzamo valsts aizdevumu apmērs ir noteikts 373,5 </w:t>
      </w:r>
      <w:proofErr w:type="spellStart"/>
      <w:r w:rsidRPr="00565B8A">
        <w:t>milj.</w:t>
      </w:r>
      <w:r w:rsidRPr="00B87469">
        <w:rPr>
          <w:i/>
        </w:rPr>
        <w:t>euro</w:t>
      </w:r>
      <w:proofErr w:type="spellEnd"/>
      <w:r w:rsidRPr="00565B8A">
        <w:t xml:space="preserve"> apmērā, kas ietver gadskārtējā valsts budžeta likumā noteikto valsts aizdevumu kopējo palielinājumu 296 </w:t>
      </w:r>
      <w:proofErr w:type="spellStart"/>
      <w:r w:rsidRPr="00565B8A">
        <w:t>milj.</w:t>
      </w:r>
      <w:r w:rsidRPr="00B87469">
        <w:rPr>
          <w:i/>
        </w:rPr>
        <w:t>euro</w:t>
      </w:r>
      <w:proofErr w:type="spellEnd"/>
      <w:r w:rsidRPr="00565B8A">
        <w:t xml:space="preserve"> apmērā un iepriekšējos gados izsniegto valsts aizdevumu atmaksas 2014.gadā 77,5 </w:t>
      </w:r>
      <w:proofErr w:type="spellStart"/>
      <w:r w:rsidRPr="00565B8A">
        <w:t>milj.</w:t>
      </w:r>
      <w:r w:rsidRPr="00B87469">
        <w:rPr>
          <w:i/>
        </w:rPr>
        <w:t>euro</w:t>
      </w:r>
      <w:proofErr w:type="spellEnd"/>
      <w:r w:rsidRPr="00565B8A">
        <w:t xml:space="preserve"> apmērā.</w:t>
      </w:r>
    </w:p>
    <w:p w:rsidR="00FB3DD1" w:rsidRDefault="00FB3DD1" w:rsidP="00D44AAF">
      <w:pPr>
        <w:rPr>
          <w:rFonts w:cs="Times New Roman"/>
          <w:b/>
          <w:i/>
          <w:sz w:val="24"/>
        </w:rPr>
      </w:pPr>
    </w:p>
    <w:p w:rsidR="00565B8A" w:rsidRPr="00D44AAF" w:rsidRDefault="00565B8A" w:rsidP="00D44AAF">
      <w:pPr>
        <w:rPr>
          <w:rFonts w:cs="Times New Roman"/>
          <w:b/>
          <w:i/>
          <w:sz w:val="24"/>
        </w:rPr>
      </w:pPr>
      <w:r w:rsidRPr="00D44AAF">
        <w:rPr>
          <w:rFonts w:cs="Times New Roman"/>
          <w:b/>
          <w:i/>
          <w:sz w:val="24"/>
        </w:rPr>
        <w:t>1</w:t>
      </w:r>
      <w:r w:rsidR="00D44AAF">
        <w:rPr>
          <w:rFonts w:cs="Times New Roman"/>
          <w:b/>
          <w:i/>
          <w:sz w:val="24"/>
        </w:rPr>
        <w:t>0</w:t>
      </w:r>
      <w:r w:rsidRPr="00D44AAF">
        <w:rPr>
          <w:rFonts w:cs="Times New Roman"/>
          <w:b/>
          <w:i/>
          <w:sz w:val="24"/>
        </w:rPr>
        <w:t>. tabula. Izsniegti valsts aizdevumi un veiktās valsts aizdevumu atmaksas</w:t>
      </w:r>
      <w:r w:rsidRPr="00565B8A">
        <w:rPr>
          <w:b/>
          <w:i/>
        </w:rPr>
        <w:t xml:space="preserve"> </w:t>
      </w:r>
      <w:r w:rsidRPr="00D44AAF">
        <w:rPr>
          <w:rFonts w:cs="Times New Roman"/>
          <w:b/>
          <w:i/>
          <w:sz w:val="24"/>
        </w:rPr>
        <w:t>2013.gada I ceturksnī un 2014.gada I ceturksnī</w:t>
      </w:r>
    </w:p>
    <w:tbl>
      <w:tblPr>
        <w:tblW w:w="9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4"/>
        <w:gridCol w:w="1370"/>
        <w:gridCol w:w="1347"/>
        <w:gridCol w:w="1336"/>
        <w:gridCol w:w="1357"/>
      </w:tblGrid>
      <w:tr w:rsidR="00565B8A" w:rsidRPr="00565B8A" w:rsidTr="0079557A">
        <w:trPr>
          <w:jc w:val="center"/>
        </w:trPr>
        <w:tc>
          <w:tcPr>
            <w:tcW w:w="3924" w:type="dxa"/>
            <w:tcBorders>
              <w:top w:val="single" w:sz="4" w:space="0" w:color="auto"/>
              <w:left w:val="single" w:sz="4" w:space="0" w:color="auto"/>
              <w:bottom w:val="single" w:sz="4" w:space="0" w:color="auto"/>
              <w:right w:val="single" w:sz="4" w:space="0" w:color="auto"/>
            </w:tcBorders>
            <w:vAlign w:val="center"/>
          </w:tcPr>
          <w:p w:rsidR="00565B8A" w:rsidRPr="00565B8A" w:rsidRDefault="00565B8A" w:rsidP="00565B8A">
            <w:pPr>
              <w:spacing w:after="0"/>
              <w:ind w:firstLine="0"/>
              <w:jc w:val="center"/>
              <w:rPr>
                <w:rFonts w:eastAsia="Times New Roman" w:cs="Times New Roman"/>
                <w:b/>
                <w:sz w:val="24"/>
                <w:szCs w:val="24"/>
              </w:rPr>
            </w:pPr>
          </w:p>
        </w:tc>
        <w:tc>
          <w:tcPr>
            <w:tcW w:w="1370" w:type="dxa"/>
            <w:tcBorders>
              <w:top w:val="single" w:sz="4" w:space="0" w:color="auto"/>
              <w:left w:val="single" w:sz="4" w:space="0" w:color="auto"/>
              <w:bottom w:val="single" w:sz="4" w:space="0" w:color="auto"/>
              <w:right w:val="single" w:sz="4" w:space="0" w:color="auto"/>
            </w:tcBorders>
            <w:vAlign w:val="center"/>
          </w:tcPr>
          <w:p w:rsidR="00565B8A" w:rsidRPr="00565B8A" w:rsidRDefault="00565B8A" w:rsidP="00565B8A">
            <w:pPr>
              <w:spacing w:after="0"/>
              <w:ind w:firstLine="0"/>
              <w:jc w:val="center"/>
              <w:rPr>
                <w:rFonts w:eastAsia="Times New Roman" w:cs="Times New Roman"/>
                <w:b/>
                <w:sz w:val="20"/>
                <w:szCs w:val="20"/>
              </w:rPr>
            </w:pPr>
            <w:r w:rsidRPr="00565B8A">
              <w:rPr>
                <w:rFonts w:eastAsia="Times New Roman" w:cs="Times New Roman"/>
                <w:b/>
                <w:sz w:val="20"/>
                <w:szCs w:val="20"/>
              </w:rPr>
              <w:t>2013.gada plāns</w:t>
            </w:r>
          </w:p>
          <w:p w:rsidR="00565B8A" w:rsidRPr="00565B8A" w:rsidRDefault="00565B8A" w:rsidP="00565B8A">
            <w:pPr>
              <w:spacing w:after="0"/>
              <w:ind w:firstLine="0"/>
              <w:jc w:val="center"/>
              <w:rPr>
                <w:rFonts w:eastAsia="Times New Roman" w:cs="Times New Roman"/>
                <w:b/>
                <w:sz w:val="20"/>
                <w:szCs w:val="20"/>
              </w:rPr>
            </w:pPr>
            <w:r w:rsidRPr="00565B8A">
              <w:rPr>
                <w:rFonts w:eastAsia="Times New Roman" w:cs="Times New Roman"/>
                <w:b/>
                <w:sz w:val="20"/>
                <w:szCs w:val="20"/>
              </w:rPr>
              <w:t xml:space="preserve"> (</w:t>
            </w:r>
            <w:proofErr w:type="spellStart"/>
            <w:r w:rsidRPr="00B87469">
              <w:rPr>
                <w:rFonts w:eastAsia="Times New Roman" w:cs="Times New Roman"/>
                <w:i/>
                <w:sz w:val="20"/>
                <w:szCs w:val="20"/>
              </w:rPr>
              <w:t>euro</w:t>
            </w:r>
            <w:proofErr w:type="spellEnd"/>
            <w:r w:rsidRPr="00565B8A">
              <w:rPr>
                <w:rFonts w:eastAsia="Times New Roman" w:cs="Times New Roman"/>
                <w:b/>
                <w:sz w:val="20"/>
                <w:szCs w:val="20"/>
              </w:rPr>
              <w:t>)</w:t>
            </w:r>
          </w:p>
        </w:tc>
        <w:tc>
          <w:tcPr>
            <w:tcW w:w="1347" w:type="dxa"/>
            <w:tcBorders>
              <w:top w:val="single" w:sz="4" w:space="0" w:color="auto"/>
              <w:left w:val="single" w:sz="4" w:space="0" w:color="auto"/>
              <w:bottom w:val="single" w:sz="4" w:space="0" w:color="auto"/>
              <w:right w:val="single" w:sz="4" w:space="0" w:color="auto"/>
            </w:tcBorders>
            <w:vAlign w:val="center"/>
          </w:tcPr>
          <w:p w:rsidR="00565B8A" w:rsidRPr="00565B8A" w:rsidRDefault="00565B8A" w:rsidP="00565B8A">
            <w:pPr>
              <w:spacing w:after="0"/>
              <w:ind w:firstLine="0"/>
              <w:jc w:val="center"/>
              <w:rPr>
                <w:rFonts w:eastAsia="Times New Roman" w:cs="Times New Roman"/>
                <w:b/>
                <w:sz w:val="20"/>
                <w:szCs w:val="20"/>
              </w:rPr>
            </w:pPr>
            <w:r w:rsidRPr="00565B8A">
              <w:rPr>
                <w:rFonts w:eastAsia="Times New Roman" w:cs="Times New Roman"/>
                <w:b/>
                <w:sz w:val="20"/>
                <w:szCs w:val="20"/>
              </w:rPr>
              <w:t xml:space="preserve">Izpilde 01.01.2013.-31.03.2013. </w:t>
            </w:r>
            <w:r w:rsidRPr="00565B8A">
              <w:rPr>
                <w:rFonts w:eastAsia="Times New Roman" w:cs="Times New Roman"/>
                <w:sz w:val="20"/>
                <w:szCs w:val="20"/>
              </w:rPr>
              <w:t>(</w:t>
            </w:r>
            <w:proofErr w:type="spellStart"/>
            <w:r w:rsidRPr="00B87469">
              <w:rPr>
                <w:rFonts w:eastAsia="Times New Roman" w:cs="Times New Roman"/>
                <w:i/>
                <w:sz w:val="20"/>
                <w:szCs w:val="20"/>
              </w:rPr>
              <w:t>euro</w:t>
            </w:r>
            <w:proofErr w:type="spellEnd"/>
            <w:r w:rsidRPr="00565B8A">
              <w:rPr>
                <w:rFonts w:eastAsia="Times New Roman" w:cs="Times New Roman"/>
                <w:sz w:val="20"/>
                <w:szCs w:val="20"/>
              </w:rPr>
              <w:t>)</w:t>
            </w:r>
          </w:p>
        </w:tc>
        <w:tc>
          <w:tcPr>
            <w:tcW w:w="1336" w:type="dxa"/>
            <w:tcBorders>
              <w:top w:val="single" w:sz="4" w:space="0" w:color="auto"/>
              <w:left w:val="double" w:sz="4" w:space="0" w:color="auto"/>
              <w:bottom w:val="single" w:sz="4" w:space="0" w:color="auto"/>
              <w:right w:val="single" w:sz="4" w:space="0" w:color="auto"/>
            </w:tcBorders>
            <w:vAlign w:val="center"/>
            <w:hideMark/>
          </w:tcPr>
          <w:p w:rsidR="00565B8A" w:rsidRPr="00565B8A" w:rsidRDefault="00565B8A" w:rsidP="00565B8A">
            <w:pPr>
              <w:spacing w:after="0"/>
              <w:ind w:firstLine="0"/>
              <w:jc w:val="center"/>
              <w:rPr>
                <w:rFonts w:eastAsia="Times New Roman" w:cs="Times New Roman"/>
                <w:b/>
                <w:sz w:val="20"/>
                <w:szCs w:val="20"/>
              </w:rPr>
            </w:pPr>
            <w:r w:rsidRPr="00565B8A">
              <w:rPr>
                <w:rFonts w:eastAsia="Times New Roman" w:cs="Times New Roman"/>
                <w:b/>
                <w:sz w:val="20"/>
                <w:szCs w:val="20"/>
              </w:rPr>
              <w:t xml:space="preserve">2014.gada plāns </w:t>
            </w:r>
          </w:p>
          <w:p w:rsidR="00565B8A" w:rsidRPr="00565B8A" w:rsidRDefault="00565B8A" w:rsidP="00565B8A">
            <w:pPr>
              <w:spacing w:after="0"/>
              <w:ind w:firstLine="0"/>
              <w:jc w:val="center"/>
              <w:rPr>
                <w:rFonts w:eastAsia="Times New Roman" w:cs="Times New Roman"/>
                <w:i/>
                <w:sz w:val="20"/>
                <w:szCs w:val="20"/>
              </w:rPr>
            </w:pPr>
            <w:r w:rsidRPr="00565B8A">
              <w:rPr>
                <w:rFonts w:eastAsia="Times New Roman" w:cs="Times New Roman"/>
                <w:i/>
                <w:sz w:val="20"/>
                <w:szCs w:val="20"/>
              </w:rPr>
              <w:t>(</w:t>
            </w:r>
            <w:proofErr w:type="spellStart"/>
            <w:r w:rsidRPr="00565B8A">
              <w:rPr>
                <w:rFonts w:eastAsia="Times New Roman" w:cs="Times New Roman"/>
                <w:i/>
                <w:sz w:val="20"/>
                <w:szCs w:val="20"/>
              </w:rPr>
              <w:t>euro</w:t>
            </w:r>
            <w:proofErr w:type="spellEnd"/>
            <w:r w:rsidRPr="00565B8A">
              <w:rPr>
                <w:rFonts w:eastAsia="Times New Roman" w:cs="Times New Roman"/>
                <w:i/>
                <w:sz w:val="20"/>
                <w:szCs w:val="20"/>
              </w:rPr>
              <w:t>)</w:t>
            </w:r>
          </w:p>
        </w:tc>
        <w:tc>
          <w:tcPr>
            <w:tcW w:w="1357" w:type="dxa"/>
            <w:tcBorders>
              <w:top w:val="single" w:sz="4" w:space="0" w:color="auto"/>
              <w:left w:val="single" w:sz="4" w:space="0" w:color="auto"/>
              <w:bottom w:val="single" w:sz="4" w:space="0" w:color="auto"/>
              <w:right w:val="single" w:sz="4" w:space="0" w:color="auto"/>
            </w:tcBorders>
            <w:vAlign w:val="center"/>
            <w:hideMark/>
          </w:tcPr>
          <w:p w:rsidR="00565B8A" w:rsidRPr="00565B8A" w:rsidRDefault="00565B8A" w:rsidP="00565B8A">
            <w:pPr>
              <w:spacing w:after="0"/>
              <w:ind w:firstLine="0"/>
              <w:jc w:val="center"/>
              <w:rPr>
                <w:rFonts w:eastAsia="Times New Roman" w:cs="Times New Roman"/>
                <w:b/>
                <w:sz w:val="20"/>
                <w:szCs w:val="20"/>
              </w:rPr>
            </w:pPr>
            <w:r w:rsidRPr="00565B8A">
              <w:rPr>
                <w:rFonts w:eastAsia="Times New Roman" w:cs="Times New Roman"/>
                <w:b/>
                <w:sz w:val="20"/>
                <w:szCs w:val="20"/>
              </w:rPr>
              <w:t>Izpilde 01.01.2014.-31.03.2014.</w:t>
            </w:r>
          </w:p>
          <w:p w:rsidR="00565B8A" w:rsidRPr="00565B8A" w:rsidRDefault="00565B8A" w:rsidP="00565B8A">
            <w:pPr>
              <w:spacing w:after="0"/>
              <w:ind w:firstLine="0"/>
              <w:jc w:val="center"/>
              <w:rPr>
                <w:rFonts w:eastAsia="Times New Roman" w:cs="Times New Roman"/>
                <w:i/>
                <w:sz w:val="20"/>
                <w:szCs w:val="20"/>
              </w:rPr>
            </w:pPr>
            <w:r w:rsidRPr="00565B8A">
              <w:rPr>
                <w:rFonts w:eastAsia="Times New Roman" w:cs="Times New Roman"/>
                <w:i/>
                <w:sz w:val="20"/>
                <w:szCs w:val="20"/>
              </w:rPr>
              <w:t>(</w:t>
            </w:r>
            <w:proofErr w:type="spellStart"/>
            <w:r w:rsidRPr="00565B8A">
              <w:rPr>
                <w:rFonts w:eastAsia="Times New Roman" w:cs="Times New Roman"/>
                <w:i/>
                <w:sz w:val="20"/>
                <w:szCs w:val="20"/>
              </w:rPr>
              <w:t>euro</w:t>
            </w:r>
            <w:proofErr w:type="spellEnd"/>
            <w:r w:rsidRPr="00565B8A">
              <w:rPr>
                <w:rFonts w:eastAsia="Times New Roman" w:cs="Times New Roman"/>
                <w:i/>
                <w:sz w:val="20"/>
                <w:szCs w:val="20"/>
              </w:rPr>
              <w:t>)</w:t>
            </w:r>
          </w:p>
        </w:tc>
      </w:tr>
      <w:tr w:rsidR="00565B8A" w:rsidRPr="00565B8A" w:rsidTr="0079557A">
        <w:trPr>
          <w:jc w:val="center"/>
        </w:trPr>
        <w:tc>
          <w:tcPr>
            <w:tcW w:w="3924" w:type="dxa"/>
            <w:tcBorders>
              <w:top w:val="single" w:sz="4" w:space="0" w:color="auto"/>
              <w:left w:val="single" w:sz="4" w:space="0" w:color="auto"/>
              <w:bottom w:val="single" w:sz="4" w:space="0" w:color="auto"/>
              <w:right w:val="single" w:sz="4" w:space="0" w:color="auto"/>
            </w:tcBorders>
            <w:hideMark/>
          </w:tcPr>
          <w:p w:rsidR="00565B8A" w:rsidRPr="00565B8A" w:rsidRDefault="00565B8A" w:rsidP="00565B8A">
            <w:pPr>
              <w:spacing w:after="0"/>
              <w:ind w:firstLine="0"/>
              <w:rPr>
                <w:rFonts w:eastAsia="Times New Roman" w:cs="Times New Roman"/>
                <w:b/>
                <w:sz w:val="20"/>
                <w:szCs w:val="20"/>
              </w:rPr>
            </w:pPr>
            <w:r w:rsidRPr="00565B8A">
              <w:rPr>
                <w:rFonts w:eastAsia="Times New Roman" w:cs="Times New Roman"/>
                <w:b/>
                <w:sz w:val="20"/>
                <w:szCs w:val="20"/>
              </w:rPr>
              <w:t>Izsniegtie valsts aizdevumi</w:t>
            </w:r>
          </w:p>
        </w:tc>
        <w:tc>
          <w:tcPr>
            <w:tcW w:w="1370" w:type="dxa"/>
            <w:tcBorders>
              <w:top w:val="single" w:sz="4" w:space="0" w:color="auto"/>
              <w:left w:val="single" w:sz="4" w:space="0" w:color="auto"/>
              <w:bottom w:val="single" w:sz="4" w:space="0" w:color="auto"/>
              <w:right w:val="single" w:sz="4" w:space="0" w:color="auto"/>
            </w:tcBorders>
          </w:tcPr>
          <w:p w:rsidR="00565B8A" w:rsidRPr="00565B8A" w:rsidRDefault="00565B8A" w:rsidP="00565B8A">
            <w:pPr>
              <w:spacing w:after="0"/>
              <w:ind w:firstLine="0"/>
              <w:jc w:val="right"/>
              <w:rPr>
                <w:rFonts w:eastAsia="Times New Roman" w:cs="Times New Roman"/>
                <w:b/>
                <w:sz w:val="20"/>
                <w:szCs w:val="20"/>
              </w:rPr>
            </w:pPr>
            <w:r w:rsidRPr="00565B8A">
              <w:rPr>
                <w:rFonts w:eastAsia="Times New Roman" w:cs="Times New Roman"/>
                <w:b/>
                <w:sz w:val="20"/>
                <w:szCs w:val="20"/>
              </w:rPr>
              <w:t>391 413 795</w:t>
            </w:r>
          </w:p>
        </w:tc>
        <w:tc>
          <w:tcPr>
            <w:tcW w:w="1347" w:type="dxa"/>
            <w:tcBorders>
              <w:top w:val="single" w:sz="4" w:space="0" w:color="auto"/>
              <w:left w:val="single" w:sz="4" w:space="0" w:color="auto"/>
              <w:bottom w:val="single" w:sz="4" w:space="0" w:color="auto"/>
              <w:right w:val="single" w:sz="4" w:space="0" w:color="auto"/>
            </w:tcBorders>
          </w:tcPr>
          <w:p w:rsidR="00565B8A" w:rsidRPr="00565B8A" w:rsidRDefault="00565B8A" w:rsidP="00565B8A">
            <w:pPr>
              <w:spacing w:after="0"/>
              <w:ind w:firstLine="0"/>
              <w:jc w:val="right"/>
              <w:rPr>
                <w:rFonts w:eastAsia="Times New Roman" w:cs="Times New Roman"/>
                <w:b/>
                <w:sz w:val="20"/>
                <w:szCs w:val="20"/>
              </w:rPr>
            </w:pPr>
            <w:r w:rsidRPr="00565B8A">
              <w:rPr>
                <w:rFonts w:eastAsia="Times New Roman" w:cs="Times New Roman"/>
                <w:b/>
                <w:sz w:val="20"/>
                <w:szCs w:val="20"/>
              </w:rPr>
              <w:t>33 195 834</w:t>
            </w:r>
          </w:p>
        </w:tc>
        <w:tc>
          <w:tcPr>
            <w:tcW w:w="1336" w:type="dxa"/>
            <w:tcBorders>
              <w:top w:val="single" w:sz="4" w:space="0" w:color="auto"/>
              <w:left w:val="double" w:sz="4" w:space="0" w:color="auto"/>
              <w:bottom w:val="single" w:sz="4" w:space="0" w:color="auto"/>
              <w:right w:val="single" w:sz="4" w:space="0" w:color="auto"/>
            </w:tcBorders>
          </w:tcPr>
          <w:p w:rsidR="00565B8A" w:rsidRPr="00565B8A" w:rsidRDefault="00565B8A" w:rsidP="00565B8A">
            <w:pPr>
              <w:spacing w:after="200" w:line="276" w:lineRule="auto"/>
              <w:ind w:firstLine="0"/>
              <w:jc w:val="right"/>
              <w:rPr>
                <w:rFonts w:eastAsia="Times New Roman" w:cs="Times New Roman"/>
                <w:b/>
                <w:sz w:val="20"/>
                <w:szCs w:val="20"/>
              </w:rPr>
            </w:pPr>
            <w:r w:rsidRPr="00565B8A">
              <w:rPr>
                <w:rFonts w:eastAsia="Times New Roman" w:cs="Times New Roman"/>
                <w:b/>
                <w:sz w:val="20"/>
                <w:szCs w:val="20"/>
              </w:rPr>
              <w:t>295 957 337</w:t>
            </w:r>
          </w:p>
        </w:tc>
        <w:tc>
          <w:tcPr>
            <w:tcW w:w="1357" w:type="dxa"/>
            <w:tcBorders>
              <w:top w:val="single" w:sz="4" w:space="0" w:color="auto"/>
              <w:left w:val="single" w:sz="4" w:space="0" w:color="auto"/>
              <w:bottom w:val="single" w:sz="4" w:space="0" w:color="auto"/>
              <w:right w:val="single" w:sz="4" w:space="0" w:color="auto"/>
            </w:tcBorders>
          </w:tcPr>
          <w:p w:rsidR="00565B8A" w:rsidRPr="00565B8A" w:rsidRDefault="00565B8A" w:rsidP="00565B8A">
            <w:pPr>
              <w:spacing w:after="200" w:line="276" w:lineRule="auto"/>
              <w:ind w:firstLine="0"/>
              <w:jc w:val="right"/>
              <w:rPr>
                <w:rFonts w:eastAsia="Times New Roman" w:cs="Times New Roman"/>
                <w:b/>
                <w:sz w:val="20"/>
                <w:szCs w:val="20"/>
              </w:rPr>
            </w:pPr>
            <w:r w:rsidRPr="00565B8A">
              <w:rPr>
                <w:rFonts w:eastAsia="Times New Roman" w:cs="Times New Roman"/>
                <w:b/>
                <w:sz w:val="20"/>
                <w:szCs w:val="20"/>
              </w:rPr>
              <w:t>36 224 736</w:t>
            </w:r>
          </w:p>
        </w:tc>
      </w:tr>
      <w:tr w:rsidR="00565B8A" w:rsidRPr="00565B8A" w:rsidTr="0079557A">
        <w:trPr>
          <w:jc w:val="center"/>
        </w:trPr>
        <w:tc>
          <w:tcPr>
            <w:tcW w:w="3924" w:type="dxa"/>
            <w:tcBorders>
              <w:top w:val="single" w:sz="4" w:space="0" w:color="auto"/>
              <w:left w:val="single" w:sz="4" w:space="0" w:color="auto"/>
              <w:bottom w:val="single" w:sz="4" w:space="0" w:color="auto"/>
              <w:right w:val="single" w:sz="4" w:space="0" w:color="auto"/>
            </w:tcBorders>
            <w:hideMark/>
          </w:tcPr>
          <w:p w:rsidR="00565B8A" w:rsidRPr="00565B8A" w:rsidRDefault="00565B8A" w:rsidP="00565B8A">
            <w:pPr>
              <w:spacing w:after="0"/>
              <w:ind w:firstLine="0"/>
              <w:jc w:val="right"/>
              <w:rPr>
                <w:rFonts w:eastAsia="Times New Roman" w:cs="Times New Roman"/>
                <w:i/>
                <w:sz w:val="20"/>
                <w:szCs w:val="20"/>
              </w:rPr>
            </w:pPr>
            <w:r w:rsidRPr="00565B8A">
              <w:rPr>
                <w:rFonts w:eastAsia="Times New Roman" w:cs="Times New Roman"/>
                <w:i/>
                <w:sz w:val="20"/>
                <w:szCs w:val="20"/>
              </w:rPr>
              <w:t>Valsts struktūru kontrolēti un finansēti komersanti</w:t>
            </w:r>
          </w:p>
        </w:tc>
        <w:tc>
          <w:tcPr>
            <w:tcW w:w="1370" w:type="dxa"/>
            <w:tcBorders>
              <w:top w:val="single" w:sz="4" w:space="0" w:color="auto"/>
              <w:left w:val="single" w:sz="4" w:space="0" w:color="auto"/>
              <w:bottom w:val="single" w:sz="4" w:space="0" w:color="auto"/>
              <w:right w:val="single" w:sz="4" w:space="0" w:color="auto"/>
            </w:tcBorders>
          </w:tcPr>
          <w:p w:rsidR="00565B8A" w:rsidRPr="00565B8A" w:rsidRDefault="00565B8A" w:rsidP="00565B8A">
            <w:pPr>
              <w:spacing w:after="0"/>
              <w:ind w:firstLine="0"/>
              <w:jc w:val="right"/>
              <w:rPr>
                <w:rFonts w:eastAsia="Times New Roman" w:cs="Times New Roman"/>
                <w:sz w:val="20"/>
                <w:szCs w:val="20"/>
              </w:rPr>
            </w:pPr>
            <w:r w:rsidRPr="00565B8A">
              <w:rPr>
                <w:rFonts w:eastAsia="Times New Roman" w:cs="Times New Roman"/>
                <w:sz w:val="20"/>
                <w:szCs w:val="20"/>
              </w:rPr>
              <w:t>71 143 591</w:t>
            </w:r>
          </w:p>
        </w:tc>
        <w:tc>
          <w:tcPr>
            <w:tcW w:w="1347" w:type="dxa"/>
            <w:tcBorders>
              <w:top w:val="single" w:sz="4" w:space="0" w:color="auto"/>
              <w:left w:val="single" w:sz="4" w:space="0" w:color="auto"/>
              <w:bottom w:val="single" w:sz="4" w:space="0" w:color="auto"/>
              <w:right w:val="single" w:sz="4" w:space="0" w:color="auto"/>
            </w:tcBorders>
          </w:tcPr>
          <w:p w:rsidR="00565B8A" w:rsidRPr="00565B8A" w:rsidRDefault="00565B8A" w:rsidP="00565B8A">
            <w:pPr>
              <w:spacing w:after="0"/>
              <w:ind w:firstLine="0"/>
              <w:jc w:val="right"/>
              <w:rPr>
                <w:rFonts w:eastAsia="Times New Roman" w:cs="Times New Roman"/>
                <w:sz w:val="20"/>
                <w:szCs w:val="20"/>
              </w:rPr>
            </w:pPr>
            <w:r w:rsidRPr="00565B8A">
              <w:rPr>
                <w:rFonts w:eastAsia="Times New Roman" w:cs="Times New Roman"/>
                <w:sz w:val="20"/>
                <w:szCs w:val="20"/>
              </w:rPr>
              <w:t>0</w:t>
            </w:r>
          </w:p>
        </w:tc>
        <w:tc>
          <w:tcPr>
            <w:tcW w:w="1336" w:type="dxa"/>
            <w:tcBorders>
              <w:top w:val="single" w:sz="4" w:space="0" w:color="auto"/>
              <w:left w:val="double" w:sz="4" w:space="0" w:color="auto"/>
              <w:bottom w:val="single" w:sz="4" w:space="0" w:color="auto"/>
              <w:right w:val="single" w:sz="4" w:space="0" w:color="auto"/>
            </w:tcBorders>
            <w:hideMark/>
          </w:tcPr>
          <w:p w:rsidR="00565B8A" w:rsidRPr="00565B8A" w:rsidRDefault="00565B8A" w:rsidP="00565B8A">
            <w:pPr>
              <w:spacing w:after="200" w:line="276" w:lineRule="auto"/>
              <w:ind w:firstLine="0"/>
              <w:jc w:val="right"/>
              <w:rPr>
                <w:rFonts w:eastAsia="Times New Roman" w:cs="Times New Roman"/>
                <w:sz w:val="20"/>
                <w:szCs w:val="20"/>
              </w:rPr>
            </w:pPr>
            <w:r w:rsidRPr="00565B8A">
              <w:rPr>
                <w:rFonts w:eastAsia="Times New Roman" w:cs="Times New Roman"/>
                <w:sz w:val="20"/>
                <w:szCs w:val="20"/>
              </w:rPr>
              <w:t>0</w:t>
            </w:r>
          </w:p>
        </w:tc>
        <w:tc>
          <w:tcPr>
            <w:tcW w:w="1357" w:type="dxa"/>
            <w:tcBorders>
              <w:top w:val="single" w:sz="4" w:space="0" w:color="auto"/>
              <w:left w:val="single" w:sz="4" w:space="0" w:color="auto"/>
              <w:bottom w:val="single" w:sz="4" w:space="0" w:color="auto"/>
              <w:right w:val="single" w:sz="4" w:space="0" w:color="auto"/>
            </w:tcBorders>
            <w:hideMark/>
          </w:tcPr>
          <w:p w:rsidR="00565B8A" w:rsidRPr="00565B8A" w:rsidRDefault="00565B8A" w:rsidP="00565B8A">
            <w:pPr>
              <w:spacing w:after="200" w:line="276" w:lineRule="auto"/>
              <w:ind w:firstLine="0"/>
              <w:jc w:val="right"/>
              <w:rPr>
                <w:rFonts w:eastAsia="Times New Roman" w:cs="Times New Roman"/>
                <w:sz w:val="20"/>
                <w:szCs w:val="20"/>
              </w:rPr>
            </w:pPr>
            <w:r w:rsidRPr="00565B8A">
              <w:rPr>
                <w:rFonts w:eastAsia="Times New Roman" w:cs="Times New Roman"/>
                <w:sz w:val="20"/>
                <w:szCs w:val="20"/>
              </w:rPr>
              <w:t>0</w:t>
            </w:r>
          </w:p>
        </w:tc>
      </w:tr>
      <w:tr w:rsidR="00565B8A" w:rsidRPr="00565B8A" w:rsidTr="0079557A">
        <w:trPr>
          <w:jc w:val="center"/>
        </w:trPr>
        <w:tc>
          <w:tcPr>
            <w:tcW w:w="3924" w:type="dxa"/>
            <w:tcBorders>
              <w:top w:val="single" w:sz="4" w:space="0" w:color="auto"/>
              <w:left w:val="single" w:sz="4" w:space="0" w:color="auto"/>
              <w:bottom w:val="single" w:sz="4" w:space="0" w:color="auto"/>
              <w:right w:val="single" w:sz="4" w:space="0" w:color="auto"/>
            </w:tcBorders>
            <w:hideMark/>
          </w:tcPr>
          <w:p w:rsidR="00565B8A" w:rsidRPr="00565B8A" w:rsidRDefault="00565B8A" w:rsidP="00565B8A">
            <w:pPr>
              <w:spacing w:after="0"/>
              <w:ind w:firstLine="0"/>
              <w:jc w:val="right"/>
              <w:rPr>
                <w:rFonts w:eastAsia="Times New Roman" w:cs="Times New Roman"/>
                <w:i/>
                <w:sz w:val="20"/>
                <w:szCs w:val="20"/>
              </w:rPr>
            </w:pPr>
            <w:r w:rsidRPr="00565B8A">
              <w:rPr>
                <w:rFonts w:eastAsia="Times New Roman" w:cs="Times New Roman"/>
                <w:i/>
                <w:sz w:val="20"/>
                <w:szCs w:val="20"/>
              </w:rPr>
              <w:t>No valsts budžeta daļēji finansētas atvasinātas publiskas personas, izņemot speciālās ekonomiskās zonas, ostu un brīvostu pārvaldes</w:t>
            </w:r>
          </w:p>
        </w:tc>
        <w:tc>
          <w:tcPr>
            <w:tcW w:w="1370" w:type="dxa"/>
            <w:tcBorders>
              <w:top w:val="single" w:sz="4" w:space="0" w:color="auto"/>
              <w:left w:val="single" w:sz="4" w:space="0" w:color="auto"/>
              <w:bottom w:val="single" w:sz="4" w:space="0" w:color="auto"/>
              <w:right w:val="single" w:sz="4" w:space="0" w:color="auto"/>
            </w:tcBorders>
          </w:tcPr>
          <w:p w:rsidR="00565B8A" w:rsidRPr="00565B8A" w:rsidRDefault="00565B8A" w:rsidP="00565B8A">
            <w:pPr>
              <w:spacing w:after="0"/>
              <w:ind w:firstLine="0"/>
              <w:jc w:val="right"/>
              <w:rPr>
                <w:rFonts w:eastAsia="Times New Roman" w:cs="Times New Roman"/>
                <w:sz w:val="20"/>
                <w:szCs w:val="20"/>
              </w:rPr>
            </w:pPr>
            <w:r w:rsidRPr="00565B8A">
              <w:rPr>
                <w:rFonts w:eastAsia="Times New Roman" w:cs="Times New Roman"/>
                <w:sz w:val="20"/>
                <w:szCs w:val="20"/>
              </w:rPr>
              <w:t>49 160 449</w:t>
            </w:r>
          </w:p>
        </w:tc>
        <w:tc>
          <w:tcPr>
            <w:tcW w:w="1347" w:type="dxa"/>
            <w:tcBorders>
              <w:top w:val="single" w:sz="4" w:space="0" w:color="auto"/>
              <w:left w:val="single" w:sz="4" w:space="0" w:color="auto"/>
              <w:bottom w:val="single" w:sz="4" w:space="0" w:color="auto"/>
              <w:right w:val="single" w:sz="4" w:space="0" w:color="auto"/>
            </w:tcBorders>
          </w:tcPr>
          <w:p w:rsidR="00565B8A" w:rsidRPr="00565B8A" w:rsidRDefault="00565B8A" w:rsidP="00565B8A">
            <w:pPr>
              <w:spacing w:after="0"/>
              <w:ind w:firstLine="0"/>
              <w:jc w:val="right"/>
              <w:rPr>
                <w:rFonts w:eastAsia="Times New Roman" w:cs="Times New Roman"/>
                <w:sz w:val="20"/>
                <w:szCs w:val="20"/>
              </w:rPr>
            </w:pPr>
            <w:r w:rsidRPr="00565B8A">
              <w:rPr>
                <w:rFonts w:eastAsia="Times New Roman" w:cs="Times New Roman"/>
                <w:sz w:val="20"/>
                <w:szCs w:val="20"/>
              </w:rPr>
              <w:t>58 841</w:t>
            </w:r>
          </w:p>
        </w:tc>
        <w:tc>
          <w:tcPr>
            <w:tcW w:w="1336" w:type="dxa"/>
            <w:tcBorders>
              <w:top w:val="single" w:sz="4" w:space="0" w:color="auto"/>
              <w:left w:val="double" w:sz="4" w:space="0" w:color="auto"/>
              <w:bottom w:val="single" w:sz="4" w:space="0" w:color="auto"/>
              <w:right w:val="single" w:sz="4" w:space="0" w:color="auto"/>
            </w:tcBorders>
            <w:hideMark/>
          </w:tcPr>
          <w:p w:rsidR="00565B8A" w:rsidRPr="00565B8A" w:rsidRDefault="00565B8A" w:rsidP="00565B8A">
            <w:pPr>
              <w:spacing w:after="0"/>
              <w:ind w:firstLine="0"/>
              <w:jc w:val="right"/>
              <w:rPr>
                <w:rFonts w:eastAsia="Times New Roman" w:cs="Times New Roman"/>
                <w:sz w:val="20"/>
                <w:szCs w:val="20"/>
              </w:rPr>
            </w:pPr>
            <w:r w:rsidRPr="00565B8A">
              <w:rPr>
                <w:rFonts w:eastAsia="Times New Roman" w:cs="Times New Roman"/>
                <w:sz w:val="20"/>
                <w:szCs w:val="20"/>
              </w:rPr>
              <w:t>55 404 789</w:t>
            </w:r>
          </w:p>
        </w:tc>
        <w:tc>
          <w:tcPr>
            <w:tcW w:w="1357" w:type="dxa"/>
            <w:tcBorders>
              <w:top w:val="single" w:sz="4" w:space="0" w:color="auto"/>
              <w:left w:val="single" w:sz="4" w:space="0" w:color="auto"/>
              <w:bottom w:val="single" w:sz="4" w:space="0" w:color="auto"/>
              <w:right w:val="single" w:sz="4" w:space="0" w:color="auto"/>
            </w:tcBorders>
            <w:hideMark/>
          </w:tcPr>
          <w:p w:rsidR="00565B8A" w:rsidRPr="00565B8A" w:rsidRDefault="00565B8A" w:rsidP="00565B8A">
            <w:pPr>
              <w:spacing w:after="200" w:line="276" w:lineRule="auto"/>
              <w:ind w:firstLine="0"/>
              <w:jc w:val="right"/>
              <w:rPr>
                <w:rFonts w:eastAsia="Times New Roman" w:cs="Times New Roman"/>
                <w:sz w:val="20"/>
                <w:szCs w:val="20"/>
              </w:rPr>
            </w:pPr>
            <w:r w:rsidRPr="00565B8A">
              <w:rPr>
                <w:rFonts w:eastAsia="Times New Roman" w:cs="Times New Roman"/>
                <w:sz w:val="20"/>
                <w:szCs w:val="20"/>
              </w:rPr>
              <w:t>-105 332</w:t>
            </w:r>
          </w:p>
          <w:p w:rsidR="00565B8A" w:rsidRPr="00565B8A" w:rsidRDefault="00565B8A" w:rsidP="00565B8A">
            <w:pPr>
              <w:spacing w:after="0"/>
              <w:ind w:firstLine="0"/>
              <w:jc w:val="right"/>
              <w:rPr>
                <w:rFonts w:eastAsia="Times New Roman" w:cs="Times New Roman"/>
                <w:sz w:val="20"/>
                <w:szCs w:val="20"/>
              </w:rPr>
            </w:pPr>
          </w:p>
        </w:tc>
      </w:tr>
      <w:tr w:rsidR="00565B8A" w:rsidRPr="00565B8A" w:rsidTr="0079557A">
        <w:trPr>
          <w:jc w:val="center"/>
        </w:trPr>
        <w:tc>
          <w:tcPr>
            <w:tcW w:w="3924" w:type="dxa"/>
            <w:tcBorders>
              <w:top w:val="single" w:sz="4" w:space="0" w:color="auto"/>
              <w:left w:val="single" w:sz="4" w:space="0" w:color="auto"/>
              <w:bottom w:val="single" w:sz="4" w:space="0" w:color="auto"/>
              <w:right w:val="single" w:sz="4" w:space="0" w:color="auto"/>
            </w:tcBorders>
            <w:hideMark/>
          </w:tcPr>
          <w:p w:rsidR="00565B8A" w:rsidRPr="00565B8A" w:rsidRDefault="00565B8A" w:rsidP="00565B8A">
            <w:pPr>
              <w:spacing w:after="0"/>
              <w:ind w:firstLine="0"/>
              <w:jc w:val="right"/>
              <w:rPr>
                <w:rFonts w:eastAsia="Times New Roman" w:cs="Times New Roman"/>
                <w:i/>
                <w:sz w:val="20"/>
                <w:szCs w:val="20"/>
              </w:rPr>
            </w:pPr>
            <w:r w:rsidRPr="00565B8A">
              <w:rPr>
                <w:rFonts w:eastAsia="Times New Roman" w:cs="Times New Roman"/>
                <w:i/>
                <w:sz w:val="20"/>
                <w:szCs w:val="20"/>
              </w:rPr>
              <w:t>Pašvaldības</w:t>
            </w:r>
          </w:p>
        </w:tc>
        <w:tc>
          <w:tcPr>
            <w:tcW w:w="1370" w:type="dxa"/>
            <w:tcBorders>
              <w:top w:val="single" w:sz="4" w:space="0" w:color="auto"/>
              <w:left w:val="single" w:sz="4" w:space="0" w:color="auto"/>
              <w:bottom w:val="single" w:sz="4" w:space="0" w:color="auto"/>
              <w:right w:val="single" w:sz="4" w:space="0" w:color="auto"/>
            </w:tcBorders>
          </w:tcPr>
          <w:p w:rsidR="00565B8A" w:rsidRPr="00565B8A" w:rsidRDefault="00565B8A" w:rsidP="00565B8A">
            <w:pPr>
              <w:spacing w:after="0"/>
              <w:ind w:firstLine="0"/>
              <w:jc w:val="right"/>
              <w:rPr>
                <w:rFonts w:eastAsia="Times New Roman" w:cs="Times New Roman"/>
                <w:sz w:val="20"/>
                <w:szCs w:val="20"/>
              </w:rPr>
            </w:pPr>
            <w:r w:rsidRPr="00565B8A">
              <w:rPr>
                <w:rFonts w:eastAsia="Times New Roman" w:cs="Times New Roman"/>
                <w:sz w:val="20"/>
                <w:szCs w:val="20"/>
              </w:rPr>
              <w:t>164 093 804</w:t>
            </w:r>
          </w:p>
        </w:tc>
        <w:tc>
          <w:tcPr>
            <w:tcW w:w="1347" w:type="dxa"/>
            <w:tcBorders>
              <w:top w:val="single" w:sz="4" w:space="0" w:color="auto"/>
              <w:left w:val="single" w:sz="4" w:space="0" w:color="auto"/>
              <w:bottom w:val="single" w:sz="4" w:space="0" w:color="auto"/>
              <w:right w:val="single" w:sz="4" w:space="0" w:color="auto"/>
            </w:tcBorders>
          </w:tcPr>
          <w:p w:rsidR="00565B8A" w:rsidRPr="00565B8A" w:rsidRDefault="00565B8A" w:rsidP="00565B8A">
            <w:pPr>
              <w:spacing w:after="0"/>
              <w:ind w:firstLine="0"/>
              <w:jc w:val="right"/>
              <w:rPr>
                <w:rFonts w:eastAsia="Times New Roman" w:cs="Times New Roman"/>
                <w:sz w:val="20"/>
                <w:szCs w:val="20"/>
              </w:rPr>
            </w:pPr>
            <w:r w:rsidRPr="00565B8A">
              <w:rPr>
                <w:rFonts w:eastAsia="Times New Roman" w:cs="Times New Roman"/>
                <w:sz w:val="20"/>
                <w:szCs w:val="20"/>
              </w:rPr>
              <w:t>20 778 671</w:t>
            </w:r>
          </w:p>
        </w:tc>
        <w:tc>
          <w:tcPr>
            <w:tcW w:w="1336" w:type="dxa"/>
            <w:tcBorders>
              <w:top w:val="single" w:sz="4" w:space="0" w:color="auto"/>
              <w:left w:val="double" w:sz="4" w:space="0" w:color="auto"/>
              <w:bottom w:val="single" w:sz="4" w:space="0" w:color="auto"/>
              <w:right w:val="single" w:sz="4" w:space="0" w:color="auto"/>
            </w:tcBorders>
            <w:hideMark/>
          </w:tcPr>
          <w:p w:rsidR="00565B8A" w:rsidRPr="00565B8A" w:rsidRDefault="00565B8A" w:rsidP="00565B8A">
            <w:pPr>
              <w:spacing w:after="200" w:line="276" w:lineRule="auto"/>
              <w:ind w:firstLine="0"/>
              <w:jc w:val="right"/>
              <w:rPr>
                <w:rFonts w:asciiTheme="minorHAnsi" w:hAnsiTheme="minorHAnsi"/>
                <w:sz w:val="20"/>
                <w:szCs w:val="20"/>
              </w:rPr>
            </w:pPr>
            <w:r w:rsidRPr="00565B8A">
              <w:rPr>
                <w:rFonts w:eastAsia="Times New Roman" w:cs="Times New Roman"/>
                <w:sz w:val="20"/>
                <w:szCs w:val="20"/>
              </w:rPr>
              <w:t>177 903 357</w:t>
            </w:r>
          </w:p>
          <w:p w:rsidR="00565B8A" w:rsidRPr="00565B8A" w:rsidRDefault="00565B8A" w:rsidP="00565B8A">
            <w:pPr>
              <w:spacing w:after="0"/>
              <w:ind w:firstLine="0"/>
              <w:jc w:val="right"/>
              <w:rPr>
                <w:rFonts w:eastAsia="Times New Roman" w:cs="Times New Roman"/>
                <w:sz w:val="20"/>
                <w:szCs w:val="20"/>
              </w:rPr>
            </w:pPr>
          </w:p>
        </w:tc>
        <w:tc>
          <w:tcPr>
            <w:tcW w:w="1357" w:type="dxa"/>
            <w:tcBorders>
              <w:top w:val="single" w:sz="4" w:space="0" w:color="auto"/>
              <w:left w:val="single" w:sz="4" w:space="0" w:color="auto"/>
              <w:bottom w:val="single" w:sz="4" w:space="0" w:color="auto"/>
              <w:right w:val="single" w:sz="4" w:space="0" w:color="auto"/>
            </w:tcBorders>
            <w:hideMark/>
          </w:tcPr>
          <w:p w:rsidR="00565B8A" w:rsidRPr="00565B8A" w:rsidRDefault="00565B8A" w:rsidP="00565B8A">
            <w:pPr>
              <w:spacing w:after="0"/>
              <w:ind w:firstLine="0"/>
              <w:jc w:val="right"/>
              <w:rPr>
                <w:rFonts w:eastAsia="Times New Roman" w:cs="Times New Roman"/>
                <w:sz w:val="20"/>
                <w:szCs w:val="20"/>
              </w:rPr>
            </w:pPr>
            <w:r w:rsidRPr="00565B8A">
              <w:rPr>
                <w:rFonts w:eastAsia="Times New Roman" w:cs="Times New Roman"/>
                <w:sz w:val="20"/>
                <w:szCs w:val="20"/>
              </w:rPr>
              <w:t>18 832 844</w:t>
            </w:r>
          </w:p>
        </w:tc>
      </w:tr>
      <w:tr w:rsidR="00565B8A" w:rsidRPr="00565B8A" w:rsidTr="0079557A">
        <w:trPr>
          <w:jc w:val="center"/>
        </w:trPr>
        <w:tc>
          <w:tcPr>
            <w:tcW w:w="3924" w:type="dxa"/>
            <w:tcBorders>
              <w:top w:val="single" w:sz="4" w:space="0" w:color="auto"/>
              <w:left w:val="single" w:sz="4" w:space="0" w:color="auto"/>
              <w:bottom w:val="single" w:sz="4" w:space="0" w:color="auto"/>
              <w:right w:val="single" w:sz="4" w:space="0" w:color="auto"/>
            </w:tcBorders>
            <w:hideMark/>
          </w:tcPr>
          <w:p w:rsidR="00565B8A" w:rsidRPr="00565B8A" w:rsidRDefault="00565B8A" w:rsidP="00565B8A">
            <w:pPr>
              <w:spacing w:after="0"/>
              <w:ind w:firstLine="0"/>
              <w:jc w:val="right"/>
              <w:rPr>
                <w:rFonts w:eastAsia="Times New Roman" w:cs="Times New Roman"/>
                <w:i/>
                <w:sz w:val="20"/>
                <w:szCs w:val="20"/>
              </w:rPr>
            </w:pPr>
            <w:r w:rsidRPr="00565B8A">
              <w:rPr>
                <w:rFonts w:eastAsia="Times New Roman" w:cs="Times New Roman"/>
                <w:i/>
                <w:sz w:val="20"/>
                <w:szCs w:val="20"/>
              </w:rPr>
              <w:t>Pašvaldību struktūru kontrolēti un finansēti komersanti</w:t>
            </w:r>
          </w:p>
        </w:tc>
        <w:tc>
          <w:tcPr>
            <w:tcW w:w="1370" w:type="dxa"/>
            <w:tcBorders>
              <w:top w:val="single" w:sz="4" w:space="0" w:color="auto"/>
              <w:left w:val="single" w:sz="4" w:space="0" w:color="auto"/>
              <w:bottom w:val="single" w:sz="4" w:space="0" w:color="auto"/>
              <w:right w:val="single" w:sz="4" w:space="0" w:color="auto"/>
            </w:tcBorders>
          </w:tcPr>
          <w:p w:rsidR="00565B8A" w:rsidRPr="00565B8A" w:rsidRDefault="00565B8A" w:rsidP="00565B8A">
            <w:pPr>
              <w:spacing w:after="0"/>
              <w:ind w:firstLine="0"/>
              <w:jc w:val="right"/>
              <w:rPr>
                <w:rFonts w:eastAsia="Times New Roman" w:cs="Times New Roman"/>
                <w:sz w:val="20"/>
                <w:szCs w:val="20"/>
              </w:rPr>
            </w:pPr>
            <w:r w:rsidRPr="00565B8A">
              <w:rPr>
                <w:rFonts w:eastAsia="Times New Roman" w:cs="Times New Roman"/>
                <w:sz w:val="20"/>
                <w:szCs w:val="20"/>
              </w:rPr>
              <w:t>0</w:t>
            </w:r>
          </w:p>
        </w:tc>
        <w:tc>
          <w:tcPr>
            <w:tcW w:w="1347" w:type="dxa"/>
            <w:tcBorders>
              <w:top w:val="single" w:sz="4" w:space="0" w:color="auto"/>
              <w:left w:val="single" w:sz="4" w:space="0" w:color="auto"/>
              <w:bottom w:val="single" w:sz="4" w:space="0" w:color="auto"/>
              <w:right w:val="single" w:sz="4" w:space="0" w:color="auto"/>
            </w:tcBorders>
          </w:tcPr>
          <w:p w:rsidR="00565B8A" w:rsidRPr="00565B8A" w:rsidRDefault="00565B8A" w:rsidP="00565B8A">
            <w:pPr>
              <w:spacing w:after="0"/>
              <w:ind w:firstLine="0"/>
              <w:jc w:val="right"/>
              <w:rPr>
                <w:rFonts w:eastAsia="Times New Roman" w:cs="Times New Roman"/>
                <w:sz w:val="20"/>
                <w:szCs w:val="20"/>
              </w:rPr>
            </w:pPr>
            <w:r w:rsidRPr="00565B8A">
              <w:rPr>
                <w:rFonts w:eastAsia="Times New Roman" w:cs="Times New Roman"/>
                <w:sz w:val="20"/>
                <w:szCs w:val="20"/>
              </w:rPr>
              <w:t>405 119</w:t>
            </w:r>
          </w:p>
        </w:tc>
        <w:tc>
          <w:tcPr>
            <w:tcW w:w="1336" w:type="dxa"/>
            <w:tcBorders>
              <w:top w:val="single" w:sz="4" w:space="0" w:color="auto"/>
              <w:left w:val="double" w:sz="4" w:space="0" w:color="auto"/>
              <w:bottom w:val="single" w:sz="4" w:space="0" w:color="auto"/>
              <w:right w:val="single" w:sz="4" w:space="0" w:color="auto"/>
            </w:tcBorders>
            <w:hideMark/>
          </w:tcPr>
          <w:p w:rsidR="00565B8A" w:rsidRPr="00565B8A" w:rsidRDefault="00565B8A" w:rsidP="00565B8A">
            <w:pPr>
              <w:spacing w:after="0"/>
              <w:ind w:firstLine="0"/>
              <w:jc w:val="right"/>
              <w:rPr>
                <w:rFonts w:eastAsia="Times New Roman" w:cs="Times New Roman"/>
                <w:sz w:val="20"/>
                <w:szCs w:val="20"/>
              </w:rPr>
            </w:pPr>
            <w:r w:rsidRPr="00565B8A">
              <w:rPr>
                <w:rFonts w:eastAsia="Times New Roman" w:cs="Times New Roman"/>
                <w:sz w:val="20"/>
                <w:szCs w:val="20"/>
              </w:rPr>
              <w:t>0</w:t>
            </w:r>
          </w:p>
        </w:tc>
        <w:tc>
          <w:tcPr>
            <w:tcW w:w="1357" w:type="dxa"/>
            <w:tcBorders>
              <w:top w:val="single" w:sz="4" w:space="0" w:color="auto"/>
              <w:left w:val="single" w:sz="4" w:space="0" w:color="auto"/>
              <w:bottom w:val="single" w:sz="4" w:space="0" w:color="auto"/>
              <w:right w:val="single" w:sz="4" w:space="0" w:color="auto"/>
            </w:tcBorders>
            <w:hideMark/>
          </w:tcPr>
          <w:p w:rsidR="00565B8A" w:rsidRPr="00565B8A" w:rsidRDefault="00565B8A" w:rsidP="00565B8A">
            <w:pPr>
              <w:spacing w:after="0"/>
              <w:ind w:firstLine="0"/>
              <w:jc w:val="right"/>
              <w:rPr>
                <w:rFonts w:eastAsia="Times New Roman" w:cs="Times New Roman"/>
                <w:sz w:val="20"/>
                <w:szCs w:val="20"/>
              </w:rPr>
            </w:pPr>
            <w:r w:rsidRPr="00565B8A">
              <w:rPr>
                <w:rFonts w:eastAsia="Times New Roman" w:cs="Times New Roman"/>
                <w:sz w:val="20"/>
                <w:szCs w:val="20"/>
              </w:rPr>
              <w:t>0</w:t>
            </w:r>
          </w:p>
        </w:tc>
      </w:tr>
      <w:tr w:rsidR="00565B8A" w:rsidRPr="00565B8A" w:rsidTr="0079557A">
        <w:trPr>
          <w:jc w:val="center"/>
        </w:trPr>
        <w:tc>
          <w:tcPr>
            <w:tcW w:w="3924" w:type="dxa"/>
            <w:tcBorders>
              <w:top w:val="single" w:sz="4" w:space="0" w:color="auto"/>
              <w:left w:val="single" w:sz="4" w:space="0" w:color="auto"/>
              <w:bottom w:val="single" w:sz="4" w:space="0" w:color="auto"/>
              <w:right w:val="single" w:sz="4" w:space="0" w:color="auto"/>
            </w:tcBorders>
            <w:hideMark/>
          </w:tcPr>
          <w:p w:rsidR="00565B8A" w:rsidRPr="00565B8A" w:rsidRDefault="00565B8A" w:rsidP="00565B8A">
            <w:pPr>
              <w:spacing w:after="0"/>
              <w:ind w:firstLine="0"/>
              <w:jc w:val="right"/>
              <w:rPr>
                <w:rFonts w:eastAsia="Times New Roman" w:cs="Times New Roman"/>
                <w:i/>
                <w:sz w:val="20"/>
                <w:szCs w:val="20"/>
              </w:rPr>
            </w:pPr>
            <w:r w:rsidRPr="00565B8A">
              <w:rPr>
                <w:rFonts w:eastAsia="Times New Roman" w:cs="Times New Roman"/>
                <w:i/>
                <w:sz w:val="20"/>
                <w:szCs w:val="20"/>
              </w:rPr>
              <w:t>Pie pašvaldību struktūrām ietvertās speciālās ekonomiskās zonas, ostu un brīvostu pārvaldes</w:t>
            </w:r>
          </w:p>
        </w:tc>
        <w:tc>
          <w:tcPr>
            <w:tcW w:w="1370" w:type="dxa"/>
            <w:tcBorders>
              <w:top w:val="single" w:sz="4" w:space="0" w:color="auto"/>
              <w:left w:val="single" w:sz="4" w:space="0" w:color="auto"/>
              <w:bottom w:val="single" w:sz="4" w:space="0" w:color="auto"/>
              <w:right w:val="single" w:sz="4" w:space="0" w:color="auto"/>
            </w:tcBorders>
          </w:tcPr>
          <w:p w:rsidR="00565B8A" w:rsidRPr="00565B8A" w:rsidRDefault="00565B8A" w:rsidP="00565B8A">
            <w:pPr>
              <w:spacing w:after="0"/>
              <w:ind w:firstLine="0"/>
              <w:jc w:val="right"/>
              <w:rPr>
                <w:rFonts w:eastAsia="Times New Roman" w:cs="Times New Roman"/>
                <w:sz w:val="20"/>
                <w:szCs w:val="20"/>
              </w:rPr>
            </w:pPr>
            <w:r w:rsidRPr="00565B8A">
              <w:rPr>
                <w:rFonts w:eastAsia="Times New Roman" w:cs="Times New Roman"/>
                <w:sz w:val="20"/>
                <w:szCs w:val="20"/>
              </w:rPr>
              <w:t>15 506 912</w:t>
            </w:r>
          </w:p>
        </w:tc>
        <w:tc>
          <w:tcPr>
            <w:tcW w:w="1347" w:type="dxa"/>
            <w:tcBorders>
              <w:top w:val="single" w:sz="4" w:space="0" w:color="auto"/>
              <w:left w:val="single" w:sz="4" w:space="0" w:color="auto"/>
              <w:bottom w:val="single" w:sz="4" w:space="0" w:color="auto"/>
              <w:right w:val="single" w:sz="4" w:space="0" w:color="auto"/>
            </w:tcBorders>
          </w:tcPr>
          <w:p w:rsidR="00565B8A" w:rsidRPr="00565B8A" w:rsidRDefault="00565B8A" w:rsidP="00565B8A">
            <w:pPr>
              <w:spacing w:after="0"/>
              <w:ind w:firstLine="0"/>
              <w:jc w:val="right"/>
              <w:rPr>
                <w:rFonts w:eastAsia="Times New Roman" w:cs="Times New Roman"/>
                <w:sz w:val="20"/>
                <w:szCs w:val="20"/>
              </w:rPr>
            </w:pPr>
            <w:r w:rsidRPr="00565B8A">
              <w:rPr>
                <w:rFonts w:eastAsia="Times New Roman" w:cs="Times New Roman"/>
                <w:sz w:val="20"/>
                <w:szCs w:val="20"/>
              </w:rPr>
              <w:t>0</w:t>
            </w:r>
          </w:p>
        </w:tc>
        <w:tc>
          <w:tcPr>
            <w:tcW w:w="1336" w:type="dxa"/>
            <w:tcBorders>
              <w:top w:val="single" w:sz="4" w:space="0" w:color="auto"/>
              <w:left w:val="double" w:sz="4" w:space="0" w:color="auto"/>
              <w:bottom w:val="single" w:sz="4" w:space="0" w:color="auto"/>
              <w:right w:val="single" w:sz="4" w:space="0" w:color="auto"/>
            </w:tcBorders>
            <w:hideMark/>
          </w:tcPr>
          <w:p w:rsidR="00565B8A" w:rsidRPr="00565B8A" w:rsidRDefault="00565B8A" w:rsidP="00565B8A">
            <w:pPr>
              <w:spacing w:after="200" w:line="276" w:lineRule="auto"/>
              <w:ind w:firstLine="0"/>
              <w:jc w:val="right"/>
              <w:rPr>
                <w:rFonts w:eastAsia="Times New Roman" w:cs="Times New Roman"/>
                <w:sz w:val="20"/>
                <w:szCs w:val="20"/>
              </w:rPr>
            </w:pPr>
            <w:r w:rsidRPr="00565B8A">
              <w:rPr>
                <w:rFonts w:eastAsia="Times New Roman" w:cs="Times New Roman"/>
                <w:sz w:val="20"/>
                <w:szCs w:val="20"/>
              </w:rPr>
              <w:t>10 213 431</w:t>
            </w:r>
          </w:p>
          <w:p w:rsidR="00565B8A" w:rsidRPr="00565B8A" w:rsidRDefault="00565B8A" w:rsidP="00565B8A">
            <w:pPr>
              <w:spacing w:after="0"/>
              <w:ind w:firstLine="0"/>
              <w:jc w:val="right"/>
              <w:rPr>
                <w:rFonts w:eastAsia="Times New Roman" w:cs="Times New Roman"/>
                <w:sz w:val="20"/>
                <w:szCs w:val="20"/>
              </w:rPr>
            </w:pPr>
          </w:p>
        </w:tc>
        <w:tc>
          <w:tcPr>
            <w:tcW w:w="1357" w:type="dxa"/>
            <w:tcBorders>
              <w:top w:val="single" w:sz="4" w:space="0" w:color="auto"/>
              <w:left w:val="single" w:sz="4" w:space="0" w:color="auto"/>
              <w:bottom w:val="single" w:sz="4" w:space="0" w:color="auto"/>
              <w:right w:val="single" w:sz="4" w:space="0" w:color="auto"/>
            </w:tcBorders>
            <w:hideMark/>
          </w:tcPr>
          <w:p w:rsidR="00565B8A" w:rsidRPr="00565B8A" w:rsidRDefault="00565B8A" w:rsidP="00565B8A">
            <w:pPr>
              <w:spacing w:after="0"/>
              <w:ind w:firstLine="0"/>
              <w:jc w:val="right"/>
              <w:rPr>
                <w:rFonts w:eastAsia="Times New Roman" w:cs="Times New Roman"/>
                <w:sz w:val="20"/>
                <w:szCs w:val="20"/>
              </w:rPr>
            </w:pPr>
            <w:r w:rsidRPr="00565B8A">
              <w:rPr>
                <w:rFonts w:eastAsia="Times New Roman" w:cs="Times New Roman"/>
                <w:sz w:val="20"/>
                <w:szCs w:val="20"/>
              </w:rPr>
              <w:t>0</w:t>
            </w:r>
          </w:p>
        </w:tc>
      </w:tr>
      <w:tr w:rsidR="00565B8A" w:rsidRPr="00565B8A" w:rsidTr="0079557A">
        <w:trPr>
          <w:jc w:val="center"/>
        </w:trPr>
        <w:tc>
          <w:tcPr>
            <w:tcW w:w="3924" w:type="dxa"/>
            <w:tcBorders>
              <w:top w:val="single" w:sz="4" w:space="0" w:color="auto"/>
              <w:left w:val="single" w:sz="4" w:space="0" w:color="auto"/>
              <w:bottom w:val="single" w:sz="4" w:space="0" w:color="auto"/>
              <w:right w:val="single" w:sz="4" w:space="0" w:color="auto"/>
            </w:tcBorders>
            <w:hideMark/>
          </w:tcPr>
          <w:p w:rsidR="00565B8A" w:rsidRPr="00565B8A" w:rsidRDefault="00565B8A" w:rsidP="00565B8A">
            <w:pPr>
              <w:spacing w:after="0"/>
              <w:ind w:firstLine="0"/>
              <w:jc w:val="right"/>
              <w:rPr>
                <w:rFonts w:eastAsia="Times New Roman" w:cs="Times New Roman"/>
                <w:i/>
                <w:sz w:val="20"/>
                <w:szCs w:val="20"/>
              </w:rPr>
            </w:pPr>
            <w:proofErr w:type="spellStart"/>
            <w:r w:rsidRPr="00565B8A">
              <w:rPr>
                <w:rFonts w:eastAsia="Times New Roman" w:cs="Times New Roman"/>
                <w:i/>
                <w:sz w:val="20"/>
                <w:szCs w:val="20"/>
              </w:rPr>
              <w:t>Nefinanšu</w:t>
            </w:r>
            <w:proofErr w:type="spellEnd"/>
            <w:r w:rsidRPr="00565B8A">
              <w:rPr>
                <w:rFonts w:eastAsia="Times New Roman" w:cs="Times New Roman"/>
                <w:i/>
                <w:sz w:val="20"/>
                <w:szCs w:val="20"/>
              </w:rPr>
              <w:t xml:space="preserve"> komersanti</w:t>
            </w:r>
          </w:p>
        </w:tc>
        <w:tc>
          <w:tcPr>
            <w:tcW w:w="1370" w:type="dxa"/>
            <w:tcBorders>
              <w:top w:val="single" w:sz="4" w:space="0" w:color="auto"/>
              <w:left w:val="single" w:sz="4" w:space="0" w:color="auto"/>
              <w:bottom w:val="single" w:sz="4" w:space="0" w:color="auto"/>
              <w:right w:val="single" w:sz="4" w:space="0" w:color="auto"/>
            </w:tcBorders>
          </w:tcPr>
          <w:p w:rsidR="00565B8A" w:rsidRPr="00565B8A" w:rsidRDefault="00565B8A" w:rsidP="00565B8A">
            <w:pPr>
              <w:spacing w:after="0"/>
              <w:ind w:firstLine="0"/>
              <w:jc w:val="right"/>
              <w:rPr>
                <w:rFonts w:eastAsia="Times New Roman" w:cs="Times New Roman"/>
                <w:sz w:val="20"/>
                <w:szCs w:val="20"/>
              </w:rPr>
            </w:pPr>
            <w:r w:rsidRPr="00565B8A">
              <w:rPr>
                <w:rFonts w:eastAsia="Times New Roman" w:cs="Times New Roman"/>
                <w:sz w:val="20"/>
                <w:szCs w:val="20"/>
              </w:rPr>
              <w:t>63 051 603</w:t>
            </w:r>
          </w:p>
        </w:tc>
        <w:tc>
          <w:tcPr>
            <w:tcW w:w="1347" w:type="dxa"/>
            <w:tcBorders>
              <w:top w:val="single" w:sz="4" w:space="0" w:color="auto"/>
              <w:left w:val="single" w:sz="4" w:space="0" w:color="auto"/>
              <w:bottom w:val="single" w:sz="4" w:space="0" w:color="auto"/>
              <w:right w:val="single" w:sz="4" w:space="0" w:color="auto"/>
            </w:tcBorders>
          </w:tcPr>
          <w:p w:rsidR="00565B8A" w:rsidRPr="00565B8A" w:rsidRDefault="00565B8A" w:rsidP="00565B8A">
            <w:pPr>
              <w:spacing w:after="0"/>
              <w:ind w:firstLine="0"/>
              <w:jc w:val="right"/>
              <w:rPr>
                <w:rFonts w:eastAsia="Times New Roman" w:cs="Times New Roman"/>
                <w:sz w:val="20"/>
                <w:szCs w:val="20"/>
              </w:rPr>
            </w:pPr>
            <w:r w:rsidRPr="00565B8A">
              <w:rPr>
                <w:rFonts w:eastAsia="Times New Roman" w:cs="Times New Roman"/>
                <w:sz w:val="20"/>
                <w:szCs w:val="20"/>
              </w:rPr>
              <w:t>10 999 794</w:t>
            </w:r>
          </w:p>
        </w:tc>
        <w:tc>
          <w:tcPr>
            <w:tcW w:w="1336" w:type="dxa"/>
            <w:tcBorders>
              <w:top w:val="single" w:sz="4" w:space="0" w:color="auto"/>
              <w:left w:val="double" w:sz="4" w:space="0" w:color="auto"/>
              <w:bottom w:val="single" w:sz="4" w:space="0" w:color="auto"/>
              <w:right w:val="single" w:sz="4" w:space="0" w:color="auto"/>
            </w:tcBorders>
            <w:hideMark/>
          </w:tcPr>
          <w:p w:rsidR="00565B8A" w:rsidRPr="00565B8A" w:rsidRDefault="00565B8A" w:rsidP="00565B8A">
            <w:pPr>
              <w:spacing w:after="0"/>
              <w:ind w:firstLine="0"/>
              <w:jc w:val="right"/>
              <w:rPr>
                <w:rFonts w:eastAsia="Times New Roman" w:cs="Times New Roman"/>
                <w:sz w:val="20"/>
                <w:szCs w:val="20"/>
              </w:rPr>
            </w:pPr>
            <w:r w:rsidRPr="00565B8A">
              <w:rPr>
                <w:rFonts w:eastAsia="Times New Roman" w:cs="Times New Roman"/>
                <w:sz w:val="20"/>
                <w:szCs w:val="20"/>
              </w:rPr>
              <w:t>48 545 801</w:t>
            </w:r>
          </w:p>
        </w:tc>
        <w:tc>
          <w:tcPr>
            <w:tcW w:w="1357" w:type="dxa"/>
            <w:tcBorders>
              <w:top w:val="single" w:sz="4" w:space="0" w:color="auto"/>
              <w:left w:val="single" w:sz="4" w:space="0" w:color="auto"/>
              <w:bottom w:val="single" w:sz="4" w:space="0" w:color="auto"/>
              <w:right w:val="single" w:sz="4" w:space="0" w:color="auto"/>
            </w:tcBorders>
            <w:hideMark/>
          </w:tcPr>
          <w:p w:rsidR="00565B8A" w:rsidRPr="00565B8A" w:rsidRDefault="00565B8A" w:rsidP="00565B8A">
            <w:pPr>
              <w:spacing w:after="0"/>
              <w:ind w:firstLine="0"/>
              <w:jc w:val="right"/>
              <w:rPr>
                <w:rFonts w:eastAsia="Times New Roman" w:cs="Times New Roman"/>
                <w:sz w:val="20"/>
                <w:szCs w:val="20"/>
              </w:rPr>
            </w:pPr>
            <w:r w:rsidRPr="00565B8A">
              <w:rPr>
                <w:rFonts w:eastAsia="Times New Roman" w:cs="Times New Roman"/>
                <w:sz w:val="20"/>
                <w:szCs w:val="20"/>
              </w:rPr>
              <w:t>4 928 620</w:t>
            </w:r>
          </w:p>
        </w:tc>
      </w:tr>
      <w:tr w:rsidR="00565B8A" w:rsidRPr="00565B8A" w:rsidTr="0079557A">
        <w:trPr>
          <w:jc w:val="center"/>
        </w:trPr>
        <w:tc>
          <w:tcPr>
            <w:tcW w:w="3924" w:type="dxa"/>
            <w:tcBorders>
              <w:top w:val="single" w:sz="4" w:space="0" w:color="auto"/>
              <w:left w:val="single" w:sz="4" w:space="0" w:color="auto"/>
              <w:bottom w:val="single" w:sz="4" w:space="0" w:color="auto"/>
              <w:right w:val="single" w:sz="4" w:space="0" w:color="auto"/>
            </w:tcBorders>
            <w:hideMark/>
          </w:tcPr>
          <w:p w:rsidR="00565B8A" w:rsidRPr="00565B8A" w:rsidRDefault="00565B8A" w:rsidP="00565B8A">
            <w:pPr>
              <w:spacing w:after="0"/>
              <w:ind w:firstLine="0"/>
              <w:jc w:val="right"/>
              <w:rPr>
                <w:rFonts w:eastAsia="Times New Roman" w:cs="Times New Roman"/>
                <w:i/>
                <w:sz w:val="20"/>
                <w:szCs w:val="20"/>
              </w:rPr>
            </w:pPr>
            <w:r w:rsidRPr="00565B8A">
              <w:rPr>
                <w:rFonts w:eastAsia="Times New Roman" w:cs="Times New Roman"/>
                <w:i/>
                <w:sz w:val="20"/>
                <w:szCs w:val="20"/>
              </w:rPr>
              <w:t>Finanšu iestādes</w:t>
            </w:r>
          </w:p>
        </w:tc>
        <w:tc>
          <w:tcPr>
            <w:tcW w:w="1370" w:type="dxa"/>
            <w:tcBorders>
              <w:top w:val="single" w:sz="4" w:space="0" w:color="auto"/>
              <w:left w:val="single" w:sz="4" w:space="0" w:color="auto"/>
              <w:bottom w:val="single" w:sz="4" w:space="0" w:color="auto"/>
              <w:right w:val="single" w:sz="4" w:space="0" w:color="auto"/>
            </w:tcBorders>
          </w:tcPr>
          <w:p w:rsidR="00565B8A" w:rsidRPr="00565B8A" w:rsidRDefault="00565B8A" w:rsidP="00565B8A">
            <w:pPr>
              <w:spacing w:after="0"/>
              <w:ind w:firstLine="0"/>
              <w:jc w:val="right"/>
              <w:rPr>
                <w:rFonts w:eastAsia="Times New Roman" w:cs="Times New Roman"/>
                <w:sz w:val="20"/>
                <w:szCs w:val="20"/>
              </w:rPr>
            </w:pPr>
            <w:r w:rsidRPr="00565B8A">
              <w:rPr>
                <w:rFonts w:eastAsia="Times New Roman" w:cs="Times New Roman"/>
                <w:sz w:val="20"/>
                <w:szCs w:val="20"/>
              </w:rPr>
              <w:t>28 457 436</w:t>
            </w:r>
          </w:p>
        </w:tc>
        <w:tc>
          <w:tcPr>
            <w:tcW w:w="1347" w:type="dxa"/>
            <w:tcBorders>
              <w:top w:val="single" w:sz="4" w:space="0" w:color="auto"/>
              <w:left w:val="single" w:sz="4" w:space="0" w:color="auto"/>
              <w:bottom w:val="single" w:sz="4" w:space="0" w:color="auto"/>
              <w:right w:val="single" w:sz="4" w:space="0" w:color="auto"/>
            </w:tcBorders>
          </w:tcPr>
          <w:p w:rsidR="00565B8A" w:rsidRPr="00565B8A" w:rsidRDefault="00565B8A" w:rsidP="00565B8A">
            <w:pPr>
              <w:spacing w:after="0"/>
              <w:ind w:firstLine="0"/>
              <w:jc w:val="right"/>
              <w:rPr>
                <w:rFonts w:eastAsia="Times New Roman" w:cs="Times New Roman"/>
                <w:sz w:val="20"/>
                <w:szCs w:val="20"/>
              </w:rPr>
            </w:pPr>
            <w:r w:rsidRPr="00565B8A">
              <w:rPr>
                <w:rFonts w:eastAsia="Times New Roman" w:cs="Times New Roman"/>
                <w:sz w:val="20"/>
                <w:szCs w:val="20"/>
              </w:rPr>
              <w:t>953 409</w:t>
            </w:r>
          </w:p>
        </w:tc>
        <w:tc>
          <w:tcPr>
            <w:tcW w:w="1336" w:type="dxa"/>
            <w:tcBorders>
              <w:top w:val="single" w:sz="4" w:space="0" w:color="auto"/>
              <w:left w:val="double" w:sz="4" w:space="0" w:color="auto"/>
              <w:bottom w:val="single" w:sz="4" w:space="0" w:color="auto"/>
              <w:right w:val="single" w:sz="4" w:space="0" w:color="auto"/>
            </w:tcBorders>
            <w:hideMark/>
          </w:tcPr>
          <w:p w:rsidR="00565B8A" w:rsidRPr="00565B8A" w:rsidRDefault="00565B8A" w:rsidP="00565B8A">
            <w:pPr>
              <w:spacing w:after="0"/>
              <w:ind w:firstLine="0"/>
              <w:jc w:val="right"/>
              <w:rPr>
                <w:rFonts w:eastAsia="Times New Roman" w:cs="Times New Roman"/>
                <w:sz w:val="20"/>
                <w:szCs w:val="20"/>
              </w:rPr>
            </w:pPr>
            <w:r w:rsidRPr="00565B8A">
              <w:rPr>
                <w:rFonts w:eastAsia="Times New Roman" w:cs="Times New Roman"/>
                <w:sz w:val="20"/>
                <w:szCs w:val="20"/>
              </w:rPr>
              <w:t>81 447 513</w:t>
            </w:r>
          </w:p>
        </w:tc>
        <w:tc>
          <w:tcPr>
            <w:tcW w:w="1357" w:type="dxa"/>
            <w:tcBorders>
              <w:top w:val="single" w:sz="4" w:space="0" w:color="auto"/>
              <w:left w:val="single" w:sz="4" w:space="0" w:color="auto"/>
              <w:bottom w:val="single" w:sz="4" w:space="0" w:color="auto"/>
              <w:right w:val="single" w:sz="4" w:space="0" w:color="auto"/>
            </w:tcBorders>
            <w:hideMark/>
          </w:tcPr>
          <w:p w:rsidR="00565B8A" w:rsidRPr="00565B8A" w:rsidRDefault="00565B8A" w:rsidP="00565B8A">
            <w:pPr>
              <w:spacing w:after="0"/>
              <w:ind w:firstLine="0"/>
              <w:jc w:val="right"/>
              <w:rPr>
                <w:rFonts w:eastAsia="Times New Roman" w:cs="Times New Roman"/>
                <w:sz w:val="20"/>
                <w:szCs w:val="20"/>
              </w:rPr>
            </w:pPr>
            <w:r w:rsidRPr="00565B8A">
              <w:rPr>
                <w:rFonts w:eastAsia="Times New Roman" w:cs="Times New Roman"/>
                <w:sz w:val="20"/>
                <w:szCs w:val="20"/>
              </w:rPr>
              <w:t>3 508 106</w:t>
            </w:r>
          </w:p>
        </w:tc>
      </w:tr>
      <w:tr w:rsidR="00565B8A" w:rsidRPr="00565B8A" w:rsidTr="0079557A">
        <w:trPr>
          <w:jc w:val="center"/>
        </w:trPr>
        <w:tc>
          <w:tcPr>
            <w:tcW w:w="3924" w:type="dxa"/>
            <w:tcBorders>
              <w:top w:val="single" w:sz="4" w:space="0" w:color="auto"/>
              <w:left w:val="single" w:sz="4" w:space="0" w:color="auto"/>
              <w:bottom w:val="single" w:sz="4" w:space="0" w:color="auto"/>
              <w:right w:val="single" w:sz="4" w:space="0" w:color="auto"/>
            </w:tcBorders>
            <w:hideMark/>
          </w:tcPr>
          <w:p w:rsidR="00565B8A" w:rsidRPr="00565B8A" w:rsidRDefault="00565B8A" w:rsidP="00565B8A">
            <w:pPr>
              <w:spacing w:after="0"/>
              <w:ind w:firstLine="0"/>
              <w:rPr>
                <w:rFonts w:eastAsia="Times New Roman" w:cs="Times New Roman"/>
                <w:b/>
                <w:sz w:val="20"/>
                <w:szCs w:val="20"/>
              </w:rPr>
            </w:pPr>
            <w:r w:rsidRPr="00565B8A">
              <w:rPr>
                <w:rFonts w:eastAsia="Times New Roman" w:cs="Times New Roman"/>
                <w:b/>
                <w:sz w:val="20"/>
                <w:szCs w:val="20"/>
              </w:rPr>
              <w:t>Izsniegto valsts aizdevumu saņemtās atmaksas</w:t>
            </w:r>
          </w:p>
        </w:tc>
        <w:tc>
          <w:tcPr>
            <w:tcW w:w="1370" w:type="dxa"/>
            <w:tcBorders>
              <w:top w:val="single" w:sz="4" w:space="0" w:color="auto"/>
              <w:left w:val="single" w:sz="4" w:space="0" w:color="auto"/>
              <w:bottom w:val="single" w:sz="4" w:space="0" w:color="auto"/>
              <w:right w:val="single" w:sz="4" w:space="0" w:color="auto"/>
            </w:tcBorders>
          </w:tcPr>
          <w:p w:rsidR="00565B8A" w:rsidRPr="00565B8A" w:rsidRDefault="00565B8A" w:rsidP="00565B8A">
            <w:pPr>
              <w:spacing w:after="0"/>
              <w:ind w:firstLine="0"/>
              <w:jc w:val="right"/>
              <w:rPr>
                <w:rFonts w:eastAsia="Times New Roman" w:cs="Times New Roman"/>
                <w:b/>
                <w:sz w:val="20"/>
                <w:szCs w:val="20"/>
              </w:rPr>
            </w:pPr>
            <w:r w:rsidRPr="00565B8A">
              <w:rPr>
                <w:rFonts w:eastAsia="Times New Roman" w:cs="Times New Roman"/>
                <w:b/>
                <w:sz w:val="20"/>
                <w:szCs w:val="20"/>
              </w:rPr>
              <w:t>95 456416</w:t>
            </w:r>
          </w:p>
        </w:tc>
        <w:tc>
          <w:tcPr>
            <w:tcW w:w="1347" w:type="dxa"/>
            <w:tcBorders>
              <w:top w:val="single" w:sz="4" w:space="0" w:color="auto"/>
              <w:left w:val="single" w:sz="4" w:space="0" w:color="auto"/>
              <w:bottom w:val="single" w:sz="4" w:space="0" w:color="auto"/>
              <w:right w:val="single" w:sz="4" w:space="0" w:color="auto"/>
            </w:tcBorders>
          </w:tcPr>
          <w:p w:rsidR="00565B8A" w:rsidRPr="00565B8A" w:rsidRDefault="00565B8A" w:rsidP="00565B8A">
            <w:pPr>
              <w:spacing w:after="0"/>
              <w:ind w:firstLine="0"/>
              <w:jc w:val="right"/>
              <w:rPr>
                <w:rFonts w:eastAsia="Times New Roman" w:cs="Times New Roman"/>
                <w:b/>
                <w:sz w:val="20"/>
                <w:szCs w:val="20"/>
              </w:rPr>
            </w:pPr>
            <w:r w:rsidRPr="00565B8A">
              <w:rPr>
                <w:rFonts w:eastAsia="Times New Roman" w:cs="Times New Roman"/>
                <w:b/>
                <w:sz w:val="20"/>
                <w:szCs w:val="20"/>
              </w:rPr>
              <w:t>56 655 721</w:t>
            </w:r>
          </w:p>
        </w:tc>
        <w:tc>
          <w:tcPr>
            <w:tcW w:w="1336" w:type="dxa"/>
            <w:tcBorders>
              <w:top w:val="single" w:sz="4" w:space="0" w:color="auto"/>
              <w:left w:val="double" w:sz="4" w:space="0" w:color="auto"/>
              <w:bottom w:val="single" w:sz="4" w:space="0" w:color="auto"/>
              <w:right w:val="single" w:sz="4" w:space="0" w:color="auto"/>
            </w:tcBorders>
            <w:hideMark/>
          </w:tcPr>
          <w:p w:rsidR="00565B8A" w:rsidRPr="00565B8A" w:rsidRDefault="00565B8A" w:rsidP="00565B8A">
            <w:pPr>
              <w:spacing w:after="0"/>
              <w:ind w:firstLine="0"/>
              <w:jc w:val="right"/>
              <w:rPr>
                <w:rFonts w:eastAsia="Times New Roman" w:cs="Times New Roman"/>
                <w:b/>
                <w:sz w:val="20"/>
                <w:szCs w:val="20"/>
              </w:rPr>
            </w:pPr>
            <w:r w:rsidRPr="00565B8A">
              <w:rPr>
                <w:rFonts w:eastAsia="Times New Roman" w:cs="Times New Roman"/>
                <w:b/>
                <w:sz w:val="20"/>
                <w:szCs w:val="20"/>
              </w:rPr>
              <w:t>77 557 554</w:t>
            </w:r>
          </w:p>
        </w:tc>
        <w:tc>
          <w:tcPr>
            <w:tcW w:w="1357" w:type="dxa"/>
            <w:tcBorders>
              <w:top w:val="single" w:sz="4" w:space="0" w:color="auto"/>
              <w:left w:val="single" w:sz="4" w:space="0" w:color="auto"/>
              <w:bottom w:val="single" w:sz="4" w:space="0" w:color="auto"/>
              <w:right w:val="single" w:sz="4" w:space="0" w:color="auto"/>
            </w:tcBorders>
            <w:hideMark/>
          </w:tcPr>
          <w:p w:rsidR="00565B8A" w:rsidRPr="00565B8A" w:rsidRDefault="00565B8A" w:rsidP="00565B8A">
            <w:pPr>
              <w:spacing w:after="0"/>
              <w:ind w:firstLine="0"/>
              <w:jc w:val="right"/>
              <w:rPr>
                <w:rFonts w:eastAsia="Times New Roman" w:cs="Times New Roman"/>
                <w:b/>
                <w:sz w:val="20"/>
                <w:szCs w:val="20"/>
              </w:rPr>
            </w:pPr>
            <w:r w:rsidRPr="00565B8A">
              <w:rPr>
                <w:rFonts w:eastAsia="Times New Roman" w:cs="Times New Roman"/>
                <w:b/>
                <w:sz w:val="20"/>
                <w:szCs w:val="20"/>
              </w:rPr>
              <w:t>63 599 638</w:t>
            </w:r>
          </w:p>
        </w:tc>
      </w:tr>
      <w:tr w:rsidR="00565B8A" w:rsidRPr="00565B8A" w:rsidTr="0079557A">
        <w:trPr>
          <w:jc w:val="center"/>
        </w:trPr>
        <w:tc>
          <w:tcPr>
            <w:tcW w:w="3924" w:type="dxa"/>
            <w:tcBorders>
              <w:top w:val="single" w:sz="4" w:space="0" w:color="auto"/>
              <w:left w:val="single" w:sz="4" w:space="0" w:color="auto"/>
              <w:bottom w:val="single" w:sz="4" w:space="0" w:color="auto"/>
              <w:right w:val="single" w:sz="4" w:space="0" w:color="auto"/>
            </w:tcBorders>
            <w:hideMark/>
          </w:tcPr>
          <w:p w:rsidR="00565B8A" w:rsidRPr="00565B8A" w:rsidRDefault="00565B8A" w:rsidP="00565B8A">
            <w:pPr>
              <w:spacing w:after="0"/>
              <w:ind w:firstLine="0"/>
              <w:jc w:val="right"/>
              <w:rPr>
                <w:rFonts w:eastAsia="Times New Roman" w:cs="Times New Roman"/>
                <w:i/>
                <w:sz w:val="20"/>
                <w:szCs w:val="20"/>
              </w:rPr>
            </w:pPr>
            <w:r w:rsidRPr="00565B8A">
              <w:rPr>
                <w:rFonts w:eastAsia="Times New Roman" w:cs="Times New Roman"/>
                <w:i/>
                <w:sz w:val="20"/>
                <w:szCs w:val="20"/>
              </w:rPr>
              <w:t>Ministrijas un centrālās valsts iestādes</w:t>
            </w:r>
          </w:p>
        </w:tc>
        <w:tc>
          <w:tcPr>
            <w:tcW w:w="1370" w:type="dxa"/>
            <w:tcBorders>
              <w:top w:val="single" w:sz="4" w:space="0" w:color="auto"/>
              <w:left w:val="single" w:sz="4" w:space="0" w:color="auto"/>
              <w:bottom w:val="single" w:sz="4" w:space="0" w:color="auto"/>
              <w:right w:val="single" w:sz="4" w:space="0" w:color="auto"/>
            </w:tcBorders>
          </w:tcPr>
          <w:p w:rsidR="00565B8A" w:rsidRPr="00565B8A" w:rsidRDefault="00565B8A" w:rsidP="00565B8A">
            <w:pPr>
              <w:spacing w:after="0"/>
              <w:ind w:firstLine="0"/>
              <w:jc w:val="right"/>
              <w:rPr>
                <w:rFonts w:eastAsia="Times New Roman" w:cs="Times New Roman"/>
                <w:sz w:val="20"/>
                <w:szCs w:val="20"/>
              </w:rPr>
            </w:pPr>
            <w:r w:rsidRPr="00565B8A">
              <w:rPr>
                <w:rFonts w:eastAsia="Times New Roman" w:cs="Times New Roman"/>
                <w:sz w:val="20"/>
                <w:szCs w:val="20"/>
              </w:rPr>
              <w:t>2 575 398</w:t>
            </w:r>
          </w:p>
        </w:tc>
        <w:tc>
          <w:tcPr>
            <w:tcW w:w="1347" w:type="dxa"/>
            <w:tcBorders>
              <w:top w:val="single" w:sz="4" w:space="0" w:color="auto"/>
              <w:left w:val="single" w:sz="4" w:space="0" w:color="auto"/>
              <w:bottom w:val="single" w:sz="4" w:space="0" w:color="auto"/>
              <w:right w:val="single" w:sz="4" w:space="0" w:color="auto"/>
            </w:tcBorders>
          </w:tcPr>
          <w:p w:rsidR="00565B8A" w:rsidRPr="00565B8A" w:rsidRDefault="00565B8A" w:rsidP="00565B8A">
            <w:pPr>
              <w:spacing w:after="0"/>
              <w:ind w:firstLine="0"/>
              <w:jc w:val="right"/>
              <w:rPr>
                <w:rFonts w:eastAsia="Times New Roman" w:cs="Times New Roman"/>
                <w:sz w:val="20"/>
                <w:szCs w:val="20"/>
              </w:rPr>
            </w:pPr>
            <w:r w:rsidRPr="00565B8A">
              <w:rPr>
                <w:rFonts w:eastAsia="Times New Roman" w:cs="Times New Roman"/>
                <w:sz w:val="20"/>
                <w:szCs w:val="20"/>
              </w:rPr>
              <w:t>399 710</w:t>
            </w:r>
          </w:p>
        </w:tc>
        <w:tc>
          <w:tcPr>
            <w:tcW w:w="1336" w:type="dxa"/>
            <w:tcBorders>
              <w:top w:val="single" w:sz="4" w:space="0" w:color="auto"/>
              <w:left w:val="double" w:sz="4" w:space="0" w:color="auto"/>
              <w:bottom w:val="single" w:sz="4" w:space="0" w:color="auto"/>
              <w:right w:val="single" w:sz="4" w:space="0" w:color="auto"/>
            </w:tcBorders>
            <w:hideMark/>
          </w:tcPr>
          <w:p w:rsidR="00565B8A" w:rsidRPr="00565B8A" w:rsidRDefault="00565B8A" w:rsidP="00565B8A">
            <w:pPr>
              <w:spacing w:after="0"/>
              <w:ind w:firstLine="0"/>
              <w:jc w:val="right"/>
              <w:rPr>
                <w:rFonts w:eastAsia="Times New Roman" w:cs="Times New Roman"/>
                <w:sz w:val="20"/>
                <w:szCs w:val="20"/>
              </w:rPr>
            </w:pPr>
            <w:r w:rsidRPr="00565B8A">
              <w:rPr>
                <w:rFonts w:eastAsia="Times New Roman" w:cs="Times New Roman"/>
                <w:sz w:val="20"/>
                <w:szCs w:val="20"/>
              </w:rPr>
              <w:t>2 048 935</w:t>
            </w:r>
          </w:p>
        </w:tc>
        <w:tc>
          <w:tcPr>
            <w:tcW w:w="1357" w:type="dxa"/>
            <w:tcBorders>
              <w:top w:val="single" w:sz="4" w:space="0" w:color="auto"/>
              <w:left w:val="single" w:sz="4" w:space="0" w:color="auto"/>
              <w:bottom w:val="single" w:sz="4" w:space="0" w:color="auto"/>
              <w:right w:val="single" w:sz="4" w:space="0" w:color="auto"/>
            </w:tcBorders>
            <w:hideMark/>
          </w:tcPr>
          <w:p w:rsidR="00565B8A" w:rsidRPr="00565B8A" w:rsidRDefault="00565B8A" w:rsidP="00565B8A">
            <w:pPr>
              <w:spacing w:after="0"/>
              <w:ind w:firstLine="0"/>
              <w:jc w:val="right"/>
              <w:rPr>
                <w:rFonts w:eastAsia="Times New Roman" w:cs="Times New Roman"/>
                <w:sz w:val="20"/>
                <w:szCs w:val="20"/>
              </w:rPr>
            </w:pPr>
            <w:r w:rsidRPr="00565B8A">
              <w:rPr>
                <w:rFonts w:eastAsia="Times New Roman" w:cs="Times New Roman"/>
                <w:sz w:val="20"/>
                <w:szCs w:val="20"/>
              </w:rPr>
              <w:t>141 845</w:t>
            </w:r>
          </w:p>
        </w:tc>
      </w:tr>
      <w:tr w:rsidR="00565B8A" w:rsidRPr="00565B8A" w:rsidTr="0079557A">
        <w:trPr>
          <w:jc w:val="center"/>
        </w:trPr>
        <w:tc>
          <w:tcPr>
            <w:tcW w:w="3924" w:type="dxa"/>
            <w:tcBorders>
              <w:top w:val="single" w:sz="4" w:space="0" w:color="auto"/>
              <w:left w:val="single" w:sz="4" w:space="0" w:color="auto"/>
              <w:bottom w:val="single" w:sz="4" w:space="0" w:color="auto"/>
              <w:right w:val="single" w:sz="4" w:space="0" w:color="auto"/>
            </w:tcBorders>
            <w:hideMark/>
          </w:tcPr>
          <w:p w:rsidR="00565B8A" w:rsidRPr="00565B8A" w:rsidRDefault="00565B8A" w:rsidP="00565B8A">
            <w:pPr>
              <w:spacing w:after="0"/>
              <w:ind w:firstLine="0"/>
              <w:jc w:val="right"/>
              <w:rPr>
                <w:rFonts w:eastAsia="Times New Roman" w:cs="Times New Roman"/>
                <w:i/>
                <w:sz w:val="20"/>
                <w:szCs w:val="20"/>
              </w:rPr>
            </w:pPr>
            <w:r w:rsidRPr="00565B8A">
              <w:rPr>
                <w:rFonts w:eastAsia="Times New Roman" w:cs="Times New Roman"/>
                <w:i/>
                <w:sz w:val="20"/>
                <w:szCs w:val="20"/>
              </w:rPr>
              <w:t>Valsts struktūru kontrolēti un finansēti komersanti</w:t>
            </w:r>
          </w:p>
        </w:tc>
        <w:tc>
          <w:tcPr>
            <w:tcW w:w="1370" w:type="dxa"/>
            <w:tcBorders>
              <w:top w:val="single" w:sz="4" w:space="0" w:color="auto"/>
              <w:left w:val="single" w:sz="4" w:space="0" w:color="auto"/>
              <w:bottom w:val="single" w:sz="4" w:space="0" w:color="auto"/>
              <w:right w:val="single" w:sz="4" w:space="0" w:color="auto"/>
            </w:tcBorders>
          </w:tcPr>
          <w:p w:rsidR="00565B8A" w:rsidRPr="00565B8A" w:rsidRDefault="00565B8A" w:rsidP="00565B8A">
            <w:pPr>
              <w:spacing w:after="0"/>
              <w:ind w:firstLine="0"/>
              <w:jc w:val="right"/>
              <w:rPr>
                <w:rFonts w:eastAsia="Times New Roman" w:cs="Times New Roman"/>
                <w:sz w:val="20"/>
                <w:szCs w:val="20"/>
              </w:rPr>
            </w:pPr>
            <w:r w:rsidRPr="00565B8A">
              <w:rPr>
                <w:rFonts w:eastAsia="Times New Roman" w:cs="Times New Roman"/>
                <w:sz w:val="20"/>
                <w:szCs w:val="20"/>
              </w:rPr>
              <w:t>1 096 946</w:t>
            </w:r>
          </w:p>
        </w:tc>
        <w:tc>
          <w:tcPr>
            <w:tcW w:w="1347" w:type="dxa"/>
            <w:tcBorders>
              <w:top w:val="single" w:sz="4" w:space="0" w:color="auto"/>
              <w:left w:val="single" w:sz="4" w:space="0" w:color="auto"/>
              <w:bottom w:val="single" w:sz="4" w:space="0" w:color="auto"/>
              <w:right w:val="single" w:sz="4" w:space="0" w:color="auto"/>
            </w:tcBorders>
          </w:tcPr>
          <w:p w:rsidR="00565B8A" w:rsidRPr="00565B8A" w:rsidRDefault="00565B8A" w:rsidP="00565B8A">
            <w:pPr>
              <w:spacing w:after="0"/>
              <w:ind w:firstLine="0"/>
              <w:jc w:val="right"/>
              <w:rPr>
                <w:rFonts w:eastAsia="Times New Roman" w:cs="Times New Roman"/>
                <w:sz w:val="20"/>
                <w:szCs w:val="20"/>
              </w:rPr>
            </w:pPr>
            <w:r w:rsidRPr="00565B8A">
              <w:rPr>
                <w:rFonts w:eastAsia="Times New Roman" w:cs="Times New Roman"/>
                <w:sz w:val="20"/>
                <w:szCs w:val="20"/>
              </w:rPr>
              <w:t>1 306 676</w:t>
            </w:r>
          </w:p>
        </w:tc>
        <w:tc>
          <w:tcPr>
            <w:tcW w:w="1336" w:type="dxa"/>
            <w:tcBorders>
              <w:top w:val="single" w:sz="4" w:space="0" w:color="auto"/>
              <w:left w:val="double" w:sz="4" w:space="0" w:color="auto"/>
              <w:bottom w:val="single" w:sz="4" w:space="0" w:color="auto"/>
              <w:right w:val="single" w:sz="4" w:space="0" w:color="auto"/>
            </w:tcBorders>
            <w:hideMark/>
          </w:tcPr>
          <w:p w:rsidR="00565B8A" w:rsidRPr="00565B8A" w:rsidRDefault="00565B8A" w:rsidP="00565B8A">
            <w:pPr>
              <w:spacing w:after="0"/>
              <w:ind w:firstLine="0"/>
              <w:jc w:val="right"/>
              <w:rPr>
                <w:rFonts w:eastAsia="Times New Roman" w:cs="Times New Roman"/>
                <w:sz w:val="20"/>
                <w:szCs w:val="20"/>
              </w:rPr>
            </w:pPr>
            <w:r w:rsidRPr="00565B8A">
              <w:rPr>
                <w:rFonts w:eastAsia="Times New Roman" w:cs="Times New Roman"/>
                <w:sz w:val="20"/>
                <w:szCs w:val="20"/>
              </w:rPr>
              <w:t>0</w:t>
            </w:r>
          </w:p>
        </w:tc>
        <w:tc>
          <w:tcPr>
            <w:tcW w:w="1357" w:type="dxa"/>
            <w:tcBorders>
              <w:top w:val="single" w:sz="4" w:space="0" w:color="auto"/>
              <w:left w:val="single" w:sz="4" w:space="0" w:color="auto"/>
              <w:bottom w:val="single" w:sz="4" w:space="0" w:color="auto"/>
              <w:right w:val="single" w:sz="4" w:space="0" w:color="auto"/>
            </w:tcBorders>
            <w:hideMark/>
          </w:tcPr>
          <w:p w:rsidR="00565B8A" w:rsidRPr="00565B8A" w:rsidRDefault="00565B8A" w:rsidP="00565B8A">
            <w:pPr>
              <w:spacing w:after="0"/>
              <w:ind w:firstLine="0"/>
              <w:jc w:val="right"/>
              <w:rPr>
                <w:rFonts w:eastAsia="Times New Roman" w:cs="Times New Roman"/>
                <w:sz w:val="20"/>
                <w:szCs w:val="20"/>
              </w:rPr>
            </w:pPr>
            <w:r w:rsidRPr="00565B8A">
              <w:rPr>
                <w:rFonts w:eastAsia="Times New Roman" w:cs="Times New Roman"/>
                <w:sz w:val="20"/>
                <w:szCs w:val="20"/>
              </w:rPr>
              <w:t>1 275 334</w:t>
            </w:r>
          </w:p>
        </w:tc>
      </w:tr>
      <w:tr w:rsidR="00565B8A" w:rsidRPr="00565B8A" w:rsidTr="0079557A">
        <w:trPr>
          <w:jc w:val="center"/>
        </w:trPr>
        <w:tc>
          <w:tcPr>
            <w:tcW w:w="3924" w:type="dxa"/>
            <w:tcBorders>
              <w:top w:val="single" w:sz="4" w:space="0" w:color="auto"/>
              <w:left w:val="single" w:sz="4" w:space="0" w:color="auto"/>
              <w:bottom w:val="single" w:sz="4" w:space="0" w:color="auto"/>
              <w:right w:val="single" w:sz="4" w:space="0" w:color="auto"/>
            </w:tcBorders>
          </w:tcPr>
          <w:p w:rsidR="00565B8A" w:rsidRPr="00565B8A" w:rsidRDefault="00565B8A" w:rsidP="00565B8A">
            <w:pPr>
              <w:spacing w:after="0"/>
              <w:ind w:firstLine="0"/>
              <w:jc w:val="right"/>
              <w:rPr>
                <w:rFonts w:eastAsia="Times New Roman" w:cs="Times New Roman"/>
                <w:i/>
                <w:sz w:val="20"/>
                <w:szCs w:val="20"/>
              </w:rPr>
            </w:pPr>
            <w:r w:rsidRPr="00565B8A">
              <w:rPr>
                <w:rFonts w:eastAsia="Times New Roman" w:cs="Times New Roman"/>
                <w:i/>
                <w:sz w:val="20"/>
                <w:szCs w:val="20"/>
              </w:rPr>
              <w:t>No valsts budžeta daļēji finansētas atvasinātas publiskas personas, izņemot speciālās ekonomiskās zonas, ostu un brīvostu pārvaldes</w:t>
            </w:r>
          </w:p>
        </w:tc>
        <w:tc>
          <w:tcPr>
            <w:tcW w:w="1370" w:type="dxa"/>
            <w:tcBorders>
              <w:top w:val="single" w:sz="4" w:space="0" w:color="auto"/>
              <w:left w:val="single" w:sz="4" w:space="0" w:color="auto"/>
              <w:bottom w:val="single" w:sz="4" w:space="0" w:color="auto"/>
              <w:right w:val="single" w:sz="4" w:space="0" w:color="auto"/>
            </w:tcBorders>
          </w:tcPr>
          <w:p w:rsidR="00565B8A" w:rsidRPr="00565B8A" w:rsidRDefault="00565B8A" w:rsidP="00565B8A">
            <w:pPr>
              <w:spacing w:after="0"/>
              <w:ind w:firstLine="0"/>
              <w:jc w:val="right"/>
              <w:rPr>
                <w:rFonts w:eastAsia="Times New Roman" w:cs="Times New Roman"/>
                <w:sz w:val="20"/>
                <w:szCs w:val="20"/>
              </w:rPr>
            </w:pPr>
          </w:p>
        </w:tc>
        <w:tc>
          <w:tcPr>
            <w:tcW w:w="1347" w:type="dxa"/>
            <w:tcBorders>
              <w:top w:val="single" w:sz="4" w:space="0" w:color="auto"/>
              <w:left w:val="single" w:sz="4" w:space="0" w:color="auto"/>
              <w:bottom w:val="single" w:sz="4" w:space="0" w:color="auto"/>
              <w:right w:val="single" w:sz="4" w:space="0" w:color="auto"/>
            </w:tcBorders>
          </w:tcPr>
          <w:p w:rsidR="00565B8A" w:rsidRPr="00565B8A" w:rsidRDefault="00565B8A" w:rsidP="00565B8A">
            <w:pPr>
              <w:spacing w:after="0"/>
              <w:ind w:firstLine="0"/>
              <w:jc w:val="right"/>
              <w:rPr>
                <w:rFonts w:eastAsia="Times New Roman" w:cs="Times New Roman"/>
                <w:sz w:val="20"/>
                <w:szCs w:val="20"/>
              </w:rPr>
            </w:pPr>
          </w:p>
        </w:tc>
        <w:tc>
          <w:tcPr>
            <w:tcW w:w="1336" w:type="dxa"/>
            <w:tcBorders>
              <w:top w:val="single" w:sz="4" w:space="0" w:color="auto"/>
              <w:left w:val="double" w:sz="4" w:space="0" w:color="auto"/>
              <w:bottom w:val="single" w:sz="4" w:space="0" w:color="auto"/>
              <w:right w:val="single" w:sz="4" w:space="0" w:color="auto"/>
            </w:tcBorders>
          </w:tcPr>
          <w:p w:rsidR="00565B8A" w:rsidRPr="00565B8A" w:rsidRDefault="00565B8A" w:rsidP="00565B8A">
            <w:pPr>
              <w:spacing w:after="0"/>
              <w:ind w:firstLine="0"/>
              <w:jc w:val="right"/>
              <w:rPr>
                <w:rFonts w:eastAsia="Times New Roman" w:cs="Times New Roman"/>
                <w:sz w:val="20"/>
                <w:szCs w:val="20"/>
              </w:rPr>
            </w:pPr>
            <w:r w:rsidRPr="00565B8A">
              <w:rPr>
                <w:rFonts w:eastAsia="Times New Roman" w:cs="Times New Roman"/>
                <w:sz w:val="20"/>
                <w:szCs w:val="20"/>
              </w:rPr>
              <w:t>314 623</w:t>
            </w:r>
          </w:p>
        </w:tc>
        <w:tc>
          <w:tcPr>
            <w:tcW w:w="1357" w:type="dxa"/>
            <w:tcBorders>
              <w:top w:val="single" w:sz="4" w:space="0" w:color="auto"/>
              <w:left w:val="single" w:sz="4" w:space="0" w:color="auto"/>
              <w:bottom w:val="single" w:sz="4" w:space="0" w:color="auto"/>
              <w:right w:val="single" w:sz="4" w:space="0" w:color="auto"/>
            </w:tcBorders>
          </w:tcPr>
          <w:p w:rsidR="00565B8A" w:rsidRPr="00565B8A" w:rsidRDefault="00565B8A" w:rsidP="00565B8A">
            <w:pPr>
              <w:spacing w:after="0"/>
              <w:ind w:firstLine="0"/>
              <w:jc w:val="right"/>
              <w:rPr>
                <w:rFonts w:eastAsia="Times New Roman" w:cs="Times New Roman"/>
                <w:sz w:val="20"/>
                <w:szCs w:val="20"/>
              </w:rPr>
            </w:pPr>
            <w:r w:rsidRPr="00565B8A">
              <w:rPr>
                <w:rFonts w:eastAsia="Times New Roman" w:cs="Times New Roman"/>
                <w:sz w:val="20"/>
                <w:szCs w:val="20"/>
              </w:rPr>
              <w:t>235 834</w:t>
            </w:r>
          </w:p>
        </w:tc>
      </w:tr>
      <w:tr w:rsidR="00565B8A" w:rsidRPr="00565B8A" w:rsidTr="0079557A">
        <w:trPr>
          <w:jc w:val="center"/>
        </w:trPr>
        <w:tc>
          <w:tcPr>
            <w:tcW w:w="3924" w:type="dxa"/>
            <w:tcBorders>
              <w:top w:val="single" w:sz="4" w:space="0" w:color="auto"/>
              <w:left w:val="single" w:sz="4" w:space="0" w:color="auto"/>
              <w:bottom w:val="single" w:sz="4" w:space="0" w:color="auto"/>
              <w:right w:val="single" w:sz="4" w:space="0" w:color="auto"/>
            </w:tcBorders>
            <w:hideMark/>
          </w:tcPr>
          <w:p w:rsidR="00565B8A" w:rsidRPr="00565B8A" w:rsidRDefault="00565B8A" w:rsidP="00565B8A">
            <w:pPr>
              <w:spacing w:after="0"/>
              <w:ind w:firstLine="0"/>
              <w:jc w:val="right"/>
              <w:rPr>
                <w:rFonts w:eastAsia="Times New Roman" w:cs="Times New Roman"/>
                <w:i/>
                <w:sz w:val="20"/>
                <w:szCs w:val="20"/>
              </w:rPr>
            </w:pPr>
            <w:r w:rsidRPr="00565B8A">
              <w:rPr>
                <w:rFonts w:eastAsia="Times New Roman" w:cs="Times New Roman"/>
                <w:i/>
                <w:sz w:val="20"/>
                <w:szCs w:val="20"/>
              </w:rPr>
              <w:t xml:space="preserve">Pašvaldības </w:t>
            </w:r>
          </w:p>
        </w:tc>
        <w:tc>
          <w:tcPr>
            <w:tcW w:w="1370" w:type="dxa"/>
            <w:tcBorders>
              <w:top w:val="single" w:sz="4" w:space="0" w:color="auto"/>
              <w:left w:val="single" w:sz="4" w:space="0" w:color="auto"/>
              <w:bottom w:val="single" w:sz="4" w:space="0" w:color="auto"/>
              <w:right w:val="single" w:sz="4" w:space="0" w:color="auto"/>
            </w:tcBorders>
          </w:tcPr>
          <w:p w:rsidR="00565B8A" w:rsidRPr="00565B8A" w:rsidRDefault="00565B8A" w:rsidP="00565B8A">
            <w:pPr>
              <w:spacing w:after="0"/>
              <w:ind w:firstLine="0"/>
              <w:jc w:val="right"/>
              <w:rPr>
                <w:rFonts w:eastAsia="Times New Roman" w:cs="Times New Roman"/>
                <w:sz w:val="20"/>
                <w:szCs w:val="20"/>
              </w:rPr>
            </w:pPr>
            <w:r w:rsidRPr="00565B8A">
              <w:rPr>
                <w:rFonts w:eastAsia="Times New Roman" w:cs="Times New Roman"/>
                <w:sz w:val="20"/>
                <w:szCs w:val="20"/>
              </w:rPr>
              <w:t>55 955 547</w:t>
            </w:r>
          </w:p>
        </w:tc>
        <w:tc>
          <w:tcPr>
            <w:tcW w:w="1347" w:type="dxa"/>
            <w:tcBorders>
              <w:top w:val="single" w:sz="4" w:space="0" w:color="auto"/>
              <w:left w:val="single" w:sz="4" w:space="0" w:color="auto"/>
              <w:bottom w:val="single" w:sz="4" w:space="0" w:color="auto"/>
              <w:right w:val="single" w:sz="4" w:space="0" w:color="auto"/>
            </w:tcBorders>
          </w:tcPr>
          <w:p w:rsidR="00565B8A" w:rsidRPr="00565B8A" w:rsidRDefault="00565B8A" w:rsidP="00565B8A">
            <w:pPr>
              <w:spacing w:after="0"/>
              <w:ind w:firstLine="0"/>
              <w:jc w:val="right"/>
              <w:rPr>
                <w:rFonts w:eastAsia="Times New Roman" w:cs="Times New Roman"/>
                <w:sz w:val="20"/>
                <w:szCs w:val="20"/>
              </w:rPr>
            </w:pPr>
            <w:r w:rsidRPr="00565B8A">
              <w:rPr>
                <w:rFonts w:eastAsia="Times New Roman" w:cs="Times New Roman"/>
                <w:sz w:val="20"/>
                <w:szCs w:val="20"/>
              </w:rPr>
              <w:t>25 410 564</w:t>
            </w:r>
          </w:p>
        </w:tc>
        <w:tc>
          <w:tcPr>
            <w:tcW w:w="1336" w:type="dxa"/>
            <w:tcBorders>
              <w:top w:val="single" w:sz="4" w:space="0" w:color="auto"/>
              <w:left w:val="double" w:sz="4" w:space="0" w:color="auto"/>
              <w:bottom w:val="single" w:sz="4" w:space="0" w:color="auto"/>
              <w:right w:val="single" w:sz="4" w:space="0" w:color="auto"/>
            </w:tcBorders>
            <w:hideMark/>
          </w:tcPr>
          <w:p w:rsidR="00565B8A" w:rsidRPr="00565B8A" w:rsidRDefault="00565B8A" w:rsidP="00565B8A">
            <w:pPr>
              <w:spacing w:after="0"/>
              <w:ind w:firstLine="0"/>
              <w:jc w:val="right"/>
              <w:rPr>
                <w:rFonts w:eastAsia="Times New Roman" w:cs="Times New Roman"/>
                <w:sz w:val="20"/>
                <w:szCs w:val="20"/>
              </w:rPr>
            </w:pPr>
            <w:r w:rsidRPr="00565B8A">
              <w:rPr>
                <w:rFonts w:eastAsia="Times New Roman" w:cs="Times New Roman"/>
                <w:sz w:val="20"/>
                <w:szCs w:val="20"/>
              </w:rPr>
              <w:t>59 765 099</w:t>
            </w:r>
          </w:p>
        </w:tc>
        <w:tc>
          <w:tcPr>
            <w:tcW w:w="1357" w:type="dxa"/>
            <w:tcBorders>
              <w:top w:val="single" w:sz="4" w:space="0" w:color="auto"/>
              <w:left w:val="single" w:sz="4" w:space="0" w:color="auto"/>
              <w:bottom w:val="single" w:sz="4" w:space="0" w:color="auto"/>
              <w:right w:val="single" w:sz="4" w:space="0" w:color="auto"/>
            </w:tcBorders>
            <w:hideMark/>
          </w:tcPr>
          <w:p w:rsidR="00565B8A" w:rsidRPr="00565B8A" w:rsidRDefault="00565B8A" w:rsidP="00565B8A">
            <w:pPr>
              <w:spacing w:after="0"/>
              <w:ind w:firstLine="0"/>
              <w:jc w:val="right"/>
              <w:rPr>
                <w:rFonts w:eastAsia="Times New Roman" w:cs="Times New Roman"/>
                <w:sz w:val="20"/>
                <w:szCs w:val="20"/>
              </w:rPr>
            </w:pPr>
            <w:r w:rsidRPr="00565B8A">
              <w:rPr>
                <w:rFonts w:eastAsia="Times New Roman" w:cs="Times New Roman"/>
                <w:sz w:val="20"/>
                <w:szCs w:val="20"/>
              </w:rPr>
              <w:t>30 214 6276</w:t>
            </w:r>
          </w:p>
        </w:tc>
      </w:tr>
      <w:tr w:rsidR="00565B8A" w:rsidRPr="00565B8A" w:rsidTr="0079557A">
        <w:trPr>
          <w:jc w:val="center"/>
        </w:trPr>
        <w:tc>
          <w:tcPr>
            <w:tcW w:w="3924" w:type="dxa"/>
            <w:tcBorders>
              <w:top w:val="single" w:sz="4" w:space="0" w:color="auto"/>
              <w:left w:val="single" w:sz="4" w:space="0" w:color="auto"/>
              <w:bottom w:val="single" w:sz="4" w:space="0" w:color="auto"/>
              <w:right w:val="single" w:sz="4" w:space="0" w:color="auto"/>
            </w:tcBorders>
            <w:hideMark/>
          </w:tcPr>
          <w:p w:rsidR="00565B8A" w:rsidRPr="00565B8A" w:rsidRDefault="00565B8A" w:rsidP="00565B8A">
            <w:pPr>
              <w:spacing w:after="0"/>
              <w:ind w:firstLine="0"/>
              <w:jc w:val="right"/>
              <w:rPr>
                <w:rFonts w:eastAsia="Times New Roman" w:cs="Times New Roman"/>
                <w:i/>
                <w:sz w:val="20"/>
                <w:szCs w:val="20"/>
              </w:rPr>
            </w:pPr>
            <w:r w:rsidRPr="00565B8A">
              <w:rPr>
                <w:rFonts w:eastAsia="Times New Roman" w:cs="Times New Roman"/>
                <w:i/>
                <w:sz w:val="20"/>
                <w:szCs w:val="20"/>
              </w:rPr>
              <w:t xml:space="preserve">Pašvaldību struktūru kontrolēti un finansēti komersanti </w:t>
            </w:r>
          </w:p>
        </w:tc>
        <w:tc>
          <w:tcPr>
            <w:tcW w:w="1370" w:type="dxa"/>
            <w:tcBorders>
              <w:top w:val="single" w:sz="4" w:space="0" w:color="auto"/>
              <w:left w:val="single" w:sz="4" w:space="0" w:color="auto"/>
              <w:bottom w:val="single" w:sz="4" w:space="0" w:color="auto"/>
              <w:right w:val="single" w:sz="4" w:space="0" w:color="auto"/>
            </w:tcBorders>
          </w:tcPr>
          <w:p w:rsidR="00565B8A" w:rsidRPr="00565B8A" w:rsidRDefault="00565B8A" w:rsidP="00565B8A">
            <w:pPr>
              <w:spacing w:after="0"/>
              <w:ind w:firstLine="0"/>
              <w:jc w:val="right"/>
              <w:rPr>
                <w:rFonts w:eastAsia="Times New Roman" w:cs="Times New Roman"/>
                <w:sz w:val="20"/>
                <w:szCs w:val="20"/>
              </w:rPr>
            </w:pPr>
            <w:r w:rsidRPr="00565B8A">
              <w:rPr>
                <w:rFonts w:eastAsia="Times New Roman" w:cs="Times New Roman"/>
                <w:sz w:val="20"/>
                <w:szCs w:val="20"/>
              </w:rPr>
              <w:t>18 571</w:t>
            </w:r>
          </w:p>
        </w:tc>
        <w:tc>
          <w:tcPr>
            <w:tcW w:w="1347" w:type="dxa"/>
            <w:tcBorders>
              <w:top w:val="single" w:sz="4" w:space="0" w:color="auto"/>
              <w:left w:val="single" w:sz="4" w:space="0" w:color="auto"/>
              <w:bottom w:val="single" w:sz="4" w:space="0" w:color="auto"/>
              <w:right w:val="single" w:sz="4" w:space="0" w:color="auto"/>
            </w:tcBorders>
          </w:tcPr>
          <w:p w:rsidR="00565B8A" w:rsidRPr="00565B8A" w:rsidRDefault="00565B8A" w:rsidP="00565B8A">
            <w:pPr>
              <w:spacing w:after="0"/>
              <w:ind w:firstLine="0"/>
              <w:jc w:val="right"/>
              <w:rPr>
                <w:rFonts w:eastAsia="Times New Roman" w:cs="Times New Roman"/>
                <w:sz w:val="20"/>
                <w:szCs w:val="20"/>
              </w:rPr>
            </w:pPr>
            <w:r w:rsidRPr="00565B8A">
              <w:rPr>
                <w:rFonts w:eastAsia="Times New Roman" w:cs="Times New Roman"/>
                <w:sz w:val="20"/>
                <w:szCs w:val="20"/>
              </w:rPr>
              <w:t>285 390</w:t>
            </w:r>
          </w:p>
        </w:tc>
        <w:tc>
          <w:tcPr>
            <w:tcW w:w="1336" w:type="dxa"/>
            <w:tcBorders>
              <w:top w:val="single" w:sz="4" w:space="0" w:color="auto"/>
              <w:left w:val="double" w:sz="4" w:space="0" w:color="auto"/>
              <w:bottom w:val="single" w:sz="4" w:space="0" w:color="auto"/>
              <w:right w:val="single" w:sz="4" w:space="0" w:color="auto"/>
            </w:tcBorders>
            <w:hideMark/>
          </w:tcPr>
          <w:p w:rsidR="00565B8A" w:rsidRPr="00565B8A" w:rsidRDefault="00565B8A" w:rsidP="00565B8A">
            <w:pPr>
              <w:spacing w:after="0"/>
              <w:ind w:firstLine="0"/>
              <w:jc w:val="right"/>
              <w:rPr>
                <w:rFonts w:eastAsia="Times New Roman" w:cs="Times New Roman"/>
                <w:sz w:val="20"/>
                <w:szCs w:val="20"/>
              </w:rPr>
            </w:pPr>
            <w:r w:rsidRPr="00565B8A">
              <w:rPr>
                <w:rFonts w:eastAsia="Times New Roman" w:cs="Times New Roman"/>
                <w:sz w:val="20"/>
                <w:szCs w:val="20"/>
              </w:rPr>
              <w:t>18 571</w:t>
            </w:r>
          </w:p>
        </w:tc>
        <w:tc>
          <w:tcPr>
            <w:tcW w:w="1357" w:type="dxa"/>
            <w:tcBorders>
              <w:top w:val="single" w:sz="4" w:space="0" w:color="auto"/>
              <w:left w:val="single" w:sz="4" w:space="0" w:color="auto"/>
              <w:bottom w:val="single" w:sz="4" w:space="0" w:color="auto"/>
              <w:right w:val="single" w:sz="4" w:space="0" w:color="auto"/>
            </w:tcBorders>
            <w:hideMark/>
          </w:tcPr>
          <w:p w:rsidR="00565B8A" w:rsidRPr="00565B8A" w:rsidRDefault="00565B8A" w:rsidP="00565B8A">
            <w:pPr>
              <w:spacing w:after="0"/>
              <w:ind w:firstLine="0"/>
              <w:jc w:val="right"/>
              <w:rPr>
                <w:rFonts w:eastAsia="Times New Roman" w:cs="Times New Roman"/>
                <w:sz w:val="20"/>
                <w:szCs w:val="20"/>
              </w:rPr>
            </w:pPr>
            <w:r w:rsidRPr="00565B8A">
              <w:rPr>
                <w:rFonts w:eastAsia="Times New Roman" w:cs="Times New Roman"/>
                <w:sz w:val="20"/>
                <w:szCs w:val="20"/>
              </w:rPr>
              <w:t>4 643</w:t>
            </w:r>
          </w:p>
        </w:tc>
      </w:tr>
      <w:tr w:rsidR="00565B8A" w:rsidRPr="00565B8A" w:rsidTr="0079557A">
        <w:trPr>
          <w:jc w:val="center"/>
        </w:trPr>
        <w:tc>
          <w:tcPr>
            <w:tcW w:w="3924" w:type="dxa"/>
            <w:tcBorders>
              <w:top w:val="single" w:sz="4" w:space="0" w:color="auto"/>
              <w:left w:val="single" w:sz="4" w:space="0" w:color="auto"/>
              <w:bottom w:val="single" w:sz="4" w:space="0" w:color="auto"/>
              <w:right w:val="single" w:sz="4" w:space="0" w:color="auto"/>
            </w:tcBorders>
            <w:hideMark/>
          </w:tcPr>
          <w:p w:rsidR="00565B8A" w:rsidRPr="00565B8A" w:rsidRDefault="00565B8A" w:rsidP="00565B8A">
            <w:pPr>
              <w:spacing w:after="0"/>
              <w:ind w:firstLine="0"/>
              <w:jc w:val="right"/>
              <w:rPr>
                <w:rFonts w:eastAsia="Times New Roman" w:cs="Times New Roman"/>
                <w:i/>
                <w:sz w:val="20"/>
                <w:szCs w:val="20"/>
              </w:rPr>
            </w:pPr>
            <w:r w:rsidRPr="00565B8A">
              <w:rPr>
                <w:rFonts w:eastAsia="Times New Roman" w:cs="Times New Roman"/>
                <w:i/>
                <w:sz w:val="20"/>
                <w:szCs w:val="20"/>
              </w:rPr>
              <w:t>Pie pašvaldību struktūrām ietvertās speciālās ekonomiskās zonas, ostu un brīvostu pārvaldes</w:t>
            </w:r>
          </w:p>
        </w:tc>
        <w:tc>
          <w:tcPr>
            <w:tcW w:w="1370" w:type="dxa"/>
            <w:tcBorders>
              <w:top w:val="single" w:sz="4" w:space="0" w:color="auto"/>
              <w:left w:val="single" w:sz="4" w:space="0" w:color="auto"/>
              <w:bottom w:val="single" w:sz="4" w:space="0" w:color="auto"/>
              <w:right w:val="single" w:sz="4" w:space="0" w:color="auto"/>
            </w:tcBorders>
          </w:tcPr>
          <w:p w:rsidR="00565B8A" w:rsidRPr="00565B8A" w:rsidRDefault="00565B8A" w:rsidP="00565B8A">
            <w:pPr>
              <w:spacing w:after="0"/>
              <w:ind w:firstLine="0"/>
              <w:jc w:val="right"/>
              <w:rPr>
                <w:rFonts w:eastAsia="Times New Roman" w:cs="Times New Roman"/>
                <w:sz w:val="20"/>
                <w:szCs w:val="20"/>
              </w:rPr>
            </w:pPr>
            <w:r w:rsidRPr="00565B8A">
              <w:rPr>
                <w:rFonts w:eastAsia="Times New Roman" w:cs="Times New Roman"/>
                <w:sz w:val="20"/>
                <w:szCs w:val="20"/>
              </w:rPr>
              <w:t>750 000</w:t>
            </w:r>
          </w:p>
        </w:tc>
        <w:tc>
          <w:tcPr>
            <w:tcW w:w="1347" w:type="dxa"/>
            <w:tcBorders>
              <w:top w:val="single" w:sz="4" w:space="0" w:color="auto"/>
              <w:left w:val="single" w:sz="4" w:space="0" w:color="auto"/>
              <w:bottom w:val="single" w:sz="4" w:space="0" w:color="auto"/>
              <w:right w:val="single" w:sz="4" w:space="0" w:color="auto"/>
            </w:tcBorders>
          </w:tcPr>
          <w:p w:rsidR="00565B8A" w:rsidRPr="00565B8A" w:rsidRDefault="00565B8A" w:rsidP="00565B8A">
            <w:pPr>
              <w:spacing w:after="0"/>
              <w:ind w:firstLine="0"/>
              <w:jc w:val="right"/>
              <w:rPr>
                <w:rFonts w:eastAsia="Times New Roman" w:cs="Times New Roman"/>
                <w:sz w:val="20"/>
                <w:szCs w:val="20"/>
              </w:rPr>
            </w:pPr>
          </w:p>
        </w:tc>
        <w:tc>
          <w:tcPr>
            <w:tcW w:w="1336" w:type="dxa"/>
            <w:tcBorders>
              <w:top w:val="single" w:sz="4" w:space="0" w:color="auto"/>
              <w:left w:val="double" w:sz="4" w:space="0" w:color="auto"/>
              <w:bottom w:val="single" w:sz="4" w:space="0" w:color="auto"/>
              <w:right w:val="single" w:sz="4" w:space="0" w:color="auto"/>
            </w:tcBorders>
            <w:hideMark/>
          </w:tcPr>
          <w:p w:rsidR="00565B8A" w:rsidRPr="00565B8A" w:rsidRDefault="00565B8A" w:rsidP="00565B8A">
            <w:pPr>
              <w:spacing w:after="0"/>
              <w:ind w:firstLine="0"/>
              <w:jc w:val="right"/>
              <w:rPr>
                <w:rFonts w:eastAsia="Times New Roman" w:cs="Times New Roman"/>
                <w:sz w:val="20"/>
                <w:szCs w:val="20"/>
              </w:rPr>
            </w:pPr>
            <w:r w:rsidRPr="00565B8A">
              <w:rPr>
                <w:rFonts w:eastAsia="Times New Roman" w:cs="Times New Roman"/>
                <w:sz w:val="20"/>
                <w:szCs w:val="20"/>
              </w:rPr>
              <w:t>527 103</w:t>
            </w:r>
          </w:p>
        </w:tc>
        <w:tc>
          <w:tcPr>
            <w:tcW w:w="1357" w:type="dxa"/>
            <w:tcBorders>
              <w:top w:val="single" w:sz="4" w:space="0" w:color="auto"/>
              <w:left w:val="single" w:sz="4" w:space="0" w:color="auto"/>
              <w:bottom w:val="single" w:sz="4" w:space="0" w:color="auto"/>
              <w:right w:val="single" w:sz="4" w:space="0" w:color="auto"/>
            </w:tcBorders>
          </w:tcPr>
          <w:p w:rsidR="00565B8A" w:rsidRPr="00565B8A" w:rsidRDefault="00565B8A" w:rsidP="00565B8A">
            <w:pPr>
              <w:spacing w:after="0"/>
              <w:ind w:firstLine="0"/>
              <w:jc w:val="right"/>
              <w:rPr>
                <w:rFonts w:eastAsia="Times New Roman" w:cs="Times New Roman"/>
                <w:sz w:val="20"/>
                <w:szCs w:val="20"/>
              </w:rPr>
            </w:pPr>
          </w:p>
        </w:tc>
      </w:tr>
      <w:tr w:rsidR="00565B8A" w:rsidRPr="00565B8A" w:rsidTr="0079557A">
        <w:trPr>
          <w:jc w:val="center"/>
        </w:trPr>
        <w:tc>
          <w:tcPr>
            <w:tcW w:w="3924" w:type="dxa"/>
            <w:tcBorders>
              <w:top w:val="single" w:sz="4" w:space="0" w:color="auto"/>
              <w:left w:val="single" w:sz="4" w:space="0" w:color="auto"/>
              <w:bottom w:val="single" w:sz="4" w:space="0" w:color="auto"/>
              <w:right w:val="single" w:sz="4" w:space="0" w:color="auto"/>
            </w:tcBorders>
            <w:hideMark/>
          </w:tcPr>
          <w:p w:rsidR="00565B8A" w:rsidRPr="00565B8A" w:rsidRDefault="00565B8A" w:rsidP="00565B8A">
            <w:pPr>
              <w:spacing w:after="0"/>
              <w:ind w:firstLine="0"/>
              <w:jc w:val="right"/>
              <w:rPr>
                <w:rFonts w:eastAsia="Times New Roman" w:cs="Times New Roman"/>
                <w:i/>
                <w:sz w:val="20"/>
                <w:szCs w:val="20"/>
              </w:rPr>
            </w:pPr>
            <w:proofErr w:type="spellStart"/>
            <w:r w:rsidRPr="00565B8A">
              <w:rPr>
                <w:rFonts w:eastAsia="Times New Roman" w:cs="Times New Roman"/>
                <w:i/>
                <w:sz w:val="20"/>
                <w:szCs w:val="20"/>
              </w:rPr>
              <w:t>Nefinanšu</w:t>
            </w:r>
            <w:proofErr w:type="spellEnd"/>
            <w:r w:rsidRPr="00565B8A">
              <w:rPr>
                <w:rFonts w:eastAsia="Times New Roman" w:cs="Times New Roman"/>
                <w:i/>
                <w:sz w:val="20"/>
                <w:szCs w:val="20"/>
              </w:rPr>
              <w:t xml:space="preserve"> komersanti</w:t>
            </w:r>
          </w:p>
        </w:tc>
        <w:tc>
          <w:tcPr>
            <w:tcW w:w="1370" w:type="dxa"/>
            <w:tcBorders>
              <w:top w:val="single" w:sz="4" w:space="0" w:color="auto"/>
              <w:left w:val="single" w:sz="4" w:space="0" w:color="auto"/>
              <w:bottom w:val="single" w:sz="4" w:space="0" w:color="auto"/>
              <w:right w:val="single" w:sz="4" w:space="0" w:color="auto"/>
            </w:tcBorders>
          </w:tcPr>
          <w:p w:rsidR="00565B8A" w:rsidRPr="00565B8A" w:rsidRDefault="00565B8A" w:rsidP="00565B8A">
            <w:pPr>
              <w:spacing w:after="0"/>
              <w:ind w:firstLine="0"/>
              <w:jc w:val="right"/>
              <w:rPr>
                <w:rFonts w:eastAsia="Times New Roman" w:cs="Times New Roman"/>
                <w:sz w:val="20"/>
                <w:szCs w:val="20"/>
              </w:rPr>
            </w:pPr>
            <w:r w:rsidRPr="00565B8A">
              <w:rPr>
                <w:rFonts w:eastAsia="Times New Roman" w:cs="Times New Roman"/>
                <w:sz w:val="20"/>
                <w:szCs w:val="20"/>
              </w:rPr>
              <w:t>3 846 658</w:t>
            </w:r>
          </w:p>
        </w:tc>
        <w:tc>
          <w:tcPr>
            <w:tcW w:w="1347" w:type="dxa"/>
            <w:tcBorders>
              <w:top w:val="single" w:sz="4" w:space="0" w:color="auto"/>
              <w:left w:val="single" w:sz="4" w:space="0" w:color="auto"/>
              <w:bottom w:val="single" w:sz="4" w:space="0" w:color="auto"/>
              <w:right w:val="single" w:sz="4" w:space="0" w:color="auto"/>
            </w:tcBorders>
          </w:tcPr>
          <w:p w:rsidR="00565B8A" w:rsidRPr="00565B8A" w:rsidRDefault="00565B8A" w:rsidP="00565B8A">
            <w:pPr>
              <w:spacing w:after="0"/>
              <w:ind w:firstLine="0"/>
              <w:jc w:val="right"/>
              <w:rPr>
                <w:rFonts w:eastAsia="Times New Roman" w:cs="Times New Roman"/>
                <w:sz w:val="20"/>
                <w:szCs w:val="20"/>
              </w:rPr>
            </w:pPr>
            <w:r w:rsidRPr="00565B8A">
              <w:rPr>
                <w:rFonts w:eastAsia="Times New Roman" w:cs="Times New Roman"/>
                <w:sz w:val="20"/>
                <w:szCs w:val="20"/>
              </w:rPr>
              <w:t>2 371 118</w:t>
            </w:r>
          </w:p>
        </w:tc>
        <w:tc>
          <w:tcPr>
            <w:tcW w:w="1336" w:type="dxa"/>
            <w:tcBorders>
              <w:top w:val="single" w:sz="4" w:space="0" w:color="auto"/>
              <w:left w:val="double" w:sz="4" w:space="0" w:color="auto"/>
              <w:bottom w:val="single" w:sz="4" w:space="0" w:color="auto"/>
              <w:right w:val="single" w:sz="4" w:space="0" w:color="auto"/>
            </w:tcBorders>
            <w:hideMark/>
          </w:tcPr>
          <w:p w:rsidR="00565B8A" w:rsidRPr="00565B8A" w:rsidRDefault="00565B8A" w:rsidP="00565B8A">
            <w:pPr>
              <w:spacing w:after="0"/>
              <w:ind w:firstLine="0"/>
              <w:jc w:val="right"/>
              <w:rPr>
                <w:rFonts w:eastAsia="Times New Roman" w:cs="Times New Roman"/>
                <w:sz w:val="20"/>
                <w:szCs w:val="20"/>
              </w:rPr>
            </w:pPr>
            <w:r w:rsidRPr="00565B8A">
              <w:rPr>
                <w:rFonts w:eastAsia="Times New Roman" w:cs="Times New Roman"/>
                <w:sz w:val="20"/>
                <w:szCs w:val="20"/>
              </w:rPr>
              <w:t>15 239 250</w:t>
            </w:r>
          </w:p>
        </w:tc>
        <w:tc>
          <w:tcPr>
            <w:tcW w:w="1357" w:type="dxa"/>
            <w:tcBorders>
              <w:top w:val="single" w:sz="4" w:space="0" w:color="auto"/>
              <w:left w:val="single" w:sz="4" w:space="0" w:color="auto"/>
              <w:bottom w:val="single" w:sz="4" w:space="0" w:color="auto"/>
              <w:right w:val="single" w:sz="4" w:space="0" w:color="auto"/>
            </w:tcBorders>
            <w:hideMark/>
          </w:tcPr>
          <w:p w:rsidR="00565B8A" w:rsidRPr="00565B8A" w:rsidRDefault="00565B8A" w:rsidP="00565B8A">
            <w:pPr>
              <w:spacing w:after="0"/>
              <w:ind w:firstLine="0"/>
              <w:jc w:val="right"/>
              <w:rPr>
                <w:rFonts w:eastAsia="Times New Roman" w:cs="Times New Roman"/>
                <w:sz w:val="20"/>
                <w:szCs w:val="20"/>
              </w:rPr>
            </w:pPr>
            <w:r w:rsidRPr="00565B8A">
              <w:rPr>
                <w:rFonts w:eastAsia="Times New Roman" w:cs="Times New Roman"/>
                <w:sz w:val="20"/>
                <w:szCs w:val="20"/>
              </w:rPr>
              <w:t>16 519 515</w:t>
            </w:r>
          </w:p>
        </w:tc>
      </w:tr>
      <w:tr w:rsidR="00565B8A" w:rsidRPr="00565B8A" w:rsidTr="0079557A">
        <w:trPr>
          <w:jc w:val="center"/>
        </w:trPr>
        <w:tc>
          <w:tcPr>
            <w:tcW w:w="3924" w:type="dxa"/>
            <w:tcBorders>
              <w:top w:val="single" w:sz="4" w:space="0" w:color="auto"/>
              <w:left w:val="single" w:sz="4" w:space="0" w:color="auto"/>
              <w:bottom w:val="single" w:sz="4" w:space="0" w:color="auto"/>
              <w:right w:val="single" w:sz="4" w:space="0" w:color="auto"/>
            </w:tcBorders>
            <w:hideMark/>
          </w:tcPr>
          <w:p w:rsidR="00565B8A" w:rsidRPr="00565B8A" w:rsidRDefault="00565B8A" w:rsidP="00565B8A">
            <w:pPr>
              <w:spacing w:after="0"/>
              <w:ind w:firstLine="0"/>
              <w:jc w:val="right"/>
              <w:rPr>
                <w:rFonts w:eastAsia="Times New Roman" w:cs="Times New Roman"/>
                <w:i/>
                <w:sz w:val="20"/>
                <w:szCs w:val="20"/>
              </w:rPr>
            </w:pPr>
            <w:r w:rsidRPr="00565B8A">
              <w:rPr>
                <w:rFonts w:eastAsia="Times New Roman" w:cs="Times New Roman"/>
                <w:i/>
                <w:sz w:val="20"/>
                <w:szCs w:val="20"/>
              </w:rPr>
              <w:t>Finanšu iestādes</w:t>
            </w:r>
          </w:p>
        </w:tc>
        <w:tc>
          <w:tcPr>
            <w:tcW w:w="1370" w:type="dxa"/>
            <w:tcBorders>
              <w:top w:val="single" w:sz="4" w:space="0" w:color="auto"/>
              <w:left w:val="single" w:sz="4" w:space="0" w:color="auto"/>
              <w:bottom w:val="single" w:sz="4" w:space="0" w:color="auto"/>
              <w:right w:val="single" w:sz="4" w:space="0" w:color="auto"/>
            </w:tcBorders>
          </w:tcPr>
          <w:p w:rsidR="00565B8A" w:rsidRPr="00565B8A" w:rsidRDefault="00565B8A" w:rsidP="00565B8A">
            <w:pPr>
              <w:spacing w:after="0"/>
              <w:ind w:firstLine="0"/>
              <w:jc w:val="right"/>
              <w:rPr>
                <w:rFonts w:eastAsia="Times New Roman" w:cs="Times New Roman"/>
                <w:sz w:val="20"/>
                <w:szCs w:val="20"/>
              </w:rPr>
            </w:pPr>
            <w:r w:rsidRPr="00565B8A">
              <w:rPr>
                <w:rFonts w:eastAsia="Times New Roman" w:cs="Times New Roman"/>
                <w:sz w:val="20"/>
                <w:szCs w:val="20"/>
              </w:rPr>
              <w:t>31 213 296</w:t>
            </w:r>
          </w:p>
        </w:tc>
        <w:tc>
          <w:tcPr>
            <w:tcW w:w="1347" w:type="dxa"/>
            <w:tcBorders>
              <w:top w:val="single" w:sz="4" w:space="0" w:color="auto"/>
              <w:left w:val="single" w:sz="4" w:space="0" w:color="auto"/>
              <w:bottom w:val="single" w:sz="4" w:space="0" w:color="auto"/>
              <w:right w:val="single" w:sz="4" w:space="0" w:color="auto"/>
            </w:tcBorders>
          </w:tcPr>
          <w:p w:rsidR="00565B8A" w:rsidRPr="00565B8A" w:rsidRDefault="00565B8A" w:rsidP="00565B8A">
            <w:pPr>
              <w:spacing w:after="0"/>
              <w:ind w:firstLine="0"/>
              <w:jc w:val="right"/>
              <w:rPr>
                <w:rFonts w:eastAsia="Times New Roman" w:cs="Times New Roman"/>
                <w:sz w:val="20"/>
                <w:szCs w:val="20"/>
              </w:rPr>
            </w:pPr>
            <w:r w:rsidRPr="00565B8A">
              <w:rPr>
                <w:rFonts w:eastAsia="Times New Roman" w:cs="Times New Roman"/>
                <w:sz w:val="20"/>
                <w:szCs w:val="20"/>
              </w:rPr>
              <w:t>26 882 263</w:t>
            </w:r>
          </w:p>
        </w:tc>
        <w:tc>
          <w:tcPr>
            <w:tcW w:w="1336" w:type="dxa"/>
            <w:tcBorders>
              <w:top w:val="single" w:sz="4" w:space="0" w:color="auto"/>
              <w:left w:val="double" w:sz="4" w:space="0" w:color="auto"/>
              <w:bottom w:val="single" w:sz="4" w:space="0" w:color="auto"/>
              <w:right w:val="single" w:sz="4" w:space="0" w:color="auto"/>
            </w:tcBorders>
            <w:hideMark/>
          </w:tcPr>
          <w:p w:rsidR="00565B8A" w:rsidRPr="00565B8A" w:rsidRDefault="00565B8A" w:rsidP="00565B8A">
            <w:pPr>
              <w:spacing w:after="0"/>
              <w:ind w:firstLine="0"/>
              <w:jc w:val="right"/>
              <w:rPr>
                <w:rFonts w:eastAsia="Times New Roman" w:cs="Times New Roman"/>
                <w:sz w:val="20"/>
                <w:szCs w:val="20"/>
              </w:rPr>
            </w:pPr>
            <w:r w:rsidRPr="00565B8A">
              <w:rPr>
                <w:rFonts w:eastAsia="Times New Roman" w:cs="Times New Roman"/>
                <w:sz w:val="20"/>
                <w:szCs w:val="20"/>
              </w:rPr>
              <w:t>171 076</w:t>
            </w:r>
          </w:p>
        </w:tc>
        <w:tc>
          <w:tcPr>
            <w:tcW w:w="1357" w:type="dxa"/>
            <w:tcBorders>
              <w:top w:val="single" w:sz="4" w:space="0" w:color="auto"/>
              <w:left w:val="single" w:sz="4" w:space="0" w:color="auto"/>
              <w:bottom w:val="single" w:sz="4" w:space="0" w:color="auto"/>
              <w:right w:val="single" w:sz="4" w:space="0" w:color="auto"/>
            </w:tcBorders>
            <w:hideMark/>
          </w:tcPr>
          <w:p w:rsidR="00565B8A" w:rsidRPr="00565B8A" w:rsidRDefault="00565B8A" w:rsidP="00565B8A">
            <w:pPr>
              <w:spacing w:after="0"/>
              <w:ind w:firstLine="0"/>
              <w:jc w:val="right"/>
              <w:rPr>
                <w:rFonts w:eastAsia="Times New Roman" w:cs="Times New Roman"/>
                <w:sz w:val="20"/>
                <w:szCs w:val="20"/>
              </w:rPr>
            </w:pPr>
            <w:r w:rsidRPr="00565B8A">
              <w:rPr>
                <w:rFonts w:eastAsia="Times New Roman" w:cs="Times New Roman"/>
                <w:sz w:val="20"/>
                <w:szCs w:val="20"/>
              </w:rPr>
              <w:t>15 207 840</w:t>
            </w:r>
          </w:p>
        </w:tc>
      </w:tr>
    </w:tbl>
    <w:p w:rsidR="00565B8A" w:rsidRPr="00565B8A" w:rsidRDefault="00565B8A" w:rsidP="00565B8A">
      <w:pPr>
        <w:spacing w:after="0"/>
        <w:ind w:firstLine="0"/>
        <w:rPr>
          <w:rFonts w:eastAsia="Times New Roman" w:cs="Times New Roman"/>
          <w:sz w:val="24"/>
          <w:szCs w:val="24"/>
          <w:highlight w:val="yellow"/>
        </w:rPr>
      </w:pPr>
    </w:p>
    <w:p w:rsidR="00565B8A" w:rsidRPr="00565B8A" w:rsidRDefault="00565B8A" w:rsidP="00565B8A">
      <w:r w:rsidRPr="00565B8A">
        <w:t xml:space="preserve">2014.gada I ceturksnī  tika izsniegti valsts aizdevumi 36,2 </w:t>
      </w:r>
      <w:proofErr w:type="spellStart"/>
      <w:r w:rsidRPr="00565B8A">
        <w:t>milj.</w:t>
      </w:r>
      <w:r w:rsidRPr="00B87469">
        <w:rPr>
          <w:i/>
        </w:rPr>
        <w:t>euro</w:t>
      </w:r>
      <w:proofErr w:type="spellEnd"/>
      <w:r w:rsidRPr="00565B8A">
        <w:t xml:space="preserve">. No tiem vislielākais valsts aizdevumu apjoms ir izsniegts pašvaldībām - 18,8 </w:t>
      </w:r>
      <w:proofErr w:type="spellStart"/>
      <w:r w:rsidRPr="00565B8A">
        <w:t>milj.</w:t>
      </w:r>
      <w:r w:rsidRPr="00B87469">
        <w:rPr>
          <w:i/>
        </w:rPr>
        <w:t>euro</w:t>
      </w:r>
      <w:proofErr w:type="spellEnd"/>
      <w:r w:rsidRPr="00565B8A">
        <w:t xml:space="preserve"> apmērā </w:t>
      </w:r>
      <w:r w:rsidRPr="00565B8A">
        <w:lastRenderedPageBreak/>
        <w:t xml:space="preserve">jeb 69,1% no kopējā valsts izsniegto aizdevumu apjoma. Lielākā daļa valsts aizdevumu pašvaldībām tika izsniegti Eiropas Savienības (turpmāk – ES) līdzfinansēto projektu īstenošanai (61,3%). Atlikusī daļa no izsniegtajiem aizdevumiem pašvaldībām izsniegti pašvaldību investīcijām  (37,2%) un pašvaldību budžeta un finanšu vadībai (1,5%). </w:t>
      </w:r>
    </w:p>
    <w:p w:rsidR="00565B8A" w:rsidRPr="00565B8A" w:rsidRDefault="00565B8A" w:rsidP="00565B8A">
      <w:r w:rsidRPr="00565B8A">
        <w:t>Vienlaikus 2014.gadā turpinājās valsts aizdevumu izsniegšana to pašvaldību un to kapitālsabiedrību projektu īstenošanai, par kuriem valsts aizdevumu līgumi noslēgti un projektu īstenošana uzsākta 2012. un 2013.gadā, taču finansējums projekta īstenošanai nepieciešams arī 2014.gadā.</w:t>
      </w:r>
    </w:p>
    <w:p w:rsidR="00565B8A" w:rsidRPr="00565B8A" w:rsidRDefault="00565B8A" w:rsidP="00565B8A">
      <w:r w:rsidRPr="00565B8A">
        <w:t xml:space="preserve">Valsts aizdevumi 4,9 </w:t>
      </w:r>
      <w:proofErr w:type="spellStart"/>
      <w:r w:rsidRPr="00565B8A">
        <w:t>milj.</w:t>
      </w:r>
      <w:r w:rsidRPr="00B87469">
        <w:rPr>
          <w:i/>
        </w:rPr>
        <w:t>euro</w:t>
      </w:r>
      <w:proofErr w:type="spellEnd"/>
      <w:r w:rsidRPr="00565B8A">
        <w:t xml:space="preserve"> apmērā jeb 18% no izsniegto aizdevumu kopsummas tika izsniegti </w:t>
      </w:r>
      <w:proofErr w:type="spellStart"/>
      <w:r w:rsidRPr="00565B8A">
        <w:t>nefinanšu</w:t>
      </w:r>
      <w:proofErr w:type="spellEnd"/>
      <w:r w:rsidRPr="00565B8A">
        <w:t xml:space="preserve"> komersantiem, t.sk. 4,1 </w:t>
      </w:r>
      <w:proofErr w:type="spellStart"/>
      <w:r w:rsidRPr="00565B8A">
        <w:t>milj.</w:t>
      </w:r>
      <w:r w:rsidRPr="00B87469">
        <w:rPr>
          <w:i/>
        </w:rPr>
        <w:t>euro</w:t>
      </w:r>
      <w:proofErr w:type="spellEnd"/>
      <w:r w:rsidRPr="00565B8A">
        <w:t xml:space="preserve"> A/S „</w:t>
      </w:r>
      <w:proofErr w:type="spellStart"/>
      <w:r w:rsidRPr="00565B8A">
        <w:t>Air</w:t>
      </w:r>
      <w:proofErr w:type="spellEnd"/>
      <w:r w:rsidRPr="00565B8A">
        <w:t xml:space="preserve"> </w:t>
      </w:r>
      <w:proofErr w:type="spellStart"/>
      <w:r w:rsidRPr="00565B8A">
        <w:t>Baltic</w:t>
      </w:r>
      <w:proofErr w:type="spellEnd"/>
      <w:r w:rsidRPr="00565B8A">
        <w:t xml:space="preserve"> </w:t>
      </w:r>
      <w:proofErr w:type="spellStart"/>
      <w:r w:rsidRPr="00565B8A">
        <w:t>Corporation</w:t>
      </w:r>
      <w:proofErr w:type="spellEnd"/>
      <w:r w:rsidRPr="00565B8A">
        <w:t xml:space="preserve">”, kā arī 0,28 </w:t>
      </w:r>
      <w:proofErr w:type="spellStart"/>
      <w:r w:rsidRPr="00565B8A">
        <w:t>milj.</w:t>
      </w:r>
      <w:r w:rsidRPr="00B87469">
        <w:rPr>
          <w:i/>
        </w:rPr>
        <w:t>euro</w:t>
      </w:r>
      <w:proofErr w:type="spellEnd"/>
      <w:r w:rsidRPr="00565B8A">
        <w:t xml:space="preserve">  SIA „Grobiņas novada namsaimnieks”,  0,4 </w:t>
      </w:r>
      <w:proofErr w:type="spellStart"/>
      <w:r w:rsidRPr="00565B8A">
        <w:t>milj.</w:t>
      </w:r>
      <w:r w:rsidRPr="00B87469">
        <w:rPr>
          <w:i/>
        </w:rPr>
        <w:t>euro</w:t>
      </w:r>
      <w:proofErr w:type="spellEnd"/>
      <w:r w:rsidRPr="00565B8A">
        <w:t xml:space="preserve"> SIA „Mūsu saimnieks”,  0,14 </w:t>
      </w:r>
      <w:proofErr w:type="spellStart"/>
      <w:r w:rsidRPr="00565B8A">
        <w:t>milj.</w:t>
      </w:r>
      <w:r w:rsidRPr="00B87469">
        <w:rPr>
          <w:i/>
        </w:rPr>
        <w:t>euro</w:t>
      </w:r>
      <w:proofErr w:type="spellEnd"/>
      <w:r w:rsidRPr="00565B8A">
        <w:t xml:space="preserve"> SIA „Dobeles ūdens”  ES projektu  īstenošanai. </w:t>
      </w:r>
    </w:p>
    <w:p w:rsidR="00565B8A" w:rsidRPr="00565B8A" w:rsidRDefault="00565B8A" w:rsidP="00565B8A">
      <w:r w:rsidRPr="00565B8A">
        <w:t xml:space="preserve">Valsts aizdevums 3,5 </w:t>
      </w:r>
      <w:proofErr w:type="spellStart"/>
      <w:r w:rsidRPr="00565B8A">
        <w:t>milj.</w:t>
      </w:r>
      <w:r w:rsidRPr="00B87469">
        <w:rPr>
          <w:i/>
        </w:rPr>
        <w:t>euro</w:t>
      </w:r>
      <w:proofErr w:type="spellEnd"/>
      <w:r w:rsidRPr="00565B8A">
        <w:t xml:space="preserve"> apmērā jeb 12,8% izsniegto aizdevumu kopsummas tika izsniegts VAS „Lauku attīstības fonds” saskaņā ar 2012.gada 25.jūnijā noslēgto aizdevuma līgumu ar mērķi sniegt valsts atbalstu aizdevuma veidā saimnieciskās darbības </w:t>
      </w:r>
      <w:r w:rsidRPr="00664C48">
        <w:t>veicējiem lauksaimniecībā izmantojamās</w:t>
      </w:r>
      <w:r w:rsidRPr="00565B8A">
        <w:t xml:space="preserve"> zemes iegādei lauksaimniecības produkcijas ražošanai.</w:t>
      </w:r>
    </w:p>
    <w:p w:rsidR="00565B8A" w:rsidRPr="00565B8A" w:rsidRDefault="00565B8A" w:rsidP="00565B8A">
      <w:r w:rsidRPr="00565B8A">
        <w:t xml:space="preserve">Savukārt valsts aizdevums 0,1 </w:t>
      </w:r>
      <w:proofErr w:type="spellStart"/>
      <w:r w:rsidRPr="00565B8A">
        <w:t>milj.</w:t>
      </w:r>
      <w:r w:rsidRPr="00B87469">
        <w:rPr>
          <w:i/>
        </w:rPr>
        <w:t>euro</w:t>
      </w:r>
      <w:proofErr w:type="spellEnd"/>
      <w:r w:rsidRPr="00565B8A">
        <w:rPr>
          <w:i/>
        </w:rPr>
        <w:t xml:space="preserve"> </w:t>
      </w:r>
      <w:r w:rsidRPr="00565B8A">
        <w:t>apmērā izsniegts no valsts budžeta daļēji finansētas atvasinātas publiskas personai – Rīgas Tehniskajai universitātei – ES projektu īstenošanai.</w:t>
      </w:r>
    </w:p>
    <w:p w:rsidR="00565B8A" w:rsidRPr="00565B8A" w:rsidRDefault="00565B8A" w:rsidP="00565B8A">
      <w:r w:rsidRPr="00565B8A">
        <w:t xml:space="preserve">Valsts aizdevumu atmaksas 2014.gada I ceturksnī sasniedza 63,5 </w:t>
      </w:r>
      <w:proofErr w:type="spellStart"/>
      <w:r w:rsidRPr="00565B8A">
        <w:t>milj.</w:t>
      </w:r>
      <w:r w:rsidRPr="00B87469">
        <w:rPr>
          <w:i/>
        </w:rPr>
        <w:t>euro</w:t>
      </w:r>
      <w:proofErr w:type="spellEnd"/>
      <w:r w:rsidRPr="00565B8A">
        <w:t>, ko pamatā veido:</w:t>
      </w:r>
    </w:p>
    <w:p w:rsidR="00565B8A" w:rsidRPr="00565B8A" w:rsidRDefault="00565B8A" w:rsidP="00565B8A">
      <w:pPr>
        <w:numPr>
          <w:ilvl w:val="0"/>
          <w:numId w:val="14"/>
        </w:numPr>
        <w:spacing w:after="200" w:line="276" w:lineRule="auto"/>
        <w:contextualSpacing/>
      </w:pPr>
      <w:r w:rsidRPr="00565B8A">
        <w:t xml:space="preserve">30,2 </w:t>
      </w:r>
      <w:proofErr w:type="spellStart"/>
      <w:r w:rsidRPr="00565B8A">
        <w:t>milj.</w:t>
      </w:r>
      <w:r w:rsidRPr="00B87469">
        <w:rPr>
          <w:i/>
        </w:rPr>
        <w:t>euro</w:t>
      </w:r>
      <w:proofErr w:type="spellEnd"/>
      <w:r w:rsidRPr="00565B8A">
        <w:rPr>
          <w:i/>
        </w:rPr>
        <w:t xml:space="preserve"> </w:t>
      </w:r>
      <w:r w:rsidRPr="00565B8A">
        <w:t xml:space="preserve">apmērā pašvaldībām izsniegto aizdevumu atmaksas; </w:t>
      </w:r>
    </w:p>
    <w:p w:rsidR="00565B8A" w:rsidRPr="00565B8A" w:rsidRDefault="00565B8A" w:rsidP="00565B8A">
      <w:pPr>
        <w:numPr>
          <w:ilvl w:val="0"/>
          <w:numId w:val="14"/>
        </w:numPr>
        <w:spacing w:after="200" w:line="276" w:lineRule="auto"/>
        <w:contextualSpacing/>
      </w:pPr>
      <w:r w:rsidRPr="00565B8A">
        <w:t xml:space="preserve">16,5 </w:t>
      </w:r>
      <w:proofErr w:type="spellStart"/>
      <w:r w:rsidRPr="00565B8A">
        <w:t>milj.</w:t>
      </w:r>
      <w:r w:rsidRPr="00B87469">
        <w:rPr>
          <w:i/>
        </w:rPr>
        <w:t>euro</w:t>
      </w:r>
      <w:proofErr w:type="spellEnd"/>
      <w:r w:rsidRPr="00565B8A">
        <w:rPr>
          <w:i/>
        </w:rPr>
        <w:t xml:space="preserve"> </w:t>
      </w:r>
      <w:proofErr w:type="spellStart"/>
      <w:r w:rsidRPr="00565B8A">
        <w:t>nefinanšu</w:t>
      </w:r>
      <w:proofErr w:type="spellEnd"/>
      <w:r w:rsidRPr="00565B8A">
        <w:t xml:space="preserve"> komersantu veiktās atmaksas</w:t>
      </w:r>
      <w:r w:rsidRPr="00565B8A">
        <w:rPr>
          <w:i/>
        </w:rPr>
        <w:t xml:space="preserve">, t.sk. 14,9 </w:t>
      </w:r>
      <w:proofErr w:type="spellStart"/>
      <w:r w:rsidRPr="00565B8A">
        <w:rPr>
          <w:i/>
        </w:rPr>
        <w:t>milj.euro</w:t>
      </w:r>
      <w:proofErr w:type="spellEnd"/>
      <w:r w:rsidRPr="00565B8A">
        <w:t xml:space="preserve"> apmērā</w:t>
      </w:r>
      <w:r w:rsidRPr="00565B8A">
        <w:rPr>
          <w:i/>
        </w:rPr>
        <w:t xml:space="preserve"> </w:t>
      </w:r>
      <w:r w:rsidRPr="00565B8A">
        <w:t xml:space="preserve">VAS Latvijas Pasts valsts aizdevuma veiktā pirmstermiņa atmaksa. Aizdevuma mērķis bija nodrošināt skaidras naudas - </w:t>
      </w:r>
      <w:proofErr w:type="spellStart"/>
      <w:r w:rsidRPr="00B87469">
        <w:rPr>
          <w:i/>
        </w:rPr>
        <w:t>euro</w:t>
      </w:r>
      <w:proofErr w:type="spellEnd"/>
      <w:r w:rsidRPr="00565B8A">
        <w:t xml:space="preserve"> - saņemšanu no valsts akciju sabiedrību "Latvijas Pasts" apkalpojošās kredītiestādes - akciju sabiedrības "Citadele banka" no 2013.gada 10.decembra līdz 31.decembrim - latu skaidras naudas nomaiņai pret </w:t>
      </w:r>
      <w:proofErr w:type="spellStart"/>
      <w:r w:rsidRPr="00B87469">
        <w:rPr>
          <w:i/>
        </w:rPr>
        <w:t>euro</w:t>
      </w:r>
      <w:proofErr w:type="spellEnd"/>
      <w:r w:rsidR="00B87469">
        <w:rPr>
          <w:i/>
        </w:rPr>
        <w:t>.</w:t>
      </w:r>
      <w:r w:rsidRPr="00565B8A">
        <w:t xml:space="preserve"> </w:t>
      </w:r>
      <w:proofErr w:type="spellStart"/>
      <w:r w:rsidRPr="00B87469">
        <w:rPr>
          <w:i/>
        </w:rPr>
        <w:t>Euro</w:t>
      </w:r>
      <w:proofErr w:type="spellEnd"/>
      <w:r w:rsidRPr="00565B8A">
        <w:t xml:space="preserve"> ieviešanas kārtības likuma 8.panta otrajā daļā noteiktajā nomaiņas periodā;</w:t>
      </w:r>
    </w:p>
    <w:p w:rsidR="00565B8A" w:rsidRPr="00565B8A" w:rsidRDefault="00565B8A" w:rsidP="00565B8A">
      <w:pPr>
        <w:numPr>
          <w:ilvl w:val="0"/>
          <w:numId w:val="14"/>
        </w:numPr>
        <w:spacing w:after="200" w:line="276" w:lineRule="auto"/>
        <w:contextualSpacing/>
      </w:pPr>
      <w:r w:rsidRPr="00565B8A">
        <w:t xml:space="preserve">15,2 </w:t>
      </w:r>
      <w:proofErr w:type="spellStart"/>
      <w:r w:rsidRPr="00565B8A">
        <w:t>milj.</w:t>
      </w:r>
      <w:r w:rsidRPr="00B87469">
        <w:rPr>
          <w:i/>
        </w:rPr>
        <w:t>euro</w:t>
      </w:r>
      <w:proofErr w:type="spellEnd"/>
      <w:r w:rsidRPr="00565B8A">
        <w:rPr>
          <w:i/>
        </w:rPr>
        <w:t xml:space="preserve"> f</w:t>
      </w:r>
      <w:r w:rsidRPr="00565B8A">
        <w:t xml:space="preserve">inanšu iestādes veiktās atmaksas, t.sk. Finanšu un kapitāla tirgus komisijas veiktās Noguldījumu garantiju fonda papildināšanai izsniegtā valsts aizdevuma pirmstermiņa atmaksa 14,98 </w:t>
      </w:r>
      <w:proofErr w:type="spellStart"/>
      <w:r w:rsidRPr="00565B8A">
        <w:t>milj.</w:t>
      </w:r>
      <w:r w:rsidRPr="00B87469">
        <w:rPr>
          <w:i/>
        </w:rPr>
        <w:t>euro</w:t>
      </w:r>
      <w:proofErr w:type="spellEnd"/>
      <w:r w:rsidRPr="00565B8A">
        <w:t xml:space="preserve"> apmērā un  VAS „Lauku attīstības fonds” izsniegtā valsts aizdevuma pirmstermiņa atmaksa 0,22 </w:t>
      </w:r>
      <w:proofErr w:type="spellStart"/>
      <w:r w:rsidRPr="00565B8A">
        <w:t>milj.</w:t>
      </w:r>
      <w:r w:rsidRPr="00B87469">
        <w:rPr>
          <w:i/>
        </w:rPr>
        <w:t>euro</w:t>
      </w:r>
      <w:proofErr w:type="spellEnd"/>
      <w:r w:rsidRPr="00565B8A">
        <w:rPr>
          <w:i/>
        </w:rPr>
        <w:t xml:space="preserve"> </w:t>
      </w:r>
      <w:r w:rsidRPr="00565B8A">
        <w:t>apmērā.</w:t>
      </w:r>
    </w:p>
    <w:p w:rsidR="00565B8A" w:rsidRPr="00565B8A" w:rsidRDefault="00565B8A" w:rsidP="00565B8A">
      <w:pPr>
        <w:numPr>
          <w:ilvl w:val="0"/>
          <w:numId w:val="14"/>
        </w:numPr>
        <w:spacing w:after="200" w:line="276" w:lineRule="auto"/>
        <w:contextualSpacing/>
      </w:pPr>
      <w:r w:rsidRPr="00565B8A">
        <w:lastRenderedPageBreak/>
        <w:t xml:space="preserve">1,6 </w:t>
      </w:r>
      <w:proofErr w:type="spellStart"/>
      <w:r w:rsidRPr="00565B8A">
        <w:t>milj.euro</w:t>
      </w:r>
      <w:proofErr w:type="spellEnd"/>
      <w:r w:rsidRPr="00565B8A">
        <w:t xml:space="preserve"> apmērā Valsts struktūru kontrolētu un finansētu komersantu veiktās atmaksas, t.sk. 1,2 </w:t>
      </w:r>
      <w:proofErr w:type="spellStart"/>
      <w:r w:rsidRPr="00565B8A">
        <w:t>milj.euro</w:t>
      </w:r>
      <w:proofErr w:type="spellEnd"/>
      <w:r w:rsidRPr="00565B8A">
        <w:t xml:space="preserve"> SIA „Hipotēku bankas nekustamā īpašuma aģentūra” valsts aizdevuma, kas ir izmantots, lai dzēstu SIA „Hipotēku bankas nekustamā īpašuma aģentūra” saistības pret valsts akciju sabiedrību „Latvijas Hipotēku un zemes banka” un iegādātos kredītus no AS „Swedbank” atbilstoši likuma „Par valsts budžetu 2013.gadam” 47.panta nosacījumiem, pirmstermiņa atmaksa.</w:t>
      </w:r>
    </w:p>
    <w:p w:rsidR="00975F8C" w:rsidRPr="00695386" w:rsidRDefault="00975F8C" w:rsidP="00695386"/>
    <w:p w:rsidR="00C1733B" w:rsidRDefault="00C1733B" w:rsidP="00C1733B">
      <w:pPr>
        <w:ind w:firstLine="0"/>
      </w:pPr>
    </w:p>
    <w:p w:rsidR="00C1733B" w:rsidRDefault="00C1733B" w:rsidP="00C1733B">
      <w:pPr>
        <w:ind w:firstLine="0"/>
      </w:pPr>
    </w:p>
    <w:p w:rsidR="00C1733B" w:rsidRDefault="00C1733B" w:rsidP="00C1733B">
      <w:pPr>
        <w:ind w:firstLine="0"/>
      </w:pPr>
    </w:p>
    <w:p w:rsidR="00C1733B" w:rsidRDefault="00C1733B" w:rsidP="00C1733B">
      <w:pPr>
        <w:ind w:firstLine="0"/>
      </w:pPr>
    </w:p>
    <w:p w:rsidR="00C1733B" w:rsidRPr="00EA285C" w:rsidRDefault="00C1733B" w:rsidP="00C1733B">
      <w:pPr>
        <w:spacing w:after="0"/>
        <w:ind w:firstLine="0"/>
      </w:pPr>
      <w:r w:rsidRPr="00EA285C">
        <w:t>Finanšu ministrs</w:t>
      </w:r>
      <w:r w:rsidRPr="00EA285C">
        <w:tab/>
      </w:r>
      <w:r w:rsidRPr="00EA285C">
        <w:tab/>
      </w:r>
      <w:r w:rsidRPr="00EA285C">
        <w:tab/>
      </w:r>
      <w:r w:rsidR="00E02C50">
        <w:tab/>
      </w:r>
      <w:r w:rsidR="00E02C50">
        <w:tab/>
      </w:r>
      <w:r w:rsidRPr="00EA285C">
        <w:tab/>
      </w:r>
      <w:r w:rsidRPr="00EA285C">
        <w:tab/>
      </w:r>
      <w:r w:rsidRPr="00EA285C">
        <w:tab/>
      </w:r>
      <w:r w:rsidRPr="00EA285C">
        <w:tab/>
      </w:r>
      <w:r w:rsidRPr="00EA285C">
        <w:tab/>
        <w:t>A. Vilks</w:t>
      </w:r>
    </w:p>
    <w:p w:rsidR="00F1164B" w:rsidRDefault="00F1164B" w:rsidP="00C1733B">
      <w:pPr>
        <w:ind w:firstLine="0"/>
      </w:pPr>
    </w:p>
    <w:p w:rsidR="00C1733B" w:rsidRDefault="00C1733B" w:rsidP="00C1733B">
      <w:pPr>
        <w:ind w:firstLine="0"/>
      </w:pPr>
    </w:p>
    <w:p w:rsidR="00C1733B" w:rsidRDefault="00C1733B" w:rsidP="00C1733B">
      <w:pPr>
        <w:ind w:firstLine="0"/>
      </w:pPr>
    </w:p>
    <w:p w:rsidR="007262B6" w:rsidRDefault="00D41F5C" w:rsidP="00C1733B">
      <w:pPr>
        <w:spacing w:after="0"/>
        <w:ind w:firstLine="0"/>
        <w:rPr>
          <w:sz w:val="18"/>
          <w:szCs w:val="18"/>
        </w:rPr>
      </w:pPr>
      <w:r>
        <w:rPr>
          <w:sz w:val="18"/>
          <w:szCs w:val="18"/>
        </w:rPr>
        <w:t>1</w:t>
      </w:r>
      <w:r w:rsidR="00E35523">
        <w:rPr>
          <w:sz w:val="18"/>
          <w:szCs w:val="18"/>
        </w:rPr>
        <w:t>5</w:t>
      </w:r>
      <w:r>
        <w:rPr>
          <w:sz w:val="18"/>
          <w:szCs w:val="18"/>
        </w:rPr>
        <w:t>.05.2014</w:t>
      </w:r>
      <w:r w:rsidR="007262B6">
        <w:rPr>
          <w:sz w:val="18"/>
          <w:szCs w:val="18"/>
        </w:rPr>
        <w:t xml:space="preserve"> </w:t>
      </w:r>
      <w:r w:rsidR="007262B6" w:rsidRPr="00E35523">
        <w:rPr>
          <w:sz w:val="18"/>
          <w:szCs w:val="18"/>
        </w:rPr>
        <w:t>1</w:t>
      </w:r>
      <w:r w:rsidR="004648EC">
        <w:rPr>
          <w:sz w:val="18"/>
          <w:szCs w:val="18"/>
        </w:rPr>
        <w:t>7:14</w:t>
      </w:r>
      <w:bookmarkStart w:id="89" w:name="_GoBack"/>
      <w:bookmarkEnd w:id="89"/>
    </w:p>
    <w:p w:rsidR="00C1733B" w:rsidRPr="000147BB" w:rsidRDefault="00117DEE" w:rsidP="00C1733B">
      <w:pPr>
        <w:spacing w:after="0"/>
        <w:ind w:firstLine="0"/>
        <w:rPr>
          <w:sz w:val="18"/>
          <w:szCs w:val="18"/>
        </w:rPr>
      </w:pPr>
      <w:r>
        <w:rPr>
          <w:sz w:val="18"/>
          <w:szCs w:val="18"/>
        </w:rPr>
        <w:t>15 545</w:t>
      </w:r>
    </w:p>
    <w:p w:rsidR="00C1733B" w:rsidRPr="00EA285C" w:rsidRDefault="00E02C50" w:rsidP="00C1733B">
      <w:pPr>
        <w:spacing w:after="0"/>
        <w:ind w:firstLine="0"/>
        <w:rPr>
          <w:sz w:val="18"/>
          <w:szCs w:val="18"/>
        </w:rPr>
      </w:pPr>
      <w:r>
        <w:rPr>
          <w:sz w:val="18"/>
          <w:szCs w:val="18"/>
        </w:rPr>
        <w:t>Ilze Bule</w:t>
      </w:r>
    </w:p>
    <w:p w:rsidR="00C1733B" w:rsidRPr="00EA285C" w:rsidRDefault="00C1733B" w:rsidP="00C1733B">
      <w:pPr>
        <w:spacing w:after="0"/>
        <w:ind w:firstLine="0"/>
        <w:rPr>
          <w:sz w:val="18"/>
          <w:szCs w:val="18"/>
        </w:rPr>
      </w:pPr>
      <w:r w:rsidRPr="00EA285C">
        <w:rPr>
          <w:sz w:val="18"/>
          <w:szCs w:val="18"/>
        </w:rPr>
        <w:t xml:space="preserve">Fiskālās politikas departamenta </w:t>
      </w:r>
    </w:p>
    <w:p w:rsidR="00C1733B" w:rsidRDefault="00C1733B" w:rsidP="00C1733B">
      <w:pPr>
        <w:spacing w:after="0"/>
        <w:ind w:firstLine="0"/>
        <w:rPr>
          <w:sz w:val="18"/>
          <w:szCs w:val="18"/>
        </w:rPr>
      </w:pPr>
      <w:r>
        <w:rPr>
          <w:sz w:val="18"/>
          <w:szCs w:val="18"/>
        </w:rPr>
        <w:t>F</w:t>
      </w:r>
      <w:r w:rsidRPr="00EA285C">
        <w:rPr>
          <w:sz w:val="18"/>
          <w:szCs w:val="18"/>
        </w:rPr>
        <w:t xml:space="preserve">iskālās pārvaldības nodaļas </w:t>
      </w:r>
    </w:p>
    <w:p w:rsidR="00C1733B" w:rsidRPr="00EA285C" w:rsidRDefault="00D41F5C" w:rsidP="00C1733B">
      <w:pPr>
        <w:spacing w:after="0"/>
        <w:ind w:firstLine="0"/>
        <w:rPr>
          <w:sz w:val="18"/>
          <w:szCs w:val="18"/>
        </w:rPr>
      </w:pPr>
      <w:r>
        <w:rPr>
          <w:sz w:val="18"/>
          <w:szCs w:val="18"/>
        </w:rPr>
        <w:t>vecākā eksper</w:t>
      </w:r>
      <w:r w:rsidR="00C1733B">
        <w:rPr>
          <w:sz w:val="18"/>
          <w:szCs w:val="18"/>
        </w:rPr>
        <w:t>te</w:t>
      </w:r>
    </w:p>
    <w:p w:rsidR="00C1733B" w:rsidRPr="00EA285C" w:rsidRDefault="00C1733B" w:rsidP="00C1733B">
      <w:pPr>
        <w:spacing w:after="0"/>
        <w:ind w:firstLine="0"/>
        <w:rPr>
          <w:sz w:val="18"/>
          <w:szCs w:val="18"/>
        </w:rPr>
      </w:pPr>
      <w:r>
        <w:rPr>
          <w:sz w:val="18"/>
          <w:szCs w:val="18"/>
        </w:rPr>
        <w:t>tālrunis 6708391</w:t>
      </w:r>
      <w:r w:rsidR="00D41F5C">
        <w:rPr>
          <w:sz w:val="18"/>
          <w:szCs w:val="18"/>
        </w:rPr>
        <w:t>0</w:t>
      </w:r>
      <w:r w:rsidRPr="00EA285C">
        <w:rPr>
          <w:sz w:val="18"/>
          <w:szCs w:val="18"/>
        </w:rPr>
        <w:t xml:space="preserve">, </w:t>
      </w:r>
    </w:p>
    <w:p w:rsidR="00C1733B" w:rsidRDefault="004648EC" w:rsidP="00C1733B">
      <w:pPr>
        <w:ind w:firstLine="0"/>
      </w:pPr>
      <w:hyperlink r:id="rId47" w:history="1">
        <w:r w:rsidR="00D41F5C" w:rsidRPr="001F241D">
          <w:rPr>
            <w:rStyle w:val="Hyperlink"/>
            <w:sz w:val="18"/>
            <w:szCs w:val="18"/>
          </w:rPr>
          <w:t>Ilze.Bule@fm.gov.lv</w:t>
        </w:r>
      </w:hyperlink>
    </w:p>
    <w:p w:rsidR="008F1FF1" w:rsidRDefault="008F1FF1">
      <w:pPr>
        <w:ind w:firstLine="0"/>
      </w:pPr>
    </w:p>
    <w:sectPr w:rsidR="008F1FF1" w:rsidSect="0079557A">
      <w:headerReference w:type="even" r:id="rId48"/>
      <w:headerReference w:type="default" r:id="rId49"/>
      <w:footerReference w:type="default" r:id="rId50"/>
      <w:footerReference w:type="first" r:id="rId51"/>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4D8F" w:rsidRDefault="00404D8F" w:rsidP="001E7227">
      <w:pPr>
        <w:spacing w:after="0"/>
      </w:pPr>
      <w:r>
        <w:separator/>
      </w:r>
    </w:p>
  </w:endnote>
  <w:endnote w:type="continuationSeparator" w:id="0">
    <w:p w:rsidR="00404D8F" w:rsidRDefault="00404D8F" w:rsidP="001E72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Garamond">
    <w:panose1 w:val="02020404030301010803"/>
    <w:charset w:val="BA"/>
    <w:family w:val="roman"/>
    <w:pitch w:val="variable"/>
    <w:sig w:usb0="00000287" w:usb1="00000000" w:usb2="00000000" w:usb3="00000000" w:csb0="0000009F" w:csb1="00000000"/>
  </w:font>
  <w:font w:name="Franklin Gothic Book">
    <w:altName w:val="Corbel"/>
    <w:panose1 w:val="020B0503020102020204"/>
    <w:charset w:val="BA"/>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D8F" w:rsidRDefault="00404D8F" w:rsidP="009617A3">
    <w:pPr>
      <w:pStyle w:val="Footer"/>
      <w:rPr>
        <w:szCs w:val="20"/>
      </w:rPr>
    </w:pPr>
    <w:r>
      <w:rPr>
        <w:szCs w:val="20"/>
      </w:rPr>
      <w:t>FMZino_1</w:t>
    </w:r>
    <w:r w:rsidR="00E35523">
      <w:rPr>
        <w:szCs w:val="20"/>
      </w:rPr>
      <w:t>5</w:t>
    </w:r>
    <w:r>
      <w:rPr>
        <w:szCs w:val="20"/>
      </w:rPr>
      <w:t>052014_Tauts; Informatīvais ziņojums „Par tautsaimniecības attīstību un kopbudžeta izpildes gaitu 2014. gada 1. ceturksnī”</w:t>
    </w:r>
  </w:p>
  <w:p w:rsidR="00404D8F" w:rsidRPr="009617A3" w:rsidRDefault="00404D8F" w:rsidP="009617A3">
    <w:pPr>
      <w:pStyle w:val="Footer"/>
      <w:rPr>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D8F" w:rsidRPr="009C3D8D" w:rsidRDefault="00404D8F" w:rsidP="009C3D8D">
    <w:pPr>
      <w:pStyle w:val="Footer"/>
      <w:rPr>
        <w:szCs w:val="20"/>
      </w:rPr>
    </w:pPr>
    <w:r>
      <w:rPr>
        <w:szCs w:val="20"/>
      </w:rPr>
      <w:t>FMZino_1</w:t>
    </w:r>
    <w:r w:rsidR="00E35523">
      <w:rPr>
        <w:szCs w:val="20"/>
      </w:rPr>
      <w:t>5</w:t>
    </w:r>
    <w:r>
      <w:rPr>
        <w:szCs w:val="20"/>
      </w:rPr>
      <w:t>052014_Tauts; Informatīvais ziņojums „Par tautsaimniecības attīstību un kopbudžeta izpildes gaitu 2014. gada 1. ceturksnī”</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4D8F" w:rsidRDefault="00404D8F" w:rsidP="001E7227">
      <w:pPr>
        <w:spacing w:after="0"/>
      </w:pPr>
      <w:r>
        <w:separator/>
      </w:r>
    </w:p>
  </w:footnote>
  <w:footnote w:type="continuationSeparator" w:id="0">
    <w:p w:rsidR="00404D8F" w:rsidRDefault="00404D8F" w:rsidP="001E7227">
      <w:pPr>
        <w:spacing w:after="0"/>
      </w:pPr>
      <w:r>
        <w:continuationSeparator/>
      </w:r>
    </w:p>
  </w:footnote>
  <w:footnote w:id="1">
    <w:p w:rsidR="00404D8F" w:rsidRDefault="00404D8F" w:rsidP="00062774">
      <w:pPr>
        <w:pStyle w:val="FootnoteText"/>
      </w:pPr>
      <w:r>
        <w:rPr>
          <w:rStyle w:val="FootnoteReference"/>
        </w:rPr>
        <w:footnoteRef/>
      </w:r>
      <w:r>
        <w:t xml:space="preserve"> Datu avots: Datu avots: </w:t>
      </w:r>
      <w:proofErr w:type="spellStart"/>
      <w:r>
        <w:t>World</w:t>
      </w:r>
      <w:proofErr w:type="spellEnd"/>
      <w:r>
        <w:t xml:space="preserve"> </w:t>
      </w:r>
      <w:proofErr w:type="spellStart"/>
      <w:r>
        <w:t>Economic</w:t>
      </w:r>
      <w:proofErr w:type="spellEnd"/>
      <w:r>
        <w:t xml:space="preserve"> Outlook, </w:t>
      </w:r>
      <w:proofErr w:type="spellStart"/>
      <w:r>
        <w:t>April</w:t>
      </w:r>
      <w:proofErr w:type="spellEnd"/>
      <w:r>
        <w:t xml:space="preserve"> 8, 2014, </w:t>
      </w:r>
      <w:proofErr w:type="spellStart"/>
      <w:r>
        <w:t>International</w:t>
      </w:r>
      <w:proofErr w:type="spellEnd"/>
      <w:r>
        <w:t xml:space="preserve"> </w:t>
      </w:r>
      <w:proofErr w:type="spellStart"/>
      <w:r>
        <w:t>Monetary</w:t>
      </w:r>
      <w:proofErr w:type="spellEnd"/>
      <w:r>
        <w:t xml:space="preserve"> </w:t>
      </w:r>
      <w:proofErr w:type="spellStart"/>
      <w:r>
        <w:t>Fund</w:t>
      </w:r>
      <w:proofErr w:type="spellEnd"/>
      <w:r>
        <w:t>.</w:t>
      </w:r>
    </w:p>
  </w:footnote>
  <w:footnote w:id="2">
    <w:p w:rsidR="00404D8F" w:rsidRDefault="00404D8F" w:rsidP="00062774">
      <w:pPr>
        <w:pStyle w:val="FootnoteText"/>
        <w:ind w:left="0" w:firstLine="0"/>
        <w:jc w:val="left"/>
      </w:pPr>
      <w:r>
        <w:rPr>
          <w:rStyle w:val="FootnoteReference"/>
        </w:rPr>
        <w:footnoteRef/>
      </w:r>
      <w:r>
        <w:t xml:space="preserve"> </w:t>
      </w:r>
      <w:proofErr w:type="spellStart"/>
      <w:r>
        <w:t>Agregētā</w:t>
      </w:r>
      <w:proofErr w:type="spellEnd"/>
      <w:r>
        <w:t xml:space="preserve"> partnervalstu (Igaunija, Lietuva, Krievija, Vācija, Polija, Zviedrija) vidējā izaugsme, svērta ar  vidējo eksporta īpatsvaru 2013. gadā. Datu avots: </w:t>
      </w:r>
      <w:proofErr w:type="spellStart"/>
      <w:r w:rsidRPr="00AE194D">
        <w:t>European</w:t>
      </w:r>
      <w:proofErr w:type="spellEnd"/>
      <w:r w:rsidRPr="00AE194D">
        <w:t xml:space="preserve"> </w:t>
      </w:r>
      <w:proofErr w:type="spellStart"/>
      <w:r w:rsidRPr="00AE194D">
        <w:t>economic</w:t>
      </w:r>
      <w:proofErr w:type="spellEnd"/>
      <w:r w:rsidRPr="00AE194D">
        <w:t xml:space="preserve"> </w:t>
      </w:r>
      <w:proofErr w:type="spellStart"/>
      <w:r w:rsidRPr="00AE194D">
        <w:t>forecast</w:t>
      </w:r>
      <w:proofErr w:type="spellEnd"/>
      <w:r w:rsidRPr="00AE194D">
        <w:t xml:space="preserve"> </w:t>
      </w:r>
      <w:r>
        <w:t>–</w:t>
      </w:r>
      <w:r w:rsidRPr="00AE194D">
        <w:t xml:space="preserve"> </w:t>
      </w:r>
      <w:proofErr w:type="spellStart"/>
      <w:r>
        <w:t>spring</w:t>
      </w:r>
      <w:proofErr w:type="spellEnd"/>
      <w:r>
        <w:t xml:space="preserve"> 2014, </w:t>
      </w:r>
      <w:proofErr w:type="spellStart"/>
      <w:r>
        <w:t>European</w:t>
      </w:r>
      <w:proofErr w:type="spellEnd"/>
      <w:r>
        <w:t xml:space="preserve"> </w:t>
      </w:r>
      <w:proofErr w:type="spellStart"/>
      <w:r>
        <w:t>Commission</w:t>
      </w:r>
      <w:proofErr w:type="spellEnd"/>
      <w:r>
        <w:t>.</w:t>
      </w:r>
    </w:p>
  </w:footnote>
  <w:footnote w:id="3">
    <w:p w:rsidR="00404D8F" w:rsidRPr="0045118F" w:rsidRDefault="00404D8F" w:rsidP="00062774">
      <w:pPr>
        <w:pStyle w:val="FootnoteText"/>
        <w:rPr>
          <w:sz w:val="16"/>
        </w:rPr>
      </w:pPr>
      <w:r>
        <w:rPr>
          <w:rStyle w:val="FootnoteReference"/>
        </w:rPr>
        <w:footnoteRef/>
      </w:r>
      <w:r w:rsidRPr="0045118F">
        <w:rPr>
          <w:sz w:val="16"/>
        </w:rPr>
        <w:t>Datu avots: Eiropas Komisijas uzņēmēju aptaujas</w:t>
      </w:r>
    </w:p>
  </w:footnote>
  <w:footnote w:id="4">
    <w:p w:rsidR="00404D8F" w:rsidRDefault="00404D8F" w:rsidP="00062774">
      <w:pPr>
        <w:pStyle w:val="FootnoteText"/>
      </w:pPr>
      <w:r w:rsidRPr="0045118F">
        <w:rPr>
          <w:rStyle w:val="FootnoteReference"/>
          <w:sz w:val="16"/>
        </w:rPr>
        <w:footnoteRef/>
      </w:r>
      <w:r w:rsidRPr="0045118F">
        <w:rPr>
          <w:sz w:val="16"/>
        </w:rPr>
        <w:t xml:space="preserve"> Datu avots: Eiropas Komisijas uzņēmēju aptaujas</w:t>
      </w:r>
    </w:p>
  </w:footnote>
  <w:footnote w:id="5">
    <w:p w:rsidR="00404D8F" w:rsidRDefault="00404D8F" w:rsidP="00062774">
      <w:pPr>
        <w:pStyle w:val="FootnoteText"/>
      </w:pPr>
      <w:r>
        <w:rPr>
          <w:rStyle w:val="FootnoteReference"/>
        </w:rPr>
        <w:footnoteRef/>
      </w:r>
      <w:r>
        <w:t xml:space="preserve"> Datu avots: Klaipēdas ostas mājas lapa, www.portofklaipeda.lt</w:t>
      </w:r>
    </w:p>
  </w:footnote>
  <w:footnote w:id="6">
    <w:p w:rsidR="00404D8F" w:rsidRDefault="00404D8F" w:rsidP="00BB74DA">
      <w:pPr>
        <w:pStyle w:val="FootnoteText"/>
      </w:pPr>
      <w:r>
        <w:rPr>
          <w:rStyle w:val="FootnoteReference"/>
        </w:rPr>
        <w:footnoteRef/>
      </w:r>
      <w:r>
        <w:t xml:space="preserve"> Ieskaitot iemaksas valsts </w:t>
      </w:r>
      <w:proofErr w:type="spellStart"/>
      <w:r>
        <w:t>fondēto</w:t>
      </w:r>
      <w:proofErr w:type="spellEnd"/>
      <w:r>
        <w:t xml:space="preserve"> pensiju shēmā</w:t>
      </w:r>
    </w:p>
  </w:footnote>
  <w:footnote w:id="7">
    <w:p w:rsidR="00404D8F" w:rsidRDefault="00404D8F" w:rsidP="00BB74DA">
      <w:pPr>
        <w:pStyle w:val="FootnoteText"/>
      </w:pPr>
      <w:r>
        <w:rPr>
          <w:rStyle w:val="FootnoteReference"/>
        </w:rPr>
        <w:footnoteRef/>
      </w:r>
      <w:r>
        <w:t xml:space="preserve"> Galvenokārt stiprie alkoholiskie dzērieni</w:t>
      </w:r>
    </w:p>
  </w:footnote>
  <w:footnote w:id="8">
    <w:p w:rsidR="00404D8F" w:rsidRDefault="00404D8F" w:rsidP="00BB74DA">
      <w:pPr>
        <w:pStyle w:val="FootnoteText"/>
      </w:pPr>
      <w:r>
        <w:rPr>
          <w:rStyle w:val="FootnoteReference"/>
        </w:rPr>
        <w:footnoteRef/>
      </w:r>
      <w:r>
        <w:t xml:space="preserve"> </w:t>
      </w:r>
      <w:r>
        <w:tab/>
        <w:t>I</w:t>
      </w:r>
      <w:r w:rsidRPr="00BA1FB9">
        <w:t>eskaitot transportlīdzekļu ikgadējo nodevu, kas tiek maksāta par iepriekšējiem periodiem</w:t>
      </w:r>
    </w:p>
  </w:footnote>
  <w:footnote w:id="9">
    <w:p w:rsidR="00404D8F" w:rsidRDefault="00404D8F" w:rsidP="00BB74DA">
      <w:pPr>
        <w:pStyle w:val="FootnoteText"/>
      </w:pPr>
      <w:r>
        <w:rPr>
          <w:rStyle w:val="FootnoteReference"/>
        </w:rPr>
        <w:footnoteRef/>
      </w:r>
      <w:r>
        <w:t xml:space="preserve"> </w:t>
      </w:r>
      <w:proofErr w:type="spellStart"/>
      <w:r w:rsidRPr="005931A6">
        <w:t>nenodokļu</w:t>
      </w:r>
      <w:proofErr w:type="spellEnd"/>
      <w:r w:rsidRPr="005931A6">
        <w:t xml:space="preserve"> ieņēmumi ir pārklasificēti, ņemot vērā, ka ar 01.01.2011. transportlīdzekļu ikgadējā nodeva tika pārveidota par transportlīdzekļu nodokli</w:t>
      </w:r>
    </w:p>
  </w:footnote>
  <w:footnote w:id="10">
    <w:p w:rsidR="00404D8F" w:rsidRDefault="00404D8F" w:rsidP="00062774">
      <w:pPr>
        <w:pStyle w:val="FootnoteText"/>
      </w:pPr>
      <w:r>
        <w:rPr>
          <w:rStyle w:val="FootnoteReference"/>
        </w:rPr>
        <w:footnoteRef/>
      </w:r>
      <w:r>
        <w:t xml:space="preserve"> </w:t>
      </w:r>
      <w:r w:rsidRPr="00B12075">
        <w:rPr>
          <w:i/>
          <w:iCs/>
          <w:color w:val="000000"/>
          <w:sz w:val="16"/>
          <w:szCs w:val="16"/>
          <w:lang w:eastAsia="lv-LV"/>
        </w:rPr>
        <w:t>Ieskaitot ziedojumus, dāvinājumus un atvasinātās publiskās personas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D8F" w:rsidRDefault="00404D8F">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404D8F" w:rsidRDefault="00404D8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1462514"/>
      <w:docPartObj>
        <w:docPartGallery w:val="Page Numbers (Top of Page)"/>
        <w:docPartUnique/>
      </w:docPartObj>
    </w:sdtPr>
    <w:sdtEndPr>
      <w:rPr>
        <w:noProof/>
      </w:rPr>
    </w:sdtEndPr>
    <w:sdtContent>
      <w:p w:rsidR="00404D8F" w:rsidRPr="000B3341" w:rsidRDefault="00404D8F">
        <w:pPr>
          <w:pStyle w:val="Header"/>
          <w:jc w:val="center"/>
        </w:pPr>
        <w:r w:rsidRPr="000B3341">
          <w:fldChar w:fldCharType="begin"/>
        </w:r>
        <w:r w:rsidRPr="000B3341">
          <w:instrText xml:space="preserve"> PAGE   \* MERGEFORMAT </w:instrText>
        </w:r>
        <w:r w:rsidRPr="000B3341">
          <w:fldChar w:fldCharType="separate"/>
        </w:r>
        <w:r w:rsidR="004648EC">
          <w:rPr>
            <w:noProof/>
          </w:rPr>
          <w:t>61</w:t>
        </w:r>
        <w:r w:rsidRPr="000B3341">
          <w:rPr>
            <w:noProof/>
          </w:rPr>
          <w:fldChar w:fldCharType="end"/>
        </w:r>
      </w:p>
    </w:sdtContent>
  </w:sdt>
  <w:p w:rsidR="00404D8F" w:rsidRDefault="00404D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376D3"/>
    <w:multiLevelType w:val="multilevel"/>
    <w:tmpl w:val="088066E6"/>
    <w:styleLink w:val="1111111"/>
    <w:lvl w:ilvl="0">
      <w:start w:val="1"/>
      <w:numFmt w:val="bullet"/>
      <w:lvlText w:val=""/>
      <w:lvlJc w:val="left"/>
      <w:pPr>
        <w:ind w:left="1429" w:hanging="360"/>
      </w:pPr>
      <w:rPr>
        <w:rFonts w:ascii="Symbol" w:hAnsi="Symbol"/>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
    <w:nsid w:val="0EC7109B"/>
    <w:multiLevelType w:val="hybridMultilevel"/>
    <w:tmpl w:val="B7F00EF6"/>
    <w:styleLink w:val="11111111"/>
    <w:lvl w:ilvl="0" w:tplc="FFFFFFFF">
      <w:start w:val="1"/>
      <w:numFmt w:val="bullet"/>
      <w:pStyle w:val="virsr21"/>
      <w:lvlText w:val=""/>
      <w:lvlJc w:val="left"/>
      <w:pPr>
        <w:tabs>
          <w:tab w:val="num" w:pos="502"/>
        </w:tabs>
        <w:ind w:left="426" w:hanging="284"/>
      </w:pPr>
      <w:rPr>
        <w:rFonts w:ascii="Wingdings" w:hAnsi="Wingdings" w:hint="default"/>
        <w:color w:val="00000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nsid w:val="0ED376B9"/>
    <w:multiLevelType w:val="hybridMultilevel"/>
    <w:tmpl w:val="3E0CD884"/>
    <w:styleLink w:val="1111113"/>
    <w:lvl w:ilvl="0" w:tplc="ACF4BAD8">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155A52AF"/>
    <w:multiLevelType w:val="hybridMultilevel"/>
    <w:tmpl w:val="E6E22C58"/>
    <w:lvl w:ilvl="0" w:tplc="1D34C8C6">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4">
    <w:nsid w:val="16840622"/>
    <w:multiLevelType w:val="hybridMultilevel"/>
    <w:tmpl w:val="20DABCB2"/>
    <w:lvl w:ilvl="0" w:tplc="3992EC26">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
    <w:nsid w:val="182B6F91"/>
    <w:multiLevelType w:val="hybridMultilevel"/>
    <w:tmpl w:val="DB947748"/>
    <w:lvl w:ilvl="0" w:tplc="04260001">
      <w:start w:val="1"/>
      <w:numFmt w:val="bullet"/>
      <w:lvlText w:val=""/>
      <w:lvlJc w:val="left"/>
      <w:pPr>
        <w:ind w:left="1287" w:hanging="360"/>
      </w:pPr>
      <w:rPr>
        <w:rFonts w:ascii="Symbol" w:hAnsi="Symbol" w:hint="default"/>
      </w:rPr>
    </w:lvl>
    <w:lvl w:ilvl="1" w:tplc="04260001">
      <w:start w:val="1"/>
      <w:numFmt w:val="bullet"/>
      <w:lvlText w:val=""/>
      <w:lvlJc w:val="left"/>
      <w:pPr>
        <w:ind w:left="2007" w:hanging="360"/>
      </w:pPr>
      <w:rPr>
        <w:rFonts w:ascii="Symbol" w:hAnsi="Symbol"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6">
    <w:nsid w:val="255444AA"/>
    <w:multiLevelType w:val="hybridMultilevel"/>
    <w:tmpl w:val="E09E999C"/>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7">
    <w:nsid w:val="280457B5"/>
    <w:multiLevelType w:val="hybridMultilevel"/>
    <w:tmpl w:val="97F4D48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
    <w:nsid w:val="2D8D2BC6"/>
    <w:multiLevelType w:val="hybridMultilevel"/>
    <w:tmpl w:val="297CC550"/>
    <w:lvl w:ilvl="0" w:tplc="0426000F">
      <w:start w:val="1"/>
      <w:numFmt w:val="decimal"/>
      <w:lvlText w:val="%1."/>
      <w:lvlJc w:val="left"/>
      <w:pPr>
        <w:ind w:left="1429" w:hanging="360"/>
      </w:p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9">
    <w:nsid w:val="2F3B3403"/>
    <w:multiLevelType w:val="hybridMultilevel"/>
    <w:tmpl w:val="088066E6"/>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10">
    <w:nsid w:val="2FB279D8"/>
    <w:multiLevelType w:val="multilevel"/>
    <w:tmpl w:val="28FE17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32244BDD"/>
    <w:multiLevelType w:val="hybridMultilevel"/>
    <w:tmpl w:val="80CA5ABE"/>
    <w:lvl w:ilvl="0" w:tplc="C0089736">
      <w:start w:val="2"/>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2">
    <w:nsid w:val="34EA3B10"/>
    <w:multiLevelType w:val="multilevel"/>
    <w:tmpl w:val="47D0759E"/>
    <w:lvl w:ilvl="0">
      <w:start w:val="2"/>
      <w:numFmt w:val="decimal"/>
      <w:lvlText w:val="%1."/>
      <w:lvlJc w:val="left"/>
      <w:pPr>
        <w:ind w:left="1800" w:hanging="360"/>
      </w:pPr>
      <w:rPr>
        <w:rFonts w:hint="default"/>
      </w:rPr>
    </w:lvl>
    <w:lvl w:ilvl="1">
      <w:start w:val="1"/>
      <w:numFmt w:val="decimal"/>
      <w:lvlText w:val="%1.%2."/>
      <w:lvlJc w:val="left"/>
      <w:pPr>
        <w:ind w:left="2232" w:hanging="432"/>
      </w:pPr>
      <w:rPr>
        <w:rFonts w:hint="default"/>
      </w:rPr>
    </w:lvl>
    <w:lvl w:ilvl="2">
      <w:start w:val="1"/>
      <w:numFmt w:val="decimal"/>
      <w:lvlText w:val="%1.%2.%3."/>
      <w:lvlJc w:val="left"/>
      <w:pPr>
        <w:ind w:left="2664" w:hanging="504"/>
      </w:pPr>
      <w:rPr>
        <w:rFonts w:hint="default"/>
      </w:rPr>
    </w:lvl>
    <w:lvl w:ilvl="3">
      <w:start w:val="1"/>
      <w:numFmt w:val="decimal"/>
      <w:lvlText w:val="%1.%2.%3.%4."/>
      <w:lvlJc w:val="left"/>
      <w:pPr>
        <w:ind w:left="3168" w:hanging="648"/>
      </w:pPr>
      <w:rPr>
        <w:rFonts w:hint="default"/>
      </w:rPr>
    </w:lvl>
    <w:lvl w:ilvl="4">
      <w:start w:val="1"/>
      <w:numFmt w:val="decimal"/>
      <w:lvlText w:val="%1.%2.%3.%4.%5."/>
      <w:lvlJc w:val="left"/>
      <w:pPr>
        <w:ind w:left="3672" w:hanging="792"/>
      </w:pPr>
      <w:rPr>
        <w:rFonts w:hint="default"/>
      </w:rPr>
    </w:lvl>
    <w:lvl w:ilvl="5">
      <w:start w:val="1"/>
      <w:numFmt w:val="decimal"/>
      <w:lvlText w:val="%1.%2.%3.%4.%5.%6."/>
      <w:lvlJc w:val="left"/>
      <w:pPr>
        <w:ind w:left="417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abstractNum w:abstractNumId="13">
    <w:nsid w:val="35F42253"/>
    <w:multiLevelType w:val="hybridMultilevel"/>
    <w:tmpl w:val="1E46B7F0"/>
    <w:lvl w:ilvl="0" w:tplc="E9561DDE">
      <w:start w:val="5"/>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4">
    <w:nsid w:val="40780C7B"/>
    <w:multiLevelType w:val="multilevel"/>
    <w:tmpl w:val="AC1E842E"/>
    <w:lvl w:ilvl="0">
      <w:start w:val="1"/>
      <w:numFmt w:val="decimal"/>
      <w:lvlText w:val="%1."/>
      <w:lvlJc w:val="left"/>
      <w:pPr>
        <w:ind w:left="1429" w:hanging="360"/>
      </w:pPr>
    </w:lvl>
    <w:lvl w:ilvl="1">
      <w:start w:val="3"/>
      <w:numFmt w:val="decimal"/>
      <w:isLgl/>
      <w:lvlText w:val="%1.%2."/>
      <w:lvlJc w:val="left"/>
      <w:pPr>
        <w:ind w:left="1864" w:hanging="795"/>
      </w:pPr>
      <w:rPr>
        <w:rFonts w:hint="default"/>
      </w:rPr>
    </w:lvl>
    <w:lvl w:ilvl="2">
      <w:start w:val="2"/>
      <w:numFmt w:val="decimal"/>
      <w:isLgl/>
      <w:lvlText w:val="%1.%2.%3."/>
      <w:lvlJc w:val="left"/>
      <w:pPr>
        <w:ind w:left="1864" w:hanging="795"/>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509" w:hanging="144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3229" w:hanging="2160"/>
      </w:pPr>
      <w:rPr>
        <w:rFonts w:hint="default"/>
      </w:rPr>
    </w:lvl>
    <w:lvl w:ilvl="8">
      <w:start w:val="1"/>
      <w:numFmt w:val="decimal"/>
      <w:isLgl/>
      <w:lvlText w:val="%1.%2.%3.%4.%5.%6.%7.%8.%9."/>
      <w:lvlJc w:val="left"/>
      <w:pPr>
        <w:ind w:left="3229" w:hanging="2160"/>
      </w:pPr>
      <w:rPr>
        <w:rFonts w:hint="default"/>
      </w:rPr>
    </w:lvl>
  </w:abstractNum>
  <w:abstractNum w:abstractNumId="15">
    <w:nsid w:val="4411114C"/>
    <w:multiLevelType w:val="hybridMultilevel"/>
    <w:tmpl w:val="9E84B362"/>
    <w:lvl w:ilvl="0" w:tplc="04260001">
      <w:start w:val="1"/>
      <w:numFmt w:val="bullet"/>
      <w:lvlText w:val=""/>
      <w:lvlJc w:val="left"/>
      <w:pPr>
        <w:ind w:left="1287" w:hanging="360"/>
      </w:pPr>
      <w:rPr>
        <w:rFonts w:ascii="Symbol" w:hAnsi="Symbol" w:hint="default"/>
      </w:rPr>
    </w:lvl>
    <w:lvl w:ilvl="1" w:tplc="04260003">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6">
    <w:nsid w:val="47583ADC"/>
    <w:multiLevelType w:val="multilevel"/>
    <w:tmpl w:val="00A644DE"/>
    <w:lvl w:ilvl="0">
      <w:start w:val="2"/>
      <w:numFmt w:val="decimal"/>
      <w:lvlText w:val="%1"/>
      <w:lvlJc w:val="left"/>
      <w:pPr>
        <w:ind w:left="450" w:hanging="450"/>
      </w:pPr>
      <w:rPr>
        <w:rFonts w:hint="default"/>
      </w:rPr>
    </w:lvl>
    <w:lvl w:ilvl="1">
      <w:start w:val="2"/>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640" w:hanging="1440"/>
      </w:pPr>
      <w:rPr>
        <w:rFonts w:hint="default"/>
      </w:rPr>
    </w:lvl>
    <w:lvl w:ilvl="5">
      <w:start w:val="1"/>
      <w:numFmt w:val="decimal"/>
      <w:lvlText w:val="%1.%2.%3.%4.%5.%6"/>
      <w:lvlJc w:val="left"/>
      <w:pPr>
        <w:ind w:left="10800" w:hanging="180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760" w:hanging="2160"/>
      </w:pPr>
      <w:rPr>
        <w:rFonts w:hint="default"/>
      </w:rPr>
    </w:lvl>
    <w:lvl w:ilvl="8">
      <w:start w:val="1"/>
      <w:numFmt w:val="decimal"/>
      <w:lvlText w:val="%1.%2.%3.%4.%5.%6.%7.%8.%9"/>
      <w:lvlJc w:val="left"/>
      <w:pPr>
        <w:ind w:left="16920" w:hanging="2520"/>
      </w:pPr>
      <w:rPr>
        <w:rFonts w:hint="default"/>
      </w:rPr>
    </w:lvl>
  </w:abstractNum>
  <w:abstractNum w:abstractNumId="17">
    <w:nsid w:val="4A0329F7"/>
    <w:multiLevelType w:val="hybridMultilevel"/>
    <w:tmpl w:val="5F3E59E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53551C05"/>
    <w:multiLevelType w:val="hybridMultilevel"/>
    <w:tmpl w:val="0E9CCBFA"/>
    <w:lvl w:ilvl="0" w:tplc="E452D196">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19">
    <w:nsid w:val="5B366A5A"/>
    <w:multiLevelType w:val="multilevel"/>
    <w:tmpl w:val="B6DC9252"/>
    <w:lvl w:ilvl="0">
      <w:start w:val="2"/>
      <w:numFmt w:val="decimal"/>
      <w:lvlText w:val="%1."/>
      <w:lvlJc w:val="left"/>
      <w:pPr>
        <w:ind w:left="720" w:hanging="720"/>
      </w:pPr>
      <w:rPr>
        <w:rFonts w:hint="default"/>
      </w:rPr>
    </w:lvl>
    <w:lvl w:ilvl="1">
      <w:start w:val="2"/>
      <w:numFmt w:val="decimal"/>
      <w:lvlText w:val="%1.%2."/>
      <w:lvlJc w:val="left"/>
      <w:pPr>
        <w:ind w:left="945" w:hanging="72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755" w:hanging="1080"/>
      </w:pPr>
      <w:rPr>
        <w:rFonts w:hint="default"/>
      </w:rPr>
    </w:lvl>
    <w:lvl w:ilvl="4">
      <w:start w:val="1"/>
      <w:numFmt w:val="decimal"/>
      <w:lvlText w:val="%1.%2.%3.%4.%5."/>
      <w:lvlJc w:val="left"/>
      <w:pPr>
        <w:ind w:left="2340" w:hanging="1440"/>
      </w:pPr>
      <w:rPr>
        <w:rFonts w:hint="default"/>
      </w:rPr>
    </w:lvl>
    <w:lvl w:ilvl="5">
      <w:start w:val="1"/>
      <w:numFmt w:val="decimal"/>
      <w:lvlText w:val="%1.%2.%3.%4.%5.%6."/>
      <w:lvlJc w:val="left"/>
      <w:pPr>
        <w:ind w:left="2565" w:hanging="1440"/>
      </w:pPr>
      <w:rPr>
        <w:rFonts w:hint="default"/>
      </w:rPr>
    </w:lvl>
    <w:lvl w:ilvl="6">
      <w:start w:val="1"/>
      <w:numFmt w:val="decimal"/>
      <w:lvlText w:val="%1.%2.%3.%4.%5.%6.%7."/>
      <w:lvlJc w:val="left"/>
      <w:pPr>
        <w:ind w:left="3150" w:hanging="1800"/>
      </w:pPr>
      <w:rPr>
        <w:rFonts w:hint="default"/>
      </w:rPr>
    </w:lvl>
    <w:lvl w:ilvl="7">
      <w:start w:val="1"/>
      <w:numFmt w:val="decimal"/>
      <w:lvlText w:val="%1.%2.%3.%4.%5.%6.%7.%8."/>
      <w:lvlJc w:val="left"/>
      <w:pPr>
        <w:ind w:left="3735" w:hanging="2160"/>
      </w:pPr>
      <w:rPr>
        <w:rFonts w:hint="default"/>
      </w:rPr>
    </w:lvl>
    <w:lvl w:ilvl="8">
      <w:start w:val="1"/>
      <w:numFmt w:val="decimal"/>
      <w:lvlText w:val="%1.%2.%3.%4.%5.%6.%7.%8.%9."/>
      <w:lvlJc w:val="left"/>
      <w:pPr>
        <w:ind w:left="3960" w:hanging="2160"/>
      </w:pPr>
      <w:rPr>
        <w:rFonts w:hint="default"/>
      </w:rPr>
    </w:lvl>
  </w:abstractNum>
  <w:abstractNum w:abstractNumId="20">
    <w:nsid w:val="5E4D7C1F"/>
    <w:multiLevelType w:val="multilevel"/>
    <w:tmpl w:val="2EC6B40C"/>
    <w:lvl w:ilvl="0">
      <w:start w:val="2"/>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1">
    <w:nsid w:val="64BC54C6"/>
    <w:multiLevelType w:val="multilevel"/>
    <w:tmpl w:val="00A644DE"/>
    <w:lvl w:ilvl="0">
      <w:start w:val="2"/>
      <w:numFmt w:val="decimal"/>
      <w:lvlText w:val="%1"/>
      <w:lvlJc w:val="left"/>
      <w:pPr>
        <w:ind w:left="450" w:hanging="450"/>
      </w:pPr>
      <w:rPr>
        <w:rFonts w:hint="default"/>
      </w:rPr>
    </w:lvl>
    <w:lvl w:ilvl="1">
      <w:start w:val="2"/>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640" w:hanging="1440"/>
      </w:pPr>
      <w:rPr>
        <w:rFonts w:hint="default"/>
      </w:rPr>
    </w:lvl>
    <w:lvl w:ilvl="5">
      <w:start w:val="1"/>
      <w:numFmt w:val="decimal"/>
      <w:lvlText w:val="%1.%2.%3.%4.%5.%6"/>
      <w:lvlJc w:val="left"/>
      <w:pPr>
        <w:ind w:left="10800" w:hanging="180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760" w:hanging="2160"/>
      </w:pPr>
      <w:rPr>
        <w:rFonts w:hint="default"/>
      </w:rPr>
    </w:lvl>
    <w:lvl w:ilvl="8">
      <w:start w:val="1"/>
      <w:numFmt w:val="decimal"/>
      <w:lvlText w:val="%1.%2.%3.%4.%5.%6.%7.%8.%9"/>
      <w:lvlJc w:val="left"/>
      <w:pPr>
        <w:ind w:left="16920" w:hanging="2520"/>
      </w:pPr>
      <w:rPr>
        <w:rFonts w:hint="default"/>
      </w:rPr>
    </w:lvl>
  </w:abstractNum>
  <w:abstractNum w:abstractNumId="22">
    <w:nsid w:val="67835BA2"/>
    <w:multiLevelType w:val="hybridMultilevel"/>
    <w:tmpl w:val="44F8580A"/>
    <w:lvl w:ilvl="0" w:tplc="04260001">
      <w:start w:val="1"/>
      <w:numFmt w:val="bullet"/>
      <w:lvlText w:val=""/>
      <w:lvlJc w:val="left"/>
      <w:pPr>
        <w:ind w:left="1429" w:hanging="360"/>
      </w:pPr>
      <w:rPr>
        <w:rFonts w:ascii="Symbol" w:hAnsi="Symbol" w:hint="default"/>
      </w:rPr>
    </w:lvl>
    <w:lvl w:ilvl="1" w:tplc="04260003">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23">
    <w:nsid w:val="69F1079F"/>
    <w:multiLevelType w:val="hybridMultilevel"/>
    <w:tmpl w:val="104EEB7C"/>
    <w:lvl w:ilvl="0" w:tplc="DE921B2E">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24">
    <w:nsid w:val="6B9E5C5F"/>
    <w:multiLevelType w:val="hybridMultilevel"/>
    <w:tmpl w:val="F886E188"/>
    <w:lvl w:ilvl="0" w:tplc="65EEB460">
      <w:start w:val="1"/>
      <w:numFmt w:val="bullet"/>
      <w:lvlText w:val=""/>
      <w:lvlJc w:val="left"/>
      <w:pPr>
        <w:ind w:left="1429" w:hanging="360"/>
      </w:pPr>
      <w:rPr>
        <w:rFonts w:ascii="Symbol" w:hAnsi="Symbol" w:hint="default"/>
      </w:rPr>
    </w:lvl>
    <w:lvl w:ilvl="1" w:tplc="04260003">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25">
    <w:nsid w:val="6FCC469D"/>
    <w:multiLevelType w:val="hybridMultilevel"/>
    <w:tmpl w:val="3B8A7B88"/>
    <w:styleLink w:val="11111121"/>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nsid w:val="7A335894"/>
    <w:multiLevelType w:val="hybridMultilevel"/>
    <w:tmpl w:val="DDF0DD86"/>
    <w:styleLink w:val="1111112"/>
    <w:lvl w:ilvl="0" w:tplc="FFFFFFFF">
      <w:start w:val="1"/>
      <w:numFmt w:val="bullet"/>
      <w:lvlText w:val=""/>
      <w:lvlJc w:val="left"/>
      <w:pPr>
        <w:tabs>
          <w:tab w:val="num" w:pos="1069"/>
        </w:tabs>
        <w:ind w:left="106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7">
    <w:nsid w:val="7C0F22BC"/>
    <w:multiLevelType w:val="multilevel"/>
    <w:tmpl w:val="042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9"/>
  </w:num>
  <w:num w:numId="2">
    <w:abstractNumId w:val="6"/>
  </w:num>
  <w:num w:numId="3">
    <w:abstractNumId w:val="20"/>
  </w:num>
  <w:num w:numId="4">
    <w:abstractNumId w:val="7"/>
  </w:num>
  <w:num w:numId="5">
    <w:abstractNumId w:val="1"/>
  </w:num>
  <w:num w:numId="6">
    <w:abstractNumId w:val="25"/>
  </w:num>
  <w:num w:numId="7">
    <w:abstractNumId w:val="2"/>
  </w:num>
  <w:num w:numId="8">
    <w:abstractNumId w:val="0"/>
  </w:num>
  <w:num w:numId="9">
    <w:abstractNumId w:val="26"/>
  </w:num>
  <w:num w:numId="10">
    <w:abstractNumId w:val="27"/>
  </w:num>
  <w:num w:numId="11">
    <w:abstractNumId w:val="23"/>
  </w:num>
  <w:num w:numId="12">
    <w:abstractNumId w:val="3"/>
  </w:num>
  <w:num w:numId="13">
    <w:abstractNumId w:val="13"/>
  </w:num>
  <w:num w:numId="14">
    <w:abstractNumId w:val="18"/>
  </w:num>
  <w:num w:numId="15">
    <w:abstractNumId w:val="10"/>
  </w:num>
  <w:num w:numId="16">
    <w:abstractNumId w:val="24"/>
  </w:num>
  <w:num w:numId="17">
    <w:abstractNumId w:val="15"/>
  </w:num>
  <w:num w:numId="18">
    <w:abstractNumId w:val="5"/>
  </w:num>
  <w:num w:numId="19">
    <w:abstractNumId w:val="22"/>
  </w:num>
  <w:num w:numId="20">
    <w:abstractNumId w:val="4"/>
  </w:num>
  <w:num w:numId="21">
    <w:abstractNumId w:val="8"/>
  </w:num>
  <w:num w:numId="22">
    <w:abstractNumId w:val="11"/>
  </w:num>
  <w:num w:numId="23">
    <w:abstractNumId w:val="12"/>
  </w:num>
  <w:num w:numId="24">
    <w:abstractNumId w:val="21"/>
  </w:num>
  <w:num w:numId="25">
    <w:abstractNumId w:val="16"/>
  </w:num>
  <w:num w:numId="26">
    <w:abstractNumId w:val="19"/>
  </w:num>
  <w:num w:numId="27">
    <w:abstractNumId w:val="14"/>
  </w:num>
  <w:num w:numId="28">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proofState w:spelling="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227"/>
    <w:rsid w:val="0000543C"/>
    <w:rsid w:val="000125A1"/>
    <w:rsid w:val="000147BB"/>
    <w:rsid w:val="000161A4"/>
    <w:rsid w:val="000272FD"/>
    <w:rsid w:val="00055B27"/>
    <w:rsid w:val="00062774"/>
    <w:rsid w:val="000A504B"/>
    <w:rsid w:val="000B3341"/>
    <w:rsid w:val="000C2E3B"/>
    <w:rsid w:val="00117DEE"/>
    <w:rsid w:val="0017318B"/>
    <w:rsid w:val="001E7227"/>
    <w:rsid w:val="001F5574"/>
    <w:rsid w:val="002455AD"/>
    <w:rsid w:val="002909B7"/>
    <w:rsid w:val="00301491"/>
    <w:rsid w:val="00396ED7"/>
    <w:rsid w:val="00404D8F"/>
    <w:rsid w:val="0042066E"/>
    <w:rsid w:val="0045218B"/>
    <w:rsid w:val="004648EC"/>
    <w:rsid w:val="004708BB"/>
    <w:rsid w:val="00494C2B"/>
    <w:rsid w:val="004B38D1"/>
    <w:rsid w:val="004C654B"/>
    <w:rsid w:val="004E7073"/>
    <w:rsid w:val="0053717E"/>
    <w:rsid w:val="00541DEF"/>
    <w:rsid w:val="00547F06"/>
    <w:rsid w:val="00565B8A"/>
    <w:rsid w:val="00566CD3"/>
    <w:rsid w:val="005C00B2"/>
    <w:rsid w:val="005C7D14"/>
    <w:rsid w:val="00606558"/>
    <w:rsid w:val="006247F6"/>
    <w:rsid w:val="00664C48"/>
    <w:rsid w:val="0067074C"/>
    <w:rsid w:val="006910CA"/>
    <w:rsid w:val="00695386"/>
    <w:rsid w:val="006D2F25"/>
    <w:rsid w:val="006E5EA0"/>
    <w:rsid w:val="006E5EF0"/>
    <w:rsid w:val="007262B6"/>
    <w:rsid w:val="00732661"/>
    <w:rsid w:val="007436BF"/>
    <w:rsid w:val="00776A5D"/>
    <w:rsid w:val="00791A21"/>
    <w:rsid w:val="0079475D"/>
    <w:rsid w:val="0079557A"/>
    <w:rsid w:val="007B7492"/>
    <w:rsid w:val="007C2AB0"/>
    <w:rsid w:val="007E2569"/>
    <w:rsid w:val="008703D0"/>
    <w:rsid w:val="008A1535"/>
    <w:rsid w:val="008A3EDB"/>
    <w:rsid w:val="008B7EE2"/>
    <w:rsid w:val="008F1FF1"/>
    <w:rsid w:val="009115CF"/>
    <w:rsid w:val="0093037D"/>
    <w:rsid w:val="00956B4D"/>
    <w:rsid w:val="009617A3"/>
    <w:rsid w:val="00975F8C"/>
    <w:rsid w:val="009864BB"/>
    <w:rsid w:val="009C3D8D"/>
    <w:rsid w:val="00A23274"/>
    <w:rsid w:val="00A34DFA"/>
    <w:rsid w:val="00A90239"/>
    <w:rsid w:val="00B01912"/>
    <w:rsid w:val="00B04B9F"/>
    <w:rsid w:val="00B458A2"/>
    <w:rsid w:val="00B87469"/>
    <w:rsid w:val="00BB74DA"/>
    <w:rsid w:val="00BD32B4"/>
    <w:rsid w:val="00BD6E6C"/>
    <w:rsid w:val="00BD738E"/>
    <w:rsid w:val="00C1733B"/>
    <w:rsid w:val="00C62191"/>
    <w:rsid w:val="00C91A4A"/>
    <w:rsid w:val="00C935DC"/>
    <w:rsid w:val="00CA22BE"/>
    <w:rsid w:val="00CA33A5"/>
    <w:rsid w:val="00CC6873"/>
    <w:rsid w:val="00CD76FC"/>
    <w:rsid w:val="00CE5F4D"/>
    <w:rsid w:val="00D05689"/>
    <w:rsid w:val="00D24FBD"/>
    <w:rsid w:val="00D41F5C"/>
    <w:rsid w:val="00D44AAF"/>
    <w:rsid w:val="00D656AD"/>
    <w:rsid w:val="00D925E6"/>
    <w:rsid w:val="00DA7514"/>
    <w:rsid w:val="00E02C50"/>
    <w:rsid w:val="00E12B95"/>
    <w:rsid w:val="00E25B9C"/>
    <w:rsid w:val="00E30F4B"/>
    <w:rsid w:val="00E35523"/>
    <w:rsid w:val="00E54394"/>
    <w:rsid w:val="00E9770D"/>
    <w:rsid w:val="00EB0CA6"/>
    <w:rsid w:val="00EC5E4C"/>
    <w:rsid w:val="00EE605C"/>
    <w:rsid w:val="00F06DFB"/>
    <w:rsid w:val="00F1164B"/>
    <w:rsid w:val="00FA06C2"/>
    <w:rsid w:val="00FB3DD1"/>
    <w:rsid w:val="00FB54F1"/>
    <w:rsid w:val="00FC0227"/>
    <w:rsid w:val="00FC2551"/>
    <w:rsid w:val="00FC7C0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5:docId w15:val="{A1481A87-E989-476A-84B2-C02EB3162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lv-LV"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7227"/>
    <w:pPr>
      <w:spacing w:after="120"/>
      <w:ind w:firstLine="709"/>
      <w:jc w:val="both"/>
    </w:pPr>
    <w:rPr>
      <w:szCs w:val="28"/>
    </w:rPr>
  </w:style>
  <w:style w:type="paragraph" w:styleId="Heading1">
    <w:name w:val="heading 1"/>
    <w:basedOn w:val="Normal"/>
    <w:next w:val="Normal"/>
    <w:link w:val="Heading1Char"/>
    <w:qFormat/>
    <w:rsid w:val="00CC6873"/>
    <w:pPr>
      <w:keepNext/>
      <w:spacing w:before="240" w:after="60"/>
      <w:outlineLvl w:val="0"/>
    </w:pPr>
    <w:rPr>
      <w:b/>
      <w:kern w:val="28"/>
      <w:sz w:val="44"/>
    </w:rPr>
  </w:style>
  <w:style w:type="paragraph" w:styleId="Heading2">
    <w:name w:val="heading 2"/>
    <w:basedOn w:val="Normal"/>
    <w:next w:val="Normal"/>
    <w:link w:val="Heading2Char"/>
    <w:unhideWhenUsed/>
    <w:qFormat/>
    <w:rsid w:val="00CC68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CA33A5"/>
    <w:pPr>
      <w:keepNext/>
      <w:spacing w:before="240" w:after="60"/>
      <w:outlineLvl w:val="2"/>
    </w:pPr>
    <w:rPr>
      <w:rFonts w:ascii="Arial" w:eastAsia="Times New Roman" w:hAnsi="Arial" w:cs="Times New Roman"/>
      <w:sz w:val="24"/>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722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227"/>
    <w:rPr>
      <w:rFonts w:ascii="Tahoma" w:hAnsi="Tahoma" w:cs="Tahoma"/>
      <w:sz w:val="16"/>
      <w:szCs w:val="16"/>
    </w:rPr>
  </w:style>
  <w:style w:type="paragraph" w:styleId="Footer">
    <w:name w:val="footer"/>
    <w:basedOn w:val="Normal"/>
    <w:link w:val="FooterChar"/>
    <w:uiPriority w:val="99"/>
    <w:rsid w:val="001E7227"/>
    <w:pPr>
      <w:tabs>
        <w:tab w:val="center" w:pos="4153"/>
        <w:tab w:val="right" w:pos="8306"/>
      </w:tabs>
      <w:spacing w:after="0"/>
      <w:ind w:firstLine="0"/>
    </w:pPr>
    <w:rPr>
      <w:sz w:val="20"/>
    </w:rPr>
  </w:style>
  <w:style w:type="character" w:customStyle="1" w:styleId="FooterChar">
    <w:name w:val="Footer Char"/>
    <w:basedOn w:val="DefaultParagraphFont"/>
    <w:link w:val="Footer"/>
    <w:uiPriority w:val="99"/>
    <w:rsid w:val="001E7227"/>
    <w:rPr>
      <w:sz w:val="20"/>
      <w:szCs w:val="28"/>
    </w:rPr>
  </w:style>
  <w:style w:type="character" w:styleId="PageNumber">
    <w:name w:val="page number"/>
    <w:basedOn w:val="DefaultParagraphFont"/>
    <w:rsid w:val="001E7227"/>
  </w:style>
  <w:style w:type="paragraph" w:styleId="Header">
    <w:name w:val="header"/>
    <w:basedOn w:val="Normal"/>
    <w:link w:val="HeaderChar"/>
    <w:uiPriority w:val="99"/>
    <w:rsid w:val="001E7227"/>
    <w:pPr>
      <w:tabs>
        <w:tab w:val="center" w:pos="4153"/>
        <w:tab w:val="right" w:pos="8306"/>
      </w:tabs>
      <w:spacing w:after="0"/>
      <w:ind w:firstLine="0"/>
    </w:pPr>
    <w:rPr>
      <w:sz w:val="24"/>
    </w:rPr>
  </w:style>
  <w:style w:type="character" w:customStyle="1" w:styleId="HeaderChar">
    <w:name w:val="Header Char"/>
    <w:basedOn w:val="DefaultParagraphFont"/>
    <w:link w:val="Header"/>
    <w:uiPriority w:val="99"/>
    <w:rsid w:val="001E7227"/>
    <w:rPr>
      <w:sz w:val="24"/>
      <w:szCs w:val="28"/>
    </w:rPr>
  </w:style>
  <w:style w:type="paragraph" w:styleId="TOC2">
    <w:name w:val="toc 2"/>
    <w:basedOn w:val="Normal"/>
    <w:next w:val="Normal"/>
    <w:autoRedefine/>
    <w:uiPriority w:val="39"/>
    <w:qFormat/>
    <w:rsid w:val="00547F06"/>
    <w:pPr>
      <w:tabs>
        <w:tab w:val="left" w:pos="567"/>
        <w:tab w:val="right" w:leader="dot" w:pos="8222"/>
      </w:tabs>
      <w:spacing w:before="240" w:after="60"/>
      <w:ind w:right="1416" w:firstLine="0"/>
      <w:jc w:val="center"/>
    </w:pPr>
    <w:rPr>
      <w:rFonts w:eastAsia="Calibri" w:cs="Times New Roman"/>
      <w:b/>
      <w:noProof/>
    </w:rPr>
  </w:style>
  <w:style w:type="paragraph" w:styleId="TOC1">
    <w:name w:val="toc 1"/>
    <w:basedOn w:val="Normal"/>
    <w:next w:val="Normal"/>
    <w:autoRedefine/>
    <w:uiPriority w:val="39"/>
    <w:qFormat/>
    <w:rsid w:val="00BD738E"/>
    <w:pPr>
      <w:tabs>
        <w:tab w:val="right" w:leader="dot" w:pos="8222"/>
      </w:tabs>
      <w:spacing w:after="0"/>
      <w:ind w:right="1274" w:firstLine="0"/>
    </w:pPr>
    <w:rPr>
      <w:noProof/>
      <w:kern w:val="28"/>
      <w:sz w:val="32"/>
    </w:rPr>
  </w:style>
  <w:style w:type="paragraph" w:styleId="TOC3">
    <w:name w:val="toc 3"/>
    <w:basedOn w:val="Normal"/>
    <w:next w:val="Normal"/>
    <w:autoRedefine/>
    <w:uiPriority w:val="39"/>
    <w:qFormat/>
    <w:rsid w:val="000272FD"/>
    <w:pPr>
      <w:tabs>
        <w:tab w:val="left" w:pos="709"/>
        <w:tab w:val="right" w:leader="dot" w:pos="8222"/>
        <w:tab w:val="left" w:pos="8364"/>
      </w:tabs>
      <w:spacing w:after="0"/>
      <w:ind w:right="1416" w:firstLine="0"/>
    </w:pPr>
    <w:rPr>
      <w:noProof/>
      <w:sz w:val="24"/>
    </w:rPr>
  </w:style>
  <w:style w:type="character" w:styleId="Hyperlink">
    <w:name w:val="Hyperlink"/>
    <w:uiPriority w:val="99"/>
    <w:rsid w:val="00F1164B"/>
    <w:rPr>
      <w:color w:val="0000FF"/>
      <w:u w:val="single"/>
    </w:rPr>
  </w:style>
  <w:style w:type="paragraph" w:customStyle="1" w:styleId="H2">
    <w:name w:val="H2"/>
    <w:link w:val="H2Char"/>
    <w:rsid w:val="00EB0CA6"/>
    <w:pPr>
      <w:spacing w:after="120"/>
      <w:jc w:val="center"/>
      <w:outlineLvl w:val="1"/>
    </w:pPr>
    <w:rPr>
      <w:rFonts w:eastAsia="Times New Roman" w:cs="Times New Roman"/>
      <w:b/>
      <w:sz w:val="36"/>
      <w:szCs w:val="20"/>
    </w:rPr>
  </w:style>
  <w:style w:type="paragraph" w:customStyle="1" w:styleId="Z">
    <w:name w:val="Z"/>
    <w:basedOn w:val="Normal"/>
    <w:uiPriority w:val="99"/>
    <w:rsid w:val="00EB0CA6"/>
    <w:pPr>
      <w:ind w:firstLine="0"/>
      <w:jc w:val="center"/>
    </w:pPr>
    <w:rPr>
      <w:rFonts w:eastAsia="Times New Roman" w:cs="Times New Roman"/>
      <w:b/>
      <w:i/>
      <w:szCs w:val="20"/>
    </w:rPr>
  </w:style>
  <w:style w:type="paragraph" w:styleId="FootnoteText">
    <w:name w:val="footnote text"/>
    <w:aliases w:val="Footnote,Fußnote,Fußnote Char Char Char"/>
    <w:basedOn w:val="Normal"/>
    <w:link w:val="FootnoteTextChar"/>
    <w:semiHidden/>
    <w:rsid w:val="00EB0CA6"/>
    <w:pPr>
      <w:spacing w:after="0"/>
      <w:ind w:left="284" w:hanging="284"/>
    </w:pPr>
    <w:rPr>
      <w:rFonts w:eastAsia="Times New Roman" w:cs="Times New Roman"/>
      <w:sz w:val="20"/>
      <w:szCs w:val="20"/>
    </w:rPr>
  </w:style>
  <w:style w:type="character" w:customStyle="1" w:styleId="FootnoteTextChar">
    <w:name w:val="Footnote Text Char"/>
    <w:aliases w:val="Footnote Char,Fußnote Char,Fußnote Char Char Char Char"/>
    <w:basedOn w:val="DefaultParagraphFont"/>
    <w:link w:val="FootnoteText"/>
    <w:semiHidden/>
    <w:rsid w:val="00EB0CA6"/>
    <w:rPr>
      <w:rFonts w:eastAsia="Times New Roman" w:cs="Times New Roman"/>
      <w:sz w:val="20"/>
      <w:szCs w:val="20"/>
    </w:rPr>
  </w:style>
  <w:style w:type="character" w:styleId="FootnoteReference">
    <w:name w:val="footnote reference"/>
    <w:aliases w:val="Footnote Reference Number"/>
    <w:semiHidden/>
    <w:rsid w:val="00EB0CA6"/>
    <w:rPr>
      <w:rFonts w:ascii="Garamond" w:hAnsi="Garamond"/>
      <w:noProof w:val="0"/>
      <w:vertAlign w:val="superscript"/>
      <w:lang w:val="lv-LV"/>
    </w:rPr>
  </w:style>
  <w:style w:type="paragraph" w:customStyle="1" w:styleId="H3">
    <w:name w:val="H3"/>
    <w:link w:val="H3Char"/>
    <w:rsid w:val="00EB0CA6"/>
    <w:pPr>
      <w:spacing w:after="120"/>
      <w:jc w:val="center"/>
      <w:outlineLvl w:val="2"/>
    </w:pPr>
    <w:rPr>
      <w:rFonts w:eastAsia="Times New Roman" w:cs="Times New Roman"/>
      <w:b/>
      <w:sz w:val="32"/>
      <w:szCs w:val="20"/>
    </w:rPr>
  </w:style>
  <w:style w:type="paragraph" w:customStyle="1" w:styleId="Default">
    <w:name w:val="Default"/>
    <w:rsid w:val="00EB0CA6"/>
    <w:pPr>
      <w:autoSpaceDE w:val="0"/>
      <w:autoSpaceDN w:val="0"/>
      <w:adjustRightInd w:val="0"/>
    </w:pPr>
    <w:rPr>
      <w:rFonts w:eastAsia="Calibri" w:cs="Times New Roman"/>
      <w:color w:val="000000"/>
      <w:sz w:val="24"/>
      <w:szCs w:val="24"/>
      <w:lang w:eastAsia="lv-LV"/>
    </w:rPr>
  </w:style>
  <w:style w:type="character" w:customStyle="1" w:styleId="Heading1Char">
    <w:name w:val="Heading 1 Char"/>
    <w:basedOn w:val="DefaultParagraphFont"/>
    <w:link w:val="Heading1"/>
    <w:rsid w:val="00CC6873"/>
    <w:rPr>
      <w:b/>
      <w:kern w:val="28"/>
      <w:sz w:val="44"/>
      <w:szCs w:val="28"/>
    </w:rPr>
  </w:style>
  <w:style w:type="character" w:customStyle="1" w:styleId="Heading2Char">
    <w:name w:val="Heading 2 Char"/>
    <w:basedOn w:val="DefaultParagraphFont"/>
    <w:link w:val="Heading2"/>
    <w:rsid w:val="00CC6873"/>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CC6873"/>
    <w:rPr>
      <w:rFonts w:eastAsia="Times New Roman" w:cs="Times New Roman"/>
      <w:sz w:val="20"/>
      <w:szCs w:val="20"/>
      <w:lang w:eastAsia="lv-LV"/>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tekst">
    <w:name w:val="tab_tekst"/>
    <w:basedOn w:val="Normal"/>
    <w:rsid w:val="00CC6873"/>
    <w:pPr>
      <w:spacing w:after="0"/>
      <w:ind w:firstLine="0"/>
      <w:jc w:val="left"/>
    </w:pPr>
    <w:rPr>
      <w:color w:val="000000"/>
      <w:sz w:val="20"/>
    </w:rPr>
  </w:style>
  <w:style w:type="paragraph" w:styleId="NormalWeb">
    <w:name w:val="Normal (Web)"/>
    <w:basedOn w:val="Normal"/>
    <w:rsid w:val="00CC6873"/>
    <w:pPr>
      <w:spacing w:after="0"/>
      <w:ind w:firstLine="450"/>
      <w:jc w:val="left"/>
    </w:pPr>
    <w:rPr>
      <w:rFonts w:eastAsia="Times New Roman" w:cs="Times New Roman"/>
      <w:sz w:val="24"/>
      <w:szCs w:val="24"/>
      <w:lang w:eastAsia="lv-LV"/>
    </w:rPr>
  </w:style>
  <w:style w:type="character" w:styleId="FollowedHyperlink">
    <w:name w:val="FollowedHyperlink"/>
    <w:basedOn w:val="DefaultParagraphFont"/>
    <w:uiPriority w:val="99"/>
    <w:semiHidden/>
    <w:unhideWhenUsed/>
    <w:rsid w:val="00975F8C"/>
    <w:rPr>
      <w:color w:val="800080" w:themeColor="followedHyperlink"/>
      <w:u w:val="single"/>
    </w:rPr>
  </w:style>
  <w:style w:type="paragraph" w:styleId="Title">
    <w:name w:val="Title"/>
    <w:basedOn w:val="Normal"/>
    <w:link w:val="TitleChar"/>
    <w:uiPriority w:val="10"/>
    <w:qFormat/>
    <w:rsid w:val="00975F8C"/>
    <w:pPr>
      <w:spacing w:after="0"/>
      <w:ind w:firstLine="0"/>
      <w:jc w:val="center"/>
    </w:pPr>
    <w:rPr>
      <w:rFonts w:eastAsia="Times New Roman" w:cs="Times New Roman"/>
      <w:b/>
      <w:bCs/>
      <w:sz w:val="24"/>
      <w:szCs w:val="24"/>
    </w:rPr>
  </w:style>
  <w:style w:type="character" w:customStyle="1" w:styleId="TitleChar">
    <w:name w:val="Title Char"/>
    <w:basedOn w:val="DefaultParagraphFont"/>
    <w:link w:val="Title"/>
    <w:uiPriority w:val="10"/>
    <w:rsid w:val="00975F8C"/>
    <w:rPr>
      <w:rFonts w:eastAsia="Times New Roman" w:cs="Times New Roman"/>
      <w:b/>
      <w:bCs/>
      <w:sz w:val="24"/>
      <w:szCs w:val="24"/>
    </w:rPr>
  </w:style>
  <w:style w:type="paragraph" w:styleId="BodyText">
    <w:name w:val="Body Text"/>
    <w:basedOn w:val="Normal"/>
    <w:link w:val="BodyTextChar"/>
    <w:uiPriority w:val="99"/>
    <w:unhideWhenUsed/>
    <w:rsid w:val="00975F8C"/>
    <w:pPr>
      <w:spacing w:after="0"/>
      <w:ind w:firstLine="0"/>
      <w:jc w:val="center"/>
    </w:pPr>
    <w:rPr>
      <w:rFonts w:eastAsia="Times New Roman" w:cs="Times New Roman"/>
      <w:sz w:val="24"/>
      <w:szCs w:val="24"/>
    </w:rPr>
  </w:style>
  <w:style w:type="character" w:customStyle="1" w:styleId="BodyTextChar">
    <w:name w:val="Body Text Char"/>
    <w:basedOn w:val="DefaultParagraphFont"/>
    <w:link w:val="BodyText"/>
    <w:uiPriority w:val="99"/>
    <w:rsid w:val="00975F8C"/>
    <w:rPr>
      <w:rFonts w:eastAsia="Times New Roman" w:cs="Times New Roman"/>
      <w:sz w:val="24"/>
      <w:szCs w:val="24"/>
    </w:rPr>
  </w:style>
  <w:style w:type="paragraph" w:styleId="ListParagraph">
    <w:name w:val="List Paragraph"/>
    <w:basedOn w:val="Normal"/>
    <w:link w:val="ListParagraphChar"/>
    <w:uiPriority w:val="34"/>
    <w:qFormat/>
    <w:rsid w:val="00975F8C"/>
    <w:pPr>
      <w:ind w:left="720"/>
      <w:contextualSpacing/>
    </w:pPr>
  </w:style>
  <w:style w:type="character" w:customStyle="1" w:styleId="Heading3Char">
    <w:name w:val="Heading 3 Char"/>
    <w:basedOn w:val="DefaultParagraphFont"/>
    <w:link w:val="Heading3"/>
    <w:rsid w:val="00CA33A5"/>
    <w:rPr>
      <w:rFonts w:ascii="Arial" w:eastAsia="Times New Roman" w:hAnsi="Arial" w:cs="Times New Roman"/>
      <w:sz w:val="24"/>
      <w:szCs w:val="20"/>
      <w:lang w:val="x-none"/>
    </w:rPr>
  </w:style>
  <w:style w:type="paragraph" w:styleId="NoSpacing">
    <w:name w:val="No Spacing"/>
    <w:uiPriority w:val="1"/>
    <w:qFormat/>
    <w:rsid w:val="00CA33A5"/>
    <w:rPr>
      <w:rFonts w:eastAsia="Times New Roman" w:cs="Times New Roman"/>
      <w:sz w:val="20"/>
      <w:szCs w:val="20"/>
    </w:rPr>
  </w:style>
  <w:style w:type="paragraph" w:customStyle="1" w:styleId="tekstsbul">
    <w:name w:val="teksts_bul"/>
    <w:basedOn w:val="Normal"/>
    <w:rsid w:val="00CA33A5"/>
    <w:pPr>
      <w:spacing w:after="0"/>
      <w:ind w:left="720" w:hanging="360"/>
    </w:pPr>
    <w:rPr>
      <w:rFonts w:ascii="Garamond" w:eastAsia="Times New Roman" w:hAnsi="Garamond" w:cs="Times New Roman"/>
      <w:snapToGrid w:val="0"/>
      <w:sz w:val="24"/>
      <w:szCs w:val="20"/>
    </w:rPr>
  </w:style>
  <w:style w:type="paragraph" w:customStyle="1" w:styleId="virsr21">
    <w:name w:val="virsr_21"/>
    <w:basedOn w:val="Normal"/>
    <w:rsid w:val="00CA33A5"/>
    <w:pPr>
      <w:keepNext/>
      <w:numPr>
        <w:numId w:val="5"/>
      </w:numPr>
      <w:tabs>
        <w:tab w:val="clear" w:pos="502"/>
      </w:tabs>
      <w:spacing w:before="360"/>
      <w:ind w:left="0" w:firstLine="0"/>
      <w:jc w:val="left"/>
      <w:outlineLvl w:val="2"/>
    </w:pPr>
    <w:rPr>
      <w:rFonts w:ascii="Garamond" w:eastAsia="Times New Roman" w:hAnsi="Garamond" w:cs="Times New Roman"/>
      <w:b/>
      <w:snapToGrid w:val="0"/>
      <w:sz w:val="24"/>
      <w:szCs w:val="20"/>
    </w:rPr>
  </w:style>
  <w:style w:type="paragraph" w:customStyle="1" w:styleId="teksts">
    <w:name w:val="teksts"/>
    <w:rsid w:val="00CA33A5"/>
    <w:pPr>
      <w:spacing w:after="120"/>
      <w:jc w:val="both"/>
    </w:pPr>
    <w:rPr>
      <w:rFonts w:ascii="Garamond" w:eastAsia="Times New Roman" w:hAnsi="Garamond" w:cs="Times New Roman"/>
      <w:sz w:val="24"/>
      <w:szCs w:val="20"/>
    </w:rPr>
  </w:style>
  <w:style w:type="paragraph" w:customStyle="1" w:styleId="teksts1r">
    <w:name w:val="teksts_1r"/>
    <w:basedOn w:val="teksts"/>
    <w:rsid w:val="00CA33A5"/>
    <w:pPr>
      <w:spacing w:before="120"/>
    </w:pPr>
    <w:rPr>
      <w:snapToGrid w:val="0"/>
    </w:rPr>
  </w:style>
  <w:style w:type="character" w:customStyle="1" w:styleId="mediumtext">
    <w:name w:val="mediumtext"/>
    <w:uiPriority w:val="99"/>
    <w:rsid w:val="00CA33A5"/>
    <w:rPr>
      <w:rFonts w:cs="Times New Roman"/>
    </w:rPr>
  </w:style>
  <w:style w:type="paragraph" w:customStyle="1" w:styleId="tabteksts">
    <w:name w:val="tab_teksts"/>
    <w:basedOn w:val="Normal"/>
    <w:rsid w:val="00CA33A5"/>
    <w:pPr>
      <w:spacing w:after="0"/>
      <w:ind w:firstLine="0"/>
      <w:jc w:val="left"/>
    </w:pPr>
    <w:rPr>
      <w:rFonts w:eastAsia="Times New Roman" w:cs="Times New Roman"/>
      <w:sz w:val="20"/>
      <w:szCs w:val="20"/>
    </w:rPr>
  </w:style>
  <w:style w:type="numbering" w:customStyle="1" w:styleId="NoList1">
    <w:name w:val="No List1"/>
    <w:next w:val="NoList"/>
    <w:uiPriority w:val="99"/>
    <w:semiHidden/>
    <w:unhideWhenUsed/>
    <w:rsid w:val="00CA33A5"/>
  </w:style>
  <w:style w:type="paragraph" w:customStyle="1" w:styleId="T">
    <w:name w:val="T"/>
    <w:basedOn w:val="Normal"/>
    <w:rsid w:val="00CA33A5"/>
    <w:pPr>
      <w:ind w:firstLine="0"/>
      <w:jc w:val="center"/>
    </w:pPr>
    <w:rPr>
      <w:rFonts w:eastAsia="Times New Roman" w:cs="Times New Roman"/>
      <w:b/>
      <w:i/>
      <w:szCs w:val="20"/>
    </w:rPr>
  </w:style>
  <w:style w:type="paragraph" w:customStyle="1" w:styleId="H1">
    <w:name w:val="H1"/>
    <w:rsid w:val="00CA33A5"/>
    <w:pPr>
      <w:spacing w:after="120"/>
      <w:jc w:val="center"/>
      <w:outlineLvl w:val="0"/>
    </w:pPr>
    <w:rPr>
      <w:rFonts w:eastAsia="Times New Roman" w:cs="Times New Roman"/>
      <w:b/>
      <w:sz w:val="44"/>
      <w:szCs w:val="20"/>
    </w:rPr>
  </w:style>
  <w:style w:type="paragraph" w:styleId="BodyTextIndent3">
    <w:name w:val="Body Text Indent 3"/>
    <w:basedOn w:val="Normal"/>
    <w:link w:val="BodyTextIndent3Char"/>
    <w:uiPriority w:val="99"/>
    <w:semiHidden/>
    <w:rsid w:val="00CA33A5"/>
    <w:pPr>
      <w:overflowPunct w:val="0"/>
      <w:autoSpaceDE w:val="0"/>
      <w:autoSpaceDN w:val="0"/>
      <w:adjustRightInd w:val="0"/>
      <w:textAlignment w:val="baseline"/>
    </w:pPr>
    <w:rPr>
      <w:rFonts w:eastAsia="Times New Roman" w:cs="Times New Roman"/>
      <w:szCs w:val="20"/>
      <w:lang w:val="x-none"/>
    </w:rPr>
  </w:style>
  <w:style w:type="character" w:customStyle="1" w:styleId="BodyTextIndent3Char">
    <w:name w:val="Body Text Indent 3 Char"/>
    <w:basedOn w:val="DefaultParagraphFont"/>
    <w:link w:val="BodyTextIndent3"/>
    <w:uiPriority w:val="99"/>
    <w:semiHidden/>
    <w:rsid w:val="00CA33A5"/>
    <w:rPr>
      <w:rFonts w:eastAsia="Times New Roman" w:cs="Times New Roman"/>
      <w:szCs w:val="20"/>
      <w:lang w:val="x-none"/>
    </w:rPr>
  </w:style>
  <w:style w:type="paragraph" w:customStyle="1" w:styleId="H4">
    <w:name w:val="H4"/>
    <w:rsid w:val="00CA33A5"/>
    <w:pPr>
      <w:spacing w:after="120"/>
      <w:jc w:val="center"/>
      <w:outlineLvl w:val="3"/>
    </w:pPr>
    <w:rPr>
      <w:rFonts w:eastAsia="Times New Roman" w:cs="Times New Roman"/>
      <w:b/>
      <w:szCs w:val="20"/>
    </w:rPr>
  </w:style>
  <w:style w:type="character" w:customStyle="1" w:styleId="BodyTextIndent2Char">
    <w:name w:val="Body Text Indent 2 Char"/>
    <w:link w:val="BodyTextIndent2"/>
    <w:uiPriority w:val="99"/>
    <w:semiHidden/>
    <w:rsid w:val="00CA33A5"/>
    <w:rPr>
      <w:rFonts w:eastAsia="Times New Roman"/>
    </w:rPr>
  </w:style>
  <w:style w:type="paragraph" w:styleId="BodyTextIndent2">
    <w:name w:val="Body Text Indent 2"/>
    <w:basedOn w:val="Normal"/>
    <w:link w:val="BodyTextIndent2Char"/>
    <w:uiPriority w:val="99"/>
    <w:semiHidden/>
    <w:unhideWhenUsed/>
    <w:rsid w:val="00CA33A5"/>
    <w:pPr>
      <w:spacing w:line="480" w:lineRule="auto"/>
      <w:ind w:left="283"/>
    </w:pPr>
    <w:rPr>
      <w:rFonts w:eastAsia="Times New Roman"/>
      <w:szCs w:val="22"/>
    </w:rPr>
  </w:style>
  <w:style w:type="character" w:customStyle="1" w:styleId="BodyTextIndent2Char1">
    <w:name w:val="Body Text Indent 2 Char1"/>
    <w:basedOn w:val="DefaultParagraphFont"/>
    <w:uiPriority w:val="99"/>
    <w:semiHidden/>
    <w:rsid w:val="00CA33A5"/>
    <w:rPr>
      <w:szCs w:val="28"/>
    </w:rPr>
  </w:style>
  <w:style w:type="character" w:customStyle="1" w:styleId="EndnoteTextChar">
    <w:name w:val="Endnote Text Char"/>
    <w:link w:val="EndnoteText"/>
    <w:uiPriority w:val="99"/>
    <w:semiHidden/>
    <w:rsid w:val="00CA33A5"/>
    <w:rPr>
      <w:rFonts w:eastAsia="Times New Roman"/>
    </w:rPr>
  </w:style>
  <w:style w:type="paragraph" w:styleId="EndnoteText">
    <w:name w:val="endnote text"/>
    <w:basedOn w:val="Normal"/>
    <w:link w:val="EndnoteTextChar"/>
    <w:uiPriority w:val="99"/>
    <w:semiHidden/>
    <w:unhideWhenUsed/>
    <w:rsid w:val="00CA33A5"/>
    <w:rPr>
      <w:rFonts w:eastAsia="Times New Roman"/>
      <w:szCs w:val="22"/>
    </w:rPr>
  </w:style>
  <w:style w:type="character" w:customStyle="1" w:styleId="EndnoteTextChar1">
    <w:name w:val="Endnote Text Char1"/>
    <w:basedOn w:val="DefaultParagraphFont"/>
    <w:uiPriority w:val="99"/>
    <w:semiHidden/>
    <w:rsid w:val="00CA33A5"/>
    <w:rPr>
      <w:sz w:val="20"/>
      <w:szCs w:val="20"/>
    </w:rPr>
  </w:style>
  <w:style w:type="paragraph" w:customStyle="1" w:styleId="tabnum">
    <w:name w:val="tab_num"/>
    <w:basedOn w:val="Normal"/>
    <w:autoRedefine/>
    <w:rsid w:val="00CA33A5"/>
    <w:pPr>
      <w:keepLines/>
      <w:ind w:firstLine="0"/>
      <w:jc w:val="right"/>
    </w:pPr>
    <w:rPr>
      <w:rFonts w:ascii="Garamond" w:eastAsia="Times New Roman" w:hAnsi="Garamond" w:cs="Times New Roman"/>
      <w:sz w:val="24"/>
      <w:szCs w:val="20"/>
    </w:rPr>
  </w:style>
  <w:style w:type="paragraph" w:styleId="TOC4">
    <w:name w:val="toc 4"/>
    <w:basedOn w:val="Normal"/>
    <w:next w:val="Normal"/>
    <w:autoRedefine/>
    <w:semiHidden/>
    <w:rsid w:val="00CA33A5"/>
    <w:pPr>
      <w:ind w:left="840"/>
    </w:pPr>
    <w:rPr>
      <w:rFonts w:eastAsia="Times New Roman" w:cs="Times New Roman"/>
      <w:szCs w:val="20"/>
    </w:rPr>
  </w:style>
  <w:style w:type="paragraph" w:styleId="TOC5">
    <w:name w:val="toc 5"/>
    <w:basedOn w:val="Normal"/>
    <w:next w:val="Normal"/>
    <w:autoRedefine/>
    <w:semiHidden/>
    <w:rsid w:val="00CA33A5"/>
    <w:pPr>
      <w:ind w:left="1120"/>
    </w:pPr>
    <w:rPr>
      <w:rFonts w:eastAsia="Times New Roman" w:cs="Times New Roman"/>
      <w:szCs w:val="20"/>
    </w:rPr>
  </w:style>
  <w:style w:type="paragraph" w:styleId="TOC6">
    <w:name w:val="toc 6"/>
    <w:basedOn w:val="Normal"/>
    <w:next w:val="Normal"/>
    <w:autoRedefine/>
    <w:semiHidden/>
    <w:rsid w:val="00CA33A5"/>
    <w:pPr>
      <w:ind w:left="1400"/>
    </w:pPr>
    <w:rPr>
      <w:rFonts w:eastAsia="Times New Roman" w:cs="Times New Roman"/>
      <w:szCs w:val="20"/>
    </w:rPr>
  </w:style>
  <w:style w:type="paragraph" w:styleId="TOC7">
    <w:name w:val="toc 7"/>
    <w:basedOn w:val="Normal"/>
    <w:next w:val="Normal"/>
    <w:autoRedefine/>
    <w:semiHidden/>
    <w:rsid w:val="00CA33A5"/>
    <w:pPr>
      <w:ind w:left="1680"/>
    </w:pPr>
    <w:rPr>
      <w:rFonts w:eastAsia="Times New Roman" w:cs="Times New Roman"/>
      <w:szCs w:val="20"/>
    </w:rPr>
  </w:style>
  <w:style w:type="paragraph" w:styleId="TOC8">
    <w:name w:val="toc 8"/>
    <w:basedOn w:val="Normal"/>
    <w:next w:val="Normal"/>
    <w:autoRedefine/>
    <w:semiHidden/>
    <w:rsid w:val="00CA33A5"/>
    <w:pPr>
      <w:ind w:left="1960"/>
    </w:pPr>
    <w:rPr>
      <w:rFonts w:eastAsia="Times New Roman" w:cs="Times New Roman"/>
      <w:szCs w:val="20"/>
    </w:rPr>
  </w:style>
  <w:style w:type="paragraph" w:styleId="TOC9">
    <w:name w:val="toc 9"/>
    <w:basedOn w:val="Normal"/>
    <w:next w:val="Normal"/>
    <w:autoRedefine/>
    <w:semiHidden/>
    <w:rsid w:val="00CA33A5"/>
    <w:pPr>
      <w:ind w:left="2240"/>
    </w:pPr>
    <w:rPr>
      <w:rFonts w:eastAsia="Times New Roman" w:cs="Times New Roman"/>
      <w:szCs w:val="20"/>
    </w:rPr>
  </w:style>
  <w:style w:type="character" w:styleId="EndnoteReference">
    <w:name w:val="endnote reference"/>
    <w:uiPriority w:val="99"/>
    <w:semiHidden/>
    <w:unhideWhenUsed/>
    <w:rsid w:val="00CA33A5"/>
    <w:rPr>
      <w:vertAlign w:val="superscript"/>
    </w:rPr>
  </w:style>
  <w:style w:type="paragraph" w:styleId="BodyTextIndent">
    <w:name w:val="Body Text Indent"/>
    <w:basedOn w:val="Normal"/>
    <w:link w:val="BodyTextIndentChar"/>
    <w:rsid w:val="00CA33A5"/>
    <w:pPr>
      <w:ind w:left="283" w:firstLine="0"/>
    </w:pPr>
    <w:rPr>
      <w:rFonts w:eastAsia="Times New Roman" w:cs="Times New Roman"/>
      <w:sz w:val="24"/>
      <w:szCs w:val="20"/>
      <w:lang w:val="x-none"/>
    </w:rPr>
  </w:style>
  <w:style w:type="character" w:customStyle="1" w:styleId="BodyTextIndentChar">
    <w:name w:val="Body Text Indent Char"/>
    <w:basedOn w:val="DefaultParagraphFont"/>
    <w:link w:val="BodyTextIndent"/>
    <w:rsid w:val="00CA33A5"/>
    <w:rPr>
      <w:rFonts w:eastAsia="Times New Roman" w:cs="Times New Roman"/>
      <w:sz w:val="24"/>
      <w:szCs w:val="20"/>
      <w:lang w:val="x-none"/>
    </w:rPr>
  </w:style>
  <w:style w:type="numbering" w:styleId="111111">
    <w:name w:val="Outline List 2"/>
    <w:basedOn w:val="NoList"/>
    <w:uiPriority w:val="99"/>
    <w:rsid w:val="00CA33A5"/>
    <w:pPr>
      <w:numPr>
        <w:numId w:val="10"/>
      </w:numPr>
    </w:pPr>
  </w:style>
  <w:style w:type="paragraph" w:customStyle="1" w:styleId="programmas">
    <w:name w:val="programmas"/>
    <w:basedOn w:val="Normal"/>
    <w:rsid w:val="00CA33A5"/>
    <w:pPr>
      <w:spacing w:before="100" w:beforeAutospacing="1" w:after="100" w:afterAutospacing="1"/>
      <w:ind w:firstLine="0"/>
      <w:jc w:val="left"/>
    </w:pPr>
    <w:rPr>
      <w:rFonts w:eastAsia="Calibri" w:cs="Times New Roman"/>
      <w:sz w:val="24"/>
      <w:szCs w:val="24"/>
      <w:lang w:val="en-US"/>
    </w:rPr>
  </w:style>
  <w:style w:type="numbering" w:customStyle="1" w:styleId="1111111">
    <w:name w:val="1 / 1.1 / 1.1.11"/>
    <w:basedOn w:val="NoList"/>
    <w:next w:val="111111"/>
    <w:rsid w:val="00CA33A5"/>
    <w:pPr>
      <w:numPr>
        <w:numId w:val="8"/>
      </w:numPr>
    </w:pPr>
  </w:style>
  <w:style w:type="character" w:customStyle="1" w:styleId="contentpaneopen1">
    <w:name w:val="contentpaneopen1"/>
    <w:rsid w:val="00CA33A5"/>
    <w:rPr>
      <w:rFonts w:ascii="Arial" w:hAnsi="Arial" w:cs="Arial" w:hint="default"/>
      <w:sz w:val="21"/>
      <w:szCs w:val="21"/>
    </w:rPr>
  </w:style>
  <w:style w:type="numbering" w:customStyle="1" w:styleId="1111112">
    <w:name w:val="1 / 1.1 / 1.1.12"/>
    <w:basedOn w:val="NoList"/>
    <w:next w:val="111111"/>
    <w:rsid w:val="00CA33A5"/>
    <w:pPr>
      <w:numPr>
        <w:numId w:val="9"/>
      </w:numPr>
    </w:pPr>
  </w:style>
  <w:style w:type="paragraph" w:customStyle="1" w:styleId="naiskr">
    <w:name w:val="naiskr"/>
    <w:basedOn w:val="Normal"/>
    <w:uiPriority w:val="99"/>
    <w:rsid w:val="00CA33A5"/>
    <w:pPr>
      <w:spacing w:before="100" w:beforeAutospacing="1" w:after="100" w:afterAutospacing="1"/>
      <w:ind w:firstLine="0"/>
      <w:jc w:val="left"/>
    </w:pPr>
    <w:rPr>
      <w:rFonts w:eastAsia="Times New Roman" w:cs="Times New Roman"/>
      <w:sz w:val="24"/>
      <w:szCs w:val="24"/>
      <w:lang w:eastAsia="lv-LV"/>
    </w:rPr>
  </w:style>
  <w:style w:type="paragraph" w:customStyle="1" w:styleId="cipari">
    <w:name w:val="cipari"/>
    <w:basedOn w:val="Normal"/>
    <w:link w:val="cipariChar"/>
    <w:uiPriority w:val="99"/>
    <w:rsid w:val="00CA33A5"/>
    <w:pPr>
      <w:suppressAutoHyphens/>
      <w:ind w:left="709" w:hanging="709"/>
    </w:pPr>
    <w:rPr>
      <w:rFonts w:ascii="Calibri" w:eastAsia="Calibri" w:hAnsi="Calibri" w:cs="Times New Roman"/>
      <w:sz w:val="24"/>
      <w:szCs w:val="20"/>
      <w:lang w:val="x-none" w:eastAsia="ar-SA"/>
    </w:rPr>
  </w:style>
  <w:style w:type="character" w:customStyle="1" w:styleId="cipariChar">
    <w:name w:val="cipari Char"/>
    <w:link w:val="cipari"/>
    <w:uiPriority w:val="99"/>
    <w:locked/>
    <w:rsid w:val="00CA33A5"/>
    <w:rPr>
      <w:rFonts w:ascii="Calibri" w:eastAsia="Calibri" w:hAnsi="Calibri" w:cs="Times New Roman"/>
      <w:sz w:val="24"/>
      <w:szCs w:val="20"/>
      <w:lang w:val="x-none" w:eastAsia="ar-SA"/>
    </w:rPr>
  </w:style>
  <w:style w:type="paragraph" w:customStyle="1" w:styleId="TableContents">
    <w:name w:val="Table Contents"/>
    <w:basedOn w:val="Normal"/>
    <w:uiPriority w:val="99"/>
    <w:rsid w:val="00CA33A5"/>
    <w:pPr>
      <w:suppressLineNumbers/>
      <w:suppressAutoHyphens/>
      <w:spacing w:after="0"/>
      <w:ind w:firstLine="0"/>
      <w:jc w:val="left"/>
    </w:pPr>
    <w:rPr>
      <w:rFonts w:eastAsia="Times New Roman" w:cs="Times New Roman"/>
      <w:sz w:val="20"/>
      <w:szCs w:val="20"/>
      <w:lang w:val="en-US" w:eastAsia="ar-SA"/>
    </w:rPr>
  </w:style>
  <w:style w:type="paragraph" w:customStyle="1" w:styleId="izdevumi">
    <w:name w:val="izdevumi"/>
    <w:basedOn w:val="Normal"/>
    <w:qFormat/>
    <w:rsid w:val="00CA33A5"/>
    <w:pPr>
      <w:widowControl w:val="0"/>
      <w:spacing w:before="120"/>
      <w:ind w:left="567" w:firstLine="0"/>
    </w:pPr>
    <w:rPr>
      <w:rFonts w:eastAsia="Times New Roman" w:cs="Times New Roman"/>
      <w:i/>
      <w:sz w:val="24"/>
      <w:szCs w:val="20"/>
    </w:rPr>
  </w:style>
  <w:style w:type="character" w:styleId="Emphasis">
    <w:name w:val="Emphasis"/>
    <w:basedOn w:val="DefaultParagraphFont"/>
    <w:qFormat/>
    <w:rsid w:val="00CA33A5"/>
    <w:rPr>
      <w:rFonts w:ascii="Times New Roman" w:hAnsi="Times New Roman"/>
      <w:i w:val="0"/>
      <w:iCs/>
      <w:sz w:val="22"/>
    </w:rPr>
  </w:style>
  <w:style w:type="numbering" w:customStyle="1" w:styleId="NoList2">
    <w:name w:val="No List2"/>
    <w:next w:val="NoList"/>
    <w:uiPriority w:val="99"/>
    <w:semiHidden/>
    <w:unhideWhenUsed/>
    <w:rsid w:val="00CA33A5"/>
  </w:style>
  <w:style w:type="table" w:customStyle="1" w:styleId="TableGrid1">
    <w:name w:val="Table Grid1"/>
    <w:basedOn w:val="TableNormal"/>
    <w:next w:val="TableGrid"/>
    <w:uiPriority w:val="59"/>
    <w:rsid w:val="00CA33A5"/>
    <w:rPr>
      <w:rFonts w:eastAsia="Times New Roman" w:cs="Times New Roman"/>
      <w:sz w:val="20"/>
      <w:szCs w:val="20"/>
      <w:lang w:eastAsia="lv-LV"/>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3">
    <w:name w:val="1 / 1.1 / 1.1.13"/>
    <w:basedOn w:val="NoList"/>
    <w:next w:val="111111"/>
    <w:uiPriority w:val="99"/>
    <w:rsid w:val="00CA33A5"/>
    <w:pPr>
      <w:numPr>
        <w:numId w:val="7"/>
      </w:numPr>
    </w:pPr>
  </w:style>
  <w:style w:type="numbering" w:customStyle="1" w:styleId="11111111">
    <w:name w:val="1 / 1.1 / 1.1.111"/>
    <w:basedOn w:val="NoList"/>
    <w:next w:val="111111"/>
    <w:rsid w:val="00CA33A5"/>
    <w:pPr>
      <w:numPr>
        <w:numId w:val="5"/>
      </w:numPr>
    </w:pPr>
  </w:style>
  <w:style w:type="numbering" w:customStyle="1" w:styleId="11111121">
    <w:name w:val="1 / 1.1 / 1.1.121"/>
    <w:basedOn w:val="NoList"/>
    <w:next w:val="111111"/>
    <w:rsid w:val="00CA33A5"/>
    <w:pPr>
      <w:numPr>
        <w:numId w:val="6"/>
      </w:numPr>
    </w:pPr>
  </w:style>
  <w:style w:type="numbering" w:customStyle="1" w:styleId="NoList3">
    <w:name w:val="No List3"/>
    <w:next w:val="NoList"/>
    <w:uiPriority w:val="99"/>
    <w:semiHidden/>
    <w:unhideWhenUsed/>
    <w:rsid w:val="00CA33A5"/>
  </w:style>
  <w:style w:type="numbering" w:customStyle="1" w:styleId="NoList4">
    <w:name w:val="No List4"/>
    <w:next w:val="NoList"/>
    <w:uiPriority w:val="99"/>
    <w:semiHidden/>
    <w:unhideWhenUsed/>
    <w:rsid w:val="00CA33A5"/>
  </w:style>
  <w:style w:type="paragraph" w:customStyle="1" w:styleId="heading222">
    <w:name w:val="heading222"/>
    <w:basedOn w:val="H2"/>
    <w:link w:val="heading222Char"/>
    <w:qFormat/>
    <w:rsid w:val="00FA06C2"/>
  </w:style>
  <w:style w:type="paragraph" w:customStyle="1" w:styleId="heading3333">
    <w:name w:val="heading3333"/>
    <w:basedOn w:val="H3"/>
    <w:link w:val="heading3333Char"/>
    <w:qFormat/>
    <w:rsid w:val="00FA06C2"/>
    <w:pPr>
      <w:spacing w:before="240"/>
    </w:pPr>
  </w:style>
  <w:style w:type="character" w:customStyle="1" w:styleId="H2Char">
    <w:name w:val="H2 Char"/>
    <w:basedOn w:val="DefaultParagraphFont"/>
    <w:link w:val="H2"/>
    <w:rsid w:val="00FA06C2"/>
    <w:rPr>
      <w:rFonts w:eastAsia="Times New Roman" w:cs="Times New Roman"/>
      <w:b/>
      <w:sz w:val="36"/>
      <w:szCs w:val="20"/>
    </w:rPr>
  </w:style>
  <w:style w:type="character" w:customStyle="1" w:styleId="heading222Char">
    <w:name w:val="heading222 Char"/>
    <w:basedOn w:val="H2Char"/>
    <w:link w:val="heading222"/>
    <w:rsid w:val="00FA06C2"/>
    <w:rPr>
      <w:rFonts w:eastAsia="Times New Roman" w:cs="Times New Roman"/>
      <w:b/>
      <w:sz w:val="36"/>
      <w:szCs w:val="20"/>
    </w:rPr>
  </w:style>
  <w:style w:type="paragraph" w:styleId="TOCHeading">
    <w:name w:val="TOC Heading"/>
    <w:basedOn w:val="Heading1"/>
    <w:next w:val="Normal"/>
    <w:uiPriority w:val="39"/>
    <w:unhideWhenUsed/>
    <w:qFormat/>
    <w:rsid w:val="00FA06C2"/>
    <w:pPr>
      <w:keepLines/>
      <w:spacing w:before="480" w:after="0" w:line="276" w:lineRule="auto"/>
      <w:ind w:firstLine="0"/>
      <w:jc w:val="left"/>
      <w:outlineLvl w:val="9"/>
    </w:pPr>
    <w:rPr>
      <w:rFonts w:asciiTheme="majorHAnsi" w:eastAsiaTheme="majorEastAsia" w:hAnsiTheme="majorHAnsi" w:cstheme="majorBidi"/>
      <w:bCs/>
      <w:color w:val="365F91" w:themeColor="accent1" w:themeShade="BF"/>
      <w:kern w:val="0"/>
      <w:sz w:val="28"/>
      <w:lang w:val="en-US" w:eastAsia="ja-JP"/>
    </w:rPr>
  </w:style>
  <w:style w:type="character" w:customStyle="1" w:styleId="H3Char">
    <w:name w:val="H3 Char"/>
    <w:basedOn w:val="DefaultParagraphFont"/>
    <w:link w:val="H3"/>
    <w:rsid w:val="00FA06C2"/>
    <w:rPr>
      <w:rFonts w:eastAsia="Times New Roman" w:cs="Times New Roman"/>
      <w:b/>
      <w:sz w:val="32"/>
      <w:szCs w:val="20"/>
    </w:rPr>
  </w:style>
  <w:style w:type="character" w:customStyle="1" w:styleId="heading3333Char">
    <w:name w:val="heading3333 Char"/>
    <w:basedOn w:val="H3Char"/>
    <w:link w:val="heading3333"/>
    <w:rsid w:val="00FA06C2"/>
    <w:rPr>
      <w:rFonts w:eastAsia="Times New Roman" w:cs="Times New Roman"/>
      <w:b/>
      <w:sz w:val="32"/>
      <w:szCs w:val="20"/>
    </w:rPr>
  </w:style>
  <w:style w:type="table" w:customStyle="1" w:styleId="TableGrid11">
    <w:name w:val="Table Grid11"/>
    <w:basedOn w:val="TableNormal"/>
    <w:next w:val="TableGrid"/>
    <w:uiPriority w:val="39"/>
    <w:rsid w:val="00062774"/>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BB74DA"/>
    <w:rPr>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920082">
      <w:bodyDiv w:val="1"/>
      <w:marLeft w:val="0"/>
      <w:marRight w:val="0"/>
      <w:marTop w:val="0"/>
      <w:marBottom w:val="0"/>
      <w:divBdr>
        <w:top w:val="none" w:sz="0" w:space="0" w:color="auto"/>
        <w:left w:val="none" w:sz="0" w:space="0" w:color="auto"/>
        <w:bottom w:val="none" w:sz="0" w:space="0" w:color="auto"/>
        <w:right w:val="none" w:sz="0" w:space="0" w:color="auto"/>
      </w:divBdr>
    </w:div>
    <w:div w:id="395592062">
      <w:bodyDiv w:val="1"/>
      <w:marLeft w:val="0"/>
      <w:marRight w:val="0"/>
      <w:marTop w:val="0"/>
      <w:marBottom w:val="0"/>
      <w:divBdr>
        <w:top w:val="none" w:sz="0" w:space="0" w:color="auto"/>
        <w:left w:val="none" w:sz="0" w:space="0" w:color="auto"/>
        <w:bottom w:val="none" w:sz="0" w:space="0" w:color="auto"/>
        <w:right w:val="none" w:sz="0" w:space="0" w:color="auto"/>
      </w:divBdr>
    </w:div>
    <w:div w:id="1011569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8.xml"/><Relationship Id="rId26" Type="http://schemas.openxmlformats.org/officeDocument/2006/relationships/image" Target="media/image8.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image" Target="media/image15.png"/><Relationship Id="rId42" Type="http://schemas.openxmlformats.org/officeDocument/2006/relationships/chart" Target="charts/chart14.xml"/><Relationship Id="rId47" Type="http://schemas.openxmlformats.org/officeDocument/2006/relationships/hyperlink" Target="mailto:Ilze.Bule@fm.gov.lv"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7.xm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chart" Target="charts/chart18.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10.xml"/><Relationship Id="rId29" Type="http://schemas.openxmlformats.org/officeDocument/2006/relationships/image" Target="media/image11.png"/><Relationship Id="rId41"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6.png"/><Relationship Id="rId32" Type="http://schemas.openxmlformats.org/officeDocument/2006/relationships/chart" Target="charts/chart12.xm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chart" Target="charts/chart17.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5.emf"/><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header" Target="header2.xml"/><Relationship Id="rId10" Type="http://schemas.openxmlformats.org/officeDocument/2006/relationships/chart" Target="charts/chart2.xml"/><Relationship Id="rId19" Type="http://schemas.openxmlformats.org/officeDocument/2006/relationships/chart" Target="charts/chart9.xml"/><Relationship Id="rId31" Type="http://schemas.openxmlformats.org/officeDocument/2006/relationships/image" Target="media/image13.png"/><Relationship Id="rId44" Type="http://schemas.openxmlformats.org/officeDocument/2006/relationships/chart" Target="charts/chart16.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1.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chart" Target="charts/chart15.xm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1.bin"/></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filex\FPJ\TAND\FISK&#256;L&#256;S%20ANAL&#298;ZES%20UN%20PROGNOZ&#274;&#352;ANAS%20NODA&#315;A\Ceturk&#353;&#326;a%20zi&#326;ojums\2014\Charts.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filex\FPJ\TAND\FISK&#256;L&#256;S%20ANAL&#298;ZES%20UN%20PROGNOZ&#274;&#352;ANAS%20NODA&#315;A\Ceturk&#353;&#326;a%20zi&#326;ojums\2014\Charts.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filex\BD\Kopsavilkuma_nod\Adijane%20Zane\dazadi\izpildes_analize\2014_Icet_izpilde_uz130514\I_cet_zinojums_izpilde_uz130514\PBunSpb2014ek_3men_100514.xlsx" TargetMode="External"/></Relationships>
</file>

<file path=word/charts/_rels/chart15.xml.rels><?xml version="1.0" encoding="UTF-8" standalone="yes"?>
<Relationships xmlns="http://schemas.openxmlformats.org/package/2006/relationships"><Relationship Id="rId2" Type="http://schemas.openxmlformats.org/officeDocument/2006/relationships/oleObject" Target="file:///\\filex\BD\Kopsavilkuma_nod\Adijane%20Zane\dazadi\2014\I_cet_zinojums_izpilde_uz130514\PBunSpb_2014_3men_funkc_090514.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filex\BD\Kopsavilkuma_nod\Adijane%20Zane\dazadi\izpildes_analize\2014_Icet_izpilde_uz130514\I_cet_zinojums_izpilde_uz130514\PBunSpb2014ek_3men_100514.xlsx" TargetMode="External"/></Relationships>
</file>

<file path=word/charts/_rels/chart17.xml.rels><?xml version="1.0" encoding="UTF-8" standalone="yes"?>
<Relationships xmlns="http://schemas.openxmlformats.org/package/2006/relationships"><Relationship Id="rId2" Type="http://schemas.openxmlformats.org/officeDocument/2006/relationships/oleObject" Target="file:///\\filex\BD\Kopsavilkuma_nod\Adijane%20Zane\dazadi\izpildes_analize\2014_Icet_izpilde_uz130514\I_cet_zinojums_izpilde_uz130514\dalas_2013-2014cet_kopsav_100514.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6.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file:///\\filex\FPJ\TAND\Diana%20Ondza\Book1.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filex\FPJ\TAND\_Zinojumi\2014_gads\R&#363;pniec&#299;bas%20dati.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filex\FPJ\TAND\_Zinojumi\2014_gads\R&#363;pniec&#299;bas%20dati.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3.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3"/>
          <c:order val="3"/>
          <c:tx>
            <c:strRef>
              <c:f>'Parnervalstu svērtā izaugsme'!$J$9</c:f>
              <c:strCache>
                <c:ptCount val="1"/>
                <c:pt idx="0">
                  <c:v>ES</c:v>
                </c:pt>
              </c:strCache>
            </c:strRef>
          </c:tx>
          <c:spPr>
            <a:solidFill>
              <a:schemeClr val="accent4"/>
            </a:solidFill>
            <a:ln>
              <a:noFill/>
            </a:ln>
            <a:effectLst/>
          </c:spPr>
          <c:invertIfNegative val="0"/>
          <c:cat>
            <c:multiLvlStrRef>
              <c:f>'Parnervalstu svērtā izaugsme'!$A$10:$B$23</c:f>
              <c:multiLvlStrCache>
                <c:ptCount val="14"/>
                <c:lvl>
                  <c:pt idx="0">
                    <c:v>I</c:v>
                  </c:pt>
                  <c:pt idx="1">
                    <c:v>II</c:v>
                  </c:pt>
                  <c:pt idx="2">
                    <c:v>III</c:v>
                  </c:pt>
                  <c:pt idx="3">
                    <c:v>IV</c:v>
                  </c:pt>
                  <c:pt idx="4">
                    <c:v>I</c:v>
                  </c:pt>
                  <c:pt idx="5">
                    <c:v>II</c:v>
                  </c:pt>
                  <c:pt idx="6">
                    <c:v>III</c:v>
                  </c:pt>
                  <c:pt idx="7">
                    <c:v>IV</c:v>
                  </c:pt>
                  <c:pt idx="8">
                    <c:v>I</c:v>
                  </c:pt>
                  <c:pt idx="9">
                    <c:v>II</c:v>
                  </c:pt>
                  <c:pt idx="10">
                    <c:v>III</c:v>
                  </c:pt>
                  <c:pt idx="11">
                    <c:v>IV</c:v>
                  </c:pt>
                </c:lvl>
                <c:lvl>
                  <c:pt idx="0">
                    <c:v>2011</c:v>
                  </c:pt>
                  <c:pt idx="4">
                    <c:v>2012</c:v>
                  </c:pt>
                  <c:pt idx="8">
                    <c:v>2013</c:v>
                  </c:pt>
                  <c:pt idx="12">
                    <c:v>2014</c:v>
                  </c:pt>
                  <c:pt idx="13">
                    <c:v>2015</c:v>
                  </c:pt>
                </c:lvl>
              </c:multiLvlStrCache>
            </c:multiLvlStrRef>
          </c:cat>
          <c:val>
            <c:numRef>
              <c:f>'Parnervalstu svērtā izaugsme'!$M$10:$M$23</c:f>
              <c:numCache>
                <c:formatCode>General</c:formatCode>
                <c:ptCount val="14"/>
                <c:pt idx="12" formatCode="#,##0.0">
                  <c:v>1.6</c:v>
                </c:pt>
                <c:pt idx="13" formatCode="#,##0.0">
                  <c:v>2</c:v>
                </c:pt>
              </c:numCache>
            </c:numRef>
          </c:val>
        </c:ser>
        <c:ser>
          <c:idx val="4"/>
          <c:order val="4"/>
          <c:tx>
            <c:strRef>
              <c:f>'Parnervalstu svērtā izaugsme'!$C$9</c:f>
              <c:strCache>
                <c:ptCount val="1"/>
                <c:pt idx="0">
                  <c:v>Latvija</c:v>
                </c:pt>
              </c:strCache>
            </c:strRef>
          </c:tx>
          <c:spPr>
            <a:solidFill>
              <a:srgbClr val="C00000"/>
            </a:solidFill>
            <a:ln>
              <a:noFill/>
            </a:ln>
            <a:effectLst/>
          </c:spPr>
          <c:invertIfNegative val="0"/>
          <c:cat>
            <c:multiLvlStrRef>
              <c:f>'Parnervalstu svērtā izaugsme'!$A$10:$B$23</c:f>
              <c:multiLvlStrCache>
                <c:ptCount val="14"/>
                <c:lvl>
                  <c:pt idx="0">
                    <c:v>I</c:v>
                  </c:pt>
                  <c:pt idx="1">
                    <c:v>II</c:v>
                  </c:pt>
                  <c:pt idx="2">
                    <c:v>III</c:v>
                  </c:pt>
                  <c:pt idx="3">
                    <c:v>IV</c:v>
                  </c:pt>
                  <c:pt idx="4">
                    <c:v>I</c:v>
                  </c:pt>
                  <c:pt idx="5">
                    <c:v>II</c:v>
                  </c:pt>
                  <c:pt idx="6">
                    <c:v>III</c:v>
                  </c:pt>
                  <c:pt idx="7">
                    <c:v>IV</c:v>
                  </c:pt>
                  <c:pt idx="8">
                    <c:v>I</c:v>
                  </c:pt>
                  <c:pt idx="9">
                    <c:v>II</c:v>
                  </c:pt>
                  <c:pt idx="10">
                    <c:v>III</c:v>
                  </c:pt>
                  <c:pt idx="11">
                    <c:v>IV</c:v>
                  </c:pt>
                </c:lvl>
                <c:lvl>
                  <c:pt idx="0">
                    <c:v>2011</c:v>
                  </c:pt>
                  <c:pt idx="4">
                    <c:v>2012</c:v>
                  </c:pt>
                  <c:pt idx="8">
                    <c:v>2013</c:v>
                  </c:pt>
                  <c:pt idx="12">
                    <c:v>2014</c:v>
                  </c:pt>
                  <c:pt idx="13">
                    <c:v>2015</c:v>
                  </c:pt>
                </c:lvl>
              </c:multiLvlStrCache>
            </c:multiLvlStrRef>
          </c:cat>
          <c:val>
            <c:numRef>
              <c:f>'Parnervalstu svērtā izaugsme'!$L$10:$L$23</c:f>
              <c:numCache>
                <c:formatCode>General</c:formatCode>
                <c:ptCount val="14"/>
                <c:pt idx="0">
                  <c:v>0</c:v>
                </c:pt>
                <c:pt idx="12" formatCode="#,##0.0">
                  <c:v>4</c:v>
                </c:pt>
                <c:pt idx="13" formatCode="#,##0.0">
                  <c:v>4</c:v>
                </c:pt>
              </c:numCache>
            </c:numRef>
          </c:val>
        </c:ser>
        <c:ser>
          <c:idx val="5"/>
          <c:order val="5"/>
          <c:tx>
            <c:strRef>
              <c:f>'Parnervalstu svērtā izaugsme'!$R$16</c:f>
              <c:strCache>
                <c:ptCount val="1"/>
              </c:strCache>
            </c:strRef>
          </c:tx>
          <c:spPr>
            <a:solidFill>
              <a:schemeClr val="accent5"/>
            </a:solidFill>
            <a:ln>
              <a:noFill/>
            </a:ln>
            <a:effectLst/>
          </c:spPr>
          <c:invertIfNegative val="0"/>
          <c:cat>
            <c:multiLvlStrRef>
              <c:f>'Parnervalstu svērtā izaugsme'!$A$10:$B$23</c:f>
              <c:multiLvlStrCache>
                <c:ptCount val="14"/>
                <c:lvl>
                  <c:pt idx="0">
                    <c:v>I</c:v>
                  </c:pt>
                  <c:pt idx="1">
                    <c:v>II</c:v>
                  </c:pt>
                  <c:pt idx="2">
                    <c:v>III</c:v>
                  </c:pt>
                  <c:pt idx="3">
                    <c:v>IV</c:v>
                  </c:pt>
                  <c:pt idx="4">
                    <c:v>I</c:v>
                  </c:pt>
                  <c:pt idx="5">
                    <c:v>II</c:v>
                  </c:pt>
                  <c:pt idx="6">
                    <c:v>III</c:v>
                  </c:pt>
                  <c:pt idx="7">
                    <c:v>IV</c:v>
                  </c:pt>
                  <c:pt idx="8">
                    <c:v>I</c:v>
                  </c:pt>
                  <c:pt idx="9">
                    <c:v>II</c:v>
                  </c:pt>
                  <c:pt idx="10">
                    <c:v>III</c:v>
                  </c:pt>
                  <c:pt idx="11">
                    <c:v>IV</c:v>
                  </c:pt>
                </c:lvl>
                <c:lvl>
                  <c:pt idx="0">
                    <c:v>2011</c:v>
                  </c:pt>
                  <c:pt idx="4">
                    <c:v>2012</c:v>
                  </c:pt>
                  <c:pt idx="8">
                    <c:v>2013</c:v>
                  </c:pt>
                  <c:pt idx="12">
                    <c:v>2014</c:v>
                  </c:pt>
                  <c:pt idx="13">
                    <c:v>2015</c:v>
                  </c:pt>
                </c:lvl>
              </c:multiLvlStrCache>
            </c:multiLvlStrRef>
          </c:cat>
          <c:val>
            <c:numRef>
              <c:f>'Parnervalstu svērtā izaugsme'!$N$10:$N$23</c:f>
              <c:numCache>
                <c:formatCode>General</c:formatCode>
                <c:ptCount val="14"/>
                <c:pt idx="12" formatCode="#,##0.0">
                  <c:v>2.3306513576353063</c:v>
                </c:pt>
                <c:pt idx="13" formatCode="#,##0.0">
                  <c:v>2.9301690132658393</c:v>
                </c:pt>
              </c:numCache>
            </c:numRef>
          </c:val>
        </c:ser>
        <c:dLbls>
          <c:showLegendKey val="0"/>
          <c:showVal val="0"/>
          <c:showCatName val="0"/>
          <c:showSerName val="0"/>
          <c:showPercent val="0"/>
          <c:showBubbleSize val="0"/>
        </c:dLbls>
        <c:gapWidth val="150"/>
        <c:axId val="227706440"/>
        <c:axId val="227706832"/>
      </c:barChart>
      <c:lineChart>
        <c:grouping val="standard"/>
        <c:varyColors val="0"/>
        <c:ser>
          <c:idx val="0"/>
          <c:order val="0"/>
          <c:tx>
            <c:strRef>
              <c:f>'Parnervalstu svērtā izaugsme'!$J$9</c:f>
              <c:strCache>
                <c:ptCount val="1"/>
                <c:pt idx="0">
                  <c:v>ES</c:v>
                </c:pt>
              </c:strCache>
            </c:strRef>
          </c:tx>
          <c:spPr>
            <a:ln w="28575" cap="rnd">
              <a:solidFill>
                <a:srgbClr val="FFC000"/>
              </a:solidFill>
              <a:round/>
            </a:ln>
            <a:effectLst/>
          </c:spPr>
          <c:marker>
            <c:symbol val="none"/>
          </c:marker>
          <c:cat>
            <c:multiLvlStrRef>
              <c:f>'Parnervalstu svērtā izaugsme'!$A$10:$B$23</c:f>
              <c:multiLvlStrCache>
                <c:ptCount val="14"/>
                <c:lvl>
                  <c:pt idx="0">
                    <c:v>I</c:v>
                  </c:pt>
                  <c:pt idx="1">
                    <c:v>II</c:v>
                  </c:pt>
                  <c:pt idx="2">
                    <c:v>III</c:v>
                  </c:pt>
                  <c:pt idx="3">
                    <c:v>IV</c:v>
                  </c:pt>
                  <c:pt idx="4">
                    <c:v>I</c:v>
                  </c:pt>
                  <c:pt idx="5">
                    <c:v>II</c:v>
                  </c:pt>
                  <c:pt idx="6">
                    <c:v>III</c:v>
                  </c:pt>
                  <c:pt idx="7">
                    <c:v>IV</c:v>
                  </c:pt>
                  <c:pt idx="8">
                    <c:v>I</c:v>
                  </c:pt>
                  <c:pt idx="9">
                    <c:v>II</c:v>
                  </c:pt>
                  <c:pt idx="10">
                    <c:v>III</c:v>
                  </c:pt>
                  <c:pt idx="11">
                    <c:v>IV</c:v>
                  </c:pt>
                </c:lvl>
                <c:lvl>
                  <c:pt idx="0">
                    <c:v>2011</c:v>
                  </c:pt>
                  <c:pt idx="4">
                    <c:v>2012</c:v>
                  </c:pt>
                  <c:pt idx="8">
                    <c:v>2013</c:v>
                  </c:pt>
                  <c:pt idx="12">
                    <c:v>2014</c:v>
                  </c:pt>
                  <c:pt idx="13">
                    <c:v>2015</c:v>
                  </c:pt>
                </c:lvl>
              </c:multiLvlStrCache>
            </c:multiLvlStrRef>
          </c:cat>
          <c:val>
            <c:numRef>
              <c:f>'Parnervalstu svērtā izaugsme'!$J$10:$J$21</c:f>
              <c:numCache>
                <c:formatCode>#,##0.0</c:formatCode>
                <c:ptCount val="12"/>
                <c:pt idx="0">
                  <c:v>2.7</c:v>
                </c:pt>
                <c:pt idx="1">
                  <c:v>1.9</c:v>
                </c:pt>
                <c:pt idx="2">
                  <c:v>1.5</c:v>
                </c:pt>
                <c:pt idx="3">
                  <c:v>0.6</c:v>
                </c:pt>
                <c:pt idx="4">
                  <c:v>0.7</c:v>
                </c:pt>
                <c:pt idx="5">
                  <c:v>-0.7</c:v>
                </c:pt>
                <c:pt idx="6">
                  <c:v>-0.6</c:v>
                </c:pt>
                <c:pt idx="7">
                  <c:v>-0.9</c:v>
                </c:pt>
                <c:pt idx="8">
                  <c:v>-1.4</c:v>
                </c:pt>
                <c:pt idx="9">
                  <c:v>-0.1</c:v>
                </c:pt>
                <c:pt idx="10">
                  <c:v>0.4</c:v>
                </c:pt>
                <c:pt idx="11">
                  <c:v>1.1000000000000001</c:v>
                </c:pt>
              </c:numCache>
            </c:numRef>
          </c:val>
          <c:smooth val="0"/>
        </c:ser>
        <c:ser>
          <c:idx val="1"/>
          <c:order val="1"/>
          <c:tx>
            <c:strRef>
              <c:f>'Parnervalstu svērtā izaugsme'!$K$9</c:f>
              <c:strCache>
                <c:ptCount val="1"/>
                <c:pt idx="0">
                  <c:v>Partnervalstis*</c:v>
                </c:pt>
              </c:strCache>
            </c:strRef>
          </c:tx>
          <c:spPr>
            <a:ln w="28575" cap="rnd">
              <a:solidFill>
                <a:schemeClr val="accent5"/>
              </a:solidFill>
              <a:round/>
            </a:ln>
            <a:effectLst/>
          </c:spPr>
          <c:marker>
            <c:symbol val="none"/>
          </c:marker>
          <c:cat>
            <c:multiLvlStrRef>
              <c:f>'Parnervalstu svērtā izaugsme'!$A$10:$B$23</c:f>
              <c:multiLvlStrCache>
                <c:ptCount val="14"/>
                <c:lvl>
                  <c:pt idx="0">
                    <c:v>I</c:v>
                  </c:pt>
                  <c:pt idx="1">
                    <c:v>II</c:v>
                  </c:pt>
                  <c:pt idx="2">
                    <c:v>III</c:v>
                  </c:pt>
                  <c:pt idx="3">
                    <c:v>IV</c:v>
                  </c:pt>
                  <c:pt idx="4">
                    <c:v>I</c:v>
                  </c:pt>
                  <c:pt idx="5">
                    <c:v>II</c:v>
                  </c:pt>
                  <c:pt idx="6">
                    <c:v>III</c:v>
                  </c:pt>
                  <c:pt idx="7">
                    <c:v>IV</c:v>
                  </c:pt>
                  <c:pt idx="8">
                    <c:v>I</c:v>
                  </c:pt>
                  <c:pt idx="9">
                    <c:v>II</c:v>
                  </c:pt>
                  <c:pt idx="10">
                    <c:v>III</c:v>
                  </c:pt>
                  <c:pt idx="11">
                    <c:v>IV</c:v>
                  </c:pt>
                </c:lvl>
                <c:lvl>
                  <c:pt idx="0">
                    <c:v>2011</c:v>
                  </c:pt>
                  <c:pt idx="4">
                    <c:v>2012</c:v>
                  </c:pt>
                  <c:pt idx="8">
                    <c:v>2013</c:v>
                  </c:pt>
                  <c:pt idx="12">
                    <c:v>2014</c:v>
                  </c:pt>
                  <c:pt idx="13">
                    <c:v>2015</c:v>
                  </c:pt>
                </c:lvl>
              </c:multiLvlStrCache>
            </c:multiLvlStrRef>
          </c:cat>
          <c:val>
            <c:numRef>
              <c:f>'Parnervalstu svērtā izaugsme'!$K$10:$K$21</c:f>
              <c:numCache>
                <c:formatCode>#,##0.0</c:formatCode>
                <c:ptCount val="12"/>
                <c:pt idx="0">
                  <c:v>6.4420288948123732</c:v>
                </c:pt>
                <c:pt idx="1">
                  <c:v>5.8837373781154678</c:v>
                </c:pt>
                <c:pt idx="2">
                  <c:v>6.2322883656040675</c:v>
                </c:pt>
                <c:pt idx="3">
                  <c:v>4.3798270051410766</c:v>
                </c:pt>
                <c:pt idx="4">
                  <c:v>3.8141426411229142</c:v>
                </c:pt>
                <c:pt idx="5">
                  <c:v>2.1771629331680886</c:v>
                </c:pt>
                <c:pt idx="6">
                  <c:v>2.9591776171745425</c:v>
                </c:pt>
                <c:pt idx="7">
                  <c:v>2.7247871615030874</c:v>
                </c:pt>
                <c:pt idx="8">
                  <c:v>1.4929889415296727</c:v>
                </c:pt>
                <c:pt idx="9">
                  <c:v>1.8507288941435509</c:v>
                </c:pt>
                <c:pt idx="10">
                  <c:v>1.4110336664964203</c:v>
                </c:pt>
                <c:pt idx="11">
                  <c:v>1.7936756734860964</c:v>
                </c:pt>
              </c:numCache>
            </c:numRef>
          </c:val>
          <c:smooth val="0"/>
        </c:ser>
        <c:ser>
          <c:idx val="2"/>
          <c:order val="2"/>
          <c:tx>
            <c:strRef>
              <c:f>'Parnervalstu svērtā izaugsme'!$C$9</c:f>
              <c:strCache>
                <c:ptCount val="1"/>
                <c:pt idx="0">
                  <c:v>Latvija</c:v>
                </c:pt>
              </c:strCache>
            </c:strRef>
          </c:tx>
          <c:spPr>
            <a:ln w="28575" cap="rnd">
              <a:solidFill>
                <a:srgbClr val="C00000"/>
              </a:solidFill>
              <a:round/>
            </a:ln>
            <a:effectLst/>
          </c:spPr>
          <c:marker>
            <c:symbol val="none"/>
          </c:marker>
          <c:cat>
            <c:multiLvlStrRef>
              <c:f>'Parnervalstu svērtā izaugsme'!$A$10:$B$23</c:f>
              <c:multiLvlStrCache>
                <c:ptCount val="14"/>
                <c:lvl>
                  <c:pt idx="0">
                    <c:v>I</c:v>
                  </c:pt>
                  <c:pt idx="1">
                    <c:v>II</c:v>
                  </c:pt>
                  <c:pt idx="2">
                    <c:v>III</c:v>
                  </c:pt>
                  <c:pt idx="3">
                    <c:v>IV</c:v>
                  </c:pt>
                  <c:pt idx="4">
                    <c:v>I</c:v>
                  </c:pt>
                  <c:pt idx="5">
                    <c:v>II</c:v>
                  </c:pt>
                  <c:pt idx="6">
                    <c:v>III</c:v>
                  </c:pt>
                  <c:pt idx="7">
                    <c:v>IV</c:v>
                  </c:pt>
                  <c:pt idx="8">
                    <c:v>I</c:v>
                  </c:pt>
                  <c:pt idx="9">
                    <c:v>II</c:v>
                  </c:pt>
                  <c:pt idx="10">
                    <c:v>III</c:v>
                  </c:pt>
                  <c:pt idx="11">
                    <c:v>IV</c:v>
                  </c:pt>
                </c:lvl>
                <c:lvl>
                  <c:pt idx="0">
                    <c:v>2011</c:v>
                  </c:pt>
                  <c:pt idx="4">
                    <c:v>2012</c:v>
                  </c:pt>
                  <c:pt idx="8">
                    <c:v>2013</c:v>
                  </c:pt>
                  <c:pt idx="12">
                    <c:v>2014</c:v>
                  </c:pt>
                  <c:pt idx="13">
                    <c:v>2015</c:v>
                  </c:pt>
                </c:lvl>
              </c:multiLvlStrCache>
            </c:multiLvlStrRef>
          </c:cat>
          <c:val>
            <c:numRef>
              <c:f>'Parnervalstu svērtā izaugsme'!$C$10:$C$21</c:f>
              <c:numCache>
                <c:formatCode>#,##0.0</c:formatCode>
                <c:ptCount val="12"/>
                <c:pt idx="0">
                  <c:v>2.7</c:v>
                </c:pt>
                <c:pt idx="1">
                  <c:v>5.8</c:v>
                </c:pt>
                <c:pt idx="2">
                  <c:v>7.3</c:v>
                </c:pt>
                <c:pt idx="3">
                  <c:v>5.0999999999999996</c:v>
                </c:pt>
                <c:pt idx="4">
                  <c:v>7.1</c:v>
                </c:pt>
                <c:pt idx="5">
                  <c:v>4.9000000000000004</c:v>
                </c:pt>
                <c:pt idx="6">
                  <c:v>4.5999999999999996</c:v>
                </c:pt>
                <c:pt idx="7">
                  <c:v>4.5999999999999996</c:v>
                </c:pt>
                <c:pt idx="8">
                  <c:v>3.8</c:v>
                </c:pt>
                <c:pt idx="9">
                  <c:v>4.3</c:v>
                </c:pt>
                <c:pt idx="10">
                  <c:v>4.5</c:v>
                </c:pt>
                <c:pt idx="11">
                  <c:v>3.6</c:v>
                </c:pt>
              </c:numCache>
            </c:numRef>
          </c:val>
          <c:smooth val="0"/>
        </c:ser>
        <c:dLbls>
          <c:showLegendKey val="0"/>
          <c:showVal val="0"/>
          <c:showCatName val="0"/>
          <c:showSerName val="0"/>
          <c:showPercent val="0"/>
          <c:showBubbleSize val="0"/>
        </c:dLbls>
        <c:marker val="1"/>
        <c:smooth val="0"/>
        <c:axId val="227706440"/>
        <c:axId val="227706832"/>
      </c:lineChart>
      <c:catAx>
        <c:axId val="227706440"/>
        <c:scaling>
          <c:orientation val="minMax"/>
        </c:scaling>
        <c:delete val="0"/>
        <c:axPos val="b"/>
        <c:numFmt formatCode="General"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27706832"/>
        <c:crosses val="autoZero"/>
        <c:auto val="1"/>
        <c:lblAlgn val="ctr"/>
        <c:lblOffset val="100"/>
        <c:noMultiLvlLbl val="0"/>
      </c:catAx>
      <c:valAx>
        <c:axId val="227706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27706440"/>
        <c:crosses val="autoZero"/>
        <c:crossBetween val="between"/>
      </c:valAx>
      <c:spPr>
        <a:noFill/>
        <a:ln>
          <a:noFill/>
        </a:ln>
        <a:effectLst/>
      </c:spPr>
    </c:plotArea>
    <c:legend>
      <c:legendPos val="b"/>
      <c:legendEntry>
        <c:idx val="0"/>
        <c:delete val="1"/>
      </c:legendEntry>
      <c:legendEntry>
        <c:idx val="1"/>
        <c:delete val="1"/>
      </c:legendEntry>
      <c:legendEntry>
        <c:idx val="2"/>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661015374522925E-2"/>
          <c:y val="2.988602328323417E-2"/>
          <c:w val="0.89739861617121874"/>
          <c:h val="0.67579800524934386"/>
        </c:manualLayout>
      </c:layout>
      <c:barChart>
        <c:barDir val="col"/>
        <c:grouping val="stacked"/>
        <c:varyColors val="0"/>
        <c:ser>
          <c:idx val="0"/>
          <c:order val="0"/>
          <c:tx>
            <c:strRef>
              <c:f>Bezdarbs!$C$1</c:f>
              <c:strCache>
                <c:ptCount val="1"/>
                <c:pt idx="0">
                  <c:v>t.sk. ilgstošo bezdarbnieku skaits, tūkst.</c:v>
                </c:pt>
              </c:strCache>
            </c:strRef>
          </c:tx>
          <c:spPr>
            <a:solidFill>
              <a:schemeClr val="tx2">
                <a:lumMod val="75000"/>
              </a:schemeClr>
            </a:solidFill>
            <a:ln>
              <a:noFill/>
            </a:ln>
            <a:effectLst/>
          </c:spPr>
          <c:invertIfNegative val="0"/>
          <c:cat>
            <c:multiLvlStrRef>
              <c:f>Bezdarbs!$A$2:$B$76</c:f>
              <c:multiLvlStrCache>
                <c:ptCount val="7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pt idx="65">
                    <c:v>VI</c:v>
                  </c:pt>
                  <c:pt idx="66">
                    <c:v>VII</c:v>
                  </c:pt>
                  <c:pt idx="67">
                    <c:v>VIII</c:v>
                  </c:pt>
                  <c:pt idx="68">
                    <c:v>IX</c:v>
                  </c:pt>
                  <c:pt idx="69">
                    <c:v>X</c:v>
                  </c:pt>
                  <c:pt idx="70">
                    <c:v>XI</c:v>
                  </c:pt>
                  <c:pt idx="71">
                    <c:v>XII</c:v>
                  </c:pt>
                  <c:pt idx="72">
                    <c:v>I</c:v>
                  </c:pt>
                  <c:pt idx="73">
                    <c:v>II</c:v>
                  </c:pt>
                  <c:pt idx="74">
                    <c:v>III</c:v>
                  </c:pt>
                </c:lvl>
                <c:lvl>
                  <c:pt idx="0">
                    <c:v>2008</c:v>
                  </c:pt>
                  <c:pt idx="12">
                    <c:v>2009</c:v>
                  </c:pt>
                  <c:pt idx="24">
                    <c:v>2010</c:v>
                  </c:pt>
                  <c:pt idx="36">
                    <c:v>2011</c:v>
                  </c:pt>
                  <c:pt idx="48">
                    <c:v>2012</c:v>
                  </c:pt>
                  <c:pt idx="60">
                    <c:v>2013</c:v>
                  </c:pt>
                  <c:pt idx="72">
                    <c:v>2014</c:v>
                  </c:pt>
                </c:lvl>
              </c:multiLvlStrCache>
            </c:multiLvlStrRef>
          </c:cat>
          <c:val>
            <c:numRef>
              <c:f>Bezdarbs!$C$2:$C$76</c:f>
              <c:numCache>
                <c:formatCode>0.0</c:formatCode>
                <c:ptCount val="75"/>
                <c:pt idx="0">
                  <c:v>8.4659999999999993</c:v>
                </c:pt>
                <c:pt idx="1">
                  <c:v>8.4659999999999993</c:v>
                </c:pt>
                <c:pt idx="2">
                  <c:v>8.4659999999999993</c:v>
                </c:pt>
                <c:pt idx="3">
                  <c:v>8.4659999999999993</c:v>
                </c:pt>
                <c:pt idx="4">
                  <c:v>8.4659999999999993</c:v>
                </c:pt>
                <c:pt idx="5">
                  <c:v>8.4659999999999993</c:v>
                </c:pt>
                <c:pt idx="6">
                  <c:v>8.4659999999999993</c:v>
                </c:pt>
                <c:pt idx="7">
                  <c:v>8.4659999999999993</c:v>
                </c:pt>
                <c:pt idx="8">
                  <c:v>8.2729999999999997</c:v>
                </c:pt>
                <c:pt idx="9">
                  <c:v>8.3239999999999998</c:v>
                </c:pt>
                <c:pt idx="10">
                  <c:v>8.3659999999999997</c:v>
                </c:pt>
                <c:pt idx="11">
                  <c:v>8.4659999999999993</c:v>
                </c:pt>
                <c:pt idx="12">
                  <c:v>8.8040000000000003</c:v>
                </c:pt>
                <c:pt idx="13">
                  <c:v>9.1270000000000007</c:v>
                </c:pt>
                <c:pt idx="14">
                  <c:v>9.5709999999999997</c:v>
                </c:pt>
                <c:pt idx="15">
                  <c:v>10.414999999999999</c:v>
                </c:pt>
                <c:pt idx="16">
                  <c:v>11.256</c:v>
                </c:pt>
                <c:pt idx="17">
                  <c:v>12.067</c:v>
                </c:pt>
                <c:pt idx="18">
                  <c:v>12.722</c:v>
                </c:pt>
                <c:pt idx="19">
                  <c:v>13.746</c:v>
                </c:pt>
                <c:pt idx="20">
                  <c:v>15.336</c:v>
                </c:pt>
                <c:pt idx="21">
                  <c:v>17.702000000000002</c:v>
                </c:pt>
                <c:pt idx="22">
                  <c:v>20.384</c:v>
                </c:pt>
                <c:pt idx="23">
                  <c:v>24.172000000000001</c:v>
                </c:pt>
                <c:pt idx="24">
                  <c:v>29.42</c:v>
                </c:pt>
                <c:pt idx="25">
                  <c:v>34.387</c:v>
                </c:pt>
                <c:pt idx="26">
                  <c:v>39.509</c:v>
                </c:pt>
                <c:pt idx="27">
                  <c:v>42.323</c:v>
                </c:pt>
                <c:pt idx="28">
                  <c:v>43.735999999999997</c:v>
                </c:pt>
                <c:pt idx="29">
                  <c:v>44.982999999999997</c:v>
                </c:pt>
                <c:pt idx="30">
                  <c:v>47.350999999999999</c:v>
                </c:pt>
                <c:pt idx="31">
                  <c:v>49.665999999999997</c:v>
                </c:pt>
                <c:pt idx="32">
                  <c:v>53.645000000000003</c:v>
                </c:pt>
                <c:pt idx="33">
                  <c:v>56.432000000000002</c:v>
                </c:pt>
                <c:pt idx="34">
                  <c:v>59.29</c:v>
                </c:pt>
                <c:pt idx="35">
                  <c:v>61.331000000000003</c:v>
                </c:pt>
                <c:pt idx="36">
                  <c:v>63.023000000000003</c:v>
                </c:pt>
                <c:pt idx="37">
                  <c:v>64.658000000000001</c:v>
                </c:pt>
                <c:pt idx="38">
                  <c:v>65.399000000000001</c:v>
                </c:pt>
                <c:pt idx="39">
                  <c:v>65.090999999999994</c:v>
                </c:pt>
                <c:pt idx="40">
                  <c:v>63.093000000000004</c:v>
                </c:pt>
                <c:pt idx="41">
                  <c:v>61.018000000000001</c:v>
                </c:pt>
                <c:pt idx="42">
                  <c:v>60.070999999999998</c:v>
                </c:pt>
                <c:pt idx="43">
                  <c:v>59.052</c:v>
                </c:pt>
                <c:pt idx="44">
                  <c:v>58.503</c:v>
                </c:pt>
                <c:pt idx="45">
                  <c:v>58.146999999999998</c:v>
                </c:pt>
                <c:pt idx="46">
                  <c:v>57.691000000000003</c:v>
                </c:pt>
                <c:pt idx="47">
                  <c:v>56.933999999999997</c:v>
                </c:pt>
                <c:pt idx="48">
                  <c:v>56.755000000000003</c:v>
                </c:pt>
                <c:pt idx="49">
                  <c:v>56.432000000000002</c:v>
                </c:pt>
                <c:pt idx="50">
                  <c:v>56.35</c:v>
                </c:pt>
                <c:pt idx="51">
                  <c:v>55.607999999999997</c:v>
                </c:pt>
                <c:pt idx="52">
                  <c:v>54</c:v>
                </c:pt>
                <c:pt idx="53">
                  <c:v>52.4</c:v>
                </c:pt>
                <c:pt idx="54">
                  <c:v>51</c:v>
                </c:pt>
                <c:pt idx="55">
                  <c:v>50</c:v>
                </c:pt>
                <c:pt idx="56">
                  <c:v>49.567</c:v>
                </c:pt>
                <c:pt idx="57">
                  <c:v>48.158999999999999</c:v>
                </c:pt>
                <c:pt idx="58">
                  <c:v>47.003999999999998</c:v>
                </c:pt>
                <c:pt idx="59">
                  <c:v>45.981000000000002</c:v>
                </c:pt>
                <c:pt idx="60">
                  <c:v>45.231999999999999</c:v>
                </c:pt>
                <c:pt idx="61">
                  <c:v>44.7</c:v>
                </c:pt>
                <c:pt idx="62">
                  <c:v>44.1</c:v>
                </c:pt>
                <c:pt idx="63">
                  <c:v>42.3</c:v>
                </c:pt>
                <c:pt idx="64">
                  <c:v>40.1</c:v>
                </c:pt>
                <c:pt idx="65">
                  <c:v>38.200000000000003</c:v>
                </c:pt>
                <c:pt idx="66">
                  <c:v>36.6</c:v>
                </c:pt>
                <c:pt idx="67">
                  <c:v>35.4</c:v>
                </c:pt>
                <c:pt idx="68">
                  <c:v>34.700000000000003</c:v>
                </c:pt>
                <c:pt idx="69">
                  <c:v>33.853000000000002</c:v>
                </c:pt>
                <c:pt idx="70">
                  <c:v>33.585999999999999</c:v>
                </c:pt>
                <c:pt idx="71" formatCode="General">
                  <c:v>33</c:v>
                </c:pt>
                <c:pt idx="72" formatCode="General">
                  <c:v>33.4</c:v>
                </c:pt>
                <c:pt idx="73" formatCode="General">
                  <c:v>33.4</c:v>
                </c:pt>
                <c:pt idx="74">
                  <c:v>33</c:v>
                </c:pt>
              </c:numCache>
            </c:numRef>
          </c:val>
        </c:ser>
        <c:ser>
          <c:idx val="1"/>
          <c:order val="1"/>
          <c:tx>
            <c:strRef>
              <c:f>Bezdarbs!$D$1</c:f>
              <c:strCache>
                <c:ptCount val="1"/>
                <c:pt idx="0">
                  <c:v>reģistrēto bezdarbnieku skaits, tūkst.</c:v>
                </c:pt>
              </c:strCache>
            </c:strRef>
          </c:tx>
          <c:spPr>
            <a:solidFill>
              <a:schemeClr val="accent3">
                <a:lumMod val="75000"/>
              </a:schemeClr>
            </a:solidFill>
            <a:ln>
              <a:noFill/>
            </a:ln>
            <a:effectLst/>
          </c:spPr>
          <c:invertIfNegative val="0"/>
          <c:cat>
            <c:multiLvlStrRef>
              <c:f>Bezdarbs!$A$2:$B$76</c:f>
              <c:multiLvlStrCache>
                <c:ptCount val="7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pt idx="65">
                    <c:v>VI</c:v>
                  </c:pt>
                  <c:pt idx="66">
                    <c:v>VII</c:v>
                  </c:pt>
                  <c:pt idx="67">
                    <c:v>VIII</c:v>
                  </c:pt>
                  <c:pt idx="68">
                    <c:v>IX</c:v>
                  </c:pt>
                  <c:pt idx="69">
                    <c:v>X</c:v>
                  </c:pt>
                  <c:pt idx="70">
                    <c:v>XI</c:v>
                  </c:pt>
                  <c:pt idx="71">
                    <c:v>XII</c:v>
                  </c:pt>
                  <c:pt idx="72">
                    <c:v>I</c:v>
                  </c:pt>
                  <c:pt idx="73">
                    <c:v>II</c:v>
                  </c:pt>
                  <c:pt idx="74">
                    <c:v>III</c:v>
                  </c:pt>
                </c:lvl>
                <c:lvl>
                  <c:pt idx="0">
                    <c:v>2008</c:v>
                  </c:pt>
                  <c:pt idx="12">
                    <c:v>2009</c:v>
                  </c:pt>
                  <c:pt idx="24">
                    <c:v>2010</c:v>
                  </c:pt>
                  <c:pt idx="36">
                    <c:v>2011</c:v>
                  </c:pt>
                  <c:pt idx="48">
                    <c:v>2012</c:v>
                  </c:pt>
                  <c:pt idx="60">
                    <c:v>2013</c:v>
                  </c:pt>
                  <c:pt idx="72">
                    <c:v>2014</c:v>
                  </c:pt>
                </c:lvl>
              </c:multiLvlStrCache>
            </c:multiLvlStrRef>
          </c:cat>
          <c:val>
            <c:numRef>
              <c:f>Bezdarbs!$D$2:$D$76</c:f>
              <c:numCache>
                <c:formatCode>0.0</c:formatCode>
                <c:ptCount val="75"/>
                <c:pt idx="0">
                  <c:v>44.859000000000002</c:v>
                </c:pt>
                <c:pt idx="1">
                  <c:v>44.963000000000001</c:v>
                </c:pt>
                <c:pt idx="2">
                  <c:v>44.339999999999996</c:v>
                </c:pt>
                <c:pt idx="3">
                  <c:v>44.430999999999997</c:v>
                </c:pt>
                <c:pt idx="4">
                  <c:v>43.747</c:v>
                </c:pt>
                <c:pt idx="5">
                  <c:v>45.545999999999999</c:v>
                </c:pt>
                <c:pt idx="6">
                  <c:v>46.97</c:v>
                </c:pt>
                <c:pt idx="7">
                  <c:v>47.866999999999997</c:v>
                </c:pt>
                <c:pt idx="8">
                  <c:v>49.371000000000002</c:v>
                </c:pt>
                <c:pt idx="9">
                  <c:v>52.725000000000001</c:v>
                </c:pt>
                <c:pt idx="10">
                  <c:v>58.698999999999998</c:v>
                </c:pt>
                <c:pt idx="11">
                  <c:v>67.968999999999994</c:v>
                </c:pt>
                <c:pt idx="12">
                  <c:v>81.632000000000005</c:v>
                </c:pt>
                <c:pt idx="13">
                  <c:v>94.603999999999999</c:v>
                </c:pt>
                <c:pt idx="14">
                  <c:v>107.197</c:v>
                </c:pt>
                <c:pt idx="15">
                  <c:v>112.712</c:v>
                </c:pt>
                <c:pt idx="16">
                  <c:v>115.339</c:v>
                </c:pt>
                <c:pt idx="17">
                  <c:v>117.202</c:v>
                </c:pt>
                <c:pt idx="18">
                  <c:v>119.797</c:v>
                </c:pt>
                <c:pt idx="19">
                  <c:v>123.84</c:v>
                </c:pt>
                <c:pt idx="20">
                  <c:v>132.41800000000001</c:v>
                </c:pt>
                <c:pt idx="21">
                  <c:v>140.19499999999999</c:v>
                </c:pt>
                <c:pt idx="22">
                  <c:v>148.852</c:v>
                </c:pt>
                <c:pt idx="23">
                  <c:v>155.06299999999999</c:v>
                </c:pt>
                <c:pt idx="24">
                  <c:v>156.875</c:v>
                </c:pt>
                <c:pt idx="25">
                  <c:v>157.666</c:v>
                </c:pt>
                <c:pt idx="26">
                  <c:v>154.744</c:v>
                </c:pt>
                <c:pt idx="27">
                  <c:v>147.55799999999999</c:v>
                </c:pt>
                <c:pt idx="28">
                  <c:v>139.851</c:v>
                </c:pt>
                <c:pt idx="29">
                  <c:v>131.89599999999999</c:v>
                </c:pt>
                <c:pt idx="30">
                  <c:v>125.95</c:v>
                </c:pt>
                <c:pt idx="31">
                  <c:v>120.28</c:v>
                </c:pt>
                <c:pt idx="32">
                  <c:v>111.745</c:v>
                </c:pt>
                <c:pt idx="33">
                  <c:v>106.065</c:v>
                </c:pt>
                <c:pt idx="34">
                  <c:v>102.526</c:v>
                </c:pt>
                <c:pt idx="35">
                  <c:v>101.13200000000001</c:v>
                </c:pt>
                <c:pt idx="36">
                  <c:v>101.52800000000001</c:v>
                </c:pt>
                <c:pt idx="37">
                  <c:v>100.22199999999999</c:v>
                </c:pt>
                <c:pt idx="38">
                  <c:v>98.055000000000007</c:v>
                </c:pt>
                <c:pt idx="39">
                  <c:v>92.766000000000005</c:v>
                </c:pt>
                <c:pt idx="40">
                  <c:v>86.507000000000005</c:v>
                </c:pt>
                <c:pt idx="41">
                  <c:v>81.41</c:v>
                </c:pt>
                <c:pt idx="42">
                  <c:v>77.566999999999993</c:v>
                </c:pt>
                <c:pt idx="43">
                  <c:v>75.123000000000005</c:v>
                </c:pt>
                <c:pt idx="44">
                  <c:v>73.156000000000006</c:v>
                </c:pt>
                <c:pt idx="45">
                  <c:v>72.394000000000005</c:v>
                </c:pt>
                <c:pt idx="46">
                  <c:v>72.549000000000007</c:v>
                </c:pt>
                <c:pt idx="47">
                  <c:v>73.361999999999995</c:v>
                </c:pt>
                <c:pt idx="48">
                  <c:v>75.819999999999993</c:v>
                </c:pt>
                <c:pt idx="49">
                  <c:v>76.980999999999995</c:v>
                </c:pt>
                <c:pt idx="50">
                  <c:v>75.808000000000007</c:v>
                </c:pt>
                <c:pt idx="51">
                  <c:v>72.174999999999997</c:v>
                </c:pt>
                <c:pt idx="52">
                  <c:v>68</c:v>
                </c:pt>
                <c:pt idx="53">
                  <c:v>65.2</c:v>
                </c:pt>
                <c:pt idx="54">
                  <c:v>63.7</c:v>
                </c:pt>
                <c:pt idx="55">
                  <c:v>61.5</c:v>
                </c:pt>
                <c:pt idx="56">
                  <c:v>58.755000000000003</c:v>
                </c:pt>
                <c:pt idx="57">
                  <c:v>57.511000000000003</c:v>
                </c:pt>
                <c:pt idx="58">
                  <c:v>57.41</c:v>
                </c:pt>
                <c:pt idx="59">
                  <c:v>58.070999999999998</c:v>
                </c:pt>
                <c:pt idx="60">
                  <c:v>62.256</c:v>
                </c:pt>
                <c:pt idx="61">
                  <c:v>62.986999999999995</c:v>
                </c:pt>
                <c:pt idx="62">
                  <c:v>62.963000000000001</c:v>
                </c:pt>
                <c:pt idx="63">
                  <c:v>60.460000000000008</c:v>
                </c:pt>
                <c:pt idx="64">
                  <c:v>57.669000000000004</c:v>
                </c:pt>
                <c:pt idx="65">
                  <c:v>56.5</c:v>
                </c:pt>
                <c:pt idx="66">
                  <c:v>56.4</c:v>
                </c:pt>
                <c:pt idx="67">
                  <c:v>55.8</c:v>
                </c:pt>
                <c:pt idx="68">
                  <c:v>54.7</c:v>
                </c:pt>
                <c:pt idx="69">
                  <c:v>55.762999999999998</c:v>
                </c:pt>
                <c:pt idx="70">
                  <c:v>58.033000000000001</c:v>
                </c:pt>
                <c:pt idx="71">
                  <c:v>60.3</c:v>
                </c:pt>
                <c:pt idx="72">
                  <c:v>63.3</c:v>
                </c:pt>
                <c:pt idx="73">
                  <c:v>64.3</c:v>
                </c:pt>
                <c:pt idx="74">
                  <c:v>63.5</c:v>
                </c:pt>
              </c:numCache>
            </c:numRef>
          </c:val>
        </c:ser>
        <c:dLbls>
          <c:showLegendKey val="0"/>
          <c:showVal val="0"/>
          <c:showCatName val="0"/>
          <c:showSerName val="0"/>
          <c:showPercent val="0"/>
          <c:showBubbleSize val="0"/>
        </c:dLbls>
        <c:gapWidth val="32"/>
        <c:overlap val="100"/>
        <c:axId val="275423008"/>
        <c:axId val="275423400"/>
      </c:barChart>
      <c:lineChart>
        <c:grouping val="standard"/>
        <c:varyColors val="0"/>
        <c:ser>
          <c:idx val="2"/>
          <c:order val="2"/>
          <c:tx>
            <c:strRef>
              <c:f>Bezdarbs!$E$1</c:f>
              <c:strCache>
                <c:ptCount val="1"/>
                <c:pt idx="0">
                  <c:v>reģistrētais bezdarba līmenis, % (labā ass)</c:v>
                </c:pt>
              </c:strCache>
            </c:strRef>
          </c:tx>
          <c:spPr>
            <a:ln w="28575" cap="rnd">
              <a:solidFill>
                <a:schemeClr val="tx2">
                  <a:lumMod val="75000"/>
                </a:schemeClr>
              </a:solidFill>
              <a:round/>
            </a:ln>
            <a:effectLst/>
          </c:spPr>
          <c:marker>
            <c:symbol val="none"/>
          </c:marker>
          <c:dLbls>
            <c:dLbl>
              <c:idx val="26"/>
              <c:layout>
                <c:manualLayout>
                  <c:x val="-0.05"/>
                  <c:y val="-4.1666666666666657E-2"/>
                </c:manualLayout>
              </c:layout>
              <c:showLegendKey val="0"/>
              <c:showVal val="1"/>
              <c:showCatName val="0"/>
              <c:showSerName val="0"/>
              <c:showPercent val="0"/>
              <c:showBubbleSize val="0"/>
              <c:extLst>
                <c:ext xmlns:c15="http://schemas.microsoft.com/office/drawing/2012/chart" uri="{CE6537A1-D6FC-4f65-9D91-7224C49458BB}"/>
              </c:extLst>
            </c:dLbl>
            <c:dLbl>
              <c:idx val="74"/>
              <c:layout>
                <c:manualLayout>
                  <c:x val="-1.6703988582459337E-2"/>
                  <c:y val="-2.519561318583654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Bezdarbs!$A$2:$B$75</c:f>
              <c:multiLvlStrCache>
                <c:ptCount val="74"/>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pt idx="65">
                    <c:v>VI</c:v>
                  </c:pt>
                  <c:pt idx="66">
                    <c:v>VII</c:v>
                  </c:pt>
                  <c:pt idx="67">
                    <c:v>VIII</c:v>
                  </c:pt>
                  <c:pt idx="68">
                    <c:v>IX</c:v>
                  </c:pt>
                  <c:pt idx="69">
                    <c:v>X</c:v>
                  </c:pt>
                  <c:pt idx="70">
                    <c:v>XI</c:v>
                  </c:pt>
                  <c:pt idx="71">
                    <c:v>XII</c:v>
                  </c:pt>
                  <c:pt idx="72">
                    <c:v>I</c:v>
                  </c:pt>
                  <c:pt idx="73">
                    <c:v>II</c:v>
                  </c:pt>
                </c:lvl>
                <c:lvl>
                  <c:pt idx="0">
                    <c:v>2008</c:v>
                  </c:pt>
                  <c:pt idx="12">
                    <c:v>2009</c:v>
                  </c:pt>
                  <c:pt idx="24">
                    <c:v>2010</c:v>
                  </c:pt>
                  <c:pt idx="36">
                    <c:v>2011</c:v>
                  </c:pt>
                  <c:pt idx="48">
                    <c:v>2012</c:v>
                  </c:pt>
                  <c:pt idx="60">
                    <c:v>2013</c:v>
                  </c:pt>
                  <c:pt idx="72">
                    <c:v>2014</c:v>
                  </c:pt>
                </c:lvl>
              </c:multiLvlStrCache>
            </c:multiLvlStrRef>
          </c:cat>
          <c:val>
            <c:numRef>
              <c:f>Bezdarbs!$E$2:$E$76</c:f>
              <c:numCache>
                <c:formatCode>0.0</c:formatCode>
                <c:ptCount val="75"/>
                <c:pt idx="0">
                  <c:v>5</c:v>
                </c:pt>
                <c:pt idx="1">
                  <c:v>5</c:v>
                </c:pt>
                <c:pt idx="2">
                  <c:v>4.9000000000000004</c:v>
                </c:pt>
                <c:pt idx="3">
                  <c:v>4.8</c:v>
                </c:pt>
                <c:pt idx="4">
                  <c:v>4.8</c:v>
                </c:pt>
                <c:pt idx="5">
                  <c:v>4.9000000000000004</c:v>
                </c:pt>
                <c:pt idx="6">
                  <c:v>5.0999999999999996</c:v>
                </c:pt>
                <c:pt idx="7">
                  <c:v>5.2</c:v>
                </c:pt>
                <c:pt idx="8">
                  <c:v>5.3</c:v>
                </c:pt>
                <c:pt idx="9">
                  <c:v>5.6</c:v>
                </c:pt>
                <c:pt idx="10">
                  <c:v>6.1</c:v>
                </c:pt>
                <c:pt idx="11">
                  <c:v>7</c:v>
                </c:pt>
                <c:pt idx="12">
                  <c:v>8.3000000000000007</c:v>
                </c:pt>
                <c:pt idx="13">
                  <c:v>9.5</c:v>
                </c:pt>
                <c:pt idx="14">
                  <c:v>10.7</c:v>
                </c:pt>
                <c:pt idx="15">
                  <c:v>11</c:v>
                </c:pt>
                <c:pt idx="16">
                  <c:v>11.3</c:v>
                </c:pt>
                <c:pt idx="17">
                  <c:v>11.5</c:v>
                </c:pt>
                <c:pt idx="18">
                  <c:v>11.8</c:v>
                </c:pt>
                <c:pt idx="19">
                  <c:v>12.3</c:v>
                </c:pt>
                <c:pt idx="20">
                  <c:v>13.2</c:v>
                </c:pt>
                <c:pt idx="21">
                  <c:v>14.1</c:v>
                </c:pt>
                <c:pt idx="22">
                  <c:v>15.1</c:v>
                </c:pt>
                <c:pt idx="23">
                  <c:v>16</c:v>
                </c:pt>
                <c:pt idx="24">
                  <c:v>16.600000000000001</c:v>
                </c:pt>
                <c:pt idx="25">
                  <c:v>17.100000000000001</c:v>
                </c:pt>
                <c:pt idx="26">
                  <c:v>17.3</c:v>
                </c:pt>
                <c:pt idx="27">
                  <c:v>16.7</c:v>
                </c:pt>
                <c:pt idx="28">
                  <c:v>16.2</c:v>
                </c:pt>
                <c:pt idx="29">
                  <c:v>15.6</c:v>
                </c:pt>
                <c:pt idx="30">
                  <c:v>15.3</c:v>
                </c:pt>
                <c:pt idx="31">
                  <c:v>15</c:v>
                </c:pt>
                <c:pt idx="32">
                  <c:v>14.6</c:v>
                </c:pt>
                <c:pt idx="33">
                  <c:v>14.3</c:v>
                </c:pt>
                <c:pt idx="34">
                  <c:v>14.3</c:v>
                </c:pt>
                <c:pt idx="35">
                  <c:v>14.3</c:v>
                </c:pt>
                <c:pt idx="36">
                  <c:v>14.5</c:v>
                </c:pt>
                <c:pt idx="37">
                  <c:v>14.5</c:v>
                </c:pt>
                <c:pt idx="38">
                  <c:v>14.4</c:v>
                </c:pt>
                <c:pt idx="39">
                  <c:v>13.9</c:v>
                </c:pt>
                <c:pt idx="40">
                  <c:v>13.2</c:v>
                </c:pt>
                <c:pt idx="41">
                  <c:v>12.6</c:v>
                </c:pt>
                <c:pt idx="42">
                  <c:v>12.1</c:v>
                </c:pt>
                <c:pt idx="43">
                  <c:v>11.8</c:v>
                </c:pt>
                <c:pt idx="44">
                  <c:v>11.6</c:v>
                </c:pt>
                <c:pt idx="45">
                  <c:v>11.5</c:v>
                </c:pt>
                <c:pt idx="46">
                  <c:v>11.5</c:v>
                </c:pt>
                <c:pt idx="47">
                  <c:v>11.5</c:v>
                </c:pt>
                <c:pt idx="48">
                  <c:v>11.7</c:v>
                </c:pt>
                <c:pt idx="49">
                  <c:v>11.8</c:v>
                </c:pt>
                <c:pt idx="50">
                  <c:v>11.7</c:v>
                </c:pt>
                <c:pt idx="51">
                  <c:v>12.9</c:v>
                </c:pt>
                <c:pt idx="52">
                  <c:v>12.3</c:v>
                </c:pt>
                <c:pt idx="53">
                  <c:v>11.9</c:v>
                </c:pt>
                <c:pt idx="54">
                  <c:v>11.6</c:v>
                </c:pt>
                <c:pt idx="55">
                  <c:v>11.3</c:v>
                </c:pt>
                <c:pt idx="56">
                  <c:v>11</c:v>
                </c:pt>
                <c:pt idx="57">
                  <c:v>10.7</c:v>
                </c:pt>
                <c:pt idx="58">
                  <c:v>10.6</c:v>
                </c:pt>
                <c:pt idx="59">
                  <c:v>10.5</c:v>
                </c:pt>
                <c:pt idx="60">
                  <c:v>10.9</c:v>
                </c:pt>
                <c:pt idx="61">
                  <c:v>10.9</c:v>
                </c:pt>
                <c:pt idx="62">
                  <c:v>10.8</c:v>
                </c:pt>
                <c:pt idx="63">
                  <c:v>10.4</c:v>
                </c:pt>
                <c:pt idx="64">
                  <c:v>9.9</c:v>
                </c:pt>
                <c:pt idx="65">
                  <c:v>9.6</c:v>
                </c:pt>
                <c:pt idx="66">
                  <c:v>9.5</c:v>
                </c:pt>
                <c:pt idx="67">
                  <c:v>9.3000000000000007</c:v>
                </c:pt>
                <c:pt idx="68">
                  <c:v>9.1</c:v>
                </c:pt>
                <c:pt idx="69" formatCode="General">
                  <c:v>9.1</c:v>
                </c:pt>
                <c:pt idx="70" formatCode="General">
                  <c:v>9.3000000000000007</c:v>
                </c:pt>
                <c:pt idx="71" formatCode="General">
                  <c:v>9.5</c:v>
                </c:pt>
                <c:pt idx="72" formatCode="General">
                  <c:v>9.8000000000000007</c:v>
                </c:pt>
                <c:pt idx="73" formatCode="General">
                  <c:v>9.9</c:v>
                </c:pt>
                <c:pt idx="74" formatCode="General">
                  <c:v>9.8000000000000007</c:v>
                </c:pt>
              </c:numCache>
            </c:numRef>
          </c:val>
          <c:smooth val="0"/>
        </c:ser>
        <c:ser>
          <c:idx val="3"/>
          <c:order val="3"/>
          <c:tx>
            <c:strRef>
              <c:f>Bezdarbs!$F$1</c:f>
              <c:strCache>
                <c:ptCount val="1"/>
                <c:pt idx="0">
                  <c:v>darba meklētāju īpatsvars, % (labā ass)</c:v>
                </c:pt>
              </c:strCache>
            </c:strRef>
          </c:tx>
          <c:spPr>
            <a:ln w="28575" cap="rnd">
              <a:solidFill>
                <a:schemeClr val="tx2">
                  <a:lumMod val="75000"/>
                </a:schemeClr>
              </a:solidFill>
              <a:prstDash val="sysDash"/>
              <a:round/>
            </a:ln>
            <a:effectLst/>
          </c:spPr>
          <c:marker>
            <c:symbol val="none"/>
          </c:marker>
          <c:dLbls>
            <c:dLbl>
              <c:idx val="25"/>
              <c:layout>
                <c:manualLayout>
                  <c:x val="-3.5001370255415262E-2"/>
                  <c:y val="-2.4888888888888887E-2"/>
                </c:manualLayout>
              </c:layout>
              <c:showLegendKey val="0"/>
              <c:showVal val="1"/>
              <c:showCatName val="0"/>
              <c:showSerName val="0"/>
              <c:showPercent val="0"/>
              <c:showBubbleSize val="0"/>
              <c:extLst>
                <c:ext xmlns:c15="http://schemas.microsoft.com/office/drawing/2012/chart" uri="{CE6537A1-D6FC-4f65-9D91-7224C49458BB}"/>
              </c:extLst>
            </c:dLbl>
            <c:dLbl>
              <c:idx val="71"/>
              <c:layout>
                <c:manualLayout>
                  <c:x val="-1.9741089726797847E-2"/>
                  <c:y val="-1.962812077362827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Bezdarbs!$A$2:$B$75</c:f>
              <c:multiLvlStrCache>
                <c:ptCount val="74"/>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pt idx="65">
                    <c:v>VI</c:v>
                  </c:pt>
                  <c:pt idx="66">
                    <c:v>VII</c:v>
                  </c:pt>
                  <c:pt idx="67">
                    <c:v>VIII</c:v>
                  </c:pt>
                  <c:pt idx="68">
                    <c:v>IX</c:v>
                  </c:pt>
                  <c:pt idx="69">
                    <c:v>X</c:v>
                  </c:pt>
                  <c:pt idx="70">
                    <c:v>XI</c:v>
                  </c:pt>
                  <c:pt idx="71">
                    <c:v>XII</c:v>
                  </c:pt>
                  <c:pt idx="72">
                    <c:v>I</c:v>
                  </c:pt>
                  <c:pt idx="73">
                    <c:v>II</c:v>
                  </c:pt>
                </c:lvl>
                <c:lvl>
                  <c:pt idx="0">
                    <c:v>2008</c:v>
                  </c:pt>
                  <c:pt idx="12">
                    <c:v>2009</c:v>
                  </c:pt>
                  <c:pt idx="24">
                    <c:v>2010</c:v>
                  </c:pt>
                  <c:pt idx="36">
                    <c:v>2011</c:v>
                  </c:pt>
                  <c:pt idx="48">
                    <c:v>2012</c:v>
                  </c:pt>
                  <c:pt idx="60">
                    <c:v>2013</c:v>
                  </c:pt>
                  <c:pt idx="72">
                    <c:v>2014</c:v>
                  </c:pt>
                </c:lvl>
              </c:multiLvlStrCache>
            </c:multiLvlStrRef>
          </c:cat>
          <c:val>
            <c:numRef>
              <c:f>Bezdarbs!$F$2:$F$73</c:f>
              <c:numCache>
                <c:formatCode>0.0</c:formatCode>
                <c:ptCount val="72"/>
                <c:pt idx="0">
                  <c:v>6.7</c:v>
                </c:pt>
                <c:pt idx="1">
                  <c:v>6.7</c:v>
                </c:pt>
                <c:pt idx="2">
                  <c:v>6.7</c:v>
                </c:pt>
                <c:pt idx="3">
                  <c:v>6.6</c:v>
                </c:pt>
                <c:pt idx="4">
                  <c:v>6.6</c:v>
                </c:pt>
                <c:pt idx="5">
                  <c:v>6.6</c:v>
                </c:pt>
                <c:pt idx="6">
                  <c:v>7.4</c:v>
                </c:pt>
                <c:pt idx="7">
                  <c:v>7.4</c:v>
                </c:pt>
                <c:pt idx="8">
                  <c:v>7.4</c:v>
                </c:pt>
                <c:pt idx="9">
                  <c:v>10.199999999999999</c:v>
                </c:pt>
                <c:pt idx="10">
                  <c:v>10.199999999999999</c:v>
                </c:pt>
                <c:pt idx="11">
                  <c:v>10.199999999999999</c:v>
                </c:pt>
                <c:pt idx="12">
                  <c:v>14.2</c:v>
                </c:pt>
                <c:pt idx="13">
                  <c:v>14.2</c:v>
                </c:pt>
                <c:pt idx="14">
                  <c:v>14.2</c:v>
                </c:pt>
                <c:pt idx="15">
                  <c:v>17.2</c:v>
                </c:pt>
                <c:pt idx="16">
                  <c:v>17.2</c:v>
                </c:pt>
                <c:pt idx="17">
                  <c:v>17.2</c:v>
                </c:pt>
                <c:pt idx="18">
                  <c:v>18.8</c:v>
                </c:pt>
                <c:pt idx="19">
                  <c:v>18.8</c:v>
                </c:pt>
                <c:pt idx="20">
                  <c:v>18.8</c:v>
                </c:pt>
                <c:pt idx="21">
                  <c:v>19.899999999999999</c:v>
                </c:pt>
                <c:pt idx="22">
                  <c:v>19.899999999999999</c:v>
                </c:pt>
                <c:pt idx="23">
                  <c:v>19.899999999999999</c:v>
                </c:pt>
                <c:pt idx="24">
                  <c:v>21.3</c:v>
                </c:pt>
                <c:pt idx="25">
                  <c:v>21.3</c:v>
                </c:pt>
                <c:pt idx="26">
                  <c:v>21.3</c:v>
                </c:pt>
                <c:pt idx="27">
                  <c:v>20.399999999999999</c:v>
                </c:pt>
                <c:pt idx="28">
                  <c:v>20.399999999999999</c:v>
                </c:pt>
                <c:pt idx="29">
                  <c:v>20.399999999999999</c:v>
                </c:pt>
                <c:pt idx="30">
                  <c:v>18.5</c:v>
                </c:pt>
                <c:pt idx="31">
                  <c:v>18.5</c:v>
                </c:pt>
                <c:pt idx="32">
                  <c:v>18.5</c:v>
                </c:pt>
                <c:pt idx="33">
                  <c:v>17.8</c:v>
                </c:pt>
                <c:pt idx="34">
                  <c:v>17.8</c:v>
                </c:pt>
                <c:pt idx="35">
                  <c:v>17.8</c:v>
                </c:pt>
                <c:pt idx="36">
                  <c:v>17.600000000000001</c:v>
                </c:pt>
                <c:pt idx="37">
                  <c:v>17.600000000000001</c:v>
                </c:pt>
                <c:pt idx="38">
                  <c:v>17.600000000000001</c:v>
                </c:pt>
                <c:pt idx="39">
                  <c:v>17.100000000000001</c:v>
                </c:pt>
                <c:pt idx="40">
                  <c:v>17.100000000000001</c:v>
                </c:pt>
                <c:pt idx="41">
                  <c:v>17.100000000000001</c:v>
                </c:pt>
                <c:pt idx="42">
                  <c:v>15.1</c:v>
                </c:pt>
                <c:pt idx="43">
                  <c:v>15.1</c:v>
                </c:pt>
                <c:pt idx="44">
                  <c:v>15.1</c:v>
                </c:pt>
                <c:pt idx="45">
                  <c:v>15</c:v>
                </c:pt>
                <c:pt idx="46">
                  <c:v>15</c:v>
                </c:pt>
                <c:pt idx="47">
                  <c:v>15</c:v>
                </c:pt>
                <c:pt idx="48">
                  <c:v>16.3</c:v>
                </c:pt>
                <c:pt idx="49">
                  <c:v>16.3</c:v>
                </c:pt>
                <c:pt idx="50">
                  <c:v>16.3</c:v>
                </c:pt>
                <c:pt idx="51" formatCode="General">
                  <c:v>16.3</c:v>
                </c:pt>
                <c:pt idx="52" formatCode="General">
                  <c:v>16.3</c:v>
                </c:pt>
                <c:pt idx="53" formatCode="General">
                  <c:v>16.3</c:v>
                </c:pt>
                <c:pt idx="54">
                  <c:v>13.7</c:v>
                </c:pt>
                <c:pt idx="55">
                  <c:v>13.7</c:v>
                </c:pt>
                <c:pt idx="56">
                  <c:v>13.7</c:v>
                </c:pt>
                <c:pt idx="57">
                  <c:v>13.9</c:v>
                </c:pt>
                <c:pt idx="58">
                  <c:v>13.9</c:v>
                </c:pt>
                <c:pt idx="59">
                  <c:v>13.9</c:v>
                </c:pt>
                <c:pt idx="60">
                  <c:v>13</c:v>
                </c:pt>
                <c:pt idx="61">
                  <c:v>13</c:v>
                </c:pt>
                <c:pt idx="62">
                  <c:v>13</c:v>
                </c:pt>
                <c:pt idx="63">
                  <c:v>11.4</c:v>
                </c:pt>
                <c:pt idx="64">
                  <c:v>11.4</c:v>
                </c:pt>
                <c:pt idx="65">
                  <c:v>11.4</c:v>
                </c:pt>
                <c:pt idx="66">
                  <c:v>11.8</c:v>
                </c:pt>
                <c:pt idx="67">
                  <c:v>11.8</c:v>
                </c:pt>
                <c:pt idx="68">
                  <c:v>11.8</c:v>
                </c:pt>
                <c:pt idx="69" formatCode="General">
                  <c:v>11.3</c:v>
                </c:pt>
                <c:pt idx="70" formatCode="General">
                  <c:v>11.3</c:v>
                </c:pt>
                <c:pt idx="71" formatCode="General">
                  <c:v>11.3</c:v>
                </c:pt>
              </c:numCache>
            </c:numRef>
          </c:val>
          <c:smooth val="0"/>
        </c:ser>
        <c:dLbls>
          <c:showLegendKey val="0"/>
          <c:showVal val="0"/>
          <c:showCatName val="0"/>
          <c:showSerName val="0"/>
          <c:showPercent val="0"/>
          <c:showBubbleSize val="0"/>
        </c:dLbls>
        <c:marker val="1"/>
        <c:smooth val="0"/>
        <c:axId val="275869568"/>
        <c:axId val="275869176"/>
      </c:lineChart>
      <c:catAx>
        <c:axId val="275423008"/>
        <c:scaling>
          <c:orientation val="minMax"/>
        </c:scaling>
        <c:delete val="0"/>
        <c:axPos val="b"/>
        <c:numFmt formatCode="General" sourceLinked="0"/>
        <c:majorTickMark val="in"/>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75423400"/>
        <c:crosses val="autoZero"/>
        <c:auto val="1"/>
        <c:lblAlgn val="ctr"/>
        <c:lblOffset val="100"/>
        <c:tickMarkSkip val="3"/>
        <c:noMultiLvlLbl val="0"/>
      </c:catAx>
      <c:valAx>
        <c:axId val="275423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v-LV"/>
          </a:p>
        </c:txPr>
        <c:crossAx val="275423008"/>
        <c:crosses val="autoZero"/>
        <c:crossBetween val="between"/>
      </c:valAx>
      <c:valAx>
        <c:axId val="275869176"/>
        <c:scaling>
          <c:orientation val="minMax"/>
          <c:max val="22"/>
          <c:min val="0"/>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v-LV"/>
          </a:p>
        </c:txPr>
        <c:crossAx val="275869568"/>
        <c:crosses val="max"/>
        <c:crossBetween val="between"/>
        <c:majorUnit val="4"/>
      </c:valAx>
      <c:catAx>
        <c:axId val="275869568"/>
        <c:scaling>
          <c:orientation val="minMax"/>
        </c:scaling>
        <c:delete val="1"/>
        <c:axPos val="b"/>
        <c:numFmt formatCode="General" sourceLinked="1"/>
        <c:majorTickMark val="none"/>
        <c:minorTickMark val="none"/>
        <c:tickLblPos val="nextTo"/>
        <c:crossAx val="275869176"/>
        <c:crosses val="autoZero"/>
        <c:auto val="1"/>
        <c:lblAlgn val="ctr"/>
        <c:lblOffset val="100"/>
        <c:noMultiLvlLbl val="0"/>
      </c:catAx>
      <c:spPr>
        <a:noFill/>
        <a:ln>
          <a:noFill/>
        </a:ln>
        <a:effectLst/>
      </c:spPr>
    </c:plotArea>
    <c:legend>
      <c:legendPos val="b"/>
      <c:layout>
        <c:manualLayout>
          <c:xMode val="edge"/>
          <c:yMode val="edge"/>
          <c:x val="4.5076986373573059E-3"/>
          <c:y val="0.87129236857441017"/>
          <c:w val="0.98135282150650982"/>
          <c:h val="0.1028900754875520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835814810696797E-2"/>
          <c:y val="5.3966540744738264E-2"/>
          <c:w val="0.89878492402827048"/>
          <c:h val="0.75076381777156442"/>
        </c:manualLayout>
      </c:layout>
      <c:barChart>
        <c:barDir val="col"/>
        <c:grouping val="clustered"/>
        <c:varyColors val="0"/>
        <c:ser>
          <c:idx val="1"/>
          <c:order val="1"/>
          <c:tx>
            <c:strRef>
              <c:f>[Input.xlsx]Algas!$J$1</c:f>
              <c:strCache>
                <c:ptCount val="1"/>
                <c:pt idx="0">
                  <c:v>reālā alga, PCI deflators</c:v>
                </c:pt>
              </c:strCache>
            </c:strRef>
          </c:tx>
          <c:spPr>
            <a:solidFill>
              <a:srgbClr val="FB6308"/>
            </a:solidFill>
            <a:ln>
              <a:solidFill>
                <a:schemeClr val="tx1"/>
              </a:solidFill>
            </a:ln>
          </c:spPr>
          <c:invertIfNegative val="0"/>
          <c:cat>
            <c:multiLvlStrRef>
              <c:f>[1]Algas!$A$14:$B$37</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2008</c:v>
                  </c:pt>
                  <c:pt idx="4">
                    <c:v>2009</c:v>
                  </c:pt>
                  <c:pt idx="8">
                    <c:v>2010</c:v>
                  </c:pt>
                  <c:pt idx="12">
                    <c:v>2011</c:v>
                  </c:pt>
                  <c:pt idx="16">
                    <c:v>2012</c:v>
                  </c:pt>
                  <c:pt idx="20">
                    <c:v>2013</c:v>
                  </c:pt>
                </c:lvl>
              </c:multiLvlStrCache>
            </c:multiLvlStrRef>
          </c:cat>
          <c:val>
            <c:numRef>
              <c:f>[1]Algas!$G$14:$G$37</c:f>
              <c:numCache>
                <c:formatCode>0.0</c:formatCode>
                <c:ptCount val="24"/>
                <c:pt idx="0">
                  <c:v>10.165509919360915</c:v>
                </c:pt>
                <c:pt idx="1">
                  <c:v>5.0778168364210785</c:v>
                </c:pt>
                <c:pt idx="2">
                  <c:v>4.1167711826481934</c:v>
                </c:pt>
                <c:pt idx="3">
                  <c:v>8.8572850405355119E-2</c:v>
                </c:pt>
                <c:pt idx="4">
                  <c:v>-5.0274214678971312</c:v>
                </c:pt>
                <c:pt idx="5">
                  <c:v>-5.2283909436869447</c:v>
                </c:pt>
                <c:pt idx="6">
                  <c:v>-7.8242437531981341</c:v>
                </c:pt>
                <c:pt idx="7">
                  <c:v>-11.131118732631828</c:v>
                </c:pt>
                <c:pt idx="8">
                  <c:v>-4.6465438595922448</c:v>
                </c:pt>
                <c:pt idx="9">
                  <c:v>-4.1817910573946238</c:v>
                </c:pt>
                <c:pt idx="10">
                  <c:v>-1.7104453796354613</c:v>
                </c:pt>
                <c:pt idx="11">
                  <c:v>1.5145022326457314</c:v>
                </c:pt>
                <c:pt idx="12">
                  <c:v>0.25692846808440528</c:v>
                </c:pt>
                <c:pt idx="13">
                  <c:v>-0.46740611634075169</c:v>
                </c:pt>
                <c:pt idx="14">
                  <c:v>-0.28739175324756783</c:v>
                </c:pt>
                <c:pt idx="15">
                  <c:v>0.26505901110749353</c:v>
                </c:pt>
                <c:pt idx="16">
                  <c:v>0.16133835717349054</c:v>
                </c:pt>
                <c:pt idx="17">
                  <c:v>1.4648358000208583</c:v>
                </c:pt>
                <c:pt idx="18">
                  <c:v>1.6872181534744346</c:v>
                </c:pt>
                <c:pt idx="19">
                  <c:v>2.3681705831284816</c:v>
                </c:pt>
                <c:pt idx="20">
                  <c:v>3.5320464819589503</c:v>
                </c:pt>
                <c:pt idx="21">
                  <c:v>4.7926060640875123</c:v>
                </c:pt>
                <c:pt idx="22">
                  <c:v>5.1914070375336019</c:v>
                </c:pt>
                <c:pt idx="23">
                  <c:v>5.1410373949329236</c:v>
                </c:pt>
              </c:numCache>
            </c:numRef>
          </c:val>
        </c:ser>
        <c:dLbls>
          <c:showLegendKey val="0"/>
          <c:showVal val="0"/>
          <c:showCatName val="0"/>
          <c:showSerName val="0"/>
          <c:showPercent val="0"/>
          <c:showBubbleSize val="0"/>
        </c:dLbls>
        <c:gapWidth val="150"/>
        <c:axId val="275871136"/>
        <c:axId val="275871528"/>
      </c:barChart>
      <c:lineChart>
        <c:grouping val="standard"/>
        <c:varyColors val="0"/>
        <c:ser>
          <c:idx val="0"/>
          <c:order val="0"/>
          <c:tx>
            <c:strRef>
              <c:f>[Input.xlsx]Algas!$K$1</c:f>
              <c:strCache>
                <c:ptCount val="1"/>
                <c:pt idx="0">
                  <c:v>bruto alga</c:v>
                </c:pt>
              </c:strCache>
            </c:strRef>
          </c:tx>
          <c:spPr>
            <a:ln w="22225">
              <a:solidFill>
                <a:srgbClr val="2F5C9F"/>
              </a:solidFill>
            </a:ln>
          </c:spPr>
          <c:marker>
            <c:symbol val="none"/>
          </c:marker>
          <c:val>
            <c:numRef>
              <c:f>[1]Algas!$H$14:$H$37</c:f>
              <c:numCache>
                <c:formatCode>0.0</c:formatCode>
                <c:ptCount val="24"/>
                <c:pt idx="0">
                  <c:v>28.230616302186885</c:v>
                </c:pt>
                <c:pt idx="1">
                  <c:v>23.679417122040071</c:v>
                </c:pt>
                <c:pt idx="2">
                  <c:v>20.521739130434781</c:v>
                </c:pt>
                <c:pt idx="3">
                  <c:v>12.125984251968514</c:v>
                </c:pt>
                <c:pt idx="4">
                  <c:v>3.7209302325581506</c:v>
                </c:pt>
                <c:pt idx="5">
                  <c:v>-0.73637702503681624</c:v>
                </c:pt>
                <c:pt idx="6">
                  <c:v>-6.3492063492063489</c:v>
                </c:pt>
                <c:pt idx="7">
                  <c:v>-12.078651685393261</c:v>
                </c:pt>
                <c:pt idx="8">
                  <c:v>-8.2212257100149451</c:v>
                </c:pt>
                <c:pt idx="9">
                  <c:v>-6.2314540059347223</c:v>
                </c:pt>
                <c:pt idx="10">
                  <c:v>-1.8489984591679498</c:v>
                </c:pt>
                <c:pt idx="11">
                  <c:v>3.3546325878594185</c:v>
                </c:pt>
                <c:pt idx="12">
                  <c:v>4.2345276872964188</c:v>
                </c:pt>
                <c:pt idx="13">
                  <c:v>4.2721518987341778</c:v>
                </c:pt>
                <c:pt idx="14">
                  <c:v>4.2386185243328045</c:v>
                </c:pt>
                <c:pt idx="15">
                  <c:v>4.4822256568779029</c:v>
                </c:pt>
                <c:pt idx="16">
                  <c:v>3.5937499999999956</c:v>
                </c:pt>
                <c:pt idx="17">
                  <c:v>3.793626707132014</c:v>
                </c:pt>
                <c:pt idx="18">
                  <c:v>3.4638554216867457</c:v>
                </c:pt>
                <c:pt idx="19">
                  <c:v>3.994082840236679</c:v>
                </c:pt>
                <c:pt idx="20">
                  <c:v>3.9215686274509887</c:v>
                </c:pt>
                <c:pt idx="21">
                  <c:v>4.6783625730994149</c:v>
                </c:pt>
                <c:pt idx="22">
                  <c:v>5.09461426491995</c:v>
                </c:pt>
                <c:pt idx="23">
                  <c:v>4.8364153627311612</c:v>
                </c:pt>
              </c:numCache>
            </c:numRef>
          </c:val>
          <c:smooth val="0"/>
        </c:ser>
        <c:dLbls>
          <c:showLegendKey val="0"/>
          <c:showVal val="0"/>
          <c:showCatName val="0"/>
          <c:showSerName val="0"/>
          <c:showPercent val="0"/>
          <c:showBubbleSize val="0"/>
        </c:dLbls>
        <c:marker val="1"/>
        <c:smooth val="0"/>
        <c:axId val="275871136"/>
        <c:axId val="275871528"/>
      </c:lineChart>
      <c:catAx>
        <c:axId val="275871136"/>
        <c:scaling>
          <c:orientation val="minMax"/>
        </c:scaling>
        <c:delete val="0"/>
        <c:axPos val="b"/>
        <c:numFmt formatCode="General" sourceLinked="0"/>
        <c:majorTickMark val="out"/>
        <c:minorTickMark val="none"/>
        <c:tickLblPos val="low"/>
        <c:txPr>
          <a:bodyPr/>
          <a:lstStyle/>
          <a:p>
            <a:pPr>
              <a:defRPr sz="800"/>
            </a:pPr>
            <a:endParaRPr lang="lv-LV"/>
          </a:p>
        </c:txPr>
        <c:crossAx val="275871528"/>
        <c:crosses val="autoZero"/>
        <c:auto val="1"/>
        <c:lblAlgn val="ctr"/>
        <c:lblOffset val="100"/>
        <c:noMultiLvlLbl val="0"/>
      </c:catAx>
      <c:valAx>
        <c:axId val="275871528"/>
        <c:scaling>
          <c:orientation val="minMax"/>
        </c:scaling>
        <c:delete val="0"/>
        <c:axPos val="l"/>
        <c:majorGridlines>
          <c:spPr>
            <a:ln>
              <a:solidFill>
                <a:schemeClr val="bg1">
                  <a:lumMod val="85000"/>
                </a:schemeClr>
              </a:solidFill>
            </a:ln>
          </c:spPr>
        </c:majorGridlines>
        <c:numFmt formatCode="0" sourceLinked="0"/>
        <c:majorTickMark val="out"/>
        <c:minorTickMark val="none"/>
        <c:tickLblPos val="nextTo"/>
        <c:txPr>
          <a:bodyPr/>
          <a:lstStyle/>
          <a:p>
            <a:pPr>
              <a:defRPr sz="800"/>
            </a:pPr>
            <a:endParaRPr lang="lv-LV"/>
          </a:p>
        </c:txPr>
        <c:crossAx val="275871136"/>
        <c:crosses val="autoZero"/>
        <c:crossBetween val="between"/>
      </c:valAx>
    </c:plotArea>
    <c:legend>
      <c:legendPos val="b"/>
      <c:layout>
        <c:manualLayout>
          <c:xMode val="edge"/>
          <c:yMode val="edge"/>
          <c:x val="0.48005283833607526"/>
          <c:y val="5.8619561383753099E-2"/>
          <c:w val="0.43298941798941798"/>
          <c:h val="0.15481215819420305"/>
        </c:manualLayout>
      </c:layout>
      <c:overlay val="1"/>
      <c:txPr>
        <a:bodyPr/>
        <a:lstStyle/>
        <a:p>
          <a:pPr>
            <a:defRPr sz="800" b="1"/>
          </a:pPr>
          <a:endParaRPr lang="lv-LV"/>
        </a:p>
      </c:txPr>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'GG chart'!$A$45</c:f>
              <c:strCache>
                <c:ptCount val="1"/>
                <c:pt idx="0">
                  <c:v>Valsts konsolidētais budžets</c:v>
                </c:pt>
              </c:strCache>
            </c:strRef>
          </c:tx>
          <c:spPr>
            <a:solidFill>
              <a:schemeClr val="bg1">
                <a:lumMod val="75000"/>
              </a:schemeClr>
            </a:solidFill>
            <a:ln>
              <a:solidFill>
                <a:schemeClr val="tx1"/>
              </a:solidFill>
            </a:ln>
            <a:effectLst/>
          </c:spPr>
          <c:invertIfNegative val="0"/>
          <c:cat>
            <c:multiLvlStrRef>
              <c:f>'GG chart'!$B$43:$J$44</c:f>
              <c:multiLvlStrCache>
                <c:ptCount val="9"/>
                <c:lvl>
                  <c:pt idx="0">
                    <c:v>I cet.</c:v>
                  </c:pt>
                  <c:pt idx="1">
                    <c:v>I-II cet.</c:v>
                  </c:pt>
                  <c:pt idx="2">
                    <c:v>I-III cet.</c:v>
                  </c:pt>
                  <c:pt idx="3">
                    <c:v>I-IV cet.</c:v>
                  </c:pt>
                  <c:pt idx="4">
                    <c:v>I cet.</c:v>
                  </c:pt>
                  <c:pt idx="5">
                    <c:v>I-II cet.</c:v>
                  </c:pt>
                  <c:pt idx="6">
                    <c:v>I-III cet.</c:v>
                  </c:pt>
                  <c:pt idx="7">
                    <c:v>I-IV cet.</c:v>
                  </c:pt>
                  <c:pt idx="8">
                    <c:v>I cet.</c:v>
                  </c:pt>
                </c:lvl>
                <c:lvl>
                  <c:pt idx="0">
                    <c:v>2012</c:v>
                  </c:pt>
                  <c:pt idx="4">
                    <c:v>2013</c:v>
                  </c:pt>
                  <c:pt idx="8">
                    <c:v>2014</c:v>
                  </c:pt>
                </c:lvl>
              </c:multiLvlStrCache>
            </c:multiLvlStrRef>
          </c:cat>
          <c:val>
            <c:numRef>
              <c:f>'GG chart'!$B$45:$J$45</c:f>
              <c:numCache>
                <c:formatCode>General</c:formatCode>
                <c:ptCount val="9"/>
                <c:pt idx="0">
                  <c:v>-154.5188976300648</c:v>
                </c:pt>
                <c:pt idx="1">
                  <c:v>147.2291687156021</c:v>
                </c:pt>
                <c:pt idx="2">
                  <c:v>442.66224230368567</c:v>
                </c:pt>
                <c:pt idx="3">
                  <c:v>-319.16486370310912</c:v>
                </c:pt>
                <c:pt idx="4">
                  <c:v>-16.672125329394838</c:v>
                </c:pt>
                <c:pt idx="5">
                  <c:v>161.24154730195096</c:v>
                </c:pt>
                <c:pt idx="6">
                  <c:v>205.67019112014214</c:v>
                </c:pt>
                <c:pt idx="7">
                  <c:v>-358.7183093721718</c:v>
                </c:pt>
                <c:pt idx="8">
                  <c:v>-51.261863939999969</c:v>
                </c:pt>
              </c:numCache>
            </c:numRef>
          </c:val>
        </c:ser>
        <c:ser>
          <c:idx val="2"/>
          <c:order val="1"/>
          <c:tx>
            <c:strRef>
              <c:f>'GG chart'!$A$46</c:f>
              <c:strCache>
                <c:ptCount val="1"/>
                <c:pt idx="0">
                  <c:v>Pašvaldību konsolidētais budžets</c:v>
                </c:pt>
              </c:strCache>
            </c:strRef>
          </c:tx>
          <c:spPr>
            <a:solidFill>
              <a:srgbClr val="A50021"/>
            </a:solidFill>
            <a:ln>
              <a:solidFill>
                <a:schemeClr val="tx1"/>
              </a:solidFill>
            </a:ln>
            <a:effectLst/>
          </c:spPr>
          <c:invertIfNegative val="0"/>
          <c:cat>
            <c:multiLvlStrRef>
              <c:f>'GG chart'!$B$43:$J$44</c:f>
              <c:multiLvlStrCache>
                <c:ptCount val="9"/>
                <c:lvl>
                  <c:pt idx="0">
                    <c:v>I cet.</c:v>
                  </c:pt>
                  <c:pt idx="1">
                    <c:v>I-II cet.</c:v>
                  </c:pt>
                  <c:pt idx="2">
                    <c:v>I-III cet.</c:v>
                  </c:pt>
                  <c:pt idx="3">
                    <c:v>I-IV cet.</c:v>
                  </c:pt>
                  <c:pt idx="4">
                    <c:v>I cet.</c:v>
                  </c:pt>
                  <c:pt idx="5">
                    <c:v>I-II cet.</c:v>
                  </c:pt>
                  <c:pt idx="6">
                    <c:v>I-III cet.</c:v>
                  </c:pt>
                  <c:pt idx="7">
                    <c:v>I-IV cet.</c:v>
                  </c:pt>
                  <c:pt idx="8">
                    <c:v>I cet.</c:v>
                  </c:pt>
                </c:lvl>
                <c:lvl>
                  <c:pt idx="0">
                    <c:v>2012</c:v>
                  </c:pt>
                  <c:pt idx="4">
                    <c:v>2013</c:v>
                  </c:pt>
                  <c:pt idx="8">
                    <c:v>2014</c:v>
                  </c:pt>
                </c:lvl>
              </c:multiLvlStrCache>
            </c:multiLvlStrRef>
          </c:cat>
          <c:val>
            <c:numRef>
              <c:f>'GG chart'!$B$46:$J$46</c:f>
              <c:numCache>
                <c:formatCode>General</c:formatCode>
                <c:ptCount val="9"/>
                <c:pt idx="0">
                  <c:v>91.984116481977765</c:v>
                </c:pt>
                <c:pt idx="1">
                  <c:v>3.9901935674811004</c:v>
                </c:pt>
                <c:pt idx="2">
                  <c:v>-45.672318313498558</c:v>
                </c:pt>
                <c:pt idx="3">
                  <c:v>-139.26523895709187</c:v>
                </c:pt>
                <c:pt idx="4">
                  <c:v>61.945687560116298</c:v>
                </c:pt>
                <c:pt idx="5">
                  <c:v>29.065581584623942</c:v>
                </c:pt>
                <c:pt idx="6">
                  <c:v>-69.17649871087815</c:v>
                </c:pt>
                <c:pt idx="7">
                  <c:v>-141.7433466514133</c:v>
                </c:pt>
                <c:pt idx="8">
                  <c:v>78.225201999999996</c:v>
                </c:pt>
              </c:numCache>
            </c:numRef>
          </c:val>
        </c:ser>
        <c:dLbls>
          <c:showLegendKey val="0"/>
          <c:showVal val="0"/>
          <c:showCatName val="0"/>
          <c:showSerName val="0"/>
          <c:showPercent val="0"/>
          <c:showBubbleSize val="0"/>
        </c:dLbls>
        <c:gapWidth val="75"/>
        <c:overlap val="-25"/>
        <c:axId val="275872704"/>
        <c:axId val="277189664"/>
      </c:barChart>
      <c:lineChart>
        <c:grouping val="standard"/>
        <c:varyColors val="0"/>
        <c:ser>
          <c:idx val="0"/>
          <c:order val="2"/>
          <c:tx>
            <c:strRef>
              <c:f>'GG chart'!$A$47</c:f>
              <c:strCache>
                <c:ptCount val="1"/>
                <c:pt idx="0">
                  <c:v>Konsolidētais kopbudžets</c:v>
                </c:pt>
              </c:strCache>
            </c:strRef>
          </c:tx>
          <c:spPr>
            <a:ln w="19050" cap="rnd">
              <a:solidFill>
                <a:schemeClr val="tx1"/>
              </a:solidFill>
              <a:prstDash val="sysDash"/>
              <a:round/>
            </a:ln>
            <a:effectLst/>
          </c:spPr>
          <c:marker>
            <c:symbol val="diamond"/>
            <c:size val="7"/>
            <c:spPr>
              <a:solidFill>
                <a:schemeClr val="tx1"/>
              </a:solidFill>
              <a:ln w="9525">
                <a:solidFill>
                  <a:schemeClr val="tx1"/>
                </a:solidFill>
              </a:ln>
              <a:effectLst/>
            </c:spPr>
          </c:marker>
          <c:dLbls>
            <c:dLbl>
              <c:idx val="0"/>
              <c:layout>
                <c:manualLayout>
                  <c:x val="-2.3119599121698777E-2"/>
                  <c:y val="3.512803571890938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6714667754385095E-2"/>
                  <c:y val="1.877335566809234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3.8550603105604479E-2"/>
                  <c:y val="-7.202054646067843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7.0001662812801142E-3"/>
                  <c:y val="1.0195187107080197E-2"/>
                </c:manualLayout>
              </c:layout>
              <c:dLblPos val="r"/>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'GG chart'!$B$43:$J$44</c:f>
              <c:multiLvlStrCache>
                <c:ptCount val="9"/>
                <c:lvl>
                  <c:pt idx="0">
                    <c:v>I cet.</c:v>
                  </c:pt>
                  <c:pt idx="1">
                    <c:v>I-II cet.</c:v>
                  </c:pt>
                  <c:pt idx="2">
                    <c:v>I-III cet.</c:v>
                  </c:pt>
                  <c:pt idx="3">
                    <c:v>I-IV cet.</c:v>
                  </c:pt>
                  <c:pt idx="4">
                    <c:v>I cet.</c:v>
                  </c:pt>
                  <c:pt idx="5">
                    <c:v>I-II cet.</c:v>
                  </c:pt>
                  <c:pt idx="6">
                    <c:v>I-III cet.</c:v>
                  </c:pt>
                  <c:pt idx="7">
                    <c:v>I-IV cet.</c:v>
                  </c:pt>
                  <c:pt idx="8">
                    <c:v>I cet.</c:v>
                  </c:pt>
                </c:lvl>
                <c:lvl>
                  <c:pt idx="0">
                    <c:v>2012</c:v>
                  </c:pt>
                  <c:pt idx="4">
                    <c:v>2013</c:v>
                  </c:pt>
                  <c:pt idx="8">
                    <c:v>2014</c:v>
                  </c:pt>
                </c:lvl>
              </c:multiLvlStrCache>
            </c:multiLvlStrRef>
          </c:cat>
          <c:val>
            <c:numRef>
              <c:f>'GG chart'!$B$47:$J$47</c:f>
              <c:numCache>
                <c:formatCode>General</c:formatCode>
                <c:ptCount val="9"/>
                <c:pt idx="0">
                  <c:v>-62.534781205002083</c:v>
                </c:pt>
                <c:pt idx="1">
                  <c:v>151.21936233999753</c:v>
                </c:pt>
                <c:pt idx="2">
                  <c:v>396.98992399018726</c:v>
                </c:pt>
                <c:pt idx="3">
                  <c:v>-458.43010266020093</c:v>
                </c:pt>
                <c:pt idx="4">
                  <c:v>45.273562230721339</c:v>
                </c:pt>
                <c:pt idx="5">
                  <c:v>190.30712888657479</c:v>
                </c:pt>
                <c:pt idx="6">
                  <c:v>136.49369240926364</c:v>
                </c:pt>
                <c:pt idx="7">
                  <c:v>-500.46165602358496</c:v>
                </c:pt>
                <c:pt idx="8">
                  <c:v>26.96333806000009</c:v>
                </c:pt>
              </c:numCache>
            </c:numRef>
          </c:val>
          <c:smooth val="1"/>
        </c:ser>
        <c:dLbls>
          <c:showLegendKey val="0"/>
          <c:showVal val="0"/>
          <c:showCatName val="0"/>
          <c:showSerName val="0"/>
          <c:showPercent val="0"/>
          <c:showBubbleSize val="0"/>
        </c:dLbls>
        <c:marker val="1"/>
        <c:smooth val="0"/>
        <c:axId val="275872704"/>
        <c:axId val="277189664"/>
      </c:lineChart>
      <c:catAx>
        <c:axId val="275872704"/>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77189664"/>
        <c:crosses val="autoZero"/>
        <c:auto val="1"/>
        <c:lblAlgn val="ctr"/>
        <c:lblOffset val="100"/>
        <c:noMultiLvlLbl val="0"/>
      </c:catAx>
      <c:valAx>
        <c:axId val="27718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25400">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lv-LV"/>
          </a:p>
        </c:txPr>
        <c:crossAx val="275872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028758414469195E-2"/>
          <c:y val="3.6936213776335228E-2"/>
          <c:w val="0.92351535828061448"/>
          <c:h val="0.71743473309626937"/>
        </c:manualLayout>
      </c:layout>
      <c:barChart>
        <c:barDir val="col"/>
        <c:grouping val="clustered"/>
        <c:varyColors val="0"/>
        <c:ser>
          <c:idx val="1"/>
          <c:order val="0"/>
          <c:tx>
            <c:strRef>
              <c:f>'CG chart'!$A$3</c:f>
              <c:strCache>
                <c:ptCount val="1"/>
                <c:pt idx="0">
                  <c:v>Valsts pamatbudžets</c:v>
                </c:pt>
              </c:strCache>
            </c:strRef>
          </c:tx>
          <c:spPr>
            <a:solidFill>
              <a:schemeClr val="bg1">
                <a:lumMod val="75000"/>
              </a:schemeClr>
            </a:solidFill>
            <a:ln>
              <a:solidFill>
                <a:schemeClr val="tx1"/>
              </a:solidFill>
            </a:ln>
            <a:effectLst/>
          </c:spPr>
          <c:invertIfNegative val="0"/>
          <c:cat>
            <c:multiLvlStrRef>
              <c:f>'CG chart'!$B$1:$J$2</c:f>
              <c:multiLvlStrCache>
                <c:ptCount val="9"/>
                <c:lvl>
                  <c:pt idx="0">
                    <c:v>I cet.</c:v>
                  </c:pt>
                  <c:pt idx="1">
                    <c:v>I-II cet.</c:v>
                  </c:pt>
                  <c:pt idx="2">
                    <c:v>I-III cet.</c:v>
                  </c:pt>
                  <c:pt idx="3">
                    <c:v>I-IV cet.</c:v>
                  </c:pt>
                  <c:pt idx="4">
                    <c:v>I cet.</c:v>
                  </c:pt>
                  <c:pt idx="5">
                    <c:v>I-II cet.</c:v>
                  </c:pt>
                  <c:pt idx="6">
                    <c:v>I-III cet.</c:v>
                  </c:pt>
                  <c:pt idx="7">
                    <c:v>I-IV cet.</c:v>
                  </c:pt>
                  <c:pt idx="8">
                    <c:v>I cet.</c:v>
                  </c:pt>
                </c:lvl>
                <c:lvl>
                  <c:pt idx="0">
                    <c:v>2012</c:v>
                  </c:pt>
                  <c:pt idx="4">
                    <c:v>2013</c:v>
                  </c:pt>
                  <c:pt idx="8">
                    <c:v>2014</c:v>
                  </c:pt>
                </c:lvl>
              </c:multiLvlStrCache>
            </c:multiLvlStrRef>
          </c:cat>
          <c:val>
            <c:numRef>
              <c:f>'CG chart'!$B$3:$J$3</c:f>
              <c:numCache>
                <c:formatCode>0.0</c:formatCode>
                <c:ptCount val="9"/>
                <c:pt idx="0">
                  <c:v>-76.850497620958464</c:v>
                </c:pt>
                <c:pt idx="1">
                  <c:v>69.780283179947645</c:v>
                </c:pt>
                <c:pt idx="2">
                  <c:v>515.95450152531782</c:v>
                </c:pt>
                <c:pt idx="3">
                  <c:v>199.81858472632416</c:v>
                </c:pt>
                <c:pt idx="4">
                  <c:v>8.4994630508647564</c:v>
                </c:pt>
                <c:pt idx="5">
                  <c:v>189.12471334824522</c:v>
                </c:pt>
                <c:pt idx="6">
                  <c:v>388.7910029538823</c:v>
                </c:pt>
                <c:pt idx="7">
                  <c:v>70.156058218223677</c:v>
                </c:pt>
                <c:pt idx="8">
                  <c:v>-80.25753894000006</c:v>
                </c:pt>
              </c:numCache>
            </c:numRef>
          </c:val>
        </c:ser>
        <c:ser>
          <c:idx val="2"/>
          <c:order val="1"/>
          <c:tx>
            <c:strRef>
              <c:f>'CG chart'!$A$4</c:f>
              <c:strCache>
                <c:ptCount val="1"/>
                <c:pt idx="0">
                  <c:v>Valsts speciālais budžets</c:v>
                </c:pt>
              </c:strCache>
            </c:strRef>
          </c:tx>
          <c:spPr>
            <a:solidFill>
              <a:srgbClr val="A50021"/>
            </a:solidFill>
            <a:ln>
              <a:solidFill>
                <a:schemeClr val="tx1"/>
              </a:solidFill>
            </a:ln>
            <a:effectLst/>
          </c:spPr>
          <c:invertIfNegative val="0"/>
          <c:cat>
            <c:multiLvlStrRef>
              <c:f>'CG chart'!$B$1:$J$2</c:f>
              <c:multiLvlStrCache>
                <c:ptCount val="9"/>
                <c:lvl>
                  <c:pt idx="0">
                    <c:v>I cet.</c:v>
                  </c:pt>
                  <c:pt idx="1">
                    <c:v>I-II cet.</c:v>
                  </c:pt>
                  <c:pt idx="2">
                    <c:v>I-III cet.</c:v>
                  </c:pt>
                  <c:pt idx="3">
                    <c:v>I-IV cet.</c:v>
                  </c:pt>
                  <c:pt idx="4">
                    <c:v>I cet.</c:v>
                  </c:pt>
                  <c:pt idx="5">
                    <c:v>I-II cet.</c:v>
                  </c:pt>
                  <c:pt idx="6">
                    <c:v>I-III cet.</c:v>
                  </c:pt>
                  <c:pt idx="7">
                    <c:v>I-IV cet.</c:v>
                  </c:pt>
                  <c:pt idx="8">
                    <c:v>I cet.</c:v>
                  </c:pt>
                </c:lvl>
                <c:lvl>
                  <c:pt idx="0">
                    <c:v>2012</c:v>
                  </c:pt>
                  <c:pt idx="4">
                    <c:v>2013</c:v>
                  </c:pt>
                  <c:pt idx="8">
                    <c:v>2014</c:v>
                  </c:pt>
                </c:lvl>
              </c:multiLvlStrCache>
            </c:multiLvlStrRef>
          </c:cat>
          <c:val>
            <c:numRef>
              <c:f>'CG chart'!$B$4:$J$4</c:f>
              <c:numCache>
                <c:formatCode>0.0</c:formatCode>
                <c:ptCount val="9"/>
                <c:pt idx="0">
                  <c:v>-83.001851156225641</c:v>
                </c:pt>
                <c:pt idx="1">
                  <c:v>-82.218047990620434</c:v>
                </c:pt>
                <c:pt idx="2">
                  <c:v>-81.911969766819766</c:v>
                </c:pt>
                <c:pt idx="3">
                  <c:v>-70.403963267141336</c:v>
                </c:pt>
                <c:pt idx="4">
                  <c:v>-25.30496126942931</c:v>
                </c:pt>
                <c:pt idx="5">
                  <c:v>-35.812439883665995</c:v>
                </c:pt>
                <c:pt idx="6">
                  <c:v>-35.442155992282338</c:v>
                </c:pt>
                <c:pt idx="7">
                  <c:v>-57.911081894809925</c:v>
                </c:pt>
                <c:pt idx="8">
                  <c:v>23.799878</c:v>
                </c:pt>
              </c:numCache>
            </c:numRef>
          </c:val>
        </c:ser>
        <c:dLbls>
          <c:showLegendKey val="0"/>
          <c:showVal val="0"/>
          <c:showCatName val="0"/>
          <c:showSerName val="0"/>
          <c:showPercent val="0"/>
          <c:showBubbleSize val="0"/>
        </c:dLbls>
        <c:gapWidth val="75"/>
        <c:overlap val="-25"/>
        <c:axId val="277190448"/>
        <c:axId val="277190840"/>
      </c:barChart>
      <c:lineChart>
        <c:grouping val="standard"/>
        <c:varyColors val="0"/>
        <c:ser>
          <c:idx val="0"/>
          <c:order val="2"/>
          <c:tx>
            <c:strRef>
              <c:f>'CG chart'!$A$5</c:f>
              <c:strCache>
                <c:ptCount val="1"/>
                <c:pt idx="0">
                  <c:v>Valsts konsolidētais budžets</c:v>
                </c:pt>
              </c:strCache>
            </c:strRef>
          </c:tx>
          <c:spPr>
            <a:ln w="19050" cap="rnd">
              <a:solidFill>
                <a:schemeClr val="tx1"/>
              </a:solidFill>
              <a:prstDash val="sysDash"/>
              <a:round/>
            </a:ln>
            <a:effectLst/>
          </c:spPr>
          <c:marker>
            <c:symbol val="diamond"/>
            <c:size val="7"/>
            <c:spPr>
              <a:solidFill>
                <a:schemeClr val="tx1"/>
              </a:solidFill>
              <a:ln w="9525">
                <a:solidFill>
                  <a:schemeClr val="tx1"/>
                </a:solidFill>
              </a:ln>
              <a:effectLst/>
            </c:spPr>
          </c:marker>
          <c:dLbls>
            <c:dLbl>
              <c:idx val="0"/>
              <c:layout>
                <c:manualLayout>
                  <c:x val="-4.8859418359323024E-2"/>
                  <c:y val="4.722697254892829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4491899179393271E-3"/>
                  <c:y val="-3.895752626252053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1311008535086906E-2"/>
                  <c:y val="-5.53736212742250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4736463847413168E-2"/>
                  <c:y val="4.312294879600215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3225351902374451E-2"/>
                  <c:y val="5.953904380770677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9768533894751526E-2"/>
                  <c:y val="-6.768569253300346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9705502305317816E-2"/>
                  <c:y val="-5.537362127422508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4831122404956718E-2"/>
                  <c:y val="5.133099630185450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1471289996203844E-2"/>
                  <c:y val="4.312294879600223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'CG chart'!$B$1:$J$2</c:f>
              <c:multiLvlStrCache>
                <c:ptCount val="9"/>
                <c:lvl>
                  <c:pt idx="0">
                    <c:v>I cet.</c:v>
                  </c:pt>
                  <c:pt idx="1">
                    <c:v>I-II cet.</c:v>
                  </c:pt>
                  <c:pt idx="2">
                    <c:v>I-III cet.</c:v>
                  </c:pt>
                  <c:pt idx="3">
                    <c:v>I-IV cet.</c:v>
                  </c:pt>
                  <c:pt idx="4">
                    <c:v>I cet.</c:v>
                  </c:pt>
                  <c:pt idx="5">
                    <c:v>I-II cet.</c:v>
                  </c:pt>
                  <c:pt idx="6">
                    <c:v>I-III cet.</c:v>
                  </c:pt>
                  <c:pt idx="7">
                    <c:v>I-IV cet.</c:v>
                  </c:pt>
                  <c:pt idx="8">
                    <c:v>I cet.</c:v>
                  </c:pt>
                </c:lvl>
                <c:lvl>
                  <c:pt idx="0">
                    <c:v>2012</c:v>
                  </c:pt>
                  <c:pt idx="4">
                    <c:v>2013</c:v>
                  </c:pt>
                  <c:pt idx="8">
                    <c:v>2014</c:v>
                  </c:pt>
                </c:lvl>
              </c:multiLvlStrCache>
            </c:multiLvlStrRef>
          </c:cat>
          <c:val>
            <c:numRef>
              <c:f>'CG chart'!$B$5:$J$5</c:f>
              <c:numCache>
                <c:formatCode>0.0</c:formatCode>
                <c:ptCount val="9"/>
                <c:pt idx="0">
                  <c:v>-154.5188976300648</c:v>
                </c:pt>
                <c:pt idx="1">
                  <c:v>147.2291687156021</c:v>
                </c:pt>
                <c:pt idx="2">
                  <c:v>442.66224230368567</c:v>
                </c:pt>
                <c:pt idx="3">
                  <c:v>-319.16486370310952</c:v>
                </c:pt>
                <c:pt idx="4">
                  <c:v>-16.672125329394778</c:v>
                </c:pt>
                <c:pt idx="5">
                  <c:v>161.24154730195076</c:v>
                </c:pt>
                <c:pt idx="6">
                  <c:v>205.67019112014177</c:v>
                </c:pt>
                <c:pt idx="7">
                  <c:v>-358.7183093721718</c:v>
                </c:pt>
                <c:pt idx="8">
                  <c:v>-51.261863939999969</c:v>
                </c:pt>
              </c:numCache>
            </c:numRef>
          </c:val>
          <c:smooth val="1"/>
        </c:ser>
        <c:dLbls>
          <c:showLegendKey val="0"/>
          <c:showVal val="0"/>
          <c:showCatName val="0"/>
          <c:showSerName val="0"/>
          <c:showPercent val="0"/>
          <c:showBubbleSize val="0"/>
        </c:dLbls>
        <c:marker val="1"/>
        <c:smooth val="0"/>
        <c:axId val="277190448"/>
        <c:axId val="277190840"/>
      </c:lineChart>
      <c:catAx>
        <c:axId val="277190448"/>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ysClr val="windowText" lastClr="000000"/>
                </a:solidFill>
                <a:latin typeface="+mn-lt"/>
                <a:ea typeface="+mn-ea"/>
                <a:cs typeface="+mn-cs"/>
              </a:defRPr>
            </a:pPr>
            <a:endParaRPr lang="lv-LV"/>
          </a:p>
        </c:txPr>
        <c:crossAx val="277190840"/>
        <c:crosses val="autoZero"/>
        <c:auto val="1"/>
        <c:lblAlgn val="ctr"/>
        <c:lblOffset val="100"/>
        <c:noMultiLvlLbl val="0"/>
      </c:catAx>
      <c:valAx>
        <c:axId val="2771908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25400">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lv-LV"/>
          </a:p>
        </c:txPr>
        <c:crossAx val="2771904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200" b="1" i="0" baseline="0">
                <a:effectLst/>
                <a:latin typeface="Times New Roman" panose="02020603050405020304" pitchFamily="18" charset="0"/>
                <a:cs typeface="Times New Roman" panose="02020603050405020304" pitchFamily="18" charset="0"/>
              </a:rPr>
              <a:t>2014.gada 3 mēneši </a:t>
            </a:r>
            <a:endParaRPr lang="lv-LV" sz="1200">
              <a:effectLst/>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9780111292043526"/>
          <c:w val="1"/>
          <c:h val="0.4979038244080134"/>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Lbls>
            <c:dLbl>
              <c:idx val="0"/>
              <c:layout>
                <c:manualLayout>
                  <c:x val="5.883185972721152E-2"/>
                  <c:y val="-2.6955924550881916E-2"/>
                </c:manualLayout>
              </c:layout>
              <c:tx>
                <c:rich>
                  <a:bodyPr/>
                  <a:lstStyle/>
                  <a:p>
                    <a:fld id="{E2C8CD02-4BDF-409C-8E73-4630D9A52525}" type="CATEGORYNAME">
                      <a:rPr lang="en-US" sz="1200">
                        <a:latin typeface="Times New Roman" panose="02020603050405020304" pitchFamily="18" charset="0"/>
                        <a:cs typeface="Times New Roman" panose="02020603050405020304" pitchFamily="18" charset="0"/>
                      </a:rPr>
                      <a:pPr/>
                      <a:t>[CATEGORY NAME]</a:t>
                    </a:fld>
                    <a:r>
                      <a:rPr lang="en-US" sz="1200" baseline="0">
                        <a:latin typeface="Times New Roman" panose="02020603050405020304" pitchFamily="18" charset="0"/>
                        <a:cs typeface="Times New Roman" panose="02020603050405020304" pitchFamily="18" charset="0"/>
                      </a:rPr>
                      <a:t>
</a:t>
                    </a:r>
                    <a:fld id="{179E5327-3981-4CCA-B079-E1D6A330F8B5}" type="VALUE">
                      <a:rPr lang="en-US" sz="1200" baseline="0">
                        <a:latin typeface="Times New Roman" panose="02020603050405020304" pitchFamily="18" charset="0"/>
                        <a:cs typeface="Times New Roman" panose="02020603050405020304" pitchFamily="18" charset="0"/>
                      </a:rPr>
                      <a:pPr/>
                      <a:t>[VALUE]</a:t>
                    </a:fld>
                    <a:endParaRPr lang="en-US" sz="1200" baseline="0">
                      <a:latin typeface="Times New Roman" panose="02020603050405020304" pitchFamily="18" charset="0"/>
                      <a:cs typeface="Times New Roman" panose="02020603050405020304" pitchFamily="18" charset="0"/>
                    </a:endParaRPr>
                  </a:p>
                </c:rich>
              </c:tx>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1"/>
              <c:layout>
                <c:manualLayout>
                  <c:x val="7.5918131201341679E-2"/>
                  <c:y val="1.4308541743162933E-2"/>
                </c:manualLayout>
              </c:layout>
              <c:tx>
                <c:rich>
                  <a:bodyPr/>
                  <a:lstStyle/>
                  <a:p>
                    <a:fld id="{5F7C1231-1304-451A-928A-E2F0425BA046}" type="CATEGORYNAME">
                      <a:rPr lang="en-US"/>
                      <a:pPr/>
                      <a:t>[CATEGORY NAME]</a:t>
                    </a:fld>
                    <a:r>
                      <a:rPr lang="en-US" baseline="0"/>
                      <a:t>
</a:t>
                    </a:r>
                    <a:fld id="{75AACDCE-AE78-4B68-925E-9E849ABAE29B}" type="VALUE">
                      <a:rPr lang="en-US" baseline="0"/>
                      <a:pPr/>
                      <a:t>[VALUE]</a:t>
                    </a:fld>
                    <a:endParaRPr lang="en-US" baseline="0"/>
                  </a:p>
                </c:rich>
              </c:tx>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2"/>
              <c:layout>
                <c:manualLayout>
                  <c:x val="0.14426432583023896"/>
                  <c:y val="4.0021486951436772E-2"/>
                </c:manualLayout>
              </c:layout>
              <c:tx>
                <c:rich>
                  <a:bodyPr/>
                  <a:lstStyle/>
                  <a:p>
                    <a:fld id="{90ED9D2F-9767-42F3-B1B9-9C4C265D8586}" type="CATEGORYNAME">
                      <a:rPr lang="en-US"/>
                      <a:pPr/>
                      <a:t>[CATEGORY NAME]</a:t>
                    </a:fld>
                    <a:r>
                      <a:rPr lang="en-US" baseline="0"/>
                      <a:t>
</a:t>
                    </a:r>
                    <a:fld id="{F2363568-06D6-4C4F-9085-AB7B83C59F81}" type="VALUE">
                      <a:rPr lang="en-US" baseline="0"/>
                      <a:pPr/>
                      <a:t>[VALUE]</a:t>
                    </a:fld>
                    <a:endParaRPr lang="en-US" baseline="0"/>
                  </a:p>
                </c:rich>
              </c:tx>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3"/>
              <c:layout>
                <c:manualLayout>
                  <c:x val="-0.10980875374449162"/>
                  <c:y val="2.7192892986822242E-2"/>
                </c:manualLayout>
              </c:layout>
              <c:tx>
                <c:rich>
                  <a:bodyPr/>
                  <a:lstStyle/>
                  <a:p>
                    <a:fld id="{BA697D30-AD6C-4675-AF36-3E49372CC63F}" type="CATEGORYNAME">
                      <a:rPr lang="en-US"/>
                      <a:pPr/>
                      <a:t>[CATEGORY NAME]</a:t>
                    </a:fld>
                    <a:r>
                      <a:rPr lang="en-US" baseline="0"/>
                      <a:t>
</a:t>
                    </a:r>
                    <a:fld id="{F893C3D3-0629-4AD8-BDDD-3261179388E9}" type="VALUE">
                      <a:rPr lang="en-US" baseline="0"/>
                      <a:pPr/>
                      <a:t>[VALUE]</a:t>
                    </a:fld>
                    <a:endParaRPr lang="en-US" baseline="0"/>
                  </a:p>
                </c:rich>
              </c:tx>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4"/>
              <c:layout>
                <c:manualLayout>
                  <c:x val="-9.4726062467997946E-2"/>
                  <c:y val="-4.1902785144084971E-2"/>
                </c:manualLayout>
              </c:layout>
              <c:tx>
                <c:rich>
                  <a:bodyPr rot="0" spcFirstLastPara="1" vertOverflow="ellipsis" vert="horz" wrap="square" lIns="38100" tIns="19050" rIns="38100" bIns="19050" anchor="ctr" anchorCtr="1">
                    <a:no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D19AD91C-A275-4FBF-988F-5F4D1DBAA84C}" type="CATEGORYNAME">
                      <a:rPr lang="en-US" sz="1200">
                        <a:latin typeface="Times New Roman" panose="02020603050405020304" pitchFamily="18" charset="0"/>
                        <a:cs typeface="Times New Roman" panose="02020603050405020304" pitchFamily="18" charset="0"/>
                      </a:rPr>
                      <a:pPr>
                        <a:defRPr sz="1200">
                          <a:latin typeface="Times New Roman" panose="02020603050405020304" pitchFamily="18" charset="0"/>
                          <a:cs typeface="Times New Roman" panose="02020603050405020304" pitchFamily="18" charset="0"/>
                        </a:defRPr>
                      </a:pPr>
                      <a:t>[CATEGORY NAME]</a:t>
                    </a:fld>
                    <a:r>
                      <a:rPr lang="en-US" sz="1200" baseline="0">
                        <a:latin typeface="Times New Roman" panose="02020603050405020304" pitchFamily="18" charset="0"/>
                        <a:cs typeface="Times New Roman" panose="02020603050405020304" pitchFamily="18" charset="0"/>
                      </a:rPr>
                      <a:t>
</a:t>
                    </a:r>
                    <a:fld id="{A7CF2C49-F574-4A72-821F-676DCEEFC983}" type="VALUE">
                      <a:rPr lang="en-US" sz="1200" baseline="0">
                        <a:latin typeface="Times New Roman" panose="02020603050405020304" pitchFamily="18" charset="0"/>
                        <a:cs typeface="Times New Roman" panose="02020603050405020304" pitchFamily="18" charset="0"/>
                      </a:rPr>
                      <a:pPr>
                        <a:defRPr sz="1200">
                          <a:latin typeface="Times New Roman" panose="02020603050405020304" pitchFamily="18" charset="0"/>
                          <a:cs typeface="Times New Roman" panose="02020603050405020304" pitchFamily="18" charset="0"/>
                        </a:defRPr>
                      </a:pPr>
                      <a:t>[VALUE]</a:t>
                    </a:fld>
                    <a:endParaRPr lang="en-US" sz="1200" baseline="0">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extLst>
                <c:ext xmlns:c15="http://schemas.microsoft.com/office/drawing/2012/chart" uri="{CE6537A1-D6FC-4f65-9D91-7224C49458BB}">
                  <c15:layout>
                    <c:manualLayout>
                      <c:w val="0.23297491039426524"/>
                      <c:h val="0.16839378238341968"/>
                    </c:manualLayout>
                  </c15:layout>
                  <c15:dlblFieldTable/>
                  <c15:showDataLabelsRange val="0"/>
                </c:ext>
              </c:extLst>
            </c:dLbl>
            <c:dLbl>
              <c:idx val="5"/>
              <c:layout>
                <c:manualLayout>
                  <c:x val="0.12718410198725164"/>
                  <c:y val="-4.2947384167652619E-2"/>
                </c:manualLayout>
              </c:layout>
              <c:tx>
                <c:rich>
                  <a:bodyPr/>
                  <a:lstStyle/>
                  <a:p>
                    <a:fld id="{67E29DBE-1FB5-45AA-BFF7-23B147C3B213}" type="CATEGORYNAME">
                      <a:rPr lang="en-US" sz="1200">
                        <a:latin typeface="Times New Roman" panose="02020603050405020304" pitchFamily="18" charset="0"/>
                        <a:cs typeface="Times New Roman" panose="02020603050405020304" pitchFamily="18" charset="0"/>
                      </a:rPr>
                      <a:pPr/>
                      <a:t>[CATEGORY NAME]</a:t>
                    </a:fld>
                    <a:r>
                      <a:rPr lang="en-US" sz="1200" baseline="0">
                        <a:latin typeface="Times New Roman" panose="02020603050405020304" pitchFamily="18" charset="0"/>
                        <a:cs typeface="Times New Roman" panose="02020603050405020304" pitchFamily="18" charset="0"/>
                      </a:rPr>
                      <a:t>
</a:t>
                    </a:r>
                    <a:fld id="{FA10201E-D176-4C66-ADAB-EE76D966160D}" type="VALUE">
                      <a:rPr lang="en-US" sz="1200" baseline="0">
                        <a:latin typeface="Times New Roman" panose="02020603050405020304" pitchFamily="18" charset="0"/>
                        <a:cs typeface="Times New Roman" panose="02020603050405020304" pitchFamily="18" charset="0"/>
                      </a:rPr>
                      <a:pPr/>
                      <a:t>[VALUE]</a:t>
                    </a:fld>
                    <a:endParaRPr lang="en-US" sz="1200" baseline="0">
                      <a:latin typeface="Times New Roman" panose="02020603050405020304" pitchFamily="18" charset="0"/>
                      <a:cs typeface="Times New Roman" panose="02020603050405020304" pitchFamily="18" charset="0"/>
                    </a:endParaRPr>
                  </a:p>
                </c:rich>
              </c:tx>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ipatsv_3men!$A$6:$A$11</c:f>
              <c:strCache>
                <c:ptCount val="6"/>
                <c:pt idx="0">
                  <c:v>Kārtējie izdevumi</c:v>
                </c:pt>
                <c:pt idx="1">
                  <c:v>Procentu izdevumi</c:v>
                </c:pt>
                <c:pt idx="2">
                  <c:v>Subsīdijas, dotācijas un sociālie pabalsti</c:v>
                </c:pt>
                <c:pt idx="3">
                  <c:v>Kārtējie izdevumi Eiropas Kopienas budžetā un starptautiskā sadarbība</c:v>
                </c:pt>
                <c:pt idx="4">
                  <c:v>Uzturēšanas izdevumu transferti</c:v>
                </c:pt>
                <c:pt idx="5">
                  <c:v>Kapitālie izdevumi</c:v>
                </c:pt>
              </c:strCache>
            </c:strRef>
          </c:cat>
          <c:val>
            <c:numRef>
              <c:f>ipatsv_3men!$E$6:$E$11</c:f>
              <c:numCache>
                <c:formatCode>0.0%</c:formatCode>
                <c:ptCount val="6"/>
                <c:pt idx="0">
                  <c:v>0.23660978955931319</c:v>
                </c:pt>
                <c:pt idx="1">
                  <c:v>0.11554117895758913</c:v>
                </c:pt>
                <c:pt idx="2">
                  <c:v>0.33713232687779821</c:v>
                </c:pt>
                <c:pt idx="3">
                  <c:v>9.1635217847344935E-2</c:v>
                </c:pt>
                <c:pt idx="4">
                  <c:v>0.16698672702409953</c:v>
                </c:pt>
                <c:pt idx="5">
                  <c:v>5.2094759733855051E-2</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v>2014.gada 3 mēneši</c:v>
          </c:tx>
          <c:invertIfNegative val="0"/>
          <c:dLbls>
            <c:dLbl>
              <c:idx val="0"/>
              <c:layout>
                <c:manualLayout>
                  <c:x val="2.2922636103150742E-3"/>
                  <c:y val="-2.742535447113833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6809933142311367E-2"/>
                  <c:y val="9.4719323435290593E-4"/>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6655430965112142E-2"/>
                  <c:y val="-3.245680267313843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1.328903654485049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3.4110830485811913E-2"/>
                  <c:y val="9.195928362157934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0"/>
                  <c:y val="1.7718715393133997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1.4440430476433766E-2"/>
                  <c:y val="2.2148394241417499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0"/>
                  <c:y val="1.3289036544850499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2.3350846468184472E-3"/>
                  <c:y val="4.444445999806124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'pb-īpatsvars2014'!$B$8:$B$17</c:f>
              <c:strCache>
                <c:ptCount val="10"/>
                <c:pt idx="0">
                  <c:v>Vispārējie valdības dienesti</c:v>
                </c:pt>
                <c:pt idx="1">
                  <c:v>Aizsardzība</c:v>
                </c:pt>
                <c:pt idx="2">
                  <c:v>Sabiedriskā kārtība un drošība</c:v>
                </c:pt>
                <c:pt idx="3">
                  <c:v>Ekonomiskā darbība</c:v>
                </c:pt>
                <c:pt idx="4">
                  <c:v>Vides aizsardzība</c:v>
                </c:pt>
                <c:pt idx="5">
                  <c:v>Teritoriju un mājokļu apsaimniekošana</c:v>
                </c:pt>
                <c:pt idx="6">
                  <c:v>Veselība</c:v>
                </c:pt>
                <c:pt idx="7">
                  <c:v>Atpūta, kultūra un reliģija</c:v>
                </c:pt>
                <c:pt idx="8">
                  <c:v>Izglītība</c:v>
                </c:pt>
                <c:pt idx="9">
                  <c:v>Sociālā aizsardzība</c:v>
                </c:pt>
              </c:strCache>
            </c:strRef>
          </c:cat>
          <c:val>
            <c:numRef>
              <c:f>'pb-īpatsvars2014'!$Q$8:$Q$17</c:f>
              <c:numCache>
                <c:formatCode>#,##0_);\(#,##0\)</c:formatCode>
                <c:ptCount val="10"/>
                <c:pt idx="0">
                  <c:v>327606.05343999999</c:v>
                </c:pt>
                <c:pt idx="1">
                  <c:v>34891.921520000004</c:v>
                </c:pt>
                <c:pt idx="2">
                  <c:v>98836.412110000005</c:v>
                </c:pt>
                <c:pt idx="3">
                  <c:v>265835.51624000003</c:v>
                </c:pt>
                <c:pt idx="4">
                  <c:v>37371.463609999999</c:v>
                </c:pt>
                <c:pt idx="5">
                  <c:v>730.58987999999999</c:v>
                </c:pt>
                <c:pt idx="6">
                  <c:v>162264.99987</c:v>
                </c:pt>
                <c:pt idx="7">
                  <c:v>28536.639460000002</c:v>
                </c:pt>
                <c:pt idx="8">
                  <c:v>153704.02058000001</c:v>
                </c:pt>
                <c:pt idx="9">
                  <c:v>122583.16848000001</c:v>
                </c:pt>
              </c:numCache>
            </c:numRef>
          </c:val>
        </c:ser>
        <c:ser>
          <c:idx val="1"/>
          <c:order val="1"/>
          <c:tx>
            <c:v>2013.gada 3 mēneši</c:v>
          </c:tx>
          <c:invertIfNegative val="0"/>
          <c:dLbls>
            <c:dLbl>
              <c:idx val="0"/>
              <c:layout>
                <c:manualLayout>
                  <c:x val="2.2922636103151861E-3"/>
                  <c:y val="-6.376799345251592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2952252028668336E-2"/>
                  <c:y val="-9.696102509484390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1942432458612935E-3"/>
                  <c:y val="-1.388888888888893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5983070190840209E-2"/>
                  <c:y val="-2.321782327060623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9525330560095006E-2"/>
                  <c:y val="-5.353796197622094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5.0359702721028972E-2"/>
                  <c:y val="-2.3148512685914328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3.2407407407407503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2.39808108195376E-3"/>
                  <c:y val="-2.3148148148148147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1.9184648655630122E-2"/>
                  <c:y val="-1.8518518518518559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2.39808108195376E-3"/>
                  <c:y val="-1.851851851851856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'pb-īpatsvars2014'!$B$8:$B$17</c:f>
              <c:strCache>
                <c:ptCount val="10"/>
                <c:pt idx="0">
                  <c:v>Vispārējie valdības dienesti</c:v>
                </c:pt>
                <c:pt idx="1">
                  <c:v>Aizsardzība</c:v>
                </c:pt>
                <c:pt idx="2">
                  <c:v>Sabiedriskā kārtība un drošība</c:v>
                </c:pt>
                <c:pt idx="3">
                  <c:v>Ekonomiskā darbība</c:v>
                </c:pt>
                <c:pt idx="4">
                  <c:v>Vides aizsardzība</c:v>
                </c:pt>
                <c:pt idx="5">
                  <c:v>Teritoriju un mājokļu apsaimniekošana</c:v>
                </c:pt>
                <c:pt idx="6">
                  <c:v>Veselība</c:v>
                </c:pt>
                <c:pt idx="7">
                  <c:v>Atpūta, kultūra un reliģija</c:v>
                </c:pt>
                <c:pt idx="8">
                  <c:v>Izglītība</c:v>
                </c:pt>
                <c:pt idx="9">
                  <c:v>Sociālā aizsardzība</c:v>
                </c:pt>
              </c:strCache>
            </c:strRef>
          </c:cat>
          <c:val>
            <c:numRef>
              <c:f>'pb-īpatsvars2014'!$P$8:$P$17</c:f>
              <c:numCache>
                <c:formatCode>#,##0_);\(#,##0\)</c:formatCode>
                <c:ptCount val="10"/>
                <c:pt idx="0">
                  <c:v>303963.47910655034</c:v>
                </c:pt>
                <c:pt idx="1">
                  <c:v>36179.599120096071</c:v>
                </c:pt>
                <c:pt idx="2">
                  <c:v>90829.349776039991</c:v>
                </c:pt>
                <c:pt idx="3">
                  <c:v>275129.16014991381</c:v>
                </c:pt>
                <c:pt idx="4">
                  <c:v>29670.075084945449</c:v>
                </c:pt>
                <c:pt idx="5">
                  <c:v>711.62604367647305</c:v>
                </c:pt>
                <c:pt idx="6">
                  <c:v>143053.65688015433</c:v>
                </c:pt>
                <c:pt idx="7">
                  <c:v>27068.345698089368</c:v>
                </c:pt>
                <c:pt idx="8">
                  <c:v>147264.01938520552</c:v>
                </c:pt>
                <c:pt idx="9">
                  <c:v>70649.373068451518</c:v>
                </c:pt>
              </c:numCache>
            </c:numRef>
          </c:val>
        </c:ser>
        <c:dLbls>
          <c:showLegendKey val="0"/>
          <c:showVal val="1"/>
          <c:showCatName val="0"/>
          <c:showSerName val="0"/>
          <c:showPercent val="0"/>
          <c:showBubbleSize val="0"/>
        </c:dLbls>
        <c:gapWidth val="0"/>
        <c:axId val="277192016"/>
        <c:axId val="277192408"/>
      </c:barChart>
      <c:catAx>
        <c:axId val="277192016"/>
        <c:scaling>
          <c:orientation val="minMax"/>
        </c:scaling>
        <c:delete val="0"/>
        <c:axPos val="l"/>
        <c:numFmt formatCode="General" sourceLinked="0"/>
        <c:majorTickMark val="out"/>
        <c:minorTickMark val="none"/>
        <c:tickLblPos val="nextTo"/>
        <c:crossAx val="277192408"/>
        <c:crosses val="autoZero"/>
        <c:auto val="1"/>
        <c:lblAlgn val="ctr"/>
        <c:lblOffset val="100"/>
        <c:noMultiLvlLbl val="0"/>
      </c:catAx>
      <c:valAx>
        <c:axId val="277192408"/>
        <c:scaling>
          <c:orientation val="minMax"/>
        </c:scaling>
        <c:delete val="0"/>
        <c:axPos val="b"/>
        <c:majorGridlines/>
        <c:numFmt formatCode="#,##0_);\(#,##0\)" sourceLinked="0"/>
        <c:majorTickMark val="out"/>
        <c:minorTickMark val="none"/>
        <c:tickLblPos val="nextTo"/>
        <c:crossAx val="277192016"/>
        <c:crosses val="autoZero"/>
        <c:crossBetween val="between"/>
      </c:valAx>
      <c:spPr>
        <a:ln>
          <a:noFill/>
        </a:ln>
      </c:spPr>
    </c:plotArea>
    <c:legend>
      <c:legendPos val="b"/>
      <c:layout>
        <c:manualLayout>
          <c:xMode val="edge"/>
          <c:yMode val="edge"/>
          <c:x val="0.25836981184422303"/>
          <c:y val="0.89332042796975963"/>
          <c:w val="0.483260376311554"/>
          <c:h val="0.10667957203024041"/>
        </c:manualLayout>
      </c:layout>
      <c:overlay val="0"/>
      <c:txPr>
        <a:bodyPr/>
        <a:lstStyle/>
        <a:p>
          <a:pPr>
            <a:defRPr>
              <a:latin typeface="Times New Roman" panose="02020603050405020304" pitchFamily="18" charset="0"/>
              <a:cs typeface="Times New Roman" panose="02020603050405020304" pitchFamily="18" charset="0"/>
            </a:defRPr>
          </a:pPr>
          <a:endParaRPr lang="lv-LV"/>
        </a:p>
      </c:txPr>
    </c:legend>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200" b="1"/>
              <a:t>2014.gada 3 mēneši </a:t>
            </a:r>
          </a:p>
        </c:rich>
      </c:tx>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894091437920344E-3"/>
          <c:y val="0.24031917648534659"/>
          <c:w val="0.82072380210861751"/>
          <c:h val="0.67611634374635488"/>
        </c:manualLayout>
      </c:layout>
      <c:pie3DChart>
        <c:varyColors val="1"/>
        <c:ser>
          <c:idx val="0"/>
          <c:order val="0"/>
          <c:explosion val="4"/>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Lbls>
            <c:dLbl>
              <c:idx val="0"/>
              <c:layout>
                <c:manualLayout>
                  <c:x val="0.19334880123743228"/>
                  <c:y val="-4.7916651028726302E-3"/>
                </c:manualLayout>
              </c:layout>
              <c:tx>
                <c:rich>
                  <a:bodyPr/>
                  <a:lstStyle/>
                  <a:p>
                    <a:fld id="{0601954E-52DD-4302-96AB-D498D19377B2}" type="CATEGORYNAME">
                      <a:rPr lang="en-US"/>
                      <a:pPr/>
                      <a:t>[CATEGORY NAME]</a:t>
                    </a:fld>
                    <a:r>
                      <a:rPr lang="en-US" baseline="0"/>
                      <a:t>
</a:t>
                    </a:r>
                    <a:fld id="{E7BFBACC-767B-4165-AC04-32B91A8229AB}" type="VALUE">
                      <a:rPr lang="en-US" baseline="0"/>
                      <a:pPr/>
                      <a:t>[VALUE]</a:t>
                    </a:fld>
                    <a:endParaRPr lang="en-US" baseline="0"/>
                  </a:p>
                </c:rich>
              </c:tx>
              <c:showLegendKey val="0"/>
              <c:showVal val="0"/>
              <c:showCatName val="1"/>
              <c:showSerName val="0"/>
              <c:showPercent val="1"/>
              <c:showBubbleSize val="0"/>
              <c:extLst>
                <c:ext xmlns:c15="http://schemas.microsoft.com/office/drawing/2012/chart" uri="{CE6537A1-D6FC-4f65-9D91-7224C49458BB}">
                  <c15:layout>
                    <c:manualLayout>
                      <c:w val="0.26074466909733729"/>
                      <c:h val="0.1363203050524309"/>
                    </c:manualLayout>
                  </c15:layout>
                  <c15:dlblFieldTable/>
                  <c15:showDataLabelsRange val="0"/>
                </c:ext>
              </c:extLst>
            </c:dLbl>
            <c:dLbl>
              <c:idx val="1"/>
              <c:delete val="1"/>
              <c:extLst>
                <c:ext xmlns:c15="http://schemas.microsoft.com/office/drawing/2012/chart" uri="{CE6537A1-D6FC-4f65-9D91-7224C49458BB}"/>
              </c:extLst>
            </c:dLbl>
            <c:dLbl>
              <c:idx val="2"/>
              <c:layout>
                <c:manualLayout>
                  <c:x val="9.1715797706261232E-2"/>
                  <c:y val="-0.3010190432582962"/>
                </c:manualLayout>
              </c:layout>
              <c:tx>
                <c:rich>
                  <a:bodyPr/>
                  <a:lstStyle/>
                  <a:p>
                    <a:fld id="{CE343461-CAD8-4300-8E7E-3D5941420878}" type="CATEGORYNAME">
                      <a:rPr lang="en-US"/>
                      <a:pPr/>
                      <a:t>[CATEGORY NAME]</a:t>
                    </a:fld>
                    <a:r>
                      <a:rPr lang="en-US" baseline="0"/>
                      <a:t>
</a:t>
                    </a:r>
                    <a:fld id="{DC0CA580-2DD2-4463-B3C0-24E5046A177D}" type="VALUE">
                      <a:rPr lang="en-US" baseline="0"/>
                      <a:pPr/>
                      <a:t>[VALUE]</a:t>
                    </a:fld>
                    <a:endParaRPr lang="en-US" baseline="0"/>
                  </a:p>
                </c:rich>
              </c:tx>
              <c:showLegendKey val="0"/>
              <c:showVal val="0"/>
              <c:showCatName val="1"/>
              <c:showSerName val="0"/>
              <c:showPercent val="1"/>
              <c:showBubbleSize val="0"/>
              <c:extLst>
                <c:ext xmlns:c15="http://schemas.microsoft.com/office/drawing/2012/chart" uri="{CE6537A1-D6FC-4f65-9D91-7224C49458BB}">
                  <c15:layout>
                    <c:manualLayout>
                      <c:w val="0.28812285935255771"/>
                      <c:h val="0.17523370589162532"/>
                    </c:manualLayout>
                  </c15:layout>
                  <c15:dlblFieldTable/>
                  <c15:showDataLabelsRange val="0"/>
                </c:ext>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ipatsv_3men!$H$6:$H$11</c:f>
              <c:strCache>
                <c:ptCount val="6"/>
                <c:pt idx="0">
                  <c:v>Kārtējie izdevumi</c:v>
                </c:pt>
                <c:pt idx="1">
                  <c:v>Procentu izdevumi</c:v>
                </c:pt>
                <c:pt idx="2">
                  <c:v>Subsīdijas, dotācijas un sociālie pabalsti</c:v>
                </c:pt>
                <c:pt idx="3">
                  <c:v>Kārtējie izdevumi Eiropas Kopienas budžetā un starptautiskā sadarbība</c:v>
                </c:pt>
                <c:pt idx="4">
                  <c:v>Uzturēšanas izdevumu transferti</c:v>
                </c:pt>
                <c:pt idx="5">
                  <c:v>Kapitālie izdevumi</c:v>
                </c:pt>
              </c:strCache>
            </c:strRef>
          </c:cat>
          <c:val>
            <c:numRef>
              <c:f>ipatsv_3men!$L$6:$L$11</c:f>
              <c:numCache>
                <c:formatCode>0.0%</c:formatCode>
                <c:ptCount val="6"/>
                <c:pt idx="0">
                  <c:v>5.992386882063344E-3</c:v>
                </c:pt>
                <c:pt idx="1">
                  <c:v>0</c:v>
                </c:pt>
                <c:pt idx="2">
                  <c:v>0.99342025153222246</c:v>
                </c:pt>
                <c:pt idx="3">
                  <c:v>3.4801373692051256E-5</c:v>
                </c:pt>
                <c:pt idx="4">
                  <c:v>1.9299832966450422E-4</c:v>
                </c:pt>
                <c:pt idx="5">
                  <c:v>3.5956188235765238E-4</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2328556813706918E-2"/>
          <c:y val="0.17673665188506216"/>
          <c:w val="0.90151941577298067"/>
          <c:h val="0.73329708060703669"/>
        </c:manualLayout>
      </c:layout>
      <c:barChart>
        <c:barDir val="col"/>
        <c:grouping val="stacked"/>
        <c:varyColors val="0"/>
        <c:ser>
          <c:idx val="0"/>
          <c:order val="0"/>
          <c:tx>
            <c:strRef>
              <c:f>'2013-2014milj'!$A$8</c:f>
              <c:strCache>
                <c:ptCount val="1"/>
                <c:pt idx="0">
                  <c:v>I. Valsts pamatfunkcijas, milj. euro</c:v>
                </c:pt>
              </c:strCache>
            </c:strRef>
          </c:tx>
          <c:invertIfNegative val="0"/>
          <c:dLbls>
            <c:spPr>
              <a:noFill/>
              <a:ln>
                <a:noFill/>
              </a:ln>
              <a:effectLst/>
            </c:spPr>
            <c:txPr>
              <a:bodyPr/>
              <a:lstStyle/>
              <a:p>
                <a:pPr>
                  <a:defRPr sz="1000" b="1">
                    <a:latin typeface="Times New Roman" pitchFamily="18" charset="0"/>
                    <a:cs typeface="Times New Roman"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'2013-2014milj'!$B$6:$P$6</c:f>
              <c:strCache>
                <c:ptCount val="15"/>
                <c:pt idx="0">
                  <c:v>Jan
2013</c:v>
                </c:pt>
                <c:pt idx="1">
                  <c:v>Feb
2013</c:v>
                </c:pt>
                <c:pt idx="2">
                  <c:v>Mar
2013</c:v>
                </c:pt>
                <c:pt idx="3">
                  <c:v>Apr
2013</c:v>
                </c:pt>
                <c:pt idx="4">
                  <c:v>Mai
2013</c:v>
                </c:pt>
                <c:pt idx="5">
                  <c:v>Jūn
2013</c:v>
                </c:pt>
                <c:pt idx="6">
                  <c:v>Jūl
2013</c:v>
                </c:pt>
                <c:pt idx="7">
                  <c:v>Aug
2013</c:v>
                </c:pt>
                <c:pt idx="8">
                  <c:v>Sep
2013</c:v>
                </c:pt>
                <c:pt idx="9">
                  <c:v>Okt
2013</c:v>
                </c:pt>
                <c:pt idx="10">
                  <c:v>Nov
2013</c:v>
                </c:pt>
                <c:pt idx="11">
                  <c:v>Dec
2013</c:v>
                </c:pt>
                <c:pt idx="12">
                  <c:v>Jan
2014</c:v>
                </c:pt>
                <c:pt idx="13">
                  <c:v>Feb
2014</c:v>
                </c:pt>
                <c:pt idx="14">
                  <c:v>Mar
2014</c:v>
                </c:pt>
              </c:strCache>
            </c:strRef>
          </c:cat>
          <c:val>
            <c:numRef>
              <c:f>'2013-2014milj'!$B$8:$P$8</c:f>
              <c:numCache>
                <c:formatCode>#,##0</c:formatCode>
                <c:ptCount val="15"/>
                <c:pt idx="0">
                  <c:v>271.01307800000001</c:v>
                </c:pt>
                <c:pt idx="1">
                  <c:v>311.93394999999998</c:v>
                </c:pt>
                <c:pt idx="2">
                  <c:v>301.457719</c:v>
                </c:pt>
                <c:pt idx="3">
                  <c:v>303.48435499999999</c:v>
                </c:pt>
                <c:pt idx="4">
                  <c:v>248.71066200000001</c:v>
                </c:pt>
                <c:pt idx="5">
                  <c:v>306.635786</c:v>
                </c:pt>
                <c:pt idx="6">
                  <c:v>275.51190200000002</c:v>
                </c:pt>
                <c:pt idx="7">
                  <c:v>248.222488</c:v>
                </c:pt>
                <c:pt idx="8">
                  <c:v>257.47357799999997</c:v>
                </c:pt>
                <c:pt idx="9">
                  <c:v>264.18589200000002</c:v>
                </c:pt>
                <c:pt idx="10">
                  <c:v>280.65121799999997</c:v>
                </c:pt>
                <c:pt idx="11">
                  <c:v>397.30156899999997</c:v>
                </c:pt>
                <c:pt idx="12">
                  <c:v>299.77865000000003</c:v>
                </c:pt>
                <c:pt idx="13">
                  <c:v>346.36818599999998</c:v>
                </c:pt>
                <c:pt idx="14">
                  <c:v>330.99369899999999</c:v>
                </c:pt>
              </c:numCache>
            </c:numRef>
          </c:val>
        </c:ser>
        <c:ser>
          <c:idx val="1"/>
          <c:order val="1"/>
          <c:tx>
            <c:strRef>
              <c:f>'2013-2014milj'!$A$9</c:f>
              <c:strCache>
                <c:ptCount val="1"/>
                <c:pt idx="0">
                  <c:v>II. ES politiku instrumenti un pārējā ārvalstu finanšu palīdzība, milj. euro</c:v>
                </c:pt>
              </c:strCache>
            </c:strRef>
          </c:tx>
          <c:invertIfNegative val="0"/>
          <c:dLbls>
            <c:spPr>
              <a:noFill/>
              <a:ln>
                <a:noFill/>
              </a:ln>
              <a:effectLst/>
            </c:spPr>
            <c:txPr>
              <a:bodyPr/>
              <a:lstStyle/>
              <a:p>
                <a:pPr>
                  <a:defRPr sz="1000" b="1">
                    <a:latin typeface="Times New Roman" pitchFamily="18" charset="0"/>
                    <a:cs typeface="Times New Roman"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'2013-2014milj'!$B$6:$P$6</c:f>
              <c:strCache>
                <c:ptCount val="15"/>
                <c:pt idx="0">
                  <c:v>Jan
2013</c:v>
                </c:pt>
                <c:pt idx="1">
                  <c:v>Feb
2013</c:v>
                </c:pt>
                <c:pt idx="2">
                  <c:v>Mar
2013</c:v>
                </c:pt>
                <c:pt idx="3">
                  <c:v>Apr
2013</c:v>
                </c:pt>
                <c:pt idx="4">
                  <c:v>Mai
2013</c:v>
                </c:pt>
                <c:pt idx="5">
                  <c:v>Jūn
2013</c:v>
                </c:pt>
                <c:pt idx="6">
                  <c:v>Jūl
2013</c:v>
                </c:pt>
                <c:pt idx="7">
                  <c:v>Aug
2013</c:v>
                </c:pt>
                <c:pt idx="8">
                  <c:v>Sep
2013</c:v>
                </c:pt>
                <c:pt idx="9">
                  <c:v>Okt
2013</c:v>
                </c:pt>
                <c:pt idx="10">
                  <c:v>Nov
2013</c:v>
                </c:pt>
                <c:pt idx="11">
                  <c:v>Dec
2013</c:v>
                </c:pt>
                <c:pt idx="12">
                  <c:v>Jan
2014</c:v>
                </c:pt>
                <c:pt idx="13">
                  <c:v>Feb
2014</c:v>
                </c:pt>
                <c:pt idx="14">
                  <c:v>Mar
2014</c:v>
                </c:pt>
              </c:strCache>
            </c:strRef>
          </c:cat>
          <c:val>
            <c:numRef>
              <c:f>'2013-2014milj'!$B$9:$P$9</c:f>
              <c:numCache>
                <c:formatCode>#,##0</c:formatCode>
                <c:ptCount val="15"/>
                <c:pt idx="0">
                  <c:v>56.257185999999997</c:v>
                </c:pt>
                <c:pt idx="1">
                  <c:v>89.630875000000003</c:v>
                </c:pt>
                <c:pt idx="2">
                  <c:v>94.225875000000002</c:v>
                </c:pt>
                <c:pt idx="3">
                  <c:v>78.259793000000002</c:v>
                </c:pt>
                <c:pt idx="4">
                  <c:v>88.188383999999999</c:v>
                </c:pt>
                <c:pt idx="5">
                  <c:v>108.403612</c:v>
                </c:pt>
                <c:pt idx="6">
                  <c:v>95.632520999999997</c:v>
                </c:pt>
                <c:pt idx="7">
                  <c:v>115.84956099999999</c:v>
                </c:pt>
                <c:pt idx="8">
                  <c:v>103.33689</c:v>
                </c:pt>
                <c:pt idx="9">
                  <c:v>104.525994</c:v>
                </c:pt>
                <c:pt idx="10">
                  <c:v>147.31849199999999</c:v>
                </c:pt>
                <c:pt idx="11">
                  <c:v>221.169083</c:v>
                </c:pt>
                <c:pt idx="12">
                  <c:v>79.574136999999993</c:v>
                </c:pt>
                <c:pt idx="13">
                  <c:v>98.701082</c:v>
                </c:pt>
                <c:pt idx="14">
                  <c:v>76.945031</c:v>
                </c:pt>
              </c:numCache>
            </c:numRef>
          </c:val>
        </c:ser>
        <c:dLbls>
          <c:showLegendKey val="0"/>
          <c:showVal val="0"/>
          <c:showCatName val="0"/>
          <c:showSerName val="0"/>
          <c:showPercent val="0"/>
          <c:showBubbleSize val="0"/>
        </c:dLbls>
        <c:gapWidth val="150"/>
        <c:overlap val="100"/>
        <c:axId val="275422224"/>
        <c:axId val="277743128"/>
      </c:barChart>
      <c:catAx>
        <c:axId val="275422224"/>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lv-LV"/>
          </a:p>
        </c:txPr>
        <c:crossAx val="277743128"/>
        <c:crosses val="autoZero"/>
        <c:auto val="1"/>
        <c:lblAlgn val="ctr"/>
        <c:lblOffset val="100"/>
        <c:noMultiLvlLbl val="0"/>
      </c:catAx>
      <c:valAx>
        <c:axId val="277743128"/>
        <c:scaling>
          <c:orientation val="minMax"/>
        </c:scaling>
        <c:delete val="0"/>
        <c:axPos val="l"/>
        <c:majorGridlines/>
        <c:numFmt formatCode="#,##0" sourceLinked="1"/>
        <c:majorTickMark val="out"/>
        <c:minorTickMark val="none"/>
        <c:tickLblPos val="nextTo"/>
        <c:crossAx val="275422224"/>
        <c:crosses val="autoZero"/>
        <c:crossBetween val="between"/>
      </c:valAx>
    </c:plotArea>
    <c:legend>
      <c:legendPos val="tr"/>
      <c:layout>
        <c:manualLayout>
          <c:xMode val="edge"/>
          <c:yMode val="edge"/>
          <c:x val="7.0934430428028064E-2"/>
          <c:y val="0.28444446786635524"/>
          <c:w val="0.43455116853686282"/>
          <c:h val="0.2016202728934402"/>
        </c:manualLayout>
      </c:layout>
      <c:overlay val="0"/>
      <c:txPr>
        <a:bodyPr/>
        <a:lstStyle/>
        <a:p>
          <a:pPr>
            <a:defRPr sz="1000" b="1">
              <a:latin typeface="Times New Roman" pitchFamily="18" charset="0"/>
              <a:cs typeface="Times New Roman" pitchFamily="18" charset="0"/>
            </a:defRPr>
          </a:pPr>
          <a:endParaRPr lang="lv-LV"/>
        </a:p>
      </c:txPr>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399894055645814"/>
          <c:y val="9.7103830951057929E-2"/>
          <c:w val="0.54937056038914611"/>
          <c:h val="0.85812930740092019"/>
        </c:manualLayout>
      </c:layout>
      <c:barChart>
        <c:barDir val="bar"/>
        <c:grouping val="clustered"/>
        <c:varyColors val="0"/>
        <c:ser>
          <c:idx val="0"/>
          <c:order val="0"/>
          <c:tx>
            <c:strRef>
              <c:f>'C:\Users\td-kabak\Desktop\Vk_pārskati\[AmethistTGH.xlsm]Rev Exp LG'!$E$26</c:f>
              <c:strCache>
                <c:ptCount val="1"/>
                <c:pt idx="0">
                  <c:v>2014</c:v>
                </c:pt>
              </c:strCache>
            </c:strRef>
          </c:tx>
          <c:spPr>
            <a:ln>
              <a:solidFill>
                <a:sysClr val="windowText" lastClr="000000"/>
              </a:solidFill>
            </a:ln>
          </c:spPr>
          <c:invertIfNegative val="0"/>
          <c:dPt>
            <c:idx val="0"/>
            <c:invertIfNegative val="0"/>
            <c:bubble3D val="0"/>
            <c:spPr>
              <a:solidFill>
                <a:srgbClr val="F6C820"/>
              </a:solidFill>
              <a:ln>
                <a:solidFill>
                  <a:sysClr val="windowText" lastClr="000000"/>
                </a:solidFill>
              </a:ln>
            </c:spPr>
          </c:dPt>
          <c:dPt>
            <c:idx val="1"/>
            <c:invertIfNegative val="0"/>
            <c:bubble3D val="0"/>
            <c:spPr>
              <a:solidFill>
                <a:srgbClr val="F6C820"/>
              </a:solidFill>
              <a:ln>
                <a:solidFill>
                  <a:sysClr val="windowText" lastClr="000000"/>
                </a:solidFill>
              </a:ln>
            </c:spPr>
          </c:dPt>
          <c:dPt>
            <c:idx val="2"/>
            <c:invertIfNegative val="0"/>
            <c:bubble3D val="0"/>
            <c:spPr>
              <a:solidFill>
                <a:srgbClr val="F6C820"/>
              </a:solidFill>
              <a:ln>
                <a:solidFill>
                  <a:sysClr val="windowText" lastClr="000000"/>
                </a:solidFill>
              </a:ln>
            </c:spPr>
          </c:dPt>
          <c:dPt>
            <c:idx val="3"/>
            <c:invertIfNegative val="0"/>
            <c:bubble3D val="0"/>
            <c:spPr>
              <a:solidFill>
                <a:srgbClr val="F6C820"/>
              </a:solidFill>
              <a:ln>
                <a:solidFill>
                  <a:sysClr val="windowText" lastClr="000000"/>
                </a:solidFill>
              </a:ln>
            </c:spPr>
          </c:dPt>
          <c:dPt>
            <c:idx val="4"/>
            <c:invertIfNegative val="0"/>
            <c:bubble3D val="0"/>
            <c:spPr>
              <a:solidFill>
                <a:srgbClr val="B73016"/>
              </a:solidFill>
              <a:ln>
                <a:solidFill>
                  <a:sysClr val="windowText" lastClr="000000"/>
                </a:solidFill>
              </a:ln>
            </c:spPr>
          </c:dPt>
          <c:dPt>
            <c:idx val="5"/>
            <c:invertIfNegative val="0"/>
            <c:bubble3D val="0"/>
            <c:spPr>
              <a:solidFill>
                <a:srgbClr val="B73016"/>
              </a:solidFill>
              <a:ln>
                <a:solidFill>
                  <a:sysClr val="windowText" lastClr="000000"/>
                </a:solidFill>
              </a:ln>
            </c:spPr>
          </c:dPt>
          <c:dPt>
            <c:idx val="6"/>
            <c:invertIfNegative val="0"/>
            <c:bubble3D val="0"/>
            <c:spPr>
              <a:solidFill>
                <a:srgbClr val="B73016"/>
              </a:solidFill>
              <a:ln>
                <a:solidFill>
                  <a:sysClr val="windowText" lastClr="000000"/>
                </a:solidFill>
              </a:ln>
            </c:spPr>
          </c:dPt>
          <c:dPt>
            <c:idx val="7"/>
            <c:invertIfNegative val="0"/>
            <c:bubble3D val="0"/>
            <c:spPr>
              <a:solidFill>
                <a:srgbClr val="B73016"/>
              </a:solidFill>
              <a:ln>
                <a:solidFill>
                  <a:sysClr val="windowText" lastClr="000000"/>
                </a:solidFill>
              </a:ln>
            </c:spPr>
          </c:dPt>
          <c:dPt>
            <c:idx val="8"/>
            <c:invertIfNegative val="0"/>
            <c:bubble3D val="0"/>
            <c:spPr>
              <a:solidFill>
                <a:srgbClr val="B73016"/>
              </a:solidFill>
              <a:ln>
                <a:solidFill>
                  <a:sysClr val="windowText" lastClr="000000"/>
                </a:solidFill>
              </a:ln>
            </c:spPr>
          </c:dPt>
          <c:dPt>
            <c:idx val="9"/>
            <c:invertIfNegative val="0"/>
            <c:bubble3D val="0"/>
            <c:spPr>
              <a:solidFill>
                <a:srgbClr val="B73016"/>
              </a:solidFill>
              <a:ln>
                <a:solidFill>
                  <a:sysClr val="windowText" lastClr="000000"/>
                </a:solidFill>
              </a:ln>
            </c:spPr>
          </c:dPt>
          <c:dPt>
            <c:idx val="12"/>
            <c:invertIfNegative val="0"/>
            <c:bubble3D val="0"/>
            <c:spPr>
              <a:solidFill>
                <a:srgbClr val="B73016"/>
              </a:solidFill>
              <a:ln>
                <a:solidFill>
                  <a:sysClr val="windowText" lastClr="000000"/>
                </a:solidFill>
              </a:ln>
            </c:spPr>
          </c:dPt>
          <c:dPt>
            <c:idx val="13"/>
            <c:invertIfNegative val="0"/>
            <c:bubble3D val="0"/>
            <c:spPr>
              <a:solidFill>
                <a:srgbClr val="B73016"/>
              </a:solidFill>
              <a:ln>
                <a:solidFill>
                  <a:sysClr val="windowText" lastClr="000000"/>
                </a:solidFill>
              </a:ln>
            </c:spPr>
          </c:dPt>
          <c:dLbls>
            <c:numFmt formatCode="#,##0.0" sourceLinked="0"/>
            <c:spPr>
              <a:noFill/>
              <a:ln>
                <a:noFill/>
              </a:ln>
              <a:effectLst/>
            </c:spPr>
            <c:txPr>
              <a:bodyPr wrap="square" lIns="38100" tIns="19050" rIns="38100" bIns="19050" anchor="ctr">
                <a:spAutoFit/>
              </a:bodyPr>
              <a:lstStyle/>
              <a:p>
                <a:pPr>
                  <a:defRPr sz="800"/>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'[1]Rev Exp LG'!$A$39:$A$48</c:f>
              <c:strCache>
                <c:ptCount val="10"/>
                <c:pt idx="0">
                  <c:v>Nodokļu ieņēmumi</c:v>
                </c:pt>
                <c:pt idx="1">
                  <c:v>Nenodokļu ieņēmumi</c:v>
                </c:pt>
                <c:pt idx="2">
                  <c:v>Pašu ieņēmumi  </c:v>
                </c:pt>
                <c:pt idx="3">
                  <c:v>Valsts budžeta transferti</c:v>
                </c:pt>
                <c:pt idx="4">
                  <c:v>Atlīdzība </c:v>
                </c:pt>
                <c:pt idx="5">
                  <c:v>Preces un pakalpojumi </c:v>
                </c:pt>
                <c:pt idx="6">
                  <c:v>Procentu izdevumi </c:v>
                </c:pt>
                <c:pt idx="7">
                  <c:v>Subsīdijas un dotācijas</c:v>
                </c:pt>
                <c:pt idx="8">
                  <c:v>Sociālie pabalsti</c:v>
                </c:pt>
                <c:pt idx="9">
                  <c:v>Kapitālie izdevumi</c:v>
                </c:pt>
              </c:strCache>
            </c:strRef>
          </c:cat>
          <c:val>
            <c:numRef>
              <c:f>'[1]Rev Exp LG'!$E$39:$E$48</c:f>
              <c:numCache>
                <c:formatCode>General</c:formatCode>
                <c:ptCount val="10"/>
                <c:pt idx="0">
                  <c:v>3.0492949235868227</c:v>
                </c:pt>
                <c:pt idx="1">
                  <c:v>-36.926494231015582</c:v>
                </c:pt>
                <c:pt idx="2">
                  <c:v>-4.5771871552644621</c:v>
                </c:pt>
                <c:pt idx="3">
                  <c:v>8.5052960628690961</c:v>
                </c:pt>
                <c:pt idx="4">
                  <c:v>3.1512834606439397</c:v>
                </c:pt>
                <c:pt idx="5">
                  <c:v>-5.6398429164499371</c:v>
                </c:pt>
                <c:pt idx="6">
                  <c:v>25.473730995252154</c:v>
                </c:pt>
                <c:pt idx="7">
                  <c:v>13.00760383355116</c:v>
                </c:pt>
                <c:pt idx="8">
                  <c:v>-6.7881474913597071</c:v>
                </c:pt>
                <c:pt idx="9">
                  <c:v>-6.101697458539296</c:v>
                </c:pt>
              </c:numCache>
            </c:numRef>
          </c:val>
        </c:ser>
        <c:dLbls>
          <c:showLegendKey val="0"/>
          <c:showVal val="0"/>
          <c:showCatName val="0"/>
          <c:showSerName val="0"/>
          <c:showPercent val="0"/>
          <c:showBubbleSize val="0"/>
        </c:dLbls>
        <c:gapWidth val="92"/>
        <c:axId val="277743912"/>
        <c:axId val="277744304"/>
      </c:barChart>
      <c:catAx>
        <c:axId val="277743912"/>
        <c:scaling>
          <c:orientation val="maxMin"/>
        </c:scaling>
        <c:delete val="0"/>
        <c:axPos val="l"/>
        <c:numFmt formatCode="General" sourceLinked="0"/>
        <c:majorTickMark val="out"/>
        <c:minorTickMark val="none"/>
        <c:tickLblPos val="low"/>
        <c:txPr>
          <a:bodyPr/>
          <a:lstStyle/>
          <a:p>
            <a:pPr>
              <a:defRPr sz="800"/>
            </a:pPr>
            <a:endParaRPr lang="lv-LV"/>
          </a:p>
        </c:txPr>
        <c:crossAx val="277744304"/>
        <c:crosses val="autoZero"/>
        <c:auto val="1"/>
        <c:lblAlgn val="ctr"/>
        <c:lblOffset val="100"/>
        <c:noMultiLvlLbl val="0"/>
      </c:catAx>
      <c:valAx>
        <c:axId val="277744304"/>
        <c:scaling>
          <c:orientation val="minMax"/>
          <c:max val="50"/>
          <c:min val="-50"/>
        </c:scaling>
        <c:delete val="0"/>
        <c:axPos val="t"/>
        <c:majorGridlines>
          <c:spPr>
            <a:ln>
              <a:solidFill>
                <a:schemeClr val="bg1">
                  <a:lumMod val="85000"/>
                </a:schemeClr>
              </a:solidFill>
            </a:ln>
          </c:spPr>
        </c:majorGridlines>
        <c:numFmt formatCode="#,##0" sourceLinked="0"/>
        <c:majorTickMark val="out"/>
        <c:minorTickMark val="none"/>
        <c:tickLblPos val="nextTo"/>
        <c:txPr>
          <a:bodyPr/>
          <a:lstStyle/>
          <a:p>
            <a:pPr>
              <a:defRPr sz="800"/>
            </a:pPr>
            <a:endParaRPr lang="lv-LV"/>
          </a:p>
        </c:txPr>
        <c:crossAx val="277743912"/>
        <c:crosses val="autoZero"/>
        <c:crossBetween val="between"/>
        <c:majorUnit val="20"/>
      </c:valAx>
      <c:spPr>
        <a:noFill/>
        <a:ln>
          <a:solidFill>
            <a:schemeClr val="bg1">
              <a:lumMod val="50000"/>
            </a:schemeClr>
          </a:solidFill>
        </a:ln>
      </c:spPr>
    </c:plotArea>
    <c:plotVisOnly val="1"/>
    <c:dispBlanksAs val="gap"/>
    <c:showDLblsOverMax val="0"/>
  </c:chart>
  <c:spPr>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Sheet1!$E$1</c:f>
              <c:strCache>
                <c:ptCount val="1"/>
                <c:pt idx="0">
                  <c:v>pret iepriekšējā gada atbilstošo periodu (sezonāli neizlīdzināts)</c:v>
                </c:pt>
              </c:strCache>
            </c:strRef>
          </c:tx>
          <c:spPr>
            <a:solidFill>
              <a:schemeClr val="accent3"/>
            </a:solidFill>
            <a:ln>
              <a:solidFill>
                <a:schemeClr val="accent3"/>
              </a:solidFill>
            </a:ln>
            <a:effectLst/>
          </c:spPr>
          <c:invertIfNegative val="0"/>
          <c:dLbls>
            <c:dLbl>
              <c:idx val="16"/>
              <c:layout/>
              <c:tx>
                <c:rich>
                  <a:bodyPr/>
                  <a:lstStyle/>
                  <a:p>
                    <a:fld id="{96B9FE26-8E1E-42D8-8121-0311892C70BD}" type="VALUE">
                      <a:rPr lang="en-US" b="1"/>
                      <a:pPr/>
                      <a:t>[VALUE]</a:t>
                    </a:fld>
                    <a:r>
                      <a:rPr lang="en-US" b="1"/>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Sheet1!$A$6:$B$22</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2010</c:v>
                  </c:pt>
                  <c:pt idx="4">
                    <c:v>2011</c:v>
                  </c:pt>
                  <c:pt idx="8">
                    <c:v>2012</c:v>
                  </c:pt>
                  <c:pt idx="12">
                    <c:v>2013</c:v>
                  </c:pt>
                  <c:pt idx="16">
                    <c:v>2014</c:v>
                  </c:pt>
                </c:lvl>
              </c:multiLvlStrCache>
            </c:multiLvlStrRef>
          </c:cat>
          <c:val>
            <c:numRef>
              <c:f>Sheet1!$E$6:$E$22</c:f>
              <c:numCache>
                <c:formatCode>0.0</c:formatCode>
                <c:ptCount val="17"/>
                <c:pt idx="0">
                  <c:v>-5.7629531361793482</c:v>
                </c:pt>
                <c:pt idx="1">
                  <c:v>-4.8135697271915348</c:v>
                </c:pt>
                <c:pt idx="2">
                  <c:v>2.2386894243946642</c:v>
                </c:pt>
                <c:pt idx="3">
                  <c:v>2.7585994073345006</c:v>
                </c:pt>
                <c:pt idx="4">
                  <c:v>2.6948301019823049</c:v>
                </c:pt>
                <c:pt idx="5">
                  <c:v>5.8367035035393684</c:v>
                </c:pt>
                <c:pt idx="6">
                  <c:v>7.2531086682285064</c:v>
                </c:pt>
                <c:pt idx="7">
                  <c:v>5.1243854996149452</c:v>
                </c:pt>
                <c:pt idx="8">
                  <c:v>7.113709710413147</c:v>
                </c:pt>
                <c:pt idx="9">
                  <c:v>4.8577702108949268</c:v>
                </c:pt>
                <c:pt idx="10">
                  <c:v>4.6035206558438233</c:v>
                </c:pt>
                <c:pt idx="11">
                  <c:v>4.6225698838145632</c:v>
                </c:pt>
                <c:pt idx="12">
                  <c:v>3.8254515290549733</c:v>
                </c:pt>
                <c:pt idx="13">
                  <c:v>4.3668407726991489</c:v>
                </c:pt>
                <c:pt idx="14">
                  <c:v>4.6159391744336773</c:v>
                </c:pt>
                <c:pt idx="15">
                  <c:v>3.6214307600060351</c:v>
                </c:pt>
                <c:pt idx="16" formatCode="General">
                  <c:v>2.8</c:v>
                </c:pt>
              </c:numCache>
            </c:numRef>
          </c:val>
        </c:ser>
        <c:dLbls>
          <c:showLegendKey val="0"/>
          <c:showVal val="0"/>
          <c:showCatName val="0"/>
          <c:showSerName val="0"/>
          <c:showPercent val="0"/>
          <c:showBubbleSize val="0"/>
        </c:dLbls>
        <c:gapWidth val="114"/>
        <c:overlap val="3"/>
        <c:axId val="273648024"/>
        <c:axId val="273648416"/>
      </c:barChart>
      <c:lineChart>
        <c:grouping val="standard"/>
        <c:varyColors val="0"/>
        <c:ser>
          <c:idx val="1"/>
          <c:order val="1"/>
          <c:tx>
            <c:strRef>
              <c:f>Sheet1!$F$1</c:f>
              <c:strCache>
                <c:ptCount val="1"/>
                <c:pt idx="0">
                  <c:v>pret iepriekšējo periodu (sezonāli izlīdzināts)</c:v>
                </c:pt>
              </c:strCache>
            </c:strRef>
          </c:tx>
          <c:spPr>
            <a:ln w="19050" cap="rnd">
              <a:solidFill>
                <a:srgbClr val="002060"/>
              </a:solidFill>
              <a:round/>
            </a:ln>
            <a:effectLst/>
          </c:spPr>
          <c:marker>
            <c:symbol val="diamond"/>
            <c:size val="5"/>
            <c:spPr>
              <a:solidFill>
                <a:srgbClr val="002060"/>
              </a:solidFill>
              <a:ln w="9525">
                <a:solidFill>
                  <a:srgbClr val="002060"/>
                </a:solidFill>
              </a:ln>
              <a:effectLst/>
            </c:spPr>
          </c:marker>
          <c:cat>
            <c:multiLvlStrRef>
              <c:f>Sheet1!$A$6:$B$22</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2010</c:v>
                  </c:pt>
                  <c:pt idx="4">
                    <c:v>2011</c:v>
                  </c:pt>
                  <c:pt idx="8">
                    <c:v>2012</c:v>
                  </c:pt>
                  <c:pt idx="12">
                    <c:v>2013</c:v>
                  </c:pt>
                  <c:pt idx="16">
                    <c:v>2014</c:v>
                  </c:pt>
                </c:lvl>
              </c:multiLvlStrCache>
            </c:multiLvlStrRef>
          </c:cat>
          <c:val>
            <c:numRef>
              <c:f>Sheet1!$F$6:$F$22</c:f>
              <c:numCache>
                <c:formatCode>0.0</c:formatCode>
                <c:ptCount val="17"/>
                <c:pt idx="0">
                  <c:v>1.2365714203976239</c:v>
                </c:pt>
                <c:pt idx="1">
                  <c:v>-0.47973828764118309</c:v>
                </c:pt>
                <c:pt idx="2">
                  <c:v>0.15601766085313784</c:v>
                </c:pt>
                <c:pt idx="3">
                  <c:v>1.7101763599990818</c:v>
                </c:pt>
                <c:pt idx="4">
                  <c:v>1.1100880910300077</c:v>
                </c:pt>
                <c:pt idx="5">
                  <c:v>2.5307319939246753</c:v>
                </c:pt>
                <c:pt idx="6">
                  <c:v>1.2689298099567168</c:v>
                </c:pt>
                <c:pt idx="7">
                  <c:v>0.38197825949423247</c:v>
                </c:pt>
                <c:pt idx="8">
                  <c:v>0.66167703647376186</c:v>
                </c:pt>
                <c:pt idx="9">
                  <c:v>2.1</c:v>
                </c:pt>
                <c:pt idx="10">
                  <c:v>1.5</c:v>
                </c:pt>
                <c:pt idx="11">
                  <c:v>1.1000000000000001</c:v>
                </c:pt>
                <c:pt idx="12">
                  <c:v>1.9</c:v>
                </c:pt>
                <c:pt idx="13">
                  <c:v>-0.1</c:v>
                </c:pt>
                <c:pt idx="14">
                  <c:v>1.1000000000000001</c:v>
                </c:pt>
                <c:pt idx="15">
                  <c:v>0.7</c:v>
                </c:pt>
                <c:pt idx="16" formatCode="General">
                  <c:v>0.7</c:v>
                </c:pt>
              </c:numCache>
            </c:numRef>
          </c:val>
          <c:smooth val="0"/>
        </c:ser>
        <c:dLbls>
          <c:showLegendKey val="0"/>
          <c:showVal val="0"/>
          <c:showCatName val="0"/>
          <c:showSerName val="0"/>
          <c:showPercent val="0"/>
          <c:showBubbleSize val="0"/>
        </c:dLbls>
        <c:marker val="1"/>
        <c:smooth val="0"/>
        <c:axId val="273648024"/>
        <c:axId val="273648416"/>
      </c:lineChart>
      <c:catAx>
        <c:axId val="273648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v-LV"/>
          </a:p>
        </c:txPr>
        <c:crossAx val="273648416"/>
        <c:crossesAt val="0"/>
        <c:auto val="1"/>
        <c:lblAlgn val="ctr"/>
        <c:lblOffset val="100"/>
        <c:noMultiLvlLbl val="0"/>
      </c:catAx>
      <c:valAx>
        <c:axId val="2736484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73648024"/>
        <c:crosses val="autoZero"/>
        <c:crossBetween val="between"/>
      </c:valAx>
      <c:spPr>
        <a:noFill/>
        <a:ln>
          <a:noFill/>
        </a:ln>
        <a:effectLst/>
      </c:spPr>
    </c:plotArea>
    <c:legend>
      <c:legendPos val="b"/>
      <c:layout>
        <c:manualLayout>
          <c:xMode val="edge"/>
          <c:yMode val="edge"/>
          <c:x val="3.5648629027754501E-2"/>
          <c:y val="0.85109399374002437"/>
          <c:w val="0.57463142688559277"/>
          <c:h val="0.125548345606322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201356833923462E-2"/>
          <c:y val="4.0968342644320296E-2"/>
          <c:w val="0.88534279500598845"/>
          <c:h val="0.67217173272335373"/>
        </c:manualLayout>
      </c:layout>
      <c:barChart>
        <c:barDir val="col"/>
        <c:grouping val="clustered"/>
        <c:varyColors val="0"/>
        <c:ser>
          <c:idx val="0"/>
          <c:order val="0"/>
          <c:tx>
            <c:strRef>
              <c:f>Sheet1!$A$6</c:f>
              <c:strCache>
                <c:ptCount val="1"/>
                <c:pt idx="0">
                  <c:v>Rūpniecības produkcijas apjoma indekss, sezonāli izlīdzināts (2010=100) </c:v>
                </c:pt>
              </c:strCache>
            </c:strRef>
          </c:tx>
          <c:spPr>
            <a:solidFill>
              <a:srgbClr val="00206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multiLvlStrRef>
              <c:f>Sheet1!$B$4:$BL$5</c:f>
              <c:multiLvlStrCache>
                <c:ptCount val="6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lvl>
                <c:lvl>
                  <c:pt idx="0">
                    <c:v>2009</c:v>
                  </c:pt>
                  <c:pt idx="12">
                    <c:v>2010</c:v>
                  </c:pt>
                  <c:pt idx="24">
                    <c:v>2011</c:v>
                  </c:pt>
                  <c:pt idx="36">
                    <c:v>2012</c:v>
                  </c:pt>
                  <c:pt idx="48">
                    <c:v>2013</c:v>
                  </c:pt>
                  <c:pt idx="60">
                    <c:v>2014</c:v>
                  </c:pt>
                </c:lvl>
              </c:multiLvlStrCache>
            </c:multiLvlStrRef>
          </c:cat>
          <c:val>
            <c:numRef>
              <c:f>Sheet1!$B$6:$BL$6</c:f>
              <c:numCache>
                <c:formatCode>General</c:formatCode>
                <c:ptCount val="63"/>
                <c:pt idx="0">
                  <c:v>90.27</c:v>
                </c:pt>
                <c:pt idx="1">
                  <c:v>89.83</c:v>
                </c:pt>
                <c:pt idx="2">
                  <c:v>85.35</c:v>
                </c:pt>
                <c:pt idx="3">
                  <c:v>87.91</c:v>
                </c:pt>
                <c:pt idx="4">
                  <c:v>85.63</c:v>
                </c:pt>
                <c:pt idx="5">
                  <c:v>86.63</c:v>
                </c:pt>
                <c:pt idx="6">
                  <c:v>84.1</c:v>
                </c:pt>
                <c:pt idx="7">
                  <c:v>85.44</c:v>
                </c:pt>
                <c:pt idx="8">
                  <c:v>84.27</c:v>
                </c:pt>
                <c:pt idx="9">
                  <c:v>86.04</c:v>
                </c:pt>
                <c:pt idx="10">
                  <c:v>89.79</c:v>
                </c:pt>
                <c:pt idx="11">
                  <c:v>88.76</c:v>
                </c:pt>
                <c:pt idx="12">
                  <c:v>95.07</c:v>
                </c:pt>
                <c:pt idx="13">
                  <c:v>93.43</c:v>
                </c:pt>
                <c:pt idx="14">
                  <c:v>93.4</c:v>
                </c:pt>
                <c:pt idx="15">
                  <c:v>96.96</c:v>
                </c:pt>
                <c:pt idx="16">
                  <c:v>96.21</c:v>
                </c:pt>
                <c:pt idx="17">
                  <c:v>97.45</c:v>
                </c:pt>
                <c:pt idx="18">
                  <c:v>101.37</c:v>
                </c:pt>
                <c:pt idx="19">
                  <c:v>102.79</c:v>
                </c:pt>
                <c:pt idx="20">
                  <c:v>102.09</c:v>
                </c:pt>
                <c:pt idx="21">
                  <c:v>105.35</c:v>
                </c:pt>
                <c:pt idx="22">
                  <c:v>102.55</c:v>
                </c:pt>
                <c:pt idx="23">
                  <c:v>104.01</c:v>
                </c:pt>
                <c:pt idx="24">
                  <c:v>102.75</c:v>
                </c:pt>
                <c:pt idx="25">
                  <c:v>104.28</c:v>
                </c:pt>
                <c:pt idx="26">
                  <c:v>105.57</c:v>
                </c:pt>
                <c:pt idx="27">
                  <c:v>108.5</c:v>
                </c:pt>
                <c:pt idx="28">
                  <c:v>107.79</c:v>
                </c:pt>
                <c:pt idx="29">
                  <c:v>109.58</c:v>
                </c:pt>
                <c:pt idx="30">
                  <c:v>109.22</c:v>
                </c:pt>
                <c:pt idx="31">
                  <c:v>108.8</c:v>
                </c:pt>
                <c:pt idx="32">
                  <c:v>111.43</c:v>
                </c:pt>
                <c:pt idx="33">
                  <c:v>110.41</c:v>
                </c:pt>
                <c:pt idx="34">
                  <c:v>111.02</c:v>
                </c:pt>
                <c:pt idx="35">
                  <c:v>107.4</c:v>
                </c:pt>
                <c:pt idx="36">
                  <c:v>112.53</c:v>
                </c:pt>
                <c:pt idx="37">
                  <c:v>113.02</c:v>
                </c:pt>
                <c:pt idx="38">
                  <c:v>115.06</c:v>
                </c:pt>
                <c:pt idx="39">
                  <c:v>113.28</c:v>
                </c:pt>
                <c:pt idx="40">
                  <c:v>114.23</c:v>
                </c:pt>
                <c:pt idx="41">
                  <c:v>115.27</c:v>
                </c:pt>
                <c:pt idx="42">
                  <c:v>114.41</c:v>
                </c:pt>
                <c:pt idx="43">
                  <c:v>118.05</c:v>
                </c:pt>
                <c:pt idx="44">
                  <c:v>114.32</c:v>
                </c:pt>
                <c:pt idx="45">
                  <c:v>113.82</c:v>
                </c:pt>
                <c:pt idx="46">
                  <c:v>114.69</c:v>
                </c:pt>
                <c:pt idx="47">
                  <c:v>118.14</c:v>
                </c:pt>
                <c:pt idx="48">
                  <c:v>115.27</c:v>
                </c:pt>
                <c:pt idx="49">
                  <c:v>111.94</c:v>
                </c:pt>
                <c:pt idx="50">
                  <c:v>112.48</c:v>
                </c:pt>
                <c:pt idx="51">
                  <c:v>112.97</c:v>
                </c:pt>
                <c:pt idx="52">
                  <c:v>115.25</c:v>
                </c:pt>
                <c:pt idx="53">
                  <c:v>114.75</c:v>
                </c:pt>
                <c:pt idx="54">
                  <c:v>116.8</c:v>
                </c:pt>
                <c:pt idx="55">
                  <c:v>114.77</c:v>
                </c:pt>
                <c:pt idx="56">
                  <c:v>114.89</c:v>
                </c:pt>
                <c:pt idx="57">
                  <c:v>115.33</c:v>
                </c:pt>
                <c:pt idx="58">
                  <c:v>114.82</c:v>
                </c:pt>
                <c:pt idx="59">
                  <c:v>113.1</c:v>
                </c:pt>
                <c:pt idx="60">
                  <c:v>109.74</c:v>
                </c:pt>
                <c:pt idx="61">
                  <c:v>110.81</c:v>
                </c:pt>
                <c:pt idx="62">
                  <c:v>111.01</c:v>
                </c:pt>
              </c:numCache>
            </c:numRef>
          </c:val>
        </c:ser>
        <c:dLbls>
          <c:showLegendKey val="0"/>
          <c:showVal val="0"/>
          <c:showCatName val="0"/>
          <c:showSerName val="0"/>
          <c:showPercent val="0"/>
          <c:showBubbleSize val="0"/>
        </c:dLbls>
        <c:gapWidth val="113"/>
        <c:overlap val="18"/>
        <c:axId val="273649200"/>
        <c:axId val="273649592"/>
      </c:barChart>
      <c:lineChart>
        <c:grouping val="standard"/>
        <c:varyColors val="0"/>
        <c:ser>
          <c:idx val="1"/>
          <c:order val="1"/>
          <c:tx>
            <c:strRef>
              <c:f>Sheet1!$A$7</c:f>
              <c:strCache>
                <c:ptCount val="1"/>
                <c:pt idx="0">
                  <c:v>Rūpniecības produkcijas apjoma izmaiņas pret iepriekšējā gada atbilstošo mēnesi, kalendāri izlīdzināti dati, % (labā ass)</c:v>
                </c:pt>
              </c:strCache>
            </c:strRef>
          </c:tx>
          <c:spPr>
            <a:ln w="34925" cap="rnd">
              <a:solidFill>
                <a:schemeClr val="accent3"/>
              </a:solidFill>
              <a:round/>
            </a:ln>
            <a:effectLst>
              <a:outerShdw blurRad="40000" dist="23000" dir="5400000" rotWithShape="0">
                <a:srgbClr val="000000">
                  <a:alpha val="35000"/>
                </a:srgbClr>
              </a:outerShdw>
            </a:effectLst>
          </c:spPr>
          <c:marker>
            <c:symbol val="none"/>
          </c:marker>
          <c:cat>
            <c:multiLvlStrRef>
              <c:f>Sheet1!$B$4:$BL$5</c:f>
              <c:multiLvlStrCache>
                <c:ptCount val="6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lvl>
                <c:lvl>
                  <c:pt idx="0">
                    <c:v>2009</c:v>
                  </c:pt>
                  <c:pt idx="12">
                    <c:v>2010</c:v>
                  </c:pt>
                  <c:pt idx="24">
                    <c:v>2011</c:v>
                  </c:pt>
                  <c:pt idx="36">
                    <c:v>2012</c:v>
                  </c:pt>
                  <c:pt idx="48">
                    <c:v>2013</c:v>
                  </c:pt>
                  <c:pt idx="60">
                    <c:v>2014</c:v>
                  </c:pt>
                </c:lvl>
              </c:multiLvlStrCache>
            </c:multiLvlStrRef>
          </c:cat>
          <c:val>
            <c:numRef>
              <c:f>Sheet1!$B$7:$BL$7</c:f>
              <c:numCache>
                <c:formatCode>General</c:formatCode>
                <c:ptCount val="63"/>
                <c:pt idx="0">
                  <c:v>-22</c:v>
                </c:pt>
                <c:pt idx="1">
                  <c:v>-23.5</c:v>
                </c:pt>
                <c:pt idx="2">
                  <c:v>-26</c:v>
                </c:pt>
                <c:pt idx="3">
                  <c:v>-20.700000000000003</c:v>
                </c:pt>
                <c:pt idx="4">
                  <c:v>-22.099999999999994</c:v>
                </c:pt>
                <c:pt idx="5">
                  <c:v>-18.599999999999994</c:v>
                </c:pt>
                <c:pt idx="6">
                  <c:v>-19.299999999999997</c:v>
                </c:pt>
                <c:pt idx="7">
                  <c:v>-14.700000000000003</c:v>
                </c:pt>
                <c:pt idx="8">
                  <c:v>-18</c:v>
                </c:pt>
                <c:pt idx="9">
                  <c:v>-14.099999999999994</c:v>
                </c:pt>
                <c:pt idx="10">
                  <c:v>-6.5</c:v>
                </c:pt>
                <c:pt idx="11">
                  <c:v>-7.5</c:v>
                </c:pt>
                <c:pt idx="12">
                  <c:v>5</c:v>
                </c:pt>
                <c:pt idx="13">
                  <c:v>2.9000000000000057</c:v>
                </c:pt>
                <c:pt idx="14">
                  <c:v>8.5</c:v>
                </c:pt>
                <c:pt idx="15">
                  <c:v>10.400000000000006</c:v>
                </c:pt>
                <c:pt idx="16">
                  <c:v>12.299999999999997</c:v>
                </c:pt>
                <c:pt idx="17">
                  <c:v>13.099999999999994</c:v>
                </c:pt>
                <c:pt idx="18">
                  <c:v>21.799999999999997</c:v>
                </c:pt>
                <c:pt idx="19">
                  <c:v>21.900000000000006</c:v>
                </c:pt>
                <c:pt idx="20">
                  <c:v>21.799999999999997</c:v>
                </c:pt>
                <c:pt idx="21">
                  <c:v>23.200000000000003</c:v>
                </c:pt>
                <c:pt idx="22">
                  <c:v>14.400000000000006</c:v>
                </c:pt>
                <c:pt idx="23">
                  <c:v>16.5</c:v>
                </c:pt>
                <c:pt idx="24">
                  <c:v>7.0999999999999943</c:v>
                </c:pt>
                <c:pt idx="25">
                  <c:v>10.099999999999994</c:v>
                </c:pt>
                <c:pt idx="26">
                  <c:v>12.299999999999997</c:v>
                </c:pt>
                <c:pt idx="27">
                  <c:v>11.5</c:v>
                </c:pt>
                <c:pt idx="28">
                  <c:v>12.099999999999994</c:v>
                </c:pt>
                <c:pt idx="29">
                  <c:v>12.900000000000006</c:v>
                </c:pt>
                <c:pt idx="30">
                  <c:v>8.5</c:v>
                </c:pt>
                <c:pt idx="31">
                  <c:v>6.7999999999999972</c:v>
                </c:pt>
                <c:pt idx="32">
                  <c:v>9.5999999999999943</c:v>
                </c:pt>
                <c:pt idx="33">
                  <c:v>5.0999999999999943</c:v>
                </c:pt>
                <c:pt idx="34">
                  <c:v>8.5</c:v>
                </c:pt>
                <c:pt idx="35">
                  <c:v>3.2000000000000028</c:v>
                </c:pt>
                <c:pt idx="36">
                  <c:v>8.6999999999999993</c:v>
                </c:pt>
                <c:pt idx="37">
                  <c:v>7.2</c:v>
                </c:pt>
                <c:pt idx="38">
                  <c:v>8.5</c:v>
                </c:pt>
                <c:pt idx="39">
                  <c:v>3.8</c:v>
                </c:pt>
                <c:pt idx="40">
                  <c:v>6.1</c:v>
                </c:pt>
                <c:pt idx="41">
                  <c:v>5.5</c:v>
                </c:pt>
                <c:pt idx="42">
                  <c:v>5.4</c:v>
                </c:pt>
                <c:pt idx="43">
                  <c:v>9.3000000000000007</c:v>
                </c:pt>
                <c:pt idx="44">
                  <c:v>2.9</c:v>
                </c:pt>
                <c:pt idx="45">
                  <c:v>3.3</c:v>
                </c:pt>
                <c:pt idx="46">
                  <c:v>3.7</c:v>
                </c:pt>
                <c:pt idx="47">
                  <c:v>10.6</c:v>
                </c:pt>
                <c:pt idx="48">
                  <c:v>1.8</c:v>
                </c:pt>
                <c:pt idx="49">
                  <c:v>-1.9</c:v>
                </c:pt>
                <c:pt idx="50">
                  <c:v>-2.9</c:v>
                </c:pt>
                <c:pt idx="51">
                  <c:v>-0.8</c:v>
                </c:pt>
                <c:pt idx="52">
                  <c:v>0.9</c:v>
                </c:pt>
                <c:pt idx="53">
                  <c:v>-0.4</c:v>
                </c:pt>
                <c:pt idx="54">
                  <c:v>2.6</c:v>
                </c:pt>
                <c:pt idx="55">
                  <c:v>-2.4</c:v>
                </c:pt>
                <c:pt idx="56">
                  <c:v>0.8</c:v>
                </c:pt>
                <c:pt idx="57">
                  <c:v>1.7</c:v>
                </c:pt>
                <c:pt idx="58">
                  <c:v>0.5</c:v>
                </c:pt>
                <c:pt idx="59">
                  <c:v>-4</c:v>
                </c:pt>
                <c:pt idx="60">
                  <c:v>-5.3</c:v>
                </c:pt>
                <c:pt idx="61">
                  <c:v>-1.4</c:v>
                </c:pt>
                <c:pt idx="62">
                  <c:v>-1.6</c:v>
                </c:pt>
              </c:numCache>
            </c:numRef>
          </c:val>
          <c:smooth val="0"/>
        </c:ser>
        <c:dLbls>
          <c:showLegendKey val="0"/>
          <c:showVal val="0"/>
          <c:showCatName val="0"/>
          <c:showSerName val="0"/>
          <c:showPercent val="0"/>
          <c:showBubbleSize val="0"/>
        </c:dLbls>
        <c:marker val="1"/>
        <c:smooth val="0"/>
        <c:axId val="273650376"/>
        <c:axId val="273649984"/>
      </c:lineChart>
      <c:catAx>
        <c:axId val="2736492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73649592"/>
        <c:crosses val="autoZero"/>
        <c:auto val="1"/>
        <c:lblAlgn val="ctr"/>
        <c:lblOffset val="100"/>
        <c:noMultiLvlLbl val="0"/>
      </c:catAx>
      <c:valAx>
        <c:axId val="273649592"/>
        <c:scaling>
          <c:orientation val="minMax"/>
          <c:max val="120"/>
          <c:min val="8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73649200"/>
        <c:crosses val="autoZero"/>
        <c:crossBetween val="between"/>
        <c:majorUnit val="5"/>
      </c:valAx>
      <c:valAx>
        <c:axId val="273649984"/>
        <c:scaling>
          <c:orientation val="minMax"/>
          <c:min val="-30"/>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73650376"/>
        <c:crosses val="max"/>
        <c:crossBetween val="between"/>
      </c:valAx>
      <c:catAx>
        <c:axId val="273650376"/>
        <c:scaling>
          <c:orientation val="minMax"/>
        </c:scaling>
        <c:delete val="1"/>
        <c:axPos val="b"/>
        <c:numFmt formatCode="General" sourceLinked="1"/>
        <c:majorTickMark val="none"/>
        <c:minorTickMark val="none"/>
        <c:tickLblPos val="nextTo"/>
        <c:crossAx val="273649984"/>
        <c:crosses val="autoZero"/>
        <c:auto val="1"/>
        <c:lblAlgn val="ctr"/>
        <c:lblOffset val="100"/>
        <c:noMultiLvlLbl val="0"/>
      </c:catAx>
      <c:spPr>
        <a:noFill/>
        <a:ln>
          <a:noFill/>
        </a:ln>
        <a:effectLst/>
      </c:spPr>
    </c:plotArea>
    <c:legend>
      <c:legendPos val="b"/>
      <c:layout>
        <c:manualLayout>
          <c:xMode val="edge"/>
          <c:yMode val="edge"/>
          <c:x val="1.9068222407040369E-2"/>
          <c:y val="0.85055733955043333"/>
          <c:w val="0.95771331654719749"/>
          <c:h val="0.139431978517136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427022709117882E-2"/>
          <c:y val="4.22725054105079E-2"/>
          <c:w val="0.9857297990422953"/>
          <c:h val="0.94837076944329324"/>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Lbls>
            <c:dLbl>
              <c:idx val="0"/>
              <c:layout>
                <c:manualLayout>
                  <c:x val="-0.20435535252749895"/>
                  <c:y val="0.15381056315329006"/>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5.0133960527661316E-2"/>
                  <c:y val="2.0833816825528387E-2"/>
                </c:manualLayout>
              </c:layout>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lv-LV"/>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ext>
              </c:extLst>
            </c:dLbl>
            <c:dLbl>
              <c:idx val="2"/>
              <c:layout>
                <c:manualLayout>
                  <c:x val="-6.5115033034663775E-2"/>
                  <c:y val="-0.19779408255786207"/>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9.5460222644583228E-3"/>
                  <c:y val="-1.126978445876093E-2"/>
                </c:manualLayout>
              </c:layout>
              <c:spPr>
                <a:noFill/>
                <a:ln>
                  <a:noFill/>
                </a:ln>
                <a:effectLst/>
              </c:spPr>
              <c:txPr>
                <a:bodyPr rot="0" spcFirstLastPara="1" vertOverflow="clip" horzOverflow="clip" vert="horz" wrap="square" lIns="38100" tIns="19050" rIns="38100" bIns="19050" anchor="ctr" anchorCtr="1">
                  <a:noAutofit/>
                </a:bodyPr>
                <a:lstStyle/>
                <a:p>
                  <a:pPr>
                    <a:defRPr sz="800" b="0" i="0" u="none" strike="noStrike" kern="1200" baseline="0">
                      <a:solidFill>
                        <a:sysClr val="windowText" lastClr="000000"/>
                      </a:solidFill>
                      <a:latin typeface="+mn-lt"/>
                      <a:ea typeface="+mn-ea"/>
                      <a:cs typeface="+mn-cs"/>
                    </a:defRPr>
                  </a:pPr>
                  <a:endParaRPr lang="lv-LV"/>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2719194191635134"/>
                      <c:h val="0.17126674955104296"/>
                    </c:manualLayout>
                  </c15:layout>
                </c:ext>
              </c:extLst>
            </c:dLbl>
            <c:dLbl>
              <c:idx val="4"/>
              <c:layout>
                <c:manualLayout>
                  <c:x val="0.10902525115395062"/>
                  <c:y val="-0.17846416925157083"/>
                </c:manualLayout>
              </c:layout>
              <c:tx>
                <c:rich>
                  <a:bodyPr rot="0" spcFirstLastPara="1" vertOverflow="clip" horzOverflow="clip" vert="horz" wrap="square" lIns="38100" tIns="19050" rIns="38100" bIns="19050" anchor="ctr" anchorCtr="1">
                    <a:noAutofit/>
                  </a:bodyPr>
                  <a:lstStyle/>
                  <a:p>
                    <a:pPr>
                      <a:defRPr sz="800" b="0" i="0" u="none" strike="noStrike" kern="1200" baseline="0">
                        <a:solidFill>
                          <a:sysClr val="windowText" lastClr="000000"/>
                        </a:solidFill>
                        <a:latin typeface="+mn-lt"/>
                        <a:ea typeface="+mn-ea"/>
                        <a:cs typeface="+mn-cs"/>
                      </a:defRPr>
                    </a:pPr>
                    <a:fld id="{11FAA7F4-0798-42E2-812C-52C396CCA960}" type="CATEGORYNAME">
                      <a:rPr lang="en-US" sz="800">
                        <a:solidFill>
                          <a:sysClr val="windowText" lastClr="000000"/>
                        </a:solidFill>
                      </a:rPr>
                      <a:pPr>
                        <a:defRPr sz="800">
                          <a:solidFill>
                            <a:sysClr val="windowText" lastClr="000000"/>
                          </a:solidFill>
                        </a:defRPr>
                      </a:pPr>
                      <a:t>[CATEGORY NAME]</a:t>
                    </a:fld>
                    <a:r>
                      <a:rPr lang="en-US" sz="800" baseline="0">
                        <a:solidFill>
                          <a:sysClr val="windowText" lastClr="000000"/>
                        </a:solidFill>
                      </a:rPr>
                      <a:t>
</a:t>
                    </a:r>
                    <a:fld id="{65BAF6E6-A375-4380-AC17-0BE37AB560D6}" type="PERCENTAGE">
                      <a:rPr lang="en-US" sz="800" baseline="0">
                        <a:solidFill>
                          <a:sysClr val="windowText" lastClr="000000"/>
                        </a:solidFill>
                      </a:rPr>
                      <a:pPr>
                        <a:defRPr sz="800">
                          <a:solidFill>
                            <a:sysClr val="windowText" lastClr="000000"/>
                          </a:solidFill>
                        </a:defRPr>
                      </a:pPr>
                      <a:t>[PERCENTAGE]</a:t>
                    </a:fld>
                    <a:endParaRPr lang="en-US" sz="800" baseline="0">
                      <a:solidFill>
                        <a:sysClr val="windowText" lastClr="000000"/>
                      </a:solidFill>
                    </a:endParaRPr>
                  </a:p>
                </c:rich>
              </c:tx>
              <c:spPr>
                <a:noFill/>
                <a:ln>
                  <a:noFill/>
                </a:ln>
                <a:effectLst/>
              </c:spPr>
              <c:txPr>
                <a:bodyPr rot="0" spcFirstLastPara="1" vertOverflow="clip" horzOverflow="clip" vert="horz" wrap="square" lIns="38100" tIns="19050" rIns="38100" bIns="19050" anchor="ctr" anchorCtr="1">
                  <a:noAutofit/>
                </a:bodyPr>
                <a:lstStyle/>
                <a:p>
                  <a:pPr>
                    <a:defRPr sz="800" b="0" i="0" u="none" strike="noStrike" kern="1200" baseline="0">
                      <a:solidFill>
                        <a:sysClr val="windowText" lastClr="000000"/>
                      </a:solidFill>
                      <a:latin typeface="+mn-lt"/>
                      <a:ea typeface="+mn-ea"/>
                      <a:cs typeface="+mn-cs"/>
                    </a:defRPr>
                  </a:pPr>
                  <a:endParaRPr lang="lv-LV"/>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8524218563588644"/>
                      <c:h val="0.17460680572823131"/>
                    </c:manualLayout>
                  </c15:layout>
                  <c15:dlblFieldTable/>
                  <c15:showDataLabelsRange val="0"/>
                </c:ext>
              </c:extLst>
            </c:dLbl>
            <c:dLbl>
              <c:idx val="5"/>
              <c:layout>
                <c:manualLayout>
                  <c:x val="0.15492297945515432"/>
                  <c:y val="-9.9131181029013201E-4"/>
                </c:manualLayout>
              </c:layout>
              <c:tx>
                <c:rich>
                  <a:bodyPr/>
                  <a:lstStyle/>
                  <a:p>
                    <a:fld id="{272FEEFA-F8CF-4DFE-AF77-F424A4300C55}" type="CATEGORYNAME">
                      <a:rPr lang="en-US" sz="800">
                        <a:solidFill>
                          <a:sysClr val="windowText" lastClr="000000"/>
                        </a:solidFill>
                      </a:rPr>
                      <a:pPr/>
                      <a:t>[CATEGORY NAME]</a:t>
                    </a:fld>
                    <a:r>
                      <a:rPr lang="en-US" sz="800" baseline="0">
                        <a:solidFill>
                          <a:sysClr val="windowText" lastClr="000000"/>
                        </a:solidFill>
                      </a:rPr>
                      <a:t>
</a:t>
                    </a:r>
                    <a:fld id="{B993A6A9-C0E8-4FDF-ADB6-08299FE4691B}" type="PERCENTAGE">
                      <a:rPr lang="en-US" sz="800" baseline="0">
                        <a:solidFill>
                          <a:sysClr val="windowText" lastClr="000000"/>
                        </a:solidFill>
                      </a:rPr>
                      <a:pPr/>
                      <a:t>[PERCENTAGE]</a:t>
                    </a:fld>
                    <a:endParaRPr lang="en-US" sz="800" baseline="0">
                      <a:solidFill>
                        <a:sysClr val="windowText" lastClr="000000"/>
                      </a:solidFill>
                    </a:endParaRPr>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6"/>
              <c:layout>
                <c:manualLayout>
                  <c:x val="0.14691993046323751"/>
                  <c:y val="-0.14620509278445457"/>
                </c:manualLayout>
              </c:layout>
              <c:tx>
                <c:rich>
                  <a:bodyPr/>
                  <a:lstStyle/>
                  <a:p>
                    <a:fld id="{6DB418FE-FCF9-439D-9068-F77C6C8FA084}" type="CATEGORYNAME">
                      <a:rPr lang="en-US" sz="800">
                        <a:solidFill>
                          <a:schemeClr val="bg1"/>
                        </a:solidFill>
                      </a:rPr>
                      <a:pPr/>
                      <a:t>[CATEGORY NAME]</a:t>
                    </a:fld>
                    <a:r>
                      <a:rPr lang="en-US" sz="800" baseline="0">
                        <a:solidFill>
                          <a:schemeClr val="bg1"/>
                        </a:solidFill>
                      </a:rPr>
                      <a:t>
</a:t>
                    </a:r>
                    <a:fld id="{767B8C2B-E8AA-4B14-8759-C1F5508D3652}" type="PERCENTAGE">
                      <a:rPr lang="en-US" sz="800" baseline="0">
                        <a:solidFill>
                          <a:schemeClr val="bg1"/>
                        </a:solidFill>
                      </a:rPr>
                      <a:pPr/>
                      <a:t>[PERCENTAGE]</a:t>
                    </a:fld>
                    <a:endParaRPr lang="en-US" sz="800" baseline="0">
                      <a:solidFill>
                        <a:schemeClr val="bg1"/>
                      </a:solidFill>
                    </a:endParaRPr>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7"/>
              <c:layout>
                <c:manualLayout>
                  <c:x val="-5.5566008794355241E-2"/>
                  <c:y val="-9.1288299488879676E-2"/>
                </c:manualLayout>
              </c:layout>
              <c:tx>
                <c:rich>
                  <a:bodyPr rot="0" spcFirstLastPara="1" vertOverflow="clip" horzOverflow="clip" vert="horz" wrap="square" lIns="38100" tIns="19050" rIns="38100" bIns="19050" anchor="ctr" anchorCtr="1">
                    <a:noAutofit/>
                  </a:bodyPr>
                  <a:lstStyle/>
                  <a:p>
                    <a:pPr>
                      <a:defRPr sz="800" b="0" i="0" u="none" strike="noStrike" kern="1200" baseline="0">
                        <a:solidFill>
                          <a:schemeClr val="bg1"/>
                        </a:solidFill>
                        <a:latin typeface="+mn-lt"/>
                        <a:ea typeface="+mn-ea"/>
                        <a:cs typeface="+mn-cs"/>
                      </a:defRPr>
                    </a:pPr>
                    <a:fld id="{7095A848-2F14-4808-8949-00D748813002}" type="CATEGORYNAME">
                      <a:rPr lang="en-US" sz="800">
                        <a:solidFill>
                          <a:sysClr val="windowText" lastClr="000000"/>
                        </a:solidFill>
                      </a:rPr>
                      <a:pPr>
                        <a:defRPr sz="800">
                          <a:solidFill>
                            <a:schemeClr val="bg1"/>
                          </a:solidFill>
                        </a:defRPr>
                      </a:pPr>
                      <a:t>[CATEGORY NAME]</a:t>
                    </a:fld>
                    <a:r>
                      <a:rPr lang="en-US" sz="800" baseline="0">
                        <a:solidFill>
                          <a:sysClr val="windowText" lastClr="000000"/>
                        </a:solidFill>
                      </a:rPr>
                      <a:t>
</a:t>
                    </a:r>
                    <a:fld id="{4CEFAF42-A2C5-4AE1-953F-4BBF44C9D29D}" type="PERCENTAGE">
                      <a:rPr lang="en-US" sz="800" baseline="0">
                        <a:solidFill>
                          <a:sysClr val="windowText" lastClr="000000"/>
                        </a:solidFill>
                      </a:rPr>
                      <a:pPr>
                        <a:defRPr sz="800">
                          <a:solidFill>
                            <a:schemeClr val="bg1"/>
                          </a:solidFill>
                        </a:defRPr>
                      </a:pPr>
                      <a:t>[PERCENTAGE]</a:t>
                    </a:fld>
                    <a:endParaRPr lang="en-US" sz="800" baseline="0">
                      <a:solidFill>
                        <a:sysClr val="windowText" lastClr="000000"/>
                      </a:solidFill>
                    </a:endParaRPr>
                  </a:p>
                </c:rich>
              </c:tx>
              <c:spPr>
                <a:noFill/>
                <a:ln>
                  <a:noFill/>
                </a:ln>
                <a:effectLst/>
              </c:spPr>
              <c:txPr>
                <a:bodyPr rot="0" spcFirstLastPara="1" vertOverflow="clip" horzOverflow="clip" vert="horz" wrap="square" lIns="38100" tIns="19050" rIns="38100" bIns="19050" anchor="ctr" anchorCtr="1">
                  <a:noAutofit/>
                </a:bodyPr>
                <a:lstStyle/>
                <a:p>
                  <a:pPr>
                    <a:defRPr sz="800" b="0" i="0" u="none" strike="noStrike" kern="1200" baseline="0">
                      <a:solidFill>
                        <a:schemeClr val="bg1"/>
                      </a:solidFill>
                      <a:latin typeface="+mn-lt"/>
                      <a:ea typeface="+mn-ea"/>
                      <a:cs typeface="+mn-cs"/>
                    </a:defRPr>
                  </a:pPr>
                  <a:endParaRPr lang="lv-LV"/>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35877492586154003"/>
                      <c:h val="0.18068057282313393"/>
                    </c:manualLayout>
                  </c15:layout>
                  <c15:dlblFieldTable/>
                  <c15:showDataLabelsRange val="0"/>
                </c:ext>
              </c:extLst>
            </c:dLbl>
            <c:dLbl>
              <c:idx val="8"/>
              <c:layout>
                <c:manualLayout>
                  <c:x val="6.8590857960936696E-2"/>
                  <c:y val="-2.1455449647741487E-2"/>
                </c:manualLayout>
              </c:layout>
              <c:spPr>
                <a:noFill/>
                <a:ln>
                  <a:noFill/>
                </a:ln>
                <a:effectLst/>
              </c:spPr>
              <c:txPr>
                <a:bodyPr rot="0" spcFirstLastPara="1" vertOverflow="clip" horzOverflow="clip" vert="horz" wrap="square" lIns="38100" tIns="19050" rIns="38100" bIns="19050" anchor="ctr" anchorCtr="0">
                  <a:spAutoFit/>
                </a:bodyPr>
                <a:lstStyle/>
                <a:p>
                  <a:pPr algn="l">
                    <a:defRPr sz="800" b="0" i="0" u="none" strike="noStrike" kern="1200" baseline="0">
                      <a:solidFill>
                        <a:schemeClr val="bg1"/>
                      </a:solidFill>
                      <a:latin typeface="+mn-lt"/>
                      <a:ea typeface="+mn-ea"/>
                      <a:cs typeface="+mn-cs"/>
                    </a:defRPr>
                  </a:pPr>
                  <a:endParaRPr lang="lv-LV"/>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32372021679108293"/>
                      <c:h val="0.17595505824929777"/>
                    </c:manualLayout>
                  </c15:layout>
                </c:ext>
              </c:extLst>
            </c:dLbl>
            <c:dLbl>
              <c:idx val="9"/>
              <c:layout>
                <c:manualLayout>
                  <c:x val="0"/>
                  <c:y val="-2.67991594203962E-2"/>
                </c:manualLayout>
              </c:layout>
              <c:spPr>
                <a:noFill/>
                <a:ln>
                  <a:noFill/>
                </a:ln>
                <a:effectLst/>
              </c:spPr>
              <c:txPr>
                <a:bodyPr rot="0" spcFirstLastPara="1" vertOverflow="clip" horzOverflow="clip" vert="horz" wrap="square" lIns="38100" tIns="19050" rIns="38100" bIns="19050" anchor="ctr" anchorCtr="0">
                  <a:spAutoFit/>
                </a:bodyPr>
                <a:lstStyle/>
                <a:p>
                  <a:pPr algn="ctr">
                    <a:defRPr sz="800" b="0" i="0" u="none" strike="noStrike" kern="1200" baseline="0">
                      <a:solidFill>
                        <a:sysClr val="windowText" lastClr="000000"/>
                      </a:solidFill>
                      <a:latin typeface="+mn-lt"/>
                      <a:ea typeface="+mn-ea"/>
                      <a:cs typeface="+mn-cs"/>
                    </a:defRPr>
                  </a:pPr>
                  <a:endParaRPr lang="lv-LV"/>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4271025432165807"/>
                      <c:h val="0.1561648005457166"/>
                    </c:manualLayout>
                  </c15:layout>
                </c:ext>
              </c:extLst>
            </c:dLbl>
            <c:dLbl>
              <c:idx val="10"/>
              <c:layout>
                <c:manualLayout>
                  <c:x val="0.24860571817835747"/>
                  <c:y val="0.1186071741032371"/>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lv-LV"/>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(Sheet1!$AW$32,Sheet1!$AW$33,Sheet1!$AW$37,Sheet1!$AW$40,Sheet1!$AW$41,Sheet1!$AW$43,Sheet1!$AW$44,Sheet1!$AW$45,Sheet1!$AW$47,Sheet1!$AW$53,Sheet1!$AW$54)</c:f>
              <c:strCache>
                <c:ptCount val="11"/>
                <c:pt idx="0">
                  <c:v>Pārtikas produkti</c:v>
                </c:pt>
                <c:pt idx="1">
                  <c:v>Dzērieni</c:v>
                </c:pt>
                <c:pt idx="2">
                  <c:v>Koksne, koka izstrādājumi</c:v>
                </c:pt>
                <c:pt idx="3">
                  <c:v>Ķīmiskie produkti</c:v>
                </c:pt>
                <c:pt idx="4">
                  <c:v>Farmaceitiskie produkti</c:v>
                </c:pt>
                <c:pt idx="5">
                  <c:v>Nemetālisko minerālu izstrādājumi</c:v>
                </c:pt>
                <c:pt idx="6">
                  <c:v>Metāli</c:v>
                </c:pt>
                <c:pt idx="7">
                  <c:v>Gatavie metālizstrādājumi</c:v>
                </c:pt>
                <c:pt idx="8">
                  <c:v>Elektriskās iekārtas</c:v>
                </c:pt>
                <c:pt idx="9">
                  <c:v>Iekārtu remonts un uzstādīšana</c:v>
                </c:pt>
                <c:pt idx="10">
                  <c:v>Citi </c:v>
                </c:pt>
              </c:strCache>
            </c:strRef>
          </c:cat>
          <c:val>
            <c:numRef>
              <c:f>(Sheet1!$BB$32,Sheet1!$BB$33,Sheet1!$BB$37,Sheet1!$BB$40,Sheet1!$BB$41,Sheet1!$BB$43,Sheet1!$BB$44,Sheet1!$BB$45,Sheet1!$BB$47,Sheet1!$BB$53,Sheet1!$BB$54)</c:f>
              <c:numCache>
                <c:formatCode>0</c:formatCode>
                <c:ptCount val="11"/>
                <c:pt idx="0">
                  <c:v>21.599064126425986</c:v>
                </c:pt>
                <c:pt idx="1">
                  <c:v>3.3721641286570487</c:v>
                </c:pt>
                <c:pt idx="2">
                  <c:v>23.531494536421928</c:v>
                </c:pt>
                <c:pt idx="3">
                  <c:v>2.8920444395010043</c:v>
                </c:pt>
                <c:pt idx="4">
                  <c:v>2.5015059669512922</c:v>
                </c:pt>
                <c:pt idx="5">
                  <c:v>6.2386425501333509</c:v>
                </c:pt>
                <c:pt idx="6">
                  <c:v>4.3689652415173637</c:v>
                </c:pt>
                <c:pt idx="7">
                  <c:v>6.4136620474994759</c:v>
                </c:pt>
                <c:pt idx="8">
                  <c:v>3.5992439142080062</c:v>
                </c:pt>
                <c:pt idx="9">
                  <c:v>2.5442951333694759</c:v>
                </c:pt>
                <c:pt idx="10">
                  <c:v>22.938921172340105</c:v>
                </c:pt>
              </c:numCache>
            </c:numRef>
          </c:val>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85853173678734"/>
          <c:y val="5.1643192488262914E-2"/>
          <c:w val="0.47869294444703286"/>
          <c:h val="0.84816088129828837"/>
        </c:manualLayout>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dPt>
          <c:dPt>
            <c:idx val="1"/>
            <c:invertIfNegative val="0"/>
            <c:bubble3D val="0"/>
            <c:spPr>
              <a:solidFill>
                <a:srgbClr val="C00000"/>
              </a:solidFill>
              <a:ln>
                <a:noFill/>
              </a:ln>
              <a:effectLst/>
            </c:spPr>
          </c:dPt>
          <c:dPt>
            <c:idx val="2"/>
            <c:invertIfNegative val="0"/>
            <c:bubble3D val="0"/>
            <c:spPr>
              <a:solidFill>
                <a:srgbClr val="002060"/>
              </a:solidFill>
              <a:ln>
                <a:noFill/>
              </a:ln>
              <a:effectLst/>
            </c:spPr>
          </c:dPt>
          <c:dPt>
            <c:idx val="3"/>
            <c:invertIfNegative val="0"/>
            <c:bubble3D val="0"/>
            <c:spPr>
              <a:solidFill>
                <a:srgbClr val="002060"/>
              </a:solidFill>
              <a:ln>
                <a:noFill/>
              </a:ln>
              <a:effectLst/>
            </c:spPr>
          </c:dPt>
          <c:dPt>
            <c:idx val="4"/>
            <c:invertIfNegative val="0"/>
            <c:bubble3D val="0"/>
            <c:spPr>
              <a:solidFill>
                <a:srgbClr val="C00000"/>
              </a:solidFill>
              <a:ln>
                <a:noFill/>
              </a:ln>
              <a:effectLst/>
            </c:spPr>
          </c:dPt>
          <c:dPt>
            <c:idx val="5"/>
            <c:invertIfNegative val="0"/>
            <c:bubble3D val="0"/>
            <c:spPr>
              <a:solidFill>
                <a:srgbClr val="C00000"/>
              </a:solidFill>
              <a:ln>
                <a:noFill/>
              </a:ln>
              <a:effectLst/>
            </c:spPr>
          </c:dPt>
          <c:dPt>
            <c:idx val="6"/>
            <c:invertIfNegative val="0"/>
            <c:bubble3D val="0"/>
            <c:spPr>
              <a:solidFill>
                <a:srgbClr val="002060"/>
              </a:solidFill>
              <a:ln>
                <a:noFill/>
              </a:ln>
              <a:effectLst/>
            </c:spPr>
          </c:dPt>
          <c:dPt>
            <c:idx val="7"/>
            <c:invertIfNegative val="0"/>
            <c:bubble3D val="0"/>
            <c:spPr>
              <a:solidFill>
                <a:srgbClr val="002060"/>
              </a:solidFill>
              <a:ln>
                <a:noFill/>
              </a:ln>
              <a:effectLst/>
            </c:spPr>
          </c:dPt>
          <c:dPt>
            <c:idx val="8"/>
            <c:invertIfNegative val="0"/>
            <c:bubble3D val="0"/>
            <c:spPr>
              <a:solidFill>
                <a:srgbClr val="002060"/>
              </a:solidFill>
              <a:ln>
                <a:noFill/>
              </a:ln>
              <a:effectLst/>
            </c:spPr>
          </c:dPt>
          <c:dPt>
            <c:idx val="9"/>
            <c:invertIfNegative val="0"/>
            <c:bubble3D val="0"/>
            <c:spPr>
              <a:solidFill>
                <a:srgbClr val="C00000"/>
              </a:solidFill>
              <a:ln>
                <a:noFill/>
              </a:ln>
              <a:effectLst/>
            </c:spPr>
          </c:dPt>
          <c:dPt>
            <c:idx val="10"/>
            <c:invertIfNegative val="0"/>
            <c:bubble3D val="0"/>
            <c:spPr>
              <a:solidFill>
                <a:srgbClr val="002060"/>
              </a:solidFill>
              <a:ln>
                <a:noFill/>
              </a:ln>
              <a:effectLst/>
            </c:spPr>
          </c:dPt>
          <c:dPt>
            <c:idx val="11"/>
            <c:invertIfNegative val="0"/>
            <c:bubble3D val="0"/>
            <c:spPr>
              <a:solidFill>
                <a:srgbClr val="002060"/>
              </a:solidFill>
              <a:ln>
                <a:noFill/>
              </a:ln>
              <a:effectLst/>
            </c:spPr>
          </c:dPt>
          <c:dPt>
            <c:idx val="12"/>
            <c:invertIfNegative val="0"/>
            <c:bubble3D val="0"/>
            <c:spPr>
              <a:solidFill>
                <a:srgbClr val="C00000"/>
              </a:solidFill>
              <a:ln>
                <a:noFill/>
              </a:ln>
              <a:effectLst/>
            </c:spPr>
          </c:dPt>
          <c:dLbls>
            <c:dLbl>
              <c:idx val="3"/>
              <c:layout>
                <c:manualLayout>
                  <c:x val="-5.5226824457593832E-2"/>
                  <c:y val="-8.6070993180980237E-17"/>
                </c:manualLayout>
              </c:layout>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7611859168491511E-2"/>
                  <c:y val="0"/>
                </c:manualLayout>
              </c:layout>
              <c:tx>
                <c:rich>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fld id="{B7BABBA2-A99D-48E6-AC21-F52B2461DDE8}" type="VALUE">
                      <a:rPr lang="en-US">
                        <a:solidFill>
                          <a:sysClr val="windowText" lastClr="000000"/>
                        </a:solidFill>
                      </a:rPr>
                      <a:pPr>
                        <a:defRPr sz="800" b="1">
                          <a:solidFill>
                            <a:schemeClr val="bg1"/>
                          </a:solidFill>
                        </a:defRPr>
                      </a:pPr>
                      <a:t>[VALUE]</a:t>
                    </a:fld>
                    <a:endParaRPr lang="lv-LV"/>
                  </a:p>
                </c:rich>
              </c:tx>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Sheet1!$AY$58:$AY$70</c:f>
              <c:strCache>
                <c:ptCount val="13"/>
                <c:pt idx="0">
                  <c:v>Elektroenerģija un gāzes apgāde</c:v>
                </c:pt>
                <c:pt idx="1">
                  <c:v>Iekārtu remonts un uzstādīšana</c:v>
                </c:pt>
                <c:pt idx="2">
                  <c:v>Elektriskās iekārtas</c:v>
                </c:pt>
                <c:pt idx="3">
                  <c:v>Datori, optika</c:v>
                </c:pt>
                <c:pt idx="4">
                  <c:v>Gatavie metālizstrādājumi</c:v>
                </c:pt>
                <c:pt idx="5">
                  <c:v>Metāli</c:v>
                </c:pt>
                <c:pt idx="6">
                  <c:v>Nemetālisko minerālu izstrādājumi</c:v>
                </c:pt>
                <c:pt idx="7">
                  <c:v>Ķīmiskie produkti</c:v>
                </c:pt>
                <c:pt idx="8">
                  <c:v>Koksne, koka izstrādājumi</c:v>
                </c:pt>
                <c:pt idx="9">
                  <c:v>Apģērbi</c:v>
                </c:pt>
                <c:pt idx="10">
                  <c:v>Pārtikas produkti</c:v>
                </c:pt>
                <c:pt idx="11">
                  <c:v>Apstrādes rūpniecība</c:v>
                </c:pt>
                <c:pt idx="12">
                  <c:v>Rūpniecība</c:v>
                </c:pt>
              </c:strCache>
            </c:strRef>
          </c:cat>
          <c:val>
            <c:numRef>
              <c:f>Sheet1!$AZ$58:$AZ$70</c:f>
              <c:numCache>
                <c:formatCode>General</c:formatCode>
                <c:ptCount val="13"/>
                <c:pt idx="0">
                  <c:v>-11.9</c:v>
                </c:pt>
                <c:pt idx="1">
                  <c:v>-13.6</c:v>
                </c:pt>
                <c:pt idx="2">
                  <c:v>10.4</c:v>
                </c:pt>
                <c:pt idx="3">
                  <c:v>48.1</c:v>
                </c:pt>
                <c:pt idx="4">
                  <c:v>-1</c:v>
                </c:pt>
                <c:pt idx="5">
                  <c:v>-81</c:v>
                </c:pt>
                <c:pt idx="6">
                  <c:v>5.2</c:v>
                </c:pt>
                <c:pt idx="7">
                  <c:v>16</c:v>
                </c:pt>
                <c:pt idx="8">
                  <c:v>6.7</c:v>
                </c:pt>
                <c:pt idx="9">
                  <c:v>-16.399999999999999</c:v>
                </c:pt>
                <c:pt idx="10">
                  <c:v>6.8</c:v>
                </c:pt>
                <c:pt idx="11">
                  <c:v>0.3</c:v>
                </c:pt>
                <c:pt idx="12">
                  <c:v>-2.8</c:v>
                </c:pt>
              </c:numCache>
            </c:numRef>
          </c:val>
        </c:ser>
        <c:dLbls>
          <c:showLegendKey val="0"/>
          <c:showVal val="0"/>
          <c:showCatName val="0"/>
          <c:showSerName val="0"/>
          <c:showPercent val="0"/>
          <c:showBubbleSize val="0"/>
        </c:dLbls>
        <c:gapWidth val="40"/>
        <c:overlap val="71"/>
        <c:axId val="274544008"/>
        <c:axId val="274544400"/>
      </c:barChart>
      <c:catAx>
        <c:axId val="27454400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274544400"/>
        <c:crosses val="autoZero"/>
        <c:auto val="1"/>
        <c:lblAlgn val="ctr"/>
        <c:lblOffset val="100"/>
        <c:noMultiLvlLbl val="0"/>
      </c:catAx>
      <c:valAx>
        <c:axId val="274544400"/>
        <c:scaling>
          <c:orientation val="minMax"/>
          <c:max val="50"/>
          <c:min val="-8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274544008"/>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pPr>
      <a:endParaRPr lang="lv-LV"/>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Sheet1!$A$75</c:f>
              <c:strCache>
                <c:ptCount val="1"/>
                <c:pt idx="0">
                  <c:v>Rūpniecība kopā</c:v>
                </c:pt>
              </c:strCache>
            </c:strRef>
          </c:tx>
          <c:spPr>
            <a:solidFill>
              <a:schemeClr val="accent3"/>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multiLvlStrRef>
              <c:f>Sheet1!$B$73:$BL$74</c:f>
              <c:multiLvlStrCache>
                <c:ptCount val="6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lvl>
                <c:lvl>
                  <c:pt idx="0">
                    <c:v>2009</c:v>
                  </c:pt>
                  <c:pt idx="12">
                    <c:v>2010</c:v>
                  </c:pt>
                  <c:pt idx="24">
                    <c:v>2011</c:v>
                  </c:pt>
                  <c:pt idx="36">
                    <c:v>2012</c:v>
                  </c:pt>
                  <c:pt idx="48">
                    <c:v>2013</c:v>
                  </c:pt>
                  <c:pt idx="60">
                    <c:v>2014</c:v>
                  </c:pt>
                </c:lvl>
              </c:multiLvlStrCache>
            </c:multiLvlStrRef>
          </c:cat>
          <c:val>
            <c:numRef>
              <c:f>Sheet1!$B$75:$BL$75</c:f>
              <c:numCache>
                <c:formatCode>General</c:formatCode>
                <c:ptCount val="63"/>
                <c:pt idx="0">
                  <c:v>7.2</c:v>
                </c:pt>
                <c:pt idx="1">
                  <c:v>3.9</c:v>
                </c:pt>
                <c:pt idx="2">
                  <c:v>1.5</c:v>
                </c:pt>
                <c:pt idx="3">
                  <c:v>-2.6</c:v>
                </c:pt>
                <c:pt idx="4">
                  <c:v>-4.8</c:v>
                </c:pt>
                <c:pt idx="5">
                  <c:v>-7.8</c:v>
                </c:pt>
                <c:pt idx="6">
                  <c:v>-8.4</c:v>
                </c:pt>
                <c:pt idx="7">
                  <c:v>-9.3000000000000007</c:v>
                </c:pt>
                <c:pt idx="8">
                  <c:v>-8</c:v>
                </c:pt>
                <c:pt idx="9">
                  <c:v>-8.8000000000000007</c:v>
                </c:pt>
                <c:pt idx="10">
                  <c:v>-9</c:v>
                </c:pt>
                <c:pt idx="11">
                  <c:v>-8</c:v>
                </c:pt>
                <c:pt idx="12">
                  <c:v>-6.6</c:v>
                </c:pt>
                <c:pt idx="13">
                  <c:v>-4.9000000000000004</c:v>
                </c:pt>
                <c:pt idx="14">
                  <c:v>-2.5</c:v>
                </c:pt>
                <c:pt idx="15">
                  <c:v>0.6</c:v>
                </c:pt>
                <c:pt idx="16">
                  <c:v>3.3</c:v>
                </c:pt>
                <c:pt idx="17">
                  <c:v>6</c:v>
                </c:pt>
                <c:pt idx="18">
                  <c:v>6.3</c:v>
                </c:pt>
                <c:pt idx="19">
                  <c:v>6.9</c:v>
                </c:pt>
                <c:pt idx="20">
                  <c:v>7.1</c:v>
                </c:pt>
                <c:pt idx="21">
                  <c:v>6.5</c:v>
                </c:pt>
                <c:pt idx="22">
                  <c:v>8.1999999999999993</c:v>
                </c:pt>
                <c:pt idx="23">
                  <c:v>8</c:v>
                </c:pt>
                <c:pt idx="24">
                  <c:v>8.3000000000000007</c:v>
                </c:pt>
                <c:pt idx="25">
                  <c:v>8.6</c:v>
                </c:pt>
                <c:pt idx="26">
                  <c:v>8.6</c:v>
                </c:pt>
                <c:pt idx="27">
                  <c:v>8.6</c:v>
                </c:pt>
                <c:pt idx="28">
                  <c:v>7.7</c:v>
                </c:pt>
                <c:pt idx="29">
                  <c:v>7.3</c:v>
                </c:pt>
                <c:pt idx="30">
                  <c:v>8</c:v>
                </c:pt>
                <c:pt idx="31">
                  <c:v>7.8</c:v>
                </c:pt>
                <c:pt idx="32">
                  <c:v>6.8</c:v>
                </c:pt>
                <c:pt idx="33">
                  <c:v>7.3</c:v>
                </c:pt>
                <c:pt idx="34">
                  <c:v>6.9</c:v>
                </c:pt>
                <c:pt idx="35">
                  <c:v>6.5</c:v>
                </c:pt>
                <c:pt idx="36">
                  <c:v>7.1</c:v>
                </c:pt>
                <c:pt idx="37">
                  <c:v>6.7</c:v>
                </c:pt>
                <c:pt idx="38">
                  <c:v>5.4</c:v>
                </c:pt>
                <c:pt idx="39">
                  <c:v>4</c:v>
                </c:pt>
                <c:pt idx="40">
                  <c:v>2.6</c:v>
                </c:pt>
                <c:pt idx="41">
                  <c:v>2.2999999999999998</c:v>
                </c:pt>
                <c:pt idx="42">
                  <c:v>2.1</c:v>
                </c:pt>
                <c:pt idx="43">
                  <c:v>2.2000000000000002</c:v>
                </c:pt>
                <c:pt idx="44">
                  <c:v>2.6</c:v>
                </c:pt>
                <c:pt idx="45">
                  <c:v>2.9</c:v>
                </c:pt>
                <c:pt idx="46">
                  <c:v>3.2</c:v>
                </c:pt>
                <c:pt idx="47">
                  <c:v>3.6</c:v>
                </c:pt>
                <c:pt idx="48">
                  <c:v>2.1</c:v>
                </c:pt>
                <c:pt idx="49">
                  <c:v>1.7</c:v>
                </c:pt>
                <c:pt idx="50">
                  <c:v>2.2000000000000002</c:v>
                </c:pt>
                <c:pt idx="51">
                  <c:v>1.4</c:v>
                </c:pt>
                <c:pt idx="52">
                  <c:v>2.2000000000000002</c:v>
                </c:pt>
                <c:pt idx="53">
                  <c:v>2.1</c:v>
                </c:pt>
                <c:pt idx="54">
                  <c:v>1.4</c:v>
                </c:pt>
                <c:pt idx="55">
                  <c:v>1.2</c:v>
                </c:pt>
                <c:pt idx="56">
                  <c:v>1.5</c:v>
                </c:pt>
                <c:pt idx="57">
                  <c:v>1.2</c:v>
                </c:pt>
                <c:pt idx="58">
                  <c:v>1.2</c:v>
                </c:pt>
                <c:pt idx="59">
                  <c:v>0.3</c:v>
                </c:pt>
                <c:pt idx="60">
                  <c:v>0.6</c:v>
                </c:pt>
                <c:pt idx="61">
                  <c:v>1</c:v>
                </c:pt>
                <c:pt idx="62">
                  <c:v>0.6</c:v>
                </c:pt>
              </c:numCache>
            </c:numRef>
          </c:val>
        </c:ser>
        <c:dLbls>
          <c:showLegendKey val="0"/>
          <c:showVal val="0"/>
          <c:showCatName val="0"/>
          <c:showSerName val="0"/>
          <c:showPercent val="0"/>
          <c:showBubbleSize val="0"/>
        </c:dLbls>
        <c:axId val="274546360"/>
        <c:axId val="274545968"/>
      </c:areaChart>
      <c:lineChart>
        <c:grouping val="standard"/>
        <c:varyColors val="0"/>
        <c:ser>
          <c:idx val="1"/>
          <c:order val="1"/>
          <c:tx>
            <c:strRef>
              <c:f>Sheet1!$A$76</c:f>
              <c:strCache>
                <c:ptCount val="1"/>
                <c:pt idx="0">
                  <c:v>Vietējā tirgū realizēta produkcija</c:v>
                </c:pt>
              </c:strCache>
            </c:strRef>
          </c:tx>
          <c:spPr>
            <a:ln w="34925" cap="rnd">
              <a:solidFill>
                <a:srgbClr val="002060"/>
              </a:solidFill>
              <a:prstDash val="sysDash"/>
              <a:round/>
            </a:ln>
            <a:effectLst>
              <a:outerShdw blurRad="40000" dist="23000" dir="5400000" rotWithShape="0">
                <a:srgbClr val="000000">
                  <a:alpha val="35000"/>
                </a:srgbClr>
              </a:outerShdw>
            </a:effectLst>
          </c:spPr>
          <c:marker>
            <c:symbol val="none"/>
          </c:marker>
          <c:cat>
            <c:multiLvlStrRef>
              <c:f>Sheet1!$B$73:$BL$74</c:f>
              <c:multiLvlStrCache>
                <c:ptCount val="6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lvl>
                <c:lvl>
                  <c:pt idx="0">
                    <c:v>2009</c:v>
                  </c:pt>
                  <c:pt idx="12">
                    <c:v>2010</c:v>
                  </c:pt>
                  <c:pt idx="24">
                    <c:v>2011</c:v>
                  </c:pt>
                  <c:pt idx="36">
                    <c:v>2012</c:v>
                  </c:pt>
                  <c:pt idx="48">
                    <c:v>2013</c:v>
                  </c:pt>
                  <c:pt idx="60">
                    <c:v>2014</c:v>
                  </c:pt>
                </c:lvl>
              </c:multiLvlStrCache>
            </c:multiLvlStrRef>
          </c:cat>
          <c:val>
            <c:numRef>
              <c:f>Sheet1!$B$76:$BL$76</c:f>
              <c:numCache>
                <c:formatCode>General</c:formatCode>
                <c:ptCount val="63"/>
                <c:pt idx="0">
                  <c:v>12.1</c:v>
                </c:pt>
                <c:pt idx="1">
                  <c:v>8.6999999999999993</c:v>
                </c:pt>
                <c:pt idx="2">
                  <c:v>7.5</c:v>
                </c:pt>
                <c:pt idx="3">
                  <c:v>1.3</c:v>
                </c:pt>
                <c:pt idx="4">
                  <c:v>-1.9</c:v>
                </c:pt>
                <c:pt idx="5">
                  <c:v>-4.5999999999999996</c:v>
                </c:pt>
                <c:pt idx="6">
                  <c:v>-5.2</c:v>
                </c:pt>
                <c:pt idx="7">
                  <c:v>-6</c:v>
                </c:pt>
                <c:pt idx="8">
                  <c:v>-5.6</c:v>
                </c:pt>
                <c:pt idx="9">
                  <c:v>-9.9</c:v>
                </c:pt>
                <c:pt idx="10">
                  <c:v>-10.7</c:v>
                </c:pt>
                <c:pt idx="11">
                  <c:v>-9.9</c:v>
                </c:pt>
                <c:pt idx="12">
                  <c:v>-9.5</c:v>
                </c:pt>
                <c:pt idx="13">
                  <c:v>-8.1</c:v>
                </c:pt>
                <c:pt idx="14">
                  <c:v>-7.1</c:v>
                </c:pt>
                <c:pt idx="15">
                  <c:v>-3.5</c:v>
                </c:pt>
                <c:pt idx="16">
                  <c:v>-0.6</c:v>
                </c:pt>
                <c:pt idx="17">
                  <c:v>2.9</c:v>
                </c:pt>
                <c:pt idx="18">
                  <c:v>4.0999999999999996</c:v>
                </c:pt>
                <c:pt idx="19">
                  <c:v>4.7</c:v>
                </c:pt>
                <c:pt idx="20">
                  <c:v>5.0999999999999996</c:v>
                </c:pt>
                <c:pt idx="21">
                  <c:v>4.8</c:v>
                </c:pt>
                <c:pt idx="22">
                  <c:v>6.6</c:v>
                </c:pt>
                <c:pt idx="23">
                  <c:v>6.3</c:v>
                </c:pt>
                <c:pt idx="24">
                  <c:v>8.1</c:v>
                </c:pt>
                <c:pt idx="25">
                  <c:v>7.8</c:v>
                </c:pt>
                <c:pt idx="26">
                  <c:v>7.9</c:v>
                </c:pt>
                <c:pt idx="27">
                  <c:v>9.1999999999999993</c:v>
                </c:pt>
                <c:pt idx="28">
                  <c:v>9.4</c:v>
                </c:pt>
                <c:pt idx="29">
                  <c:v>8.9</c:v>
                </c:pt>
                <c:pt idx="30">
                  <c:v>8.8000000000000007</c:v>
                </c:pt>
                <c:pt idx="31">
                  <c:v>9.1</c:v>
                </c:pt>
                <c:pt idx="32">
                  <c:v>8.9</c:v>
                </c:pt>
                <c:pt idx="33">
                  <c:v>9.4</c:v>
                </c:pt>
                <c:pt idx="34">
                  <c:v>8.8000000000000007</c:v>
                </c:pt>
                <c:pt idx="35">
                  <c:v>8.5</c:v>
                </c:pt>
                <c:pt idx="36">
                  <c:v>9.4</c:v>
                </c:pt>
                <c:pt idx="37">
                  <c:v>9.6999999999999993</c:v>
                </c:pt>
                <c:pt idx="38">
                  <c:v>9.5</c:v>
                </c:pt>
                <c:pt idx="39">
                  <c:v>5.6</c:v>
                </c:pt>
                <c:pt idx="40">
                  <c:v>4</c:v>
                </c:pt>
                <c:pt idx="41">
                  <c:v>2.9</c:v>
                </c:pt>
                <c:pt idx="42">
                  <c:v>3.3</c:v>
                </c:pt>
                <c:pt idx="43">
                  <c:v>2.9</c:v>
                </c:pt>
                <c:pt idx="44">
                  <c:v>3.2</c:v>
                </c:pt>
                <c:pt idx="45">
                  <c:v>3.7</c:v>
                </c:pt>
                <c:pt idx="46">
                  <c:v>4.3</c:v>
                </c:pt>
                <c:pt idx="47">
                  <c:v>4.2</c:v>
                </c:pt>
                <c:pt idx="48">
                  <c:v>1.9</c:v>
                </c:pt>
                <c:pt idx="49">
                  <c:v>1.3</c:v>
                </c:pt>
                <c:pt idx="50">
                  <c:v>0.8</c:v>
                </c:pt>
                <c:pt idx="51">
                  <c:v>1.4</c:v>
                </c:pt>
                <c:pt idx="52">
                  <c:v>1.7</c:v>
                </c:pt>
                <c:pt idx="53">
                  <c:v>1.1000000000000001</c:v>
                </c:pt>
                <c:pt idx="54">
                  <c:v>0.7</c:v>
                </c:pt>
                <c:pt idx="55">
                  <c:v>0.4</c:v>
                </c:pt>
                <c:pt idx="56">
                  <c:v>0.5</c:v>
                </c:pt>
                <c:pt idx="57">
                  <c:v>0.3</c:v>
                </c:pt>
                <c:pt idx="58">
                  <c:v>0.1</c:v>
                </c:pt>
                <c:pt idx="59">
                  <c:v>-0.6</c:v>
                </c:pt>
                <c:pt idx="60">
                  <c:v>0.1</c:v>
                </c:pt>
                <c:pt idx="61">
                  <c:v>0.3</c:v>
                </c:pt>
                <c:pt idx="62">
                  <c:v>0.5</c:v>
                </c:pt>
              </c:numCache>
            </c:numRef>
          </c:val>
          <c:smooth val="0"/>
        </c:ser>
        <c:ser>
          <c:idx val="2"/>
          <c:order val="2"/>
          <c:tx>
            <c:strRef>
              <c:f>Sheet1!$A$77</c:f>
              <c:strCache>
                <c:ptCount val="1"/>
                <c:pt idx="0">
                  <c:v>Eksportētā produkcija</c:v>
                </c:pt>
              </c:strCache>
            </c:strRef>
          </c:tx>
          <c:spPr>
            <a:ln w="25400" cap="rnd">
              <a:solidFill>
                <a:srgbClr val="002060"/>
              </a:solidFill>
              <a:round/>
            </a:ln>
            <a:effectLst>
              <a:outerShdw blurRad="40000" dist="23000" dir="5400000" rotWithShape="0">
                <a:srgbClr val="000000">
                  <a:alpha val="35000"/>
                </a:srgbClr>
              </a:outerShdw>
            </a:effectLst>
          </c:spPr>
          <c:marker>
            <c:symbol val="none"/>
          </c:marker>
          <c:cat>
            <c:multiLvlStrRef>
              <c:f>Sheet1!$B$73:$BL$74</c:f>
              <c:multiLvlStrCache>
                <c:ptCount val="6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lvl>
                <c:lvl>
                  <c:pt idx="0">
                    <c:v>2009</c:v>
                  </c:pt>
                  <c:pt idx="12">
                    <c:v>2010</c:v>
                  </c:pt>
                  <c:pt idx="24">
                    <c:v>2011</c:v>
                  </c:pt>
                  <c:pt idx="36">
                    <c:v>2012</c:v>
                  </c:pt>
                  <c:pt idx="48">
                    <c:v>2013</c:v>
                  </c:pt>
                  <c:pt idx="60">
                    <c:v>2014</c:v>
                  </c:pt>
                </c:lvl>
              </c:multiLvlStrCache>
            </c:multiLvlStrRef>
          </c:cat>
          <c:val>
            <c:numRef>
              <c:f>Sheet1!$B$77:$BL$77</c:f>
              <c:numCache>
                <c:formatCode>General</c:formatCode>
                <c:ptCount val="63"/>
                <c:pt idx="0">
                  <c:v>-0.8</c:v>
                </c:pt>
                <c:pt idx="1">
                  <c:v>-4</c:v>
                </c:pt>
                <c:pt idx="2">
                  <c:v>-8</c:v>
                </c:pt>
                <c:pt idx="3">
                  <c:v>-9</c:v>
                </c:pt>
                <c:pt idx="4">
                  <c:v>-9.9</c:v>
                </c:pt>
                <c:pt idx="5">
                  <c:v>-13.1</c:v>
                </c:pt>
                <c:pt idx="6">
                  <c:v>-13.8</c:v>
                </c:pt>
                <c:pt idx="7">
                  <c:v>-14.9</c:v>
                </c:pt>
                <c:pt idx="8">
                  <c:v>-12.2</c:v>
                </c:pt>
                <c:pt idx="9">
                  <c:v>-7.4</c:v>
                </c:pt>
                <c:pt idx="10">
                  <c:v>-6.3</c:v>
                </c:pt>
                <c:pt idx="11">
                  <c:v>-5</c:v>
                </c:pt>
                <c:pt idx="12">
                  <c:v>-1.9</c:v>
                </c:pt>
                <c:pt idx="13">
                  <c:v>0.4</c:v>
                </c:pt>
                <c:pt idx="14">
                  <c:v>5</c:v>
                </c:pt>
                <c:pt idx="15">
                  <c:v>7.3</c:v>
                </c:pt>
                <c:pt idx="16">
                  <c:v>9.4</c:v>
                </c:pt>
                <c:pt idx="17">
                  <c:v>10.8</c:v>
                </c:pt>
                <c:pt idx="18">
                  <c:v>9.8000000000000007</c:v>
                </c:pt>
                <c:pt idx="19">
                  <c:v>10.3</c:v>
                </c:pt>
                <c:pt idx="20">
                  <c:v>10.199999999999999</c:v>
                </c:pt>
                <c:pt idx="21">
                  <c:v>9</c:v>
                </c:pt>
                <c:pt idx="22">
                  <c:v>10.5</c:v>
                </c:pt>
                <c:pt idx="23">
                  <c:v>10.5</c:v>
                </c:pt>
                <c:pt idx="24">
                  <c:v>8.5</c:v>
                </c:pt>
                <c:pt idx="25">
                  <c:v>9.6999999999999993</c:v>
                </c:pt>
                <c:pt idx="26">
                  <c:v>9.6</c:v>
                </c:pt>
                <c:pt idx="27">
                  <c:v>7.8</c:v>
                </c:pt>
                <c:pt idx="28">
                  <c:v>5.3</c:v>
                </c:pt>
                <c:pt idx="29">
                  <c:v>5.2</c:v>
                </c:pt>
                <c:pt idx="30">
                  <c:v>6.8</c:v>
                </c:pt>
                <c:pt idx="31">
                  <c:v>6.1</c:v>
                </c:pt>
                <c:pt idx="32">
                  <c:v>4.0999999999999996</c:v>
                </c:pt>
                <c:pt idx="33">
                  <c:v>4.3</c:v>
                </c:pt>
                <c:pt idx="34">
                  <c:v>4.2</c:v>
                </c:pt>
                <c:pt idx="35">
                  <c:v>3.8</c:v>
                </c:pt>
                <c:pt idx="36">
                  <c:v>4.0999999999999996</c:v>
                </c:pt>
                <c:pt idx="37">
                  <c:v>2.7</c:v>
                </c:pt>
                <c:pt idx="38">
                  <c:v>0.1</c:v>
                </c:pt>
                <c:pt idx="39">
                  <c:v>1.8</c:v>
                </c:pt>
                <c:pt idx="40">
                  <c:v>0.6</c:v>
                </c:pt>
                <c:pt idx="41">
                  <c:v>1.5</c:v>
                </c:pt>
                <c:pt idx="42">
                  <c:v>0.5</c:v>
                </c:pt>
                <c:pt idx="43">
                  <c:v>1.2</c:v>
                </c:pt>
                <c:pt idx="44">
                  <c:v>1.9</c:v>
                </c:pt>
                <c:pt idx="45">
                  <c:v>1.9</c:v>
                </c:pt>
                <c:pt idx="46">
                  <c:v>2</c:v>
                </c:pt>
                <c:pt idx="47">
                  <c:v>2.9</c:v>
                </c:pt>
                <c:pt idx="48">
                  <c:v>2.2999999999999998</c:v>
                </c:pt>
                <c:pt idx="49">
                  <c:v>2.1</c:v>
                </c:pt>
                <c:pt idx="50">
                  <c:v>3.8</c:v>
                </c:pt>
                <c:pt idx="51">
                  <c:v>1.5</c:v>
                </c:pt>
                <c:pt idx="52">
                  <c:v>2.7</c:v>
                </c:pt>
                <c:pt idx="53">
                  <c:v>3.1</c:v>
                </c:pt>
                <c:pt idx="54">
                  <c:v>2.2999999999999998</c:v>
                </c:pt>
                <c:pt idx="55">
                  <c:v>2</c:v>
                </c:pt>
                <c:pt idx="56">
                  <c:v>2.5</c:v>
                </c:pt>
                <c:pt idx="57">
                  <c:v>2.2000000000000002</c:v>
                </c:pt>
                <c:pt idx="58">
                  <c:v>2.4</c:v>
                </c:pt>
                <c:pt idx="59">
                  <c:v>1.3</c:v>
                </c:pt>
                <c:pt idx="60">
                  <c:v>1.2</c:v>
                </c:pt>
                <c:pt idx="61">
                  <c:v>1.7</c:v>
                </c:pt>
                <c:pt idx="62">
                  <c:v>0.8</c:v>
                </c:pt>
              </c:numCache>
            </c:numRef>
          </c:val>
          <c:smooth val="0"/>
        </c:ser>
        <c:dLbls>
          <c:showLegendKey val="0"/>
          <c:showVal val="0"/>
          <c:showCatName val="0"/>
          <c:showSerName val="0"/>
          <c:showPercent val="0"/>
          <c:showBubbleSize val="0"/>
        </c:dLbls>
        <c:marker val="1"/>
        <c:smooth val="0"/>
        <c:axId val="274545184"/>
        <c:axId val="274545576"/>
      </c:lineChart>
      <c:catAx>
        <c:axId val="274545184"/>
        <c:scaling>
          <c:orientation val="minMax"/>
        </c:scaling>
        <c:delete val="0"/>
        <c:axPos val="b"/>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274545576"/>
        <c:crossesAt val="0"/>
        <c:auto val="1"/>
        <c:lblAlgn val="ctr"/>
        <c:lblOffset val="100"/>
        <c:noMultiLvlLbl val="0"/>
      </c:catAx>
      <c:valAx>
        <c:axId val="274545576"/>
        <c:scaling>
          <c:orientation val="minMax"/>
          <c:min val="-1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74545184"/>
        <c:crosses val="autoZero"/>
        <c:crossBetween val="between"/>
      </c:valAx>
      <c:valAx>
        <c:axId val="274545968"/>
        <c:scaling>
          <c:orientation val="minMax"/>
        </c:scaling>
        <c:delete val="1"/>
        <c:axPos val="r"/>
        <c:numFmt formatCode="General" sourceLinked="1"/>
        <c:majorTickMark val="none"/>
        <c:minorTickMark val="none"/>
        <c:tickLblPos val="nextTo"/>
        <c:crossAx val="274546360"/>
        <c:crosses val="max"/>
        <c:crossBetween val="between"/>
      </c:valAx>
      <c:catAx>
        <c:axId val="274546360"/>
        <c:scaling>
          <c:orientation val="minMax"/>
        </c:scaling>
        <c:delete val="1"/>
        <c:axPos val="b"/>
        <c:numFmt formatCode="General" sourceLinked="1"/>
        <c:majorTickMark val="none"/>
        <c:minorTickMark val="none"/>
        <c:tickLblPos val="nextTo"/>
        <c:crossAx val="274545968"/>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1"/>
          <c:order val="1"/>
          <c:tx>
            <c:strRef>
              <c:f>Retail!$L$3</c:f>
              <c:strCache>
                <c:ptCount val="1"/>
                <c:pt idx="0">
                  <c:v>Degviela</c:v>
                </c:pt>
              </c:strCache>
            </c:strRef>
          </c:tx>
          <c:spPr>
            <a:ln>
              <a:solidFill>
                <a:schemeClr val="tx1"/>
              </a:solidFill>
            </a:ln>
          </c:spPr>
          <c:invertIfNegative val="0"/>
          <c:cat>
            <c:multiLvlStrRef>
              <c:f>Retail!$A$124:$B$174</c:f>
              <c:multiLvlStrCache>
                <c:ptCount val="51"/>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lvl>
                <c:lvl>
                  <c:pt idx="0">
                    <c:v>2010</c:v>
                  </c:pt>
                  <c:pt idx="12">
                    <c:v>2011</c:v>
                  </c:pt>
                  <c:pt idx="24">
                    <c:v>2012</c:v>
                  </c:pt>
                  <c:pt idx="36">
                    <c:v>2013</c:v>
                  </c:pt>
                  <c:pt idx="48">
                    <c:v>2014</c:v>
                  </c:pt>
                </c:lvl>
              </c:multiLvlStrCache>
            </c:multiLvlStrRef>
          </c:cat>
          <c:val>
            <c:numRef>
              <c:f>Retail!$L$124:$L$174</c:f>
              <c:numCache>
                <c:formatCode>0.0</c:formatCode>
                <c:ptCount val="51"/>
                <c:pt idx="0">
                  <c:v>-3.4321860118575946</c:v>
                </c:pt>
                <c:pt idx="1">
                  <c:v>-2.2522764101770609</c:v>
                </c:pt>
                <c:pt idx="2">
                  <c:v>-1.6026550044173544</c:v>
                </c:pt>
                <c:pt idx="3">
                  <c:v>-1.7271117723314111</c:v>
                </c:pt>
                <c:pt idx="4">
                  <c:v>-0.9659705314155248</c:v>
                </c:pt>
                <c:pt idx="5">
                  <c:v>-0.64015383575078155</c:v>
                </c:pt>
                <c:pt idx="6">
                  <c:v>-2.2020081426825975</c:v>
                </c:pt>
                <c:pt idx="7">
                  <c:v>-0.33532920588985127</c:v>
                </c:pt>
                <c:pt idx="8">
                  <c:v>-7.3964719527846112E-2</c:v>
                </c:pt>
                <c:pt idx="9">
                  <c:v>-1.3726651499884299</c:v>
                </c:pt>
                <c:pt idx="10">
                  <c:v>-0.88713795212103275</c:v>
                </c:pt>
                <c:pt idx="11">
                  <c:v>0.6104824363244038</c:v>
                </c:pt>
                <c:pt idx="12">
                  <c:v>-3.1454457004379925</c:v>
                </c:pt>
                <c:pt idx="13">
                  <c:v>-0.80686604479671986</c:v>
                </c:pt>
                <c:pt idx="14">
                  <c:v>-1.0974337441101358</c:v>
                </c:pt>
                <c:pt idx="15">
                  <c:v>-3.0746711974717913</c:v>
                </c:pt>
                <c:pt idx="16">
                  <c:v>-1.8837590878044259</c:v>
                </c:pt>
                <c:pt idx="17">
                  <c:v>-1.6592377152668296</c:v>
                </c:pt>
                <c:pt idx="18">
                  <c:v>-2.5402007750282238</c:v>
                </c:pt>
                <c:pt idx="19">
                  <c:v>-1.3280699175360722</c:v>
                </c:pt>
                <c:pt idx="20">
                  <c:v>-0.89052515159480006</c:v>
                </c:pt>
                <c:pt idx="21">
                  <c:v>-0.96954406930790082</c:v>
                </c:pt>
                <c:pt idx="22">
                  <c:v>-0.18836839336892125</c:v>
                </c:pt>
                <c:pt idx="23">
                  <c:v>-2.0083312560942543</c:v>
                </c:pt>
                <c:pt idx="24">
                  <c:v>1.7879239097614654</c:v>
                </c:pt>
                <c:pt idx="25">
                  <c:v>0.88105146789807987</c:v>
                </c:pt>
                <c:pt idx="26">
                  <c:v>0.79301424789413344</c:v>
                </c:pt>
                <c:pt idx="27">
                  <c:v>2.0806407801600373</c:v>
                </c:pt>
                <c:pt idx="28">
                  <c:v>0.66787610892029481</c:v>
                </c:pt>
                <c:pt idx="29">
                  <c:v>1.4349042882759546</c:v>
                </c:pt>
                <c:pt idx="30">
                  <c:v>3.4760477427900609</c:v>
                </c:pt>
                <c:pt idx="31">
                  <c:v>3.954815642299534</c:v>
                </c:pt>
                <c:pt idx="32">
                  <c:v>1.8301607082778755</c:v>
                </c:pt>
                <c:pt idx="33">
                  <c:v>3.47064493828558</c:v>
                </c:pt>
                <c:pt idx="34">
                  <c:v>1.3034154499758317</c:v>
                </c:pt>
                <c:pt idx="35">
                  <c:v>1.5819747975386236</c:v>
                </c:pt>
                <c:pt idx="36">
                  <c:v>0.67758251824902105</c:v>
                </c:pt>
                <c:pt idx="37">
                  <c:v>-1.0463008483656677</c:v>
                </c:pt>
                <c:pt idx="38">
                  <c:v>-0.60856421157478524</c:v>
                </c:pt>
                <c:pt idx="39">
                  <c:v>-0.76257355046994169</c:v>
                </c:pt>
                <c:pt idx="40">
                  <c:v>0.77003698477697591</c:v>
                </c:pt>
                <c:pt idx="41">
                  <c:v>-0.57871399919669597</c:v>
                </c:pt>
                <c:pt idx="42">
                  <c:v>-0.14077507772273956</c:v>
                </c:pt>
                <c:pt idx="43">
                  <c:v>-0.79912675550036238</c:v>
                </c:pt>
                <c:pt idx="44">
                  <c:v>0.8354986552682564</c:v>
                </c:pt>
                <c:pt idx="45">
                  <c:v>0.55539238460971663</c:v>
                </c:pt>
                <c:pt idx="46">
                  <c:v>-0.15017918785304185</c:v>
                </c:pt>
                <c:pt idx="47">
                  <c:v>-1.351098301209275</c:v>
                </c:pt>
                <c:pt idx="48">
                  <c:v>0.10333993192651296</c:v>
                </c:pt>
                <c:pt idx="49">
                  <c:v>-0.64387539156490059</c:v>
                </c:pt>
                <c:pt idx="50">
                  <c:v>0.60765114664695108</c:v>
                </c:pt>
              </c:numCache>
            </c:numRef>
          </c:val>
        </c:ser>
        <c:ser>
          <c:idx val="2"/>
          <c:order val="2"/>
          <c:tx>
            <c:strRef>
              <c:f>Retail!$M$3</c:f>
              <c:strCache>
                <c:ptCount val="1"/>
                <c:pt idx="0">
                  <c:v>Pārtika</c:v>
                </c:pt>
              </c:strCache>
            </c:strRef>
          </c:tx>
          <c:spPr>
            <a:ln>
              <a:solidFill>
                <a:schemeClr val="tx1"/>
              </a:solidFill>
            </a:ln>
          </c:spPr>
          <c:invertIfNegative val="0"/>
          <c:cat>
            <c:multiLvlStrRef>
              <c:f>Retail!$A$124:$B$174</c:f>
              <c:multiLvlStrCache>
                <c:ptCount val="51"/>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lvl>
                <c:lvl>
                  <c:pt idx="0">
                    <c:v>2010</c:v>
                  </c:pt>
                  <c:pt idx="12">
                    <c:v>2011</c:v>
                  </c:pt>
                  <c:pt idx="24">
                    <c:v>2012</c:v>
                  </c:pt>
                  <c:pt idx="36">
                    <c:v>2013</c:v>
                  </c:pt>
                  <c:pt idx="48">
                    <c:v>2014</c:v>
                  </c:pt>
                </c:lvl>
              </c:multiLvlStrCache>
            </c:multiLvlStrRef>
          </c:cat>
          <c:val>
            <c:numRef>
              <c:f>Retail!$M$124:$M$174</c:f>
              <c:numCache>
                <c:formatCode>0.0</c:formatCode>
                <c:ptCount val="51"/>
                <c:pt idx="0">
                  <c:v>-7.373161826231331</c:v>
                </c:pt>
                <c:pt idx="1">
                  <c:v>-5.3610957490455853</c:v>
                </c:pt>
                <c:pt idx="2">
                  <c:v>-2.5166164419914856</c:v>
                </c:pt>
                <c:pt idx="3">
                  <c:v>-3.8846661606209967</c:v>
                </c:pt>
                <c:pt idx="4">
                  <c:v>-3.9464181694960194</c:v>
                </c:pt>
                <c:pt idx="5">
                  <c:v>-2.6637650458465387</c:v>
                </c:pt>
                <c:pt idx="6">
                  <c:v>-0.8039596265881197</c:v>
                </c:pt>
                <c:pt idx="7">
                  <c:v>-0.48793756093263863</c:v>
                </c:pt>
                <c:pt idx="8">
                  <c:v>-0.11850231299508035</c:v>
                </c:pt>
                <c:pt idx="9">
                  <c:v>-0.12001380215352934</c:v>
                </c:pt>
                <c:pt idx="10">
                  <c:v>0.69058808031598173</c:v>
                </c:pt>
                <c:pt idx="11">
                  <c:v>0.39915986838499606</c:v>
                </c:pt>
                <c:pt idx="12">
                  <c:v>-0.83670019159363451</c:v>
                </c:pt>
                <c:pt idx="13">
                  <c:v>-0.3374156130853288</c:v>
                </c:pt>
                <c:pt idx="14">
                  <c:v>-0.93515808215738516</c:v>
                </c:pt>
                <c:pt idx="15">
                  <c:v>-0.43157190598610368</c:v>
                </c:pt>
                <c:pt idx="16">
                  <c:v>-0.56361996830082051</c:v>
                </c:pt>
                <c:pt idx="17">
                  <c:v>0.44349422900395374</c:v>
                </c:pt>
                <c:pt idx="18">
                  <c:v>1.3001764088147478</c:v>
                </c:pt>
                <c:pt idx="19">
                  <c:v>0.73709185694374479</c:v>
                </c:pt>
                <c:pt idx="20">
                  <c:v>0.97720724143349758</c:v>
                </c:pt>
                <c:pt idx="21">
                  <c:v>0.99622205086002347</c:v>
                </c:pt>
                <c:pt idx="22">
                  <c:v>2.0671004978754164</c:v>
                </c:pt>
                <c:pt idx="23">
                  <c:v>2.4550892671552202</c:v>
                </c:pt>
                <c:pt idx="24">
                  <c:v>1.8207382862349035</c:v>
                </c:pt>
                <c:pt idx="25">
                  <c:v>2.4611647473739944</c:v>
                </c:pt>
                <c:pt idx="26">
                  <c:v>1.0946348945120565</c:v>
                </c:pt>
                <c:pt idx="27">
                  <c:v>0.33363703717723914</c:v>
                </c:pt>
                <c:pt idx="28">
                  <c:v>1.9732458193590867</c:v>
                </c:pt>
                <c:pt idx="29">
                  <c:v>2.3933274006441714</c:v>
                </c:pt>
                <c:pt idx="30">
                  <c:v>1.3996413892252744</c:v>
                </c:pt>
                <c:pt idx="31">
                  <c:v>1.0322005041625733</c:v>
                </c:pt>
                <c:pt idx="32">
                  <c:v>0.84453443532501071</c:v>
                </c:pt>
                <c:pt idx="33">
                  <c:v>0.36303281658275771</c:v>
                </c:pt>
                <c:pt idx="34">
                  <c:v>0.8282831427870504</c:v>
                </c:pt>
                <c:pt idx="35">
                  <c:v>0.50649806535719377</c:v>
                </c:pt>
                <c:pt idx="36">
                  <c:v>1.865348948787471</c:v>
                </c:pt>
                <c:pt idx="37">
                  <c:v>0.76088076728323706</c:v>
                </c:pt>
                <c:pt idx="38">
                  <c:v>3.721116968704413</c:v>
                </c:pt>
                <c:pt idx="39">
                  <c:v>0.86990919270442901</c:v>
                </c:pt>
                <c:pt idx="40">
                  <c:v>2.3323767372400073</c:v>
                </c:pt>
                <c:pt idx="41">
                  <c:v>1.3881574270280155</c:v>
                </c:pt>
                <c:pt idx="42">
                  <c:v>0.74636148190626317</c:v>
                </c:pt>
                <c:pt idx="43">
                  <c:v>1.6144980366254751</c:v>
                </c:pt>
                <c:pt idx="44">
                  <c:v>0.54405654788079583</c:v>
                </c:pt>
                <c:pt idx="45">
                  <c:v>1.6709595227104044</c:v>
                </c:pt>
                <c:pt idx="46">
                  <c:v>2.8332345177252951</c:v>
                </c:pt>
                <c:pt idx="47">
                  <c:v>3.0610480717845823</c:v>
                </c:pt>
                <c:pt idx="48">
                  <c:v>1.4426826287258094</c:v>
                </c:pt>
                <c:pt idx="49">
                  <c:v>0.85771329849233702</c:v>
                </c:pt>
                <c:pt idx="50">
                  <c:v>1.225471150270621</c:v>
                </c:pt>
              </c:numCache>
            </c:numRef>
          </c:val>
        </c:ser>
        <c:ser>
          <c:idx val="3"/>
          <c:order val="3"/>
          <c:tx>
            <c:strRef>
              <c:f>Retail!$N$3</c:f>
              <c:strCache>
                <c:ptCount val="1"/>
                <c:pt idx="0">
                  <c:v>Nepārtika (bez degvielas)</c:v>
                </c:pt>
              </c:strCache>
            </c:strRef>
          </c:tx>
          <c:spPr>
            <a:solidFill>
              <a:schemeClr val="accent1"/>
            </a:solidFill>
            <a:ln>
              <a:solidFill>
                <a:schemeClr val="tx1"/>
              </a:solidFill>
            </a:ln>
          </c:spPr>
          <c:invertIfNegative val="0"/>
          <c:cat>
            <c:multiLvlStrRef>
              <c:f>Retail!$A$124:$B$174</c:f>
              <c:multiLvlStrCache>
                <c:ptCount val="51"/>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lvl>
                <c:lvl>
                  <c:pt idx="0">
                    <c:v>2010</c:v>
                  </c:pt>
                  <c:pt idx="12">
                    <c:v>2011</c:v>
                  </c:pt>
                  <c:pt idx="24">
                    <c:v>2012</c:v>
                  </c:pt>
                  <c:pt idx="36">
                    <c:v>2013</c:v>
                  </c:pt>
                  <c:pt idx="48">
                    <c:v>2014</c:v>
                  </c:pt>
                </c:lvl>
              </c:multiLvlStrCache>
            </c:multiLvlStrRef>
          </c:cat>
          <c:val>
            <c:numRef>
              <c:f>Retail!$N$124:$N$174</c:f>
              <c:numCache>
                <c:formatCode>0.0</c:formatCode>
                <c:ptCount val="51"/>
                <c:pt idx="0">
                  <c:v>-7.245601285108787</c:v>
                </c:pt>
                <c:pt idx="1">
                  <c:v>-5.8085204173306462</c:v>
                </c:pt>
                <c:pt idx="2">
                  <c:v>-2.6724880173730838</c:v>
                </c:pt>
                <c:pt idx="3">
                  <c:v>-1.9532175308756123</c:v>
                </c:pt>
                <c:pt idx="4">
                  <c:v>-0.84290326469881316</c:v>
                </c:pt>
                <c:pt idx="5">
                  <c:v>0</c:v>
                </c:pt>
                <c:pt idx="6">
                  <c:v>0.60784076947258525</c:v>
                </c:pt>
                <c:pt idx="7">
                  <c:v>3.3071358653326581</c:v>
                </c:pt>
                <c:pt idx="8">
                  <c:v>5.5878280973711165</c:v>
                </c:pt>
                <c:pt idx="9">
                  <c:v>4.9063167314475464</c:v>
                </c:pt>
                <c:pt idx="10">
                  <c:v>7.139171018858919</c:v>
                </c:pt>
                <c:pt idx="11">
                  <c:v>6.1463698455875013</c:v>
                </c:pt>
                <c:pt idx="12">
                  <c:v>3.3225556688702262</c:v>
                </c:pt>
                <c:pt idx="13">
                  <c:v>2.7531562878847056</c:v>
                </c:pt>
                <c:pt idx="14">
                  <c:v>1.9639560642433496</c:v>
                </c:pt>
                <c:pt idx="15">
                  <c:v>1.1488575343430132</c:v>
                </c:pt>
                <c:pt idx="16">
                  <c:v>2.1888000737894076</c:v>
                </c:pt>
                <c:pt idx="17">
                  <c:v>3.0592056716265859</c:v>
                </c:pt>
                <c:pt idx="18">
                  <c:v>4.4377282844911088</c:v>
                </c:pt>
                <c:pt idx="19">
                  <c:v>6.4433489546584966</c:v>
                </c:pt>
                <c:pt idx="20">
                  <c:v>4.6611871779500245</c:v>
                </c:pt>
                <c:pt idx="21">
                  <c:v>3.617805712475016</c:v>
                </c:pt>
                <c:pt idx="22">
                  <c:v>3.9881478318794894</c:v>
                </c:pt>
                <c:pt idx="23">
                  <c:v>4.5402378495371938</c:v>
                </c:pt>
                <c:pt idx="24">
                  <c:v>8.9094538304554014</c:v>
                </c:pt>
                <c:pt idx="25">
                  <c:v>5.3385779360007533</c:v>
                </c:pt>
                <c:pt idx="26">
                  <c:v>4.8846501732123748</c:v>
                </c:pt>
                <c:pt idx="27">
                  <c:v>2.9958783304603904</c:v>
                </c:pt>
                <c:pt idx="28">
                  <c:v>3.5579560157214725</c:v>
                </c:pt>
                <c:pt idx="29">
                  <c:v>4.5032053924903623</c:v>
                </c:pt>
                <c:pt idx="30">
                  <c:v>4.11110045969704</c:v>
                </c:pt>
                <c:pt idx="31">
                  <c:v>3.6955105706000899</c:v>
                </c:pt>
                <c:pt idx="32">
                  <c:v>2.6024323088668684</c:v>
                </c:pt>
                <c:pt idx="33">
                  <c:v>4.9699329880164393</c:v>
                </c:pt>
                <c:pt idx="34">
                  <c:v>3.3171248645101881</c:v>
                </c:pt>
                <c:pt idx="35">
                  <c:v>3.0287099050020982</c:v>
                </c:pt>
                <c:pt idx="36">
                  <c:v>1.7323657811163147</c:v>
                </c:pt>
                <c:pt idx="37">
                  <c:v>3.2072194497321815</c:v>
                </c:pt>
                <c:pt idx="38">
                  <c:v>1.1379937271954859</c:v>
                </c:pt>
                <c:pt idx="39">
                  <c:v>4.6231270810210825</c:v>
                </c:pt>
                <c:pt idx="40">
                  <c:v>3.8737742145461991</c:v>
                </c:pt>
                <c:pt idx="41">
                  <c:v>0.51709823537703836</c:v>
                </c:pt>
                <c:pt idx="42">
                  <c:v>3.115717523636595</c:v>
                </c:pt>
                <c:pt idx="43">
                  <c:v>0.58846179059979631</c:v>
                </c:pt>
                <c:pt idx="44">
                  <c:v>1.4548669147455899</c:v>
                </c:pt>
                <c:pt idx="45">
                  <c:v>1.0522675073425622</c:v>
                </c:pt>
                <c:pt idx="46">
                  <c:v>1.4931906206165724</c:v>
                </c:pt>
                <c:pt idx="47">
                  <c:v>3.254142137055092</c:v>
                </c:pt>
                <c:pt idx="48">
                  <c:v>0.49558719508342647</c:v>
                </c:pt>
                <c:pt idx="49">
                  <c:v>0.83891306474497429</c:v>
                </c:pt>
                <c:pt idx="50">
                  <c:v>2.5848736084696697</c:v>
                </c:pt>
              </c:numCache>
            </c:numRef>
          </c:val>
        </c:ser>
        <c:dLbls>
          <c:showLegendKey val="0"/>
          <c:showVal val="0"/>
          <c:showCatName val="0"/>
          <c:showSerName val="0"/>
          <c:showPercent val="0"/>
          <c:showBubbleSize val="0"/>
        </c:dLbls>
        <c:gapWidth val="50"/>
        <c:overlap val="100"/>
        <c:axId val="274543616"/>
        <c:axId val="274547144"/>
      </c:barChart>
      <c:lineChart>
        <c:grouping val="standard"/>
        <c:varyColors val="0"/>
        <c:ser>
          <c:idx val="0"/>
          <c:order val="0"/>
          <c:tx>
            <c:strRef>
              <c:f>Retail!$K$3</c:f>
              <c:strCache>
                <c:ptCount val="1"/>
                <c:pt idx="0">
                  <c:v>Mazumtirdzniecība</c:v>
                </c:pt>
              </c:strCache>
            </c:strRef>
          </c:tx>
          <c:spPr>
            <a:ln w="25400">
              <a:solidFill>
                <a:schemeClr val="tx1"/>
              </a:solidFill>
              <a:prstDash val="sysDash"/>
            </a:ln>
          </c:spPr>
          <c:marker>
            <c:symbol val="none"/>
          </c:marker>
          <c:cat>
            <c:multiLvlStrRef>
              <c:f>Retail!$A$124:$B$174</c:f>
              <c:multiLvlStrCache>
                <c:ptCount val="51"/>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lvl>
                <c:lvl>
                  <c:pt idx="0">
                    <c:v>2010</c:v>
                  </c:pt>
                  <c:pt idx="12">
                    <c:v>2011</c:v>
                  </c:pt>
                  <c:pt idx="24">
                    <c:v>2012</c:v>
                  </c:pt>
                  <c:pt idx="36">
                    <c:v>2013</c:v>
                  </c:pt>
                  <c:pt idx="48">
                    <c:v>2014</c:v>
                  </c:pt>
                </c:lvl>
              </c:multiLvlStrCache>
            </c:multiLvlStrRef>
          </c:cat>
          <c:val>
            <c:numRef>
              <c:f>Retail!$K$124:$K$174</c:f>
              <c:numCache>
                <c:formatCode>0.0</c:formatCode>
                <c:ptCount val="51"/>
                <c:pt idx="0">
                  <c:v>-18.089053803339517</c:v>
                </c:pt>
                <c:pt idx="1">
                  <c:v>-13.463514902363816</c:v>
                </c:pt>
                <c:pt idx="2">
                  <c:v>-6.8694798822374832</c:v>
                </c:pt>
                <c:pt idx="3">
                  <c:v>-7.6190476190476142</c:v>
                </c:pt>
                <c:pt idx="4">
                  <c:v>-5.8333333333333348</c:v>
                </c:pt>
                <c:pt idx="5">
                  <c:v>-3.4058656575212898</c:v>
                </c:pt>
                <c:pt idx="6">
                  <c:v>-2.6752767527675303</c:v>
                </c:pt>
                <c:pt idx="7">
                  <c:v>2.274881516587679</c:v>
                </c:pt>
                <c:pt idx="8">
                  <c:v>4.9695740365111707</c:v>
                </c:pt>
                <c:pt idx="9">
                  <c:v>2.9145728643216184</c:v>
                </c:pt>
                <c:pt idx="10">
                  <c:v>6.2295081967213228</c:v>
                </c:pt>
                <c:pt idx="11">
                  <c:v>6.8645640074211478</c:v>
                </c:pt>
                <c:pt idx="12">
                  <c:v>-1.1325028312570762</c:v>
                </c:pt>
                <c:pt idx="13">
                  <c:v>1.6627078384797933</c:v>
                </c:pt>
                <c:pt idx="14">
                  <c:v>0</c:v>
                </c:pt>
                <c:pt idx="15">
                  <c:v>-2.4742268041237137</c:v>
                </c:pt>
                <c:pt idx="16">
                  <c:v>-0.29498525073745618</c:v>
                </c:pt>
                <c:pt idx="17">
                  <c:v>1.8609206660137101</c:v>
                </c:pt>
                <c:pt idx="18">
                  <c:v>3.0331753554502461</c:v>
                </c:pt>
                <c:pt idx="19">
                  <c:v>5.6533827618164834</c:v>
                </c:pt>
                <c:pt idx="20">
                  <c:v>4.7342995169082247</c:v>
                </c:pt>
                <c:pt idx="21">
                  <c:v>3.7109375</c:v>
                </c:pt>
                <c:pt idx="22">
                  <c:v>5.967078189300401</c:v>
                </c:pt>
                <c:pt idx="23">
                  <c:v>4.774305555555558</c:v>
                </c:pt>
                <c:pt idx="24">
                  <c:v>12.371134020618557</c:v>
                </c:pt>
                <c:pt idx="25">
                  <c:v>8.8785046728972148</c:v>
                </c:pt>
                <c:pt idx="26">
                  <c:v>6.9546891464699723</c:v>
                </c:pt>
                <c:pt idx="27">
                  <c:v>5.1797040169133224</c:v>
                </c:pt>
                <c:pt idx="28">
                  <c:v>6.3116370808678379</c:v>
                </c:pt>
                <c:pt idx="29">
                  <c:v>8.4615384615384528</c:v>
                </c:pt>
                <c:pt idx="30">
                  <c:v>8.6476540938362323</c:v>
                </c:pt>
                <c:pt idx="31">
                  <c:v>8.1578947368420973</c:v>
                </c:pt>
                <c:pt idx="32">
                  <c:v>5.1660516605166018</c:v>
                </c:pt>
                <c:pt idx="33">
                  <c:v>8.2862523540489619</c:v>
                </c:pt>
                <c:pt idx="34">
                  <c:v>5.5339805825242783</c:v>
                </c:pt>
                <c:pt idx="35">
                  <c:v>5.0538525269262502</c:v>
                </c:pt>
                <c:pt idx="36">
                  <c:v>4.2813455657492394</c:v>
                </c:pt>
                <c:pt idx="37">
                  <c:v>3.1115879828326198</c:v>
                </c:pt>
                <c:pt idx="38">
                  <c:v>4.1379310344827669</c:v>
                </c:pt>
                <c:pt idx="39">
                  <c:v>4.8241206030150696</c:v>
                </c:pt>
                <c:pt idx="40">
                  <c:v>7.1428571428571397</c:v>
                </c:pt>
                <c:pt idx="41">
                  <c:v>1.3297872340425565</c:v>
                </c:pt>
                <c:pt idx="42">
                  <c:v>3.8950042337002611</c:v>
                </c:pt>
                <c:pt idx="43">
                  <c:v>1.4598540145985384</c:v>
                </c:pt>
                <c:pt idx="44">
                  <c:v>2.8947368421052611</c:v>
                </c:pt>
                <c:pt idx="45">
                  <c:v>3.2173913043478386</c:v>
                </c:pt>
                <c:pt idx="46">
                  <c:v>4.0478380864765295</c:v>
                </c:pt>
                <c:pt idx="47">
                  <c:v>4.8895899053627678</c:v>
                </c:pt>
                <c:pt idx="48">
                  <c:v>2.0527859237536639</c:v>
                </c:pt>
                <c:pt idx="49">
                  <c:v>1.1446409989594342</c:v>
                </c:pt>
                <c:pt idx="50">
                  <c:v>4.4465468306527978</c:v>
                </c:pt>
              </c:numCache>
            </c:numRef>
          </c:val>
          <c:smooth val="0"/>
        </c:ser>
        <c:dLbls>
          <c:showLegendKey val="0"/>
          <c:showVal val="0"/>
          <c:showCatName val="0"/>
          <c:showSerName val="0"/>
          <c:showPercent val="0"/>
          <c:showBubbleSize val="0"/>
        </c:dLbls>
        <c:marker val="1"/>
        <c:smooth val="0"/>
        <c:axId val="274543616"/>
        <c:axId val="274547144"/>
      </c:lineChart>
      <c:catAx>
        <c:axId val="274543616"/>
        <c:scaling>
          <c:orientation val="minMax"/>
        </c:scaling>
        <c:delete val="0"/>
        <c:axPos val="b"/>
        <c:numFmt formatCode="General" sourceLinked="0"/>
        <c:majorTickMark val="out"/>
        <c:minorTickMark val="none"/>
        <c:tickLblPos val="low"/>
        <c:spPr>
          <a:ln>
            <a:solidFill>
              <a:schemeClr val="tx1"/>
            </a:solidFill>
          </a:ln>
        </c:spPr>
        <c:txPr>
          <a:bodyPr/>
          <a:lstStyle/>
          <a:p>
            <a:pPr>
              <a:defRPr b="1"/>
            </a:pPr>
            <a:endParaRPr lang="lv-LV"/>
          </a:p>
        </c:txPr>
        <c:crossAx val="274547144"/>
        <c:crosses val="autoZero"/>
        <c:auto val="1"/>
        <c:lblAlgn val="ctr"/>
        <c:lblOffset val="100"/>
        <c:noMultiLvlLbl val="0"/>
      </c:catAx>
      <c:valAx>
        <c:axId val="274547144"/>
        <c:scaling>
          <c:orientation val="minMax"/>
        </c:scaling>
        <c:delete val="0"/>
        <c:axPos val="l"/>
        <c:majorGridlines>
          <c:spPr>
            <a:ln>
              <a:solidFill>
                <a:schemeClr val="bg1">
                  <a:lumMod val="75000"/>
                </a:schemeClr>
              </a:solidFill>
            </a:ln>
          </c:spPr>
        </c:majorGridlines>
        <c:numFmt formatCode="0" sourceLinked="0"/>
        <c:majorTickMark val="out"/>
        <c:minorTickMark val="none"/>
        <c:tickLblPos val="nextTo"/>
        <c:spPr>
          <a:ln>
            <a:solidFill>
              <a:schemeClr val="tx1"/>
            </a:solidFill>
          </a:ln>
        </c:spPr>
        <c:txPr>
          <a:bodyPr/>
          <a:lstStyle/>
          <a:p>
            <a:pPr>
              <a:defRPr b="1"/>
            </a:pPr>
            <a:endParaRPr lang="lv-LV"/>
          </a:p>
        </c:txPr>
        <c:crossAx val="274543616"/>
        <c:crosses val="autoZero"/>
        <c:crossBetween val="between"/>
      </c:valAx>
    </c:plotArea>
    <c:legend>
      <c:legendPos val="b"/>
      <c:layout/>
      <c:overlay val="0"/>
      <c:txPr>
        <a:bodyPr/>
        <a:lstStyle/>
        <a:p>
          <a:pPr>
            <a:defRPr b="1"/>
          </a:pPr>
          <a:endParaRPr lang="lv-LV"/>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'kravas kopā yoy'!$U$4</c:f>
              <c:strCache>
                <c:ptCount val="1"/>
                <c:pt idx="0">
                  <c:v>2010</c:v>
                </c:pt>
              </c:strCache>
            </c:strRef>
          </c:tx>
          <c:spPr>
            <a:solidFill>
              <a:schemeClr val="accent1"/>
            </a:solidFill>
            <a:ln>
              <a:noFill/>
            </a:ln>
            <a:effectLst/>
          </c:spPr>
          <c:invertIfNegative val="0"/>
          <c:cat>
            <c:strRef>
              <c:f>'kravas kopā yoy'!$V$3:$X$3</c:f>
              <c:strCache>
                <c:ptCount val="3"/>
                <c:pt idx="0">
                  <c:v>Pavisam</c:v>
                </c:pt>
                <c:pt idx="1">
                  <c:v>Naftas produkti</c:v>
                </c:pt>
                <c:pt idx="2">
                  <c:v>Ogles</c:v>
                </c:pt>
              </c:strCache>
            </c:strRef>
          </c:cat>
          <c:val>
            <c:numRef>
              <c:f>'kravas kopā yoy'!$V$4:$X$4</c:f>
              <c:numCache>
                <c:formatCode>General</c:formatCode>
                <c:ptCount val="3"/>
                <c:pt idx="0">
                  <c:v>15618.14</c:v>
                </c:pt>
                <c:pt idx="1">
                  <c:v>5596.7</c:v>
                </c:pt>
                <c:pt idx="2">
                  <c:v>3953.1</c:v>
                </c:pt>
              </c:numCache>
            </c:numRef>
          </c:val>
        </c:ser>
        <c:ser>
          <c:idx val="1"/>
          <c:order val="1"/>
          <c:tx>
            <c:strRef>
              <c:f>'kravas kopā yoy'!$U$5</c:f>
              <c:strCache>
                <c:ptCount val="1"/>
                <c:pt idx="0">
                  <c:v>2011</c:v>
                </c:pt>
              </c:strCache>
            </c:strRef>
          </c:tx>
          <c:spPr>
            <a:solidFill>
              <a:schemeClr val="accent2"/>
            </a:solidFill>
            <a:ln>
              <a:noFill/>
            </a:ln>
            <a:effectLst/>
          </c:spPr>
          <c:invertIfNegative val="0"/>
          <c:cat>
            <c:strRef>
              <c:f>'kravas kopā yoy'!$V$3:$X$3</c:f>
              <c:strCache>
                <c:ptCount val="3"/>
                <c:pt idx="0">
                  <c:v>Pavisam</c:v>
                </c:pt>
                <c:pt idx="1">
                  <c:v>Naftas produkti</c:v>
                </c:pt>
                <c:pt idx="2">
                  <c:v>Ogles</c:v>
                </c:pt>
              </c:strCache>
            </c:strRef>
          </c:cat>
          <c:val>
            <c:numRef>
              <c:f>'kravas kopā yoy'!$V$5:$X$5</c:f>
              <c:numCache>
                <c:formatCode>General</c:formatCode>
                <c:ptCount val="3"/>
                <c:pt idx="0">
                  <c:v>16345.49</c:v>
                </c:pt>
                <c:pt idx="1">
                  <c:v>5953.5</c:v>
                </c:pt>
                <c:pt idx="2">
                  <c:v>4202.2</c:v>
                </c:pt>
              </c:numCache>
            </c:numRef>
          </c:val>
        </c:ser>
        <c:ser>
          <c:idx val="2"/>
          <c:order val="2"/>
          <c:tx>
            <c:strRef>
              <c:f>'kravas kopā yoy'!$U$6</c:f>
              <c:strCache>
                <c:ptCount val="1"/>
                <c:pt idx="0">
                  <c:v>2012</c:v>
                </c:pt>
              </c:strCache>
            </c:strRef>
          </c:tx>
          <c:spPr>
            <a:solidFill>
              <a:schemeClr val="accent3"/>
            </a:solidFill>
            <a:ln>
              <a:noFill/>
            </a:ln>
            <a:effectLst/>
          </c:spPr>
          <c:invertIfNegative val="0"/>
          <c:cat>
            <c:strRef>
              <c:f>'kravas kopā yoy'!$V$3:$X$3</c:f>
              <c:strCache>
                <c:ptCount val="3"/>
                <c:pt idx="0">
                  <c:v>Pavisam</c:v>
                </c:pt>
                <c:pt idx="1">
                  <c:v>Naftas produkti</c:v>
                </c:pt>
                <c:pt idx="2">
                  <c:v>Ogles</c:v>
                </c:pt>
              </c:strCache>
            </c:strRef>
          </c:cat>
          <c:val>
            <c:numRef>
              <c:f>'kravas kopā yoy'!$V$6:$X$6</c:f>
              <c:numCache>
                <c:formatCode>General</c:formatCode>
                <c:ptCount val="3"/>
                <c:pt idx="0" formatCode="0.0">
                  <c:v>20032.099999999999</c:v>
                </c:pt>
                <c:pt idx="1">
                  <c:v>7191.4</c:v>
                </c:pt>
                <c:pt idx="2">
                  <c:v>6310.0999999999995</c:v>
                </c:pt>
              </c:numCache>
            </c:numRef>
          </c:val>
        </c:ser>
        <c:ser>
          <c:idx val="3"/>
          <c:order val="3"/>
          <c:tx>
            <c:strRef>
              <c:f>'kravas kopā yoy'!$U$7</c:f>
              <c:strCache>
                <c:ptCount val="1"/>
                <c:pt idx="0">
                  <c:v>2013</c:v>
                </c:pt>
              </c:strCache>
            </c:strRef>
          </c:tx>
          <c:spPr>
            <a:solidFill>
              <a:schemeClr val="accent4"/>
            </a:solidFill>
            <a:ln>
              <a:noFill/>
            </a:ln>
            <a:effectLst/>
          </c:spPr>
          <c:invertIfNegative val="0"/>
          <c:cat>
            <c:strRef>
              <c:f>'kravas kopā yoy'!$V$3:$X$3</c:f>
              <c:strCache>
                <c:ptCount val="3"/>
                <c:pt idx="0">
                  <c:v>Pavisam</c:v>
                </c:pt>
                <c:pt idx="1">
                  <c:v>Naftas produkti</c:v>
                </c:pt>
                <c:pt idx="2">
                  <c:v>Ogles</c:v>
                </c:pt>
              </c:strCache>
            </c:strRef>
          </c:cat>
          <c:val>
            <c:numRef>
              <c:f>'kravas kopā yoy'!$V$7:$X$7</c:f>
              <c:numCache>
                <c:formatCode>General</c:formatCode>
                <c:ptCount val="3"/>
                <c:pt idx="0">
                  <c:v>18968.5</c:v>
                </c:pt>
                <c:pt idx="1">
                  <c:v>7056.5</c:v>
                </c:pt>
                <c:pt idx="2">
                  <c:v>5622.4</c:v>
                </c:pt>
              </c:numCache>
            </c:numRef>
          </c:val>
        </c:ser>
        <c:ser>
          <c:idx val="4"/>
          <c:order val="4"/>
          <c:tx>
            <c:strRef>
              <c:f>'kravas kopā yoy'!$U$8</c:f>
              <c:strCache>
                <c:ptCount val="1"/>
                <c:pt idx="0">
                  <c:v>2014</c:v>
                </c:pt>
              </c:strCache>
            </c:strRef>
          </c:tx>
          <c:spPr>
            <a:solidFill>
              <a:schemeClr val="accent5"/>
            </a:solidFill>
            <a:ln>
              <a:noFill/>
            </a:ln>
            <a:effectLst/>
          </c:spPr>
          <c:invertIfNegative val="0"/>
          <c:dLbls>
            <c:dLbl>
              <c:idx val="0"/>
              <c:layout/>
              <c:tx>
                <c:rich>
                  <a:bodyPr/>
                  <a:lstStyle/>
                  <a:p>
                    <a:r>
                      <a:rPr lang="en-US"/>
                      <a:t>+</a:t>
                    </a:r>
                    <a:fld id="{E6C21052-A516-4021-9763-67117E1591F3}" type="CELLRANGE">
                      <a:rPr lang="en-US"/>
                      <a:pPr/>
                      <a:t>[CELLRANGE]</a:t>
                    </a:fld>
                    <a:r>
                      <a:rPr lang="en-US"/>
                      <a:t>%</a:t>
                    </a:r>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1"/>
              <c:layout/>
              <c:tx>
                <c:rich>
                  <a:bodyPr/>
                  <a:lstStyle/>
                  <a:p>
                    <a:r>
                      <a:rPr lang="en-US"/>
                      <a:t>+</a:t>
                    </a:r>
                    <a:fld id="{837092A2-AFEA-4E73-B03D-68CDB79274A0}" type="CELLRANGE">
                      <a:rPr lang="en-US"/>
                      <a:pPr/>
                      <a:t>[CELLRANGE]</a:t>
                    </a:fld>
                    <a:r>
                      <a:rPr lang="en-US"/>
                      <a:t>%</a:t>
                    </a:r>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2"/>
              <c:layout/>
              <c:tx>
                <c:rich>
                  <a:bodyPr/>
                  <a:lstStyle/>
                  <a:p>
                    <a:r>
                      <a:rPr lang="en-US"/>
                      <a:t>+</a:t>
                    </a:r>
                    <a:fld id="{99AC41F8-4587-47A9-8735-00A2F0ECF234}" type="CELLRANGE">
                      <a:rPr lang="en-US"/>
                      <a:pPr/>
                      <a:t>[CELLRANGE]</a:t>
                    </a:fld>
                    <a:r>
                      <a:rPr lang="en-US"/>
                      <a:t>%</a:t>
                    </a:r>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'kravas kopā yoy'!$V$3:$X$3</c:f>
              <c:strCache>
                <c:ptCount val="3"/>
                <c:pt idx="0">
                  <c:v>Pavisam</c:v>
                </c:pt>
                <c:pt idx="1">
                  <c:v>Naftas produkti</c:v>
                </c:pt>
                <c:pt idx="2">
                  <c:v>Ogles</c:v>
                </c:pt>
              </c:strCache>
            </c:strRef>
          </c:cat>
          <c:val>
            <c:numRef>
              <c:f>'kravas kopā yoy'!$V$8:$X$8</c:f>
              <c:numCache>
                <c:formatCode>General</c:formatCode>
                <c:ptCount val="3"/>
                <c:pt idx="0">
                  <c:v>20748.5</c:v>
                </c:pt>
                <c:pt idx="1">
                  <c:v>7761.7</c:v>
                </c:pt>
                <c:pt idx="2">
                  <c:v>5868.4</c:v>
                </c:pt>
              </c:numCache>
            </c:numRef>
          </c:val>
          <c:extLst>
            <c:ext xmlns:c15="http://schemas.microsoft.com/office/drawing/2012/chart" uri="{02D57815-91ED-43cb-92C2-25804820EDAC}">
              <c15:datalabelsRange>
                <c15:f>'kravas kopā yoy'!$V$9:$X$9</c15:f>
                <c15:dlblRangeCache>
                  <c:ptCount val="3"/>
                  <c:pt idx="0">
                    <c:v>9,4</c:v>
                  </c:pt>
                  <c:pt idx="1">
                    <c:v>10,0</c:v>
                  </c:pt>
                  <c:pt idx="2">
                    <c:v>4,4</c:v>
                  </c:pt>
                </c15:dlblRangeCache>
              </c15:datalabelsRange>
            </c:ext>
          </c:extLst>
        </c:ser>
        <c:dLbls>
          <c:showLegendKey val="0"/>
          <c:showVal val="0"/>
          <c:showCatName val="0"/>
          <c:showSerName val="0"/>
          <c:showPercent val="0"/>
          <c:showBubbleSize val="0"/>
        </c:dLbls>
        <c:gapWidth val="219"/>
        <c:overlap val="-27"/>
        <c:axId val="275420264"/>
        <c:axId val="275420656"/>
      </c:barChart>
      <c:catAx>
        <c:axId val="275420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lv-LV"/>
          </a:p>
        </c:txPr>
        <c:crossAx val="275420656"/>
        <c:crosses val="autoZero"/>
        <c:auto val="1"/>
        <c:lblAlgn val="ctr"/>
        <c:lblOffset val="100"/>
        <c:noMultiLvlLbl val="0"/>
      </c:catAx>
      <c:valAx>
        <c:axId val="275420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lv-LV"/>
          </a:p>
        </c:txPr>
        <c:crossAx val="275420264"/>
        <c:crosses val="autoZero"/>
        <c:crossBetween val="between"/>
      </c:valAx>
      <c:spPr>
        <a:noFill/>
        <a:ln>
          <a:noFill/>
        </a:ln>
        <a:effectLst/>
      </c:spPr>
    </c:plotArea>
    <c:legend>
      <c:legendPos val="b"/>
      <c:layout>
        <c:manualLayout>
          <c:xMode val="edge"/>
          <c:yMode val="edge"/>
          <c:x val="0.1345405208964264"/>
          <c:y val="0.9192185895241356"/>
          <c:w val="0.76784203513022409"/>
          <c:h val="5.9042280041081828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sz="1100" b="1"/>
      </a:pPr>
      <a:endParaRPr lang="lv-LV"/>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BySource!$L$1</c:f>
              <c:strCache>
                <c:ptCount val="1"/>
                <c:pt idx="0">
                  <c:v>Pamatinflācija</c:v>
                </c:pt>
              </c:strCache>
            </c:strRef>
          </c:tx>
          <c:spPr>
            <a:solidFill>
              <a:schemeClr val="accent1"/>
            </a:solidFill>
            <a:ln>
              <a:solidFill>
                <a:schemeClr val="tx1"/>
              </a:solidFill>
            </a:ln>
          </c:spPr>
          <c:invertIfNegative val="0"/>
          <c:cat>
            <c:multiLvlStrRef>
              <c:f>BySource!$A$74:$B$124</c:f>
              <c:multiLvlStrCache>
                <c:ptCount val="51"/>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lvl>
                <c:lvl>
                  <c:pt idx="0">
                    <c:v>2010</c:v>
                  </c:pt>
                  <c:pt idx="12">
                    <c:v>2011</c:v>
                  </c:pt>
                  <c:pt idx="24">
                    <c:v>2012</c:v>
                  </c:pt>
                  <c:pt idx="36">
                    <c:v>2013</c:v>
                  </c:pt>
                  <c:pt idx="48">
                    <c:v>2014</c:v>
                  </c:pt>
                </c:lvl>
              </c:multiLvlStrCache>
            </c:multiLvlStrRef>
          </c:cat>
          <c:val>
            <c:numRef>
              <c:f>BySource!$L$74:$L$124</c:f>
              <c:numCache>
                <c:formatCode>0.0</c:formatCode>
                <c:ptCount val="51"/>
                <c:pt idx="0">
                  <c:v>-2.9802448303148794</c:v>
                </c:pt>
                <c:pt idx="1">
                  <c:v>-2.85455261123515</c:v>
                </c:pt>
                <c:pt idx="2">
                  <c:v>-3.055245446830535</c:v>
                </c:pt>
                <c:pt idx="3">
                  <c:v>-2.8617262718477137</c:v>
                </c:pt>
                <c:pt idx="4">
                  <c:v>-2.6603293144512099</c:v>
                </c:pt>
                <c:pt idx="5">
                  <c:v>-2.2316592300921223</c:v>
                </c:pt>
                <c:pt idx="6">
                  <c:v>-2.0631131818482977</c:v>
                </c:pt>
                <c:pt idx="7">
                  <c:v>-1.9073599291272509</c:v>
                </c:pt>
                <c:pt idx="8">
                  <c:v>-1.3556496561248843</c:v>
                </c:pt>
                <c:pt idx="9">
                  <c:v>-0.84851190249570452</c:v>
                </c:pt>
                <c:pt idx="10">
                  <c:v>-0.2588905148681136</c:v>
                </c:pt>
                <c:pt idx="11">
                  <c:v>-0.18327623555566597</c:v>
                </c:pt>
                <c:pt idx="12">
                  <c:v>-0.23221569906666106</c:v>
                </c:pt>
                <c:pt idx="13">
                  <c:v>0.16795475336256693</c:v>
                </c:pt>
                <c:pt idx="14">
                  <c:v>0.44278884920387007</c:v>
                </c:pt>
                <c:pt idx="15" formatCode="#,##0.0">
                  <c:v>0.81758930354354042</c:v>
                </c:pt>
                <c:pt idx="16" formatCode="#,##0.0">
                  <c:v>1.1538504176328621</c:v>
                </c:pt>
                <c:pt idx="17" formatCode="#,##0.0">
                  <c:v>1.1430112377119528</c:v>
                </c:pt>
                <c:pt idx="18" formatCode="#,##0.0">
                  <c:v>0.83605353700602669</c:v>
                </c:pt>
                <c:pt idx="19" formatCode="#,##0.0">
                  <c:v>1.2310116803752664</c:v>
                </c:pt>
                <c:pt idx="20" formatCode="#,##0.0">
                  <c:v>0.90949947868702985</c:v>
                </c:pt>
                <c:pt idx="21" formatCode="#,##0.0">
                  <c:v>0.58318986093315961</c:v>
                </c:pt>
                <c:pt idx="22" formatCode="#,##0.0">
                  <c:v>0.32144784070706667</c:v>
                </c:pt>
                <c:pt idx="23" formatCode="#,##0.0">
                  <c:v>0.8953919297645081</c:v>
                </c:pt>
                <c:pt idx="24" formatCode="#,##0.0">
                  <c:v>1.1025399286447484</c:v>
                </c:pt>
                <c:pt idx="25" formatCode="#,##0.0">
                  <c:v>0.75283553879838938</c:v>
                </c:pt>
                <c:pt idx="26" formatCode="#,##0.0">
                  <c:v>0.70006534667926335</c:v>
                </c:pt>
                <c:pt idx="27" formatCode="#,##0.0">
                  <c:v>0.75882155483669722</c:v>
                </c:pt>
                <c:pt idx="28" formatCode="#,##0.0">
                  <c:v>0.5042807887152726</c:v>
                </c:pt>
                <c:pt idx="29" formatCode="#,##0.0">
                  <c:v>0.5250149278475813</c:v>
                </c:pt>
                <c:pt idx="30" formatCode="#,##0.0">
                  <c:v>0.94604690603242114</c:v>
                </c:pt>
                <c:pt idx="31" formatCode="#,##0.0">
                  <c:v>0.5178965405778726</c:v>
                </c:pt>
                <c:pt idx="32" formatCode="#,##0.0">
                  <c:v>0.45100236309289266</c:v>
                </c:pt>
                <c:pt idx="33" formatCode="#,##0.0">
                  <c:v>0.22329785833336249</c:v>
                </c:pt>
                <c:pt idx="34" formatCode="#,##0.0">
                  <c:v>0.49238466897748123</c:v>
                </c:pt>
                <c:pt idx="35" formatCode="#,##0.0">
                  <c:v>0.27910727214423348</c:v>
                </c:pt>
                <c:pt idx="36" formatCode="#,##0.0">
                  <c:v>0.14873482477826305</c:v>
                </c:pt>
                <c:pt idx="37" formatCode="#,##0.0">
                  <c:v>0.35009855900909903</c:v>
                </c:pt>
                <c:pt idx="38" formatCode="#,##0.0">
                  <c:v>0.48363274612721102</c:v>
                </c:pt>
                <c:pt idx="39" formatCode="#,##0.0">
                  <c:v>0.16224681267014152</c:v>
                </c:pt>
                <c:pt idx="40" formatCode="#,##0.0">
                  <c:v>0.15835916426449675</c:v>
                </c:pt>
                <c:pt idx="41" formatCode="#,##0.0">
                  <c:v>0.17541545444146373</c:v>
                </c:pt>
                <c:pt idx="42" formatCode="#,##0.0">
                  <c:v>-5.3226889141087218E-2</c:v>
                </c:pt>
                <c:pt idx="43" formatCode="#,##0.0">
                  <c:v>-2.9177576201974635E-2</c:v>
                </c:pt>
                <c:pt idx="44" formatCode="#,##0.0">
                  <c:v>0.14581285857661022</c:v>
                </c:pt>
                <c:pt idx="45" formatCode="#,##0.0">
                  <c:v>0.5488233147039856</c:v>
                </c:pt>
                <c:pt idx="46" formatCode="#,##0.0">
                  <c:v>9.4562309743944001E-2</c:v>
                </c:pt>
                <c:pt idx="47" formatCode="#,##0.0">
                  <c:v>5.3931978934110641E-2</c:v>
                </c:pt>
                <c:pt idx="48" formatCode="#,##0.0">
                  <c:v>0.4771548895917781</c:v>
                </c:pt>
                <c:pt idx="49" formatCode="#,##0.0">
                  <c:v>0.51192775628832643</c:v>
                </c:pt>
                <c:pt idx="50" formatCode="#,##0.0">
                  <c:v>0.35846950744706274</c:v>
                </c:pt>
              </c:numCache>
            </c:numRef>
          </c:val>
        </c:ser>
        <c:ser>
          <c:idx val="2"/>
          <c:order val="1"/>
          <c:tx>
            <c:strRef>
              <c:f>BySource!$D$1</c:f>
              <c:strCache>
                <c:ptCount val="1"/>
                <c:pt idx="0">
                  <c:v>Nodokļi</c:v>
                </c:pt>
              </c:strCache>
            </c:strRef>
          </c:tx>
          <c:spPr>
            <a:solidFill>
              <a:schemeClr val="accent3"/>
            </a:solidFill>
            <a:ln>
              <a:solidFill>
                <a:schemeClr val="tx1"/>
              </a:solidFill>
            </a:ln>
          </c:spPr>
          <c:invertIfNegative val="0"/>
          <c:cat>
            <c:multiLvlStrRef>
              <c:f>BySource!$A$74:$B$124</c:f>
              <c:multiLvlStrCache>
                <c:ptCount val="51"/>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lvl>
                <c:lvl>
                  <c:pt idx="0">
                    <c:v>2010</c:v>
                  </c:pt>
                  <c:pt idx="12">
                    <c:v>2011</c:v>
                  </c:pt>
                  <c:pt idx="24">
                    <c:v>2012</c:v>
                  </c:pt>
                  <c:pt idx="36">
                    <c:v>2013</c:v>
                  </c:pt>
                  <c:pt idx="48">
                    <c:v>2014</c:v>
                  </c:pt>
                </c:lvl>
              </c:multiLvlStrCache>
            </c:multiLvlStrRef>
          </c:cat>
          <c:val>
            <c:numRef>
              <c:f>BySource!$D$74:$D$124</c:f>
              <c:numCache>
                <c:formatCode>#,##0.0</c:formatCode>
                <c:ptCount val="51"/>
                <c:pt idx="0">
                  <c:v>1.4743955481212208</c:v>
                </c:pt>
                <c:pt idx="1">
                  <c:v>0.12840434537499945</c:v>
                </c:pt>
                <c:pt idx="2">
                  <c:v>0.15885303590536015</c:v>
                </c:pt>
                <c:pt idx="3">
                  <c:v>0.15362501038491683</c:v>
                </c:pt>
                <c:pt idx="4">
                  <c:v>2.7061284682328157E-2</c:v>
                </c:pt>
                <c:pt idx="5">
                  <c:v>2.7672212634721749E-2</c:v>
                </c:pt>
                <c:pt idx="6">
                  <c:v>-9.7781351703163377E-2</c:v>
                </c:pt>
                <c:pt idx="7">
                  <c:v>-5.427839908889176E-3</c:v>
                </c:pt>
                <c:pt idx="8">
                  <c:v>-4.5275491913576715E-2</c:v>
                </c:pt>
                <c:pt idx="9">
                  <c:v>-3.5471102465312043E-2</c:v>
                </c:pt>
                <c:pt idx="10">
                  <c:v>-5.650216282049314E-2</c:v>
                </c:pt>
                <c:pt idx="11">
                  <c:v>-7.4933278874866893E-2</c:v>
                </c:pt>
                <c:pt idx="12">
                  <c:v>1.2304159339607379</c:v>
                </c:pt>
                <c:pt idx="13">
                  <c:v>1.1814441802687536</c:v>
                </c:pt>
                <c:pt idx="14">
                  <c:v>1.2282632800507454</c:v>
                </c:pt>
                <c:pt idx="15">
                  <c:v>1.2582139240150614</c:v>
                </c:pt>
                <c:pt idx="16">
                  <c:v>1.3815608807900004</c:v>
                </c:pt>
                <c:pt idx="17">
                  <c:v>1.5489923608996037</c:v>
                </c:pt>
                <c:pt idx="18">
                  <c:v>1.7224995425278999</c:v>
                </c:pt>
                <c:pt idx="19">
                  <c:v>1.7346736635327265</c:v>
                </c:pt>
                <c:pt idx="20">
                  <c:v>1.7678932970511152</c:v>
                </c:pt>
                <c:pt idx="21">
                  <c:v>1.7582145591458653</c:v>
                </c:pt>
                <c:pt idx="22">
                  <c:v>1.7525143152246292</c:v>
                </c:pt>
                <c:pt idx="23">
                  <c:v>1.759879651758256</c:v>
                </c:pt>
                <c:pt idx="24">
                  <c:v>0.45790177568316714</c:v>
                </c:pt>
                <c:pt idx="25">
                  <c:v>0.47421735595629677</c:v>
                </c:pt>
                <c:pt idx="26">
                  <c:v>0.48589108472161247</c:v>
                </c:pt>
                <c:pt idx="27">
                  <c:v>0.45332701566038747</c:v>
                </c:pt>
                <c:pt idx="28">
                  <c:v>0.45839335112942692</c:v>
                </c:pt>
                <c:pt idx="29">
                  <c:v>0.28794871077664208</c:v>
                </c:pt>
                <c:pt idx="30">
                  <c:v>-0.57943527856882948</c:v>
                </c:pt>
                <c:pt idx="31">
                  <c:v>-0.58251325406908361</c:v>
                </c:pt>
                <c:pt idx="32">
                  <c:v>-0.57893973701053092</c:v>
                </c:pt>
                <c:pt idx="33">
                  <c:v>-0.58161935690854705</c:v>
                </c:pt>
                <c:pt idx="34">
                  <c:v>-0.4466238437497827</c:v>
                </c:pt>
                <c:pt idx="35">
                  <c:v>-0.65247459257919971</c:v>
                </c:pt>
                <c:pt idx="36">
                  <c:v>-0.5733946089227171</c:v>
                </c:pt>
                <c:pt idx="37">
                  <c:v>-0.57936295049318964</c:v>
                </c:pt>
                <c:pt idx="38">
                  <c:v>-0.62686317339248898</c:v>
                </c:pt>
                <c:pt idx="39">
                  <c:v>-0.62308100188387394</c:v>
                </c:pt>
                <c:pt idx="40">
                  <c:v>-0.57056152760039947</c:v>
                </c:pt>
                <c:pt idx="41">
                  <c:v>-0.56980619320539105</c:v>
                </c:pt>
                <c:pt idx="42">
                  <c:v>5.5124878739420957E-2</c:v>
                </c:pt>
                <c:pt idx="43">
                  <c:v>5.3038196191046438E-2</c:v>
                </c:pt>
                <c:pt idx="44">
                  <c:v>5.2307315329991333E-2</c:v>
                </c:pt>
                <c:pt idx="45">
                  <c:v>6.0488734943564548E-2</c:v>
                </c:pt>
                <c:pt idx="46">
                  <c:v>-6.3255390162519909E-2</c:v>
                </c:pt>
                <c:pt idx="47">
                  <c:v>0.12584630972898303</c:v>
                </c:pt>
                <c:pt idx="48" formatCode="0.0">
                  <c:v>0.15061955041055786</c:v>
                </c:pt>
                <c:pt idx="49" formatCode="0.0">
                  <c:v>0.1538970823339314</c:v>
                </c:pt>
                <c:pt idx="50" formatCode="0.0">
                  <c:v>0</c:v>
                </c:pt>
              </c:numCache>
            </c:numRef>
          </c:val>
        </c:ser>
        <c:ser>
          <c:idx val="1"/>
          <c:order val="2"/>
          <c:tx>
            <c:strRef>
              <c:f>BySource!$N$1</c:f>
              <c:strCache>
                <c:ptCount val="1"/>
                <c:pt idx="0">
                  <c:v>Importētā inflācija</c:v>
                </c:pt>
              </c:strCache>
            </c:strRef>
          </c:tx>
          <c:spPr>
            <a:solidFill>
              <a:srgbClr val="C00000"/>
            </a:solidFill>
            <a:ln>
              <a:solidFill>
                <a:schemeClr val="tx1"/>
              </a:solidFill>
            </a:ln>
          </c:spPr>
          <c:invertIfNegative val="0"/>
          <c:cat>
            <c:multiLvlStrRef>
              <c:f>BySource!$A$74:$B$124</c:f>
              <c:multiLvlStrCache>
                <c:ptCount val="51"/>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lvl>
                <c:lvl>
                  <c:pt idx="0">
                    <c:v>2010</c:v>
                  </c:pt>
                  <c:pt idx="12">
                    <c:v>2011</c:v>
                  </c:pt>
                  <c:pt idx="24">
                    <c:v>2012</c:v>
                  </c:pt>
                  <c:pt idx="36">
                    <c:v>2013</c:v>
                  </c:pt>
                  <c:pt idx="48">
                    <c:v>2014</c:v>
                  </c:pt>
                </c:lvl>
              </c:multiLvlStrCache>
            </c:multiLvlStrRef>
          </c:cat>
          <c:val>
            <c:numRef>
              <c:f>BySource!$N$74:$N$124</c:f>
              <c:numCache>
                <c:formatCode>0.0</c:formatCode>
                <c:ptCount val="51"/>
                <c:pt idx="0">
                  <c:v>-1.630039219548487</c:v>
                </c:pt>
                <c:pt idx="1">
                  <c:v>-1.4692540329904304</c:v>
                </c:pt>
                <c:pt idx="2">
                  <c:v>-1.0600296074234516</c:v>
                </c:pt>
                <c:pt idx="3">
                  <c:v>-5.3693905395663835E-2</c:v>
                </c:pt>
                <c:pt idx="4">
                  <c:v>0.31979203208236112</c:v>
                </c:pt>
                <c:pt idx="5">
                  <c:v>0.8659998155958436</c:v>
                </c:pt>
                <c:pt idx="6">
                  <c:v>1.5757570262372458</c:v>
                </c:pt>
                <c:pt idx="7">
                  <c:v>1.6762413468007782</c:v>
                </c:pt>
                <c:pt idx="8">
                  <c:v>1.8751397301368589</c:v>
                </c:pt>
                <c:pt idx="9">
                  <c:v>1.8934841926094594</c:v>
                </c:pt>
                <c:pt idx="10">
                  <c:v>2.2281242975331832</c:v>
                </c:pt>
                <c:pt idx="11">
                  <c:v>2.7807320369530517</c:v>
                </c:pt>
                <c:pt idx="12">
                  <c:v>2.658874105633501</c:v>
                </c:pt>
                <c:pt idx="13">
                  <c:v>2.6697972271365256</c:v>
                </c:pt>
                <c:pt idx="14">
                  <c:v>2.5677538408946354</c:v>
                </c:pt>
                <c:pt idx="15" formatCode="#,##0.0">
                  <c:v>2.4212381925597288</c:v>
                </c:pt>
                <c:pt idx="16" formatCode="#,##0.0">
                  <c:v>2.4379457175629398</c:v>
                </c:pt>
                <c:pt idx="17" formatCode="#,##0.0">
                  <c:v>2.0839397976148444</c:v>
                </c:pt>
                <c:pt idx="18" formatCode="#,##0.0">
                  <c:v>1.7380920058103817</c:v>
                </c:pt>
                <c:pt idx="19" formatCode="#,##0.0">
                  <c:v>1.717183654313708</c:v>
                </c:pt>
                <c:pt idx="20" formatCode="#,##0.0">
                  <c:v>1.9243771357662824</c:v>
                </c:pt>
                <c:pt idx="21" formatCode="#,##0.0">
                  <c:v>2.067766655758712</c:v>
                </c:pt>
                <c:pt idx="22" formatCode="#,##0.0">
                  <c:v>2.0902607179685848</c:v>
                </c:pt>
                <c:pt idx="23" formatCode="#,##0.0">
                  <c:v>1.3869076803401574</c:v>
                </c:pt>
                <c:pt idx="24" formatCode="#,##0.0">
                  <c:v>2.0062470813389672</c:v>
                </c:pt>
                <c:pt idx="25" formatCode="#,##0.0">
                  <c:v>2.1974535572139926</c:v>
                </c:pt>
                <c:pt idx="26" formatCode="#,##0.0">
                  <c:v>2.1048501173589189</c:v>
                </c:pt>
                <c:pt idx="27" formatCode="#,##0.0">
                  <c:v>1.5433733004427075</c:v>
                </c:pt>
                <c:pt idx="28" formatCode="#,##0.0">
                  <c:v>1.2651821553327776</c:v>
                </c:pt>
                <c:pt idx="29" formatCode="#,##0.0">
                  <c:v>1.0917982661376746</c:v>
                </c:pt>
                <c:pt idx="30" formatCode="#,##0.0">
                  <c:v>1.3135800244550915</c:v>
                </c:pt>
                <c:pt idx="31" formatCode="#,##0.0">
                  <c:v>1.8026642526108247</c:v>
                </c:pt>
                <c:pt idx="32" formatCode="#,##0.0">
                  <c:v>1.9511209329014036</c:v>
                </c:pt>
                <c:pt idx="33" formatCode="#,##0.0">
                  <c:v>1.962455642947267</c:v>
                </c:pt>
                <c:pt idx="34" formatCode="#,##0.0">
                  <c:v>1.5212827935121953</c:v>
                </c:pt>
                <c:pt idx="35" formatCode="#,##0.0">
                  <c:v>1.9240053433714785</c:v>
                </c:pt>
                <c:pt idx="36" formatCode="#,##0.0">
                  <c:v>1.024659784144454</c:v>
                </c:pt>
                <c:pt idx="37" formatCode="#,##0.0">
                  <c:v>0.52926439148409055</c:v>
                </c:pt>
                <c:pt idx="38" formatCode="#,##0.0">
                  <c:v>0.36522603047099567</c:v>
                </c:pt>
                <c:pt idx="39" formatCode="#,##0.0">
                  <c:v>6.0834189213732404E-2</c:v>
                </c:pt>
                <c:pt idx="40" formatCode="#,##0.0">
                  <c:v>0.30562268708034035</c:v>
                </c:pt>
                <c:pt idx="41" formatCode="#,##0.0">
                  <c:v>0.56644238223728949</c:v>
                </c:pt>
                <c:pt idx="42" formatCode="#,##0.0">
                  <c:v>0.33430344745057006</c:v>
                </c:pt>
                <c:pt idx="43" formatCode="#,##0.0">
                  <c:v>-0.24872504366326789</c:v>
                </c:pt>
                <c:pt idx="44" formatCode="#,##0.0">
                  <c:v>-0.58599540994250832</c:v>
                </c:pt>
                <c:pt idx="45" formatCode="#,##0.0">
                  <c:v>-0.66269111021102334</c:v>
                </c:pt>
                <c:pt idx="46" formatCode="#,##0.0">
                  <c:v>-0.47526678390652227</c:v>
                </c:pt>
                <c:pt idx="47" formatCode="#,##0.0">
                  <c:v>-0.57027653418009483</c:v>
                </c:pt>
                <c:pt idx="48" formatCode="#,##0.0">
                  <c:v>-0.24525966510093838</c:v>
                </c:pt>
                <c:pt idx="49" formatCode="#,##0.0">
                  <c:v>-0.15585278137210662</c:v>
                </c:pt>
                <c:pt idx="50" formatCode="#,##0.0">
                  <c:v>-3.4195749671767084E-2</c:v>
                </c:pt>
              </c:numCache>
            </c:numRef>
          </c:val>
        </c:ser>
        <c:dLbls>
          <c:showLegendKey val="0"/>
          <c:showVal val="0"/>
          <c:showCatName val="0"/>
          <c:showSerName val="0"/>
          <c:showPercent val="0"/>
          <c:showBubbleSize val="0"/>
        </c:dLbls>
        <c:gapWidth val="22"/>
        <c:overlap val="100"/>
        <c:axId val="275421440"/>
        <c:axId val="275421832"/>
      </c:barChart>
      <c:lineChart>
        <c:grouping val="standard"/>
        <c:varyColors val="0"/>
        <c:ser>
          <c:idx val="3"/>
          <c:order val="3"/>
          <c:tx>
            <c:strRef>
              <c:f>BySource!$C$1</c:f>
              <c:strCache>
                <c:ptCount val="1"/>
                <c:pt idx="0">
                  <c:v>PCI</c:v>
                </c:pt>
              </c:strCache>
            </c:strRef>
          </c:tx>
          <c:spPr>
            <a:ln w="19050">
              <a:solidFill>
                <a:schemeClr val="tx1"/>
              </a:solidFill>
              <a:prstDash val="dash"/>
            </a:ln>
            <a:effectLst>
              <a:glow rad="25400">
                <a:schemeClr val="tx1">
                  <a:alpha val="40000"/>
                </a:schemeClr>
              </a:glow>
              <a:outerShdw blurRad="50800" dist="38100" dir="2700000" algn="tl" rotWithShape="0">
                <a:prstClr val="black">
                  <a:alpha val="40000"/>
                </a:prstClr>
              </a:outerShdw>
            </a:effectLst>
          </c:spPr>
          <c:marker>
            <c:symbol val="none"/>
          </c:marker>
          <c:val>
            <c:numRef>
              <c:f>BySource!$C$74:$C$124</c:f>
              <c:numCache>
                <c:formatCode>#,##0.0</c:formatCode>
                <c:ptCount val="51"/>
                <c:pt idx="0">
                  <c:v>-3.1358885017421456</c:v>
                </c:pt>
                <c:pt idx="1">
                  <c:v>-4.1954022988505812</c:v>
                </c:pt>
                <c:pt idx="2">
                  <c:v>-3.9564220183486265</c:v>
                </c:pt>
                <c:pt idx="3">
                  <c:v>-2.7617951668584606</c:v>
                </c:pt>
                <c:pt idx="4">
                  <c:v>-2.3134759976865205</c:v>
                </c:pt>
                <c:pt idx="5">
                  <c:v>-1.3379872018615568</c:v>
                </c:pt>
                <c:pt idx="6">
                  <c:v>-0.5851375073142151</c:v>
                </c:pt>
                <c:pt idx="7">
                  <c:v>-0.23654642223536193</c:v>
                </c:pt>
                <c:pt idx="8">
                  <c:v>0.47421458209839784</c:v>
                </c:pt>
                <c:pt idx="9">
                  <c:v>1.0095011876484428</c:v>
                </c:pt>
                <c:pt idx="10">
                  <c:v>1.9127316198445765</c:v>
                </c:pt>
                <c:pt idx="11">
                  <c:v>2.522522522522519</c:v>
                </c:pt>
                <c:pt idx="12">
                  <c:v>3.6570743405275774</c:v>
                </c:pt>
                <c:pt idx="13">
                  <c:v>4.0191961607678461</c:v>
                </c:pt>
                <c:pt idx="14">
                  <c:v>4.2388059701492509</c:v>
                </c:pt>
                <c:pt idx="15">
                  <c:v>4.4970414201183306</c:v>
                </c:pt>
                <c:pt idx="16">
                  <c:v>4.973357015985802</c:v>
                </c:pt>
                <c:pt idx="17">
                  <c:v>4.7759433962264008</c:v>
                </c:pt>
                <c:pt idx="18">
                  <c:v>4.2966450853443083</c:v>
                </c:pt>
                <c:pt idx="19">
                  <c:v>4.6828689982217009</c:v>
                </c:pt>
                <c:pt idx="20">
                  <c:v>4.6017699115044275</c:v>
                </c:pt>
                <c:pt idx="21">
                  <c:v>4.4091710758377367</c:v>
                </c:pt>
                <c:pt idx="22">
                  <c:v>4.1642228739002807</c:v>
                </c:pt>
                <c:pt idx="23">
                  <c:v>4.0421792618629215</c:v>
                </c:pt>
                <c:pt idx="24">
                  <c:v>3.5666887856668827</c:v>
                </c:pt>
                <c:pt idx="25">
                  <c:v>3.4245064519686785</c:v>
                </c:pt>
                <c:pt idx="26">
                  <c:v>3.2908065487597948</c:v>
                </c:pt>
                <c:pt idx="27">
                  <c:v>2.7555218709397922</c:v>
                </c:pt>
                <c:pt idx="28">
                  <c:v>2.2278562951774772</c:v>
                </c:pt>
                <c:pt idx="29">
                  <c:v>1.904761904761898</c:v>
                </c:pt>
                <c:pt idx="30">
                  <c:v>1.6801916519186832</c:v>
                </c:pt>
                <c:pt idx="31">
                  <c:v>1.7380475391196137</c:v>
                </c:pt>
                <c:pt idx="32">
                  <c:v>1.8231835589837653</c:v>
                </c:pt>
                <c:pt idx="33">
                  <c:v>1.6041341443720825</c:v>
                </c:pt>
                <c:pt idx="34">
                  <c:v>1.567043618739894</c:v>
                </c:pt>
                <c:pt idx="35">
                  <c:v>1.5506380229365124</c:v>
                </c:pt>
                <c:pt idx="36">
                  <c:v>0.6</c:v>
                </c:pt>
                <c:pt idx="37">
                  <c:v>0.3</c:v>
                </c:pt>
                <c:pt idx="38">
                  <c:v>0.22199560320571768</c:v>
                </c:pt>
                <c:pt idx="39">
                  <c:v>-0.4</c:v>
                </c:pt>
                <c:pt idx="40">
                  <c:v>-0.10657967625556233</c:v>
                </c:pt>
                <c:pt idx="41">
                  <c:v>0.1720516434733621</c:v>
                </c:pt>
                <c:pt idx="42">
                  <c:v>0.33620143704890382</c:v>
                </c:pt>
                <c:pt idx="43">
                  <c:v>-0.2248644236741961</c:v>
                </c:pt>
                <c:pt idx="44">
                  <c:v>-0.38787523603590679</c:v>
                </c:pt>
                <c:pt idx="45">
                  <c:v>-5.3379060563473191E-2</c:v>
                </c:pt>
                <c:pt idx="46">
                  <c:v>-0.44395986432509815</c:v>
                </c:pt>
                <c:pt idx="47">
                  <c:v>-0.39049824551700107</c:v>
                </c:pt>
                <c:pt idx="48" formatCode="0.0">
                  <c:v>0.38251477490139757</c:v>
                </c:pt>
                <c:pt idx="49" formatCode="0.0">
                  <c:v>0.50997205725015116</c:v>
                </c:pt>
                <c:pt idx="50" formatCode="0.0">
                  <c:v>0.32427375777529566</c:v>
                </c:pt>
              </c:numCache>
            </c:numRef>
          </c:val>
          <c:smooth val="0"/>
        </c:ser>
        <c:dLbls>
          <c:showLegendKey val="0"/>
          <c:showVal val="0"/>
          <c:showCatName val="0"/>
          <c:showSerName val="0"/>
          <c:showPercent val="0"/>
          <c:showBubbleSize val="0"/>
        </c:dLbls>
        <c:marker val="1"/>
        <c:smooth val="0"/>
        <c:axId val="275421440"/>
        <c:axId val="275421832"/>
      </c:lineChart>
      <c:catAx>
        <c:axId val="275421440"/>
        <c:scaling>
          <c:orientation val="minMax"/>
        </c:scaling>
        <c:delete val="0"/>
        <c:axPos val="b"/>
        <c:numFmt formatCode="General" sourceLinked="0"/>
        <c:majorTickMark val="out"/>
        <c:minorTickMark val="none"/>
        <c:tickLblPos val="low"/>
        <c:spPr>
          <a:ln>
            <a:solidFill>
              <a:schemeClr val="tx1"/>
            </a:solidFill>
          </a:ln>
        </c:spPr>
        <c:txPr>
          <a:bodyPr/>
          <a:lstStyle/>
          <a:p>
            <a:pPr>
              <a:defRPr b="1"/>
            </a:pPr>
            <a:endParaRPr lang="lv-LV"/>
          </a:p>
        </c:txPr>
        <c:crossAx val="275421832"/>
        <c:crosses val="autoZero"/>
        <c:auto val="1"/>
        <c:lblAlgn val="ctr"/>
        <c:lblOffset val="100"/>
        <c:noMultiLvlLbl val="0"/>
      </c:catAx>
      <c:valAx>
        <c:axId val="275421832"/>
        <c:scaling>
          <c:orientation val="minMax"/>
        </c:scaling>
        <c:delete val="0"/>
        <c:axPos val="l"/>
        <c:majorGridlines>
          <c:spPr>
            <a:ln>
              <a:solidFill>
                <a:schemeClr val="bg1">
                  <a:lumMod val="75000"/>
                </a:schemeClr>
              </a:solidFill>
            </a:ln>
          </c:spPr>
        </c:majorGridlines>
        <c:numFmt formatCode="0" sourceLinked="0"/>
        <c:majorTickMark val="out"/>
        <c:minorTickMark val="none"/>
        <c:tickLblPos val="nextTo"/>
        <c:spPr>
          <a:ln>
            <a:solidFill>
              <a:schemeClr val="tx1"/>
            </a:solidFill>
          </a:ln>
        </c:spPr>
        <c:txPr>
          <a:bodyPr/>
          <a:lstStyle/>
          <a:p>
            <a:pPr>
              <a:defRPr b="1"/>
            </a:pPr>
            <a:endParaRPr lang="lv-LV"/>
          </a:p>
        </c:txPr>
        <c:crossAx val="275421440"/>
        <c:crosses val="autoZero"/>
        <c:crossBetween val="between"/>
      </c:valAx>
      <c:spPr>
        <a:noFill/>
      </c:spPr>
    </c:plotArea>
    <c:legend>
      <c:legendPos val="b"/>
      <c:layout/>
      <c:overlay val="0"/>
      <c:txPr>
        <a:bodyPr/>
        <a:lstStyle/>
        <a:p>
          <a:pPr>
            <a:defRPr b="1"/>
          </a:pPr>
          <a:endParaRPr lang="lv-LV"/>
        </a:p>
      </c:txPr>
    </c:legend>
    <c:plotVisOnly val="1"/>
    <c:dispBlanksAs val="gap"/>
    <c:showDLblsOverMax val="0"/>
  </c:chart>
  <c:spPr>
    <a:ln>
      <a:noFill/>
    </a:ln>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0.83283</cdr:x>
      <cdr:y>0.03672</cdr:y>
    </cdr:from>
    <cdr:to>
      <cdr:x>0.83283</cdr:x>
      <cdr:y>0.69774</cdr:y>
    </cdr:to>
    <cdr:cxnSp macro="">
      <cdr:nvCxnSpPr>
        <cdr:cNvPr id="3" name="Straight Connector 2"/>
        <cdr:cNvCxnSpPr/>
      </cdr:nvCxnSpPr>
      <cdr:spPr>
        <a:xfrm xmlns:a="http://schemas.openxmlformats.org/drawingml/2006/main" flipV="1">
          <a:off x="5414063" y="108775"/>
          <a:ext cx="0" cy="1958123"/>
        </a:xfrm>
        <a:prstGeom xmlns:a="http://schemas.openxmlformats.org/drawingml/2006/main" prst="line">
          <a:avLst/>
        </a:prstGeom>
        <a:ln xmlns:a="http://schemas.openxmlformats.org/drawingml/2006/main" w="158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0.84508</cdr:x>
      <cdr:y>0.04277</cdr:y>
    </cdr:from>
    <cdr:to>
      <cdr:x>0.96044</cdr:x>
      <cdr:y>0.26236</cdr:y>
    </cdr:to>
    <cdr:sp macro="" textlink="">
      <cdr:nvSpPr>
        <cdr:cNvPr id="7" name="TextBox 6"/>
        <cdr:cNvSpPr txBox="1"/>
      </cdr:nvSpPr>
      <cdr:spPr>
        <a:xfrm xmlns:a="http://schemas.openxmlformats.org/drawingml/2006/main">
          <a:off x="5493695" y="126683"/>
          <a:ext cx="749944" cy="6504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900">
              <a:latin typeface="Arial" pitchFamily="34" charset="0"/>
              <a:cs typeface="Arial" pitchFamily="34" charset="0"/>
            </a:rPr>
            <a:t>prognoze</a:t>
          </a:r>
        </a:p>
      </cdr:txBody>
    </cdr:sp>
  </cdr:relSizeAnchor>
</c:userShapes>
</file>

<file path=word/drawings/drawing2.xml><?xml version="1.0" encoding="utf-8"?>
<c:userShapes xmlns:c="http://schemas.openxmlformats.org/drawingml/2006/chart">
  <cdr:relSizeAnchor xmlns:cdr="http://schemas.openxmlformats.org/drawingml/2006/chartDrawing">
    <cdr:from>
      <cdr:x>0.67287</cdr:x>
      <cdr:y>0.8468</cdr:y>
    </cdr:from>
    <cdr:to>
      <cdr:x>0.94109</cdr:x>
      <cdr:y>0.93148</cdr:y>
    </cdr:to>
    <cdr:sp macro="" textlink="">
      <cdr:nvSpPr>
        <cdr:cNvPr id="2" name="Text Box 1"/>
        <cdr:cNvSpPr txBox="1"/>
      </cdr:nvSpPr>
      <cdr:spPr>
        <a:xfrm xmlns:a="http://schemas.openxmlformats.org/drawingml/2006/main">
          <a:off x="4133849" y="2762250"/>
          <a:ext cx="1647825"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900">
              <a:solidFill>
                <a:schemeClr val="tx1">
                  <a:lumMod val="65000"/>
                  <a:lumOff val="35000"/>
                </a:schemeClr>
              </a:solidFill>
            </a:rPr>
            <a:t>* CSP ātrais novērtējums</a:t>
          </a:r>
        </a:p>
      </cdr:txBody>
    </cdr:sp>
  </cdr:relSizeAnchor>
</c:userShapes>
</file>

<file path=word/drawings/drawing3.xml><?xml version="1.0" encoding="utf-8"?>
<c:userShapes xmlns:c="http://schemas.openxmlformats.org/drawingml/2006/chart">
  <cdr:relSizeAnchor xmlns:cdr="http://schemas.openxmlformats.org/drawingml/2006/chartDrawing">
    <cdr:from>
      <cdr:x>0.41037</cdr:x>
      <cdr:y>0.44341</cdr:y>
    </cdr:from>
    <cdr:to>
      <cdr:x>0.9641</cdr:x>
      <cdr:y>0.44353</cdr:y>
    </cdr:to>
    <cdr:cxnSp macro="">
      <cdr:nvCxnSpPr>
        <cdr:cNvPr id="6" name="Straight Connector 5"/>
        <cdr:cNvCxnSpPr/>
      </cdr:nvCxnSpPr>
      <cdr:spPr>
        <a:xfrm xmlns:a="http://schemas.openxmlformats.org/drawingml/2006/main">
          <a:off x="1822931" y="1103082"/>
          <a:ext cx="2459759" cy="299"/>
        </a:xfrm>
        <a:prstGeom xmlns:a="http://schemas.openxmlformats.org/drawingml/2006/main" prst="line">
          <a:avLst/>
        </a:prstGeom>
        <a:ln xmlns:a="http://schemas.openxmlformats.org/drawingml/2006/main" w="6350">
          <a:solidFill>
            <a:schemeClr val="bg1">
              <a:lumMod val="50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Custom 2">
    <a:dk1>
      <a:sysClr val="windowText" lastClr="000000"/>
    </a:dk1>
    <a:lt1>
      <a:sysClr val="window" lastClr="FFFFFF"/>
    </a:lt1>
    <a:dk2>
      <a:srgbClr val="44546A"/>
    </a:dk2>
    <a:lt2>
      <a:srgbClr val="E7E6E6"/>
    </a:lt2>
    <a:accent1>
      <a:srgbClr val="FB6308"/>
    </a:accent1>
    <a:accent2>
      <a:srgbClr val="1E4C6D"/>
    </a:accent2>
    <a:accent3>
      <a:srgbClr val="F6C820"/>
    </a:accent3>
    <a:accent4>
      <a:srgbClr val="B73016"/>
    </a:accent4>
    <a:accent5>
      <a:srgbClr val="91B44A"/>
    </a:accent5>
    <a:accent6>
      <a:srgbClr val="91B44A"/>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6082F-5457-4361-8B33-F8E15ABDD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62</Pages>
  <Words>74496</Words>
  <Characters>42463</Characters>
  <Application>Microsoft Office Word</Application>
  <DocSecurity>0</DocSecurity>
  <Lines>353</Lines>
  <Paragraphs>233</Paragraphs>
  <ScaleCrop>false</ScaleCrop>
  <HeadingPairs>
    <vt:vector size="2" baseType="variant">
      <vt:variant>
        <vt:lpstr>Title</vt:lpstr>
      </vt:variant>
      <vt:variant>
        <vt:i4>1</vt:i4>
      </vt:variant>
    </vt:vector>
  </HeadingPairs>
  <TitlesOfParts>
    <vt:vector size="1" baseType="lpstr">
      <vt:lpstr>Par tautsaimniecības attīstību un kopbudžeta izpildes gaitu 2014. gada 1. ceturksnī</vt:lpstr>
    </vt:vector>
  </TitlesOfParts>
  <Company>Finanšu ministrija</Company>
  <LinksUpToDate>false</LinksUpToDate>
  <CharactersWithSpaces>116726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 tautsaimniecības attīstību un kopbudžeta izpildes gaitu 2014. gada 1. ceturksnī</dc:title>
  <dc:subject>Informatīvais ziņojums</dc:subject>
  <dc:creator>Ilze Bule</dc:creator>
  <cp:keywords/>
  <dc:description>e-pasta adrese: ilze.bule@fm.gov.lv
tālrunis: 67083910</dc:description>
  <cp:lastModifiedBy>Ilze Bule FPD</cp:lastModifiedBy>
  <cp:revision>38</cp:revision>
  <cp:lastPrinted>2014-05-15T07:12:00Z</cp:lastPrinted>
  <dcterms:created xsi:type="dcterms:W3CDTF">2014-05-14T11:59:00Z</dcterms:created>
  <dcterms:modified xsi:type="dcterms:W3CDTF">2014-05-15T14:14:00Z</dcterms:modified>
</cp:coreProperties>
</file>