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6516" w14:textId="420BE4AD" w:rsidR="00CD0A52" w:rsidRPr="00C77E2D" w:rsidRDefault="00C77E2D" w:rsidP="00C77E2D">
      <w:pPr>
        <w:autoSpaceDE w:val="0"/>
        <w:autoSpaceDN w:val="0"/>
        <w:adjustRightInd w:val="0"/>
        <w:spacing w:after="60"/>
        <w:jc w:val="center"/>
        <w:rPr>
          <w:b/>
          <w:szCs w:val="24"/>
          <w:lang w:eastAsia="lv-LV"/>
        </w:rPr>
      </w:pPr>
      <w:r w:rsidRPr="00C77E2D">
        <w:rPr>
          <w:b/>
          <w:szCs w:val="24"/>
          <w:lang w:eastAsia="lv-LV"/>
        </w:rPr>
        <w:t>Informatīvais ziņojums</w:t>
      </w:r>
    </w:p>
    <w:p w14:paraId="42D7B0C5" w14:textId="78A71F78" w:rsidR="00FF03F8" w:rsidRPr="00084BA1" w:rsidRDefault="00FF03F8" w:rsidP="00FF03F8">
      <w:pPr>
        <w:autoSpaceDE w:val="0"/>
        <w:autoSpaceDN w:val="0"/>
        <w:adjustRightInd w:val="0"/>
        <w:jc w:val="center"/>
        <w:rPr>
          <w:b/>
          <w:szCs w:val="24"/>
        </w:rPr>
      </w:pPr>
      <w:r w:rsidRPr="00084BA1">
        <w:rPr>
          <w:b/>
          <w:szCs w:val="24"/>
        </w:rPr>
        <w:t>Par valsts līdzdalības kapitālsabiedrībās izvērtēšanu un</w:t>
      </w:r>
    </w:p>
    <w:p w14:paraId="67A53CBF" w14:textId="77777777" w:rsidR="00FF03F8" w:rsidRPr="00084BA1" w:rsidRDefault="00FF03F8" w:rsidP="00FF03F8">
      <w:pPr>
        <w:autoSpaceDE w:val="0"/>
        <w:autoSpaceDN w:val="0"/>
        <w:adjustRightInd w:val="0"/>
        <w:jc w:val="center"/>
        <w:rPr>
          <w:b/>
          <w:szCs w:val="24"/>
        </w:rPr>
      </w:pPr>
      <w:r w:rsidRPr="00084BA1">
        <w:rPr>
          <w:b/>
          <w:szCs w:val="24"/>
        </w:rPr>
        <w:t>ar Ministru prezidenta 2012.gada 19.jūnija rīkojumu Nr.233</w:t>
      </w:r>
    </w:p>
    <w:p w14:paraId="49185AA8" w14:textId="4A33C79A" w:rsidR="00FF03F8" w:rsidRPr="00FF03F8" w:rsidRDefault="00FF03F8" w:rsidP="00FF03F8">
      <w:pPr>
        <w:autoSpaceDE w:val="0"/>
        <w:autoSpaceDN w:val="0"/>
        <w:adjustRightInd w:val="0"/>
        <w:ind w:firstLine="720"/>
        <w:jc w:val="center"/>
        <w:rPr>
          <w:b/>
          <w:szCs w:val="24"/>
          <w:lang w:eastAsia="lv-LV"/>
        </w:rPr>
      </w:pPr>
      <w:r w:rsidRPr="00084BA1">
        <w:rPr>
          <w:b/>
          <w:szCs w:val="24"/>
        </w:rPr>
        <w:t>izveidotās darba grupas p</w:t>
      </w:r>
      <w:r w:rsidR="00C77E2D">
        <w:rPr>
          <w:b/>
          <w:szCs w:val="24"/>
        </w:rPr>
        <w:t>riekšlikumiem turpmākai rīcībai</w:t>
      </w:r>
    </w:p>
    <w:p w14:paraId="465AAEC1" w14:textId="77777777" w:rsidR="00FF03F8" w:rsidRDefault="00FF03F8" w:rsidP="00FF03F8">
      <w:pPr>
        <w:autoSpaceDE w:val="0"/>
        <w:autoSpaceDN w:val="0"/>
        <w:adjustRightInd w:val="0"/>
        <w:ind w:firstLine="720"/>
        <w:rPr>
          <w:szCs w:val="24"/>
          <w:lang w:eastAsia="lv-LV"/>
        </w:rPr>
      </w:pPr>
    </w:p>
    <w:p w14:paraId="0CA51AAF" w14:textId="5DF7CEAD" w:rsidR="00126A0C" w:rsidRPr="004732F7" w:rsidRDefault="003713DF" w:rsidP="00126A0C">
      <w:pPr>
        <w:ind w:firstLine="720"/>
        <w:rPr>
          <w:szCs w:val="24"/>
          <w:lang w:eastAsia="lv-LV"/>
        </w:rPr>
      </w:pPr>
      <w:r>
        <w:rPr>
          <w:szCs w:val="24"/>
        </w:rPr>
        <w:t xml:space="preserve">Ministru kabinets </w:t>
      </w:r>
      <w:r w:rsidR="00FF03F8">
        <w:rPr>
          <w:szCs w:val="24"/>
        </w:rPr>
        <w:t xml:space="preserve">2013.gada 11.jūnijā pieņēma zināšanai </w:t>
      </w:r>
      <w:r>
        <w:rPr>
          <w:szCs w:val="24"/>
        </w:rPr>
        <w:t xml:space="preserve">Informatīvo ziņojumu </w:t>
      </w:r>
      <w:r w:rsidR="00CB2B68">
        <w:rPr>
          <w:szCs w:val="24"/>
        </w:rPr>
        <w:t>“</w:t>
      </w:r>
      <w:r>
        <w:rPr>
          <w:szCs w:val="24"/>
        </w:rPr>
        <w:t>Par valsts līdzdalības kapitālsabiedrībās izvērtēšanu un ar Ministru prezidenta 2012.gada 19.jūnija rīkojumu Nr.233 izveidotās darba grupas priekšlikumiem turpmākai rīcībai</w:t>
      </w:r>
      <w:r w:rsidR="00CB2B68">
        <w:rPr>
          <w:szCs w:val="24"/>
        </w:rPr>
        <w:t>”</w:t>
      </w:r>
      <w:r w:rsidR="00FF03F8">
        <w:rPr>
          <w:szCs w:val="24"/>
        </w:rPr>
        <w:t xml:space="preserve"> un noteica m</w:t>
      </w:r>
      <w:r w:rsidR="00FF03F8">
        <w:rPr>
          <w:szCs w:val="24"/>
          <w:lang w:eastAsia="lv-LV"/>
        </w:rPr>
        <w:t xml:space="preserve">inistrijām atbilstoši kompetencei izvērtēt informatīvā ziņojuma 5.pielikumā ietverto darba grupas </w:t>
      </w:r>
      <w:r w:rsidR="00B41D3A">
        <w:rPr>
          <w:szCs w:val="24"/>
          <w:lang w:eastAsia="lv-LV"/>
        </w:rPr>
        <w:t>rekomendāciju</w:t>
      </w:r>
      <w:r w:rsidR="00FF03F8">
        <w:rPr>
          <w:szCs w:val="24"/>
          <w:lang w:eastAsia="lv-LV"/>
        </w:rPr>
        <w:t xml:space="preserve"> finansiālos un tiesiskos riskus un 5.pielikumā minētajos termiņos iesniegt </w:t>
      </w:r>
      <w:r w:rsidR="00FF03F8" w:rsidRPr="004732F7">
        <w:rPr>
          <w:szCs w:val="24"/>
          <w:lang w:eastAsia="lv-LV"/>
        </w:rPr>
        <w:t xml:space="preserve">noteiktā kārtībā izskatīšanai Ministru kabinetā priekšlikumus par turpmāko rīcību. </w:t>
      </w:r>
      <w:r w:rsidR="00B41D3A" w:rsidRPr="004732F7">
        <w:rPr>
          <w:szCs w:val="24"/>
          <w:lang w:eastAsia="lv-LV"/>
        </w:rPr>
        <w:t>Secīgi F</w:t>
      </w:r>
      <w:r w:rsidR="00126A0C" w:rsidRPr="004732F7">
        <w:rPr>
          <w:szCs w:val="24"/>
          <w:lang w:eastAsia="lv-LV"/>
        </w:rPr>
        <w:t xml:space="preserve">inanšu ministrijai līdz 2013.gada 31.decembrim </w:t>
      </w:r>
      <w:r w:rsidR="00B41D3A" w:rsidRPr="004732F7">
        <w:rPr>
          <w:szCs w:val="24"/>
          <w:lang w:eastAsia="lv-LV"/>
        </w:rPr>
        <w:t>bija</w:t>
      </w:r>
      <w:r w:rsidR="00126A0C" w:rsidRPr="004732F7">
        <w:rPr>
          <w:szCs w:val="24"/>
          <w:lang w:eastAsia="lv-LV"/>
        </w:rPr>
        <w:t xml:space="preserve"> jā</w:t>
      </w:r>
      <w:r w:rsidR="00B41D3A" w:rsidRPr="004732F7">
        <w:rPr>
          <w:szCs w:val="24"/>
          <w:lang w:eastAsia="lv-LV"/>
        </w:rPr>
        <w:t>ie</w:t>
      </w:r>
      <w:r w:rsidR="00126A0C" w:rsidRPr="004732F7">
        <w:rPr>
          <w:szCs w:val="24"/>
          <w:lang w:eastAsia="lv-LV"/>
        </w:rPr>
        <w:t>sniedz informācija vai priekšlikumi turpmākai rīcībai par VSIA „Latvijas Proves birojs”</w:t>
      </w:r>
      <w:r w:rsidR="00126A0C" w:rsidRPr="004732F7">
        <w:rPr>
          <w:szCs w:val="24"/>
        </w:rPr>
        <w:t xml:space="preserve"> un</w:t>
      </w:r>
      <w:r w:rsidR="00126A0C" w:rsidRPr="004732F7">
        <w:rPr>
          <w:szCs w:val="24"/>
          <w:lang w:eastAsia="lv-LV"/>
        </w:rPr>
        <w:t xml:space="preserve"> SIA „VNĪ pilis”</w:t>
      </w:r>
      <w:r w:rsidR="00126A0C" w:rsidRPr="004732F7">
        <w:rPr>
          <w:szCs w:val="24"/>
        </w:rPr>
        <w:t>, par kurām darba grupa veica šādas rekomendācijas:</w:t>
      </w:r>
    </w:p>
    <w:p w14:paraId="307BB818" w14:textId="77777777" w:rsidR="00126A0C" w:rsidRPr="004732F7" w:rsidRDefault="00126A0C" w:rsidP="00126A0C">
      <w:pPr>
        <w:pStyle w:val="ListParagraph"/>
        <w:numPr>
          <w:ilvl w:val="0"/>
          <w:numId w:val="2"/>
        </w:numPr>
        <w:ind w:left="317" w:hanging="317"/>
        <w:jc w:val="both"/>
        <w:rPr>
          <w:rFonts w:cs="Times New Roman"/>
          <w:szCs w:val="24"/>
          <w:lang w:eastAsia="lv-LV"/>
        </w:rPr>
      </w:pPr>
      <w:r w:rsidRPr="004732F7">
        <w:rPr>
          <w:rFonts w:cs="Times New Roman"/>
          <w:szCs w:val="24"/>
        </w:rPr>
        <w:t>atsavināt VSIA „Latvijas Proves birojs”, jo sabiedrības darbība nav pamatojama ar darbību stratēģiski svarīgā nozarē vai tirgus nepilnību;</w:t>
      </w:r>
    </w:p>
    <w:p w14:paraId="2CEFC495" w14:textId="0CEFB092" w:rsidR="00FF03F8" w:rsidRPr="004732F7" w:rsidRDefault="00126A0C" w:rsidP="00126A0C">
      <w:pPr>
        <w:pStyle w:val="ListParagraph"/>
        <w:numPr>
          <w:ilvl w:val="0"/>
          <w:numId w:val="2"/>
        </w:numPr>
        <w:ind w:left="317" w:hanging="317"/>
        <w:contextualSpacing w:val="0"/>
        <w:jc w:val="both"/>
        <w:rPr>
          <w:rFonts w:cs="Times New Roman"/>
          <w:szCs w:val="24"/>
          <w:lang w:eastAsia="lv-LV"/>
        </w:rPr>
      </w:pPr>
      <w:r w:rsidRPr="004732F7">
        <w:rPr>
          <w:rFonts w:cs="Times New Roman"/>
          <w:szCs w:val="24"/>
        </w:rPr>
        <w:t>meklēt juridiski korektu un valsts interesēm atbilstošu risinājumu</w:t>
      </w:r>
      <w:r w:rsidRPr="004732F7">
        <w:rPr>
          <w:rFonts w:cs="Times New Roman"/>
          <w:b/>
          <w:szCs w:val="24"/>
        </w:rPr>
        <w:t xml:space="preserve"> </w:t>
      </w:r>
      <w:r w:rsidRPr="004732F7">
        <w:rPr>
          <w:rFonts w:cs="Times New Roman"/>
          <w:szCs w:val="24"/>
        </w:rPr>
        <w:t>līdzdalības izbeigšanai SIA „VNĪ pilis”.</w:t>
      </w:r>
    </w:p>
    <w:p w14:paraId="06C09CEA" w14:textId="77777777" w:rsidR="00B41D3A" w:rsidRPr="00C77E2D" w:rsidRDefault="00B41D3A" w:rsidP="00C77E2D">
      <w:pPr>
        <w:rPr>
          <w:szCs w:val="24"/>
          <w:lang w:eastAsia="lv-LV"/>
        </w:rPr>
      </w:pPr>
    </w:p>
    <w:p w14:paraId="055562F2" w14:textId="4FCBF347" w:rsidR="00FF03F8" w:rsidRPr="001B397B" w:rsidRDefault="00C77E2D" w:rsidP="001B397B">
      <w:pPr>
        <w:jc w:val="center"/>
        <w:rPr>
          <w:b/>
          <w:szCs w:val="24"/>
        </w:rPr>
      </w:pPr>
      <w:r>
        <w:rPr>
          <w:b/>
          <w:szCs w:val="24"/>
        </w:rPr>
        <w:t>VSIA „Latvijas Proves birojs”</w:t>
      </w:r>
    </w:p>
    <w:p w14:paraId="37C19716" w14:textId="77777777" w:rsidR="00FF03F8" w:rsidRPr="00A97B90" w:rsidRDefault="00FF03F8" w:rsidP="00FF03F8">
      <w:pPr>
        <w:rPr>
          <w:szCs w:val="24"/>
        </w:rPr>
      </w:pPr>
    </w:p>
    <w:p w14:paraId="18CDF12D" w14:textId="77777777" w:rsidR="00BE627B" w:rsidRPr="002A7FA7" w:rsidRDefault="00BE627B" w:rsidP="00BE627B">
      <w:pPr>
        <w:ind w:firstLine="720"/>
      </w:pPr>
      <w:r w:rsidRPr="00084738">
        <w:t xml:space="preserve">Ar Ministru kabineta 2009.gada 28.augusta rīkojumu Nr.591 </w:t>
      </w:r>
      <w:r w:rsidR="00CB2B68">
        <w:t>“</w:t>
      </w:r>
      <w:r w:rsidRPr="00084738">
        <w:t xml:space="preserve">Par Valsts ieņēmumu dienestā un funkcionāli saistītajās iestādēs veiktā funkciju audita ieteikumu ieviešanu” </w:t>
      </w:r>
      <w:r w:rsidRPr="002A7FA7">
        <w:t xml:space="preserve">Finanšu ministrijai </w:t>
      </w:r>
      <w:r w:rsidRPr="00084738">
        <w:t xml:space="preserve">tika uzdots </w:t>
      </w:r>
      <w:r w:rsidRPr="002A7FA7">
        <w:t>izstrādāt un finanšu ministram līdz 2009.gada 30.septembrim iesniegt noteiktā kārtībā Ministru kabinetā rīkojuma projektu un citus normatīvo aktu projektus, kas saistīti ar Valsts proves uzraudzības inspe</w:t>
      </w:r>
      <w:r>
        <w:t xml:space="preserve">kcijas likvidāciju, nosakot, ka </w:t>
      </w:r>
      <w:r w:rsidRPr="002A7FA7">
        <w:t>tiek dibināta valsts kapitālsabiedrība, kurai deleģē šādu pārvaldes uzdevumu izpildi:</w:t>
      </w:r>
    </w:p>
    <w:p w14:paraId="2FA9F815" w14:textId="77777777" w:rsidR="00BE627B" w:rsidRPr="002F5D9B" w:rsidRDefault="00BE627B" w:rsidP="00BE627B">
      <w:pPr>
        <w:pStyle w:val="ListParagraph"/>
        <w:numPr>
          <w:ilvl w:val="0"/>
          <w:numId w:val="7"/>
        </w:numPr>
        <w:ind w:left="268" w:hanging="268"/>
        <w:jc w:val="both"/>
        <w:rPr>
          <w:lang w:eastAsia="lv-LV"/>
        </w:rPr>
      </w:pPr>
      <w:r w:rsidRPr="002F5D9B">
        <w:rPr>
          <w:lang w:eastAsia="lv-LV"/>
        </w:rPr>
        <w:t xml:space="preserve">dārgmetālu, dārgakmeņu un to izstrādājumu proves noteikšana, zīmogošana, sastāva analīze, ekspertīze, </w:t>
      </w:r>
      <w:proofErr w:type="spellStart"/>
      <w:r w:rsidRPr="002F5D9B">
        <w:rPr>
          <w:lang w:eastAsia="lv-LV"/>
        </w:rPr>
        <w:t>kontrolanalīzes</w:t>
      </w:r>
      <w:proofErr w:type="spellEnd"/>
      <w:r w:rsidRPr="002F5D9B">
        <w:rPr>
          <w:lang w:eastAsia="lv-LV"/>
        </w:rPr>
        <w:t>, novērtēšana un kvali</w:t>
      </w:r>
      <w:r w:rsidRPr="002F5D9B">
        <w:rPr>
          <w:lang w:eastAsia="lv-LV"/>
        </w:rPr>
        <w:softHyphen/>
        <w:t>tātes apliecību izsniegšana;</w:t>
      </w:r>
    </w:p>
    <w:p w14:paraId="269F01F7" w14:textId="77777777" w:rsidR="00BE627B" w:rsidRPr="002F5D9B" w:rsidRDefault="00BE627B" w:rsidP="00BE627B">
      <w:pPr>
        <w:pStyle w:val="ListParagraph"/>
        <w:numPr>
          <w:ilvl w:val="0"/>
          <w:numId w:val="7"/>
        </w:numPr>
        <w:ind w:left="268" w:hanging="268"/>
        <w:jc w:val="both"/>
        <w:rPr>
          <w:lang w:eastAsia="lv-LV"/>
        </w:rPr>
      </w:pPr>
      <w:r w:rsidRPr="002F5D9B">
        <w:rPr>
          <w:lang w:eastAsia="lv-LV"/>
        </w:rPr>
        <w:t>vietu reģistrēšana, kurās tiks veikta saimnieciskā darbība ar dārgakmeņiem, dārgmetāliem un to izstrādājumiem;</w:t>
      </w:r>
    </w:p>
    <w:p w14:paraId="3D1B2D62" w14:textId="77777777" w:rsidR="00BE627B" w:rsidRPr="002F5D9B" w:rsidRDefault="00BE627B" w:rsidP="00BE627B">
      <w:pPr>
        <w:pStyle w:val="ListParagraph"/>
        <w:numPr>
          <w:ilvl w:val="0"/>
          <w:numId w:val="7"/>
        </w:numPr>
        <w:ind w:left="268" w:hanging="268"/>
        <w:jc w:val="both"/>
        <w:rPr>
          <w:lang w:eastAsia="lv-LV"/>
        </w:rPr>
      </w:pPr>
      <w:r w:rsidRPr="002F5D9B">
        <w:rPr>
          <w:lang w:eastAsia="lv-LV"/>
        </w:rPr>
        <w:t>saimnieciskās darbības veicēju personisko zīmogu reģistrēšana;</w:t>
      </w:r>
    </w:p>
    <w:p w14:paraId="56A8DB79" w14:textId="70A8165E" w:rsidR="00BE627B" w:rsidRPr="002F5D9B" w:rsidRDefault="00BE627B" w:rsidP="00BE627B">
      <w:pPr>
        <w:pStyle w:val="ListParagraph"/>
        <w:numPr>
          <w:ilvl w:val="0"/>
          <w:numId w:val="7"/>
        </w:numPr>
        <w:ind w:left="268" w:hanging="268"/>
        <w:jc w:val="both"/>
        <w:rPr>
          <w:lang w:eastAsia="lv-LV"/>
        </w:rPr>
      </w:pPr>
      <w:r w:rsidRPr="002F5D9B">
        <w:rPr>
          <w:lang w:eastAsia="lv-LV"/>
        </w:rPr>
        <w:t>1972.gada 15.novembra Konvencijas par dārgmetālu izstrādājumu pārbaudi un zīmogošanu pilnva</w:t>
      </w:r>
      <w:r w:rsidR="004218BD">
        <w:rPr>
          <w:lang w:eastAsia="lv-LV"/>
        </w:rPr>
        <w:t>rotās iestādes uzdevumu izpilde.</w:t>
      </w:r>
    </w:p>
    <w:p w14:paraId="26F886C0" w14:textId="4DFA2EBB" w:rsidR="00BE627B" w:rsidRDefault="00BE627B" w:rsidP="00BE627B">
      <w:pPr>
        <w:ind w:firstLine="720"/>
        <w:rPr>
          <w:bCs/>
        </w:rPr>
      </w:pPr>
      <w:r w:rsidRPr="00084738">
        <w:t xml:space="preserve">Tāpat </w:t>
      </w:r>
      <w:r w:rsidRPr="002A7FA7">
        <w:t>Finanšu ministrijai</w:t>
      </w:r>
      <w:r>
        <w:t xml:space="preserve"> ar šā rīkojuma 3.punktu</w:t>
      </w:r>
      <w:r w:rsidRPr="00084738">
        <w:t xml:space="preserve"> tika uzdots</w:t>
      </w:r>
      <w:r w:rsidRPr="002A7FA7">
        <w:t xml:space="preserve"> līdz 2010.gada 31.decembrim izvērtēt </w:t>
      </w:r>
      <w:r w:rsidR="002B4DC3" w:rsidRPr="00076739">
        <w:rPr>
          <w:rFonts w:eastAsiaTheme="minorHAnsi" w:cstheme="minorBidi"/>
          <w:szCs w:val="22"/>
          <w:lang w:eastAsia="lv-LV"/>
        </w:rPr>
        <w:t>Valsts proves uzraudzības inspekcijas</w:t>
      </w:r>
      <w:r w:rsidR="002B4DC3">
        <w:rPr>
          <w:rFonts w:ascii="Arial" w:hAnsi="Arial" w:cs="Arial"/>
          <w:sz w:val="19"/>
          <w:szCs w:val="19"/>
        </w:rPr>
        <w:t xml:space="preserve"> </w:t>
      </w:r>
      <w:r w:rsidRPr="00084738">
        <w:t xml:space="preserve">deleģēto pārvaldes </w:t>
      </w:r>
      <w:r w:rsidRPr="002A7FA7">
        <w:t>uzdevumu nodošanu privātajam sektoram, pārdodot uzņēmuma kapitāla daļas vai izveidojot publiskās un privātās partnerības modeli, un finanšu ministram iesniegt noteiktā kārtībā Ministru kabinetā tiesību akta projektu par dārgakmeņu, dārgmetālu un to izstrādājumu testēšanas funkcijas nodošanu privātajam sektoram līdz 2011.gada 31.decembrim.</w:t>
      </w:r>
    </w:p>
    <w:p w14:paraId="27564CC4" w14:textId="77777777" w:rsidR="00BE627B" w:rsidRDefault="00BE627B" w:rsidP="00BE627B">
      <w:pPr>
        <w:ind w:firstLine="720"/>
        <w:rPr>
          <w:bCs/>
        </w:rPr>
      </w:pPr>
      <w:r w:rsidRPr="00084738">
        <w:t xml:space="preserve">Ar </w:t>
      </w:r>
      <w:r w:rsidRPr="002A7FA7">
        <w:rPr>
          <w:bCs/>
        </w:rPr>
        <w:t xml:space="preserve">Ministru kabineta </w:t>
      </w:r>
      <w:r w:rsidRPr="002A7FA7">
        <w:t>2009.gada 9.novembr</w:t>
      </w:r>
      <w:r w:rsidRPr="00084738">
        <w:t>a</w:t>
      </w:r>
      <w:r w:rsidRPr="002A7FA7">
        <w:t xml:space="preserve"> </w:t>
      </w:r>
      <w:r w:rsidRPr="002A7FA7">
        <w:rPr>
          <w:bCs/>
        </w:rPr>
        <w:t>rīkojum</w:t>
      </w:r>
      <w:r w:rsidRPr="00084738">
        <w:rPr>
          <w:bCs/>
        </w:rPr>
        <w:t>u</w:t>
      </w:r>
      <w:r w:rsidRPr="002A7FA7">
        <w:rPr>
          <w:bCs/>
        </w:rPr>
        <w:t xml:space="preserve"> Nr.762</w:t>
      </w:r>
      <w:r w:rsidRPr="00084738">
        <w:rPr>
          <w:bCs/>
        </w:rPr>
        <w:t xml:space="preserve"> </w:t>
      </w:r>
      <w:r w:rsidR="00CB2B68">
        <w:rPr>
          <w:bCs/>
        </w:rPr>
        <w:t>“</w:t>
      </w:r>
      <w:r w:rsidRPr="002A7FA7">
        <w:rPr>
          <w:bCs/>
        </w:rPr>
        <w:t xml:space="preserve">Par valsts sabiedrības ar ierobežotu atbildību </w:t>
      </w:r>
      <w:r>
        <w:rPr>
          <w:bCs/>
        </w:rPr>
        <w:t>“</w:t>
      </w:r>
      <w:r w:rsidRPr="002A7FA7">
        <w:rPr>
          <w:bCs/>
        </w:rPr>
        <w:t>Latvijas proves birojs</w:t>
      </w:r>
      <w:r>
        <w:rPr>
          <w:bCs/>
        </w:rPr>
        <w:t>”</w:t>
      </w:r>
      <w:r w:rsidRPr="002A7FA7">
        <w:rPr>
          <w:bCs/>
        </w:rPr>
        <w:t xml:space="preserve"> dibināšanu</w:t>
      </w:r>
      <w:r w:rsidRPr="00084738">
        <w:rPr>
          <w:bCs/>
        </w:rPr>
        <w:t xml:space="preserve">” tika nodibināta </w:t>
      </w:r>
      <w:r w:rsidRPr="00084738">
        <w:t xml:space="preserve">VSIA </w:t>
      </w:r>
      <w:r w:rsidR="00CB2B68">
        <w:t>“</w:t>
      </w:r>
      <w:r w:rsidRPr="00084738">
        <w:t xml:space="preserve">Latvijas Proves birojs” ar mērķi </w:t>
      </w:r>
      <w:r w:rsidRPr="002A7FA7">
        <w:t xml:space="preserve">nodrošināt valsts proves uzraudzību saskaņā ar likuma </w:t>
      </w:r>
      <w:r w:rsidR="00CB2B68">
        <w:t>“</w:t>
      </w:r>
      <w:hyperlink r:id="rId7" w:tgtFrame="_blank" w:history="1">
        <w:r w:rsidRPr="002A7FA7">
          <w:t>Par valsts proves uzraudzību</w:t>
        </w:r>
      </w:hyperlink>
      <w:r w:rsidR="00CB2B68">
        <w:t>”</w:t>
      </w:r>
      <w:r w:rsidRPr="002A7FA7">
        <w:t xml:space="preserve"> 5.pantu</w:t>
      </w:r>
      <w:r>
        <w:t>.</w:t>
      </w:r>
    </w:p>
    <w:p w14:paraId="34CBCCF3" w14:textId="77777777" w:rsidR="00BE627B" w:rsidRPr="000A1306" w:rsidRDefault="00BE627B" w:rsidP="00BE627B">
      <w:pPr>
        <w:ind w:firstLine="720"/>
        <w:rPr>
          <w:bCs/>
        </w:rPr>
      </w:pPr>
      <w:r>
        <w:t xml:space="preserve">Lai varētu veikt VSIA </w:t>
      </w:r>
      <w:r w:rsidR="00CB2B68">
        <w:t>“</w:t>
      </w:r>
      <w:r>
        <w:t xml:space="preserve">Latvijas Proves birojs” atsavināšanu, nododot valsts deleģētos pārvaldes uzdevumus privātajam komersantam, sākotnēji bija nepieciešams veikt grozījumus trīs VSIA </w:t>
      </w:r>
      <w:r w:rsidR="00CB2B68">
        <w:t>“</w:t>
      </w:r>
      <w:r>
        <w:t xml:space="preserve">Latvijas Proves biroja” darbību regulējošos tiesību aktos: likumā </w:t>
      </w:r>
      <w:r w:rsidR="00CB2B68">
        <w:t>“</w:t>
      </w:r>
      <w:r>
        <w:t xml:space="preserve">Par valsts proves uzraudzību”, Ķīmisko vielu likumā un likumā </w:t>
      </w:r>
      <w:r w:rsidR="00CB2B68">
        <w:t>“</w:t>
      </w:r>
      <w:r>
        <w:t>Par Konvenciju par dārgmetālu izstrādājumu pārbaudi uz zīmogošanu un tās grozījumiem”. Minēto likumu grozījumi paredzēja, ka:</w:t>
      </w:r>
    </w:p>
    <w:p w14:paraId="098266A4" w14:textId="49B57453" w:rsidR="00BE627B" w:rsidRPr="000A1306" w:rsidRDefault="00BE627B" w:rsidP="00BE627B">
      <w:pPr>
        <w:pStyle w:val="ListParagraph"/>
        <w:numPr>
          <w:ilvl w:val="0"/>
          <w:numId w:val="1"/>
        </w:numPr>
        <w:ind w:left="284" w:hanging="284"/>
        <w:jc w:val="both"/>
      </w:pPr>
      <w:r w:rsidRPr="000A1306">
        <w:t xml:space="preserve">Likumā </w:t>
      </w:r>
      <w:r w:rsidR="00CB2B68">
        <w:t>“</w:t>
      </w:r>
      <w:r w:rsidRPr="000A1306">
        <w:t xml:space="preserve">Par valsts proves uzraudzību” </w:t>
      </w:r>
      <w:r w:rsidR="00323EE2">
        <w:t>-</w:t>
      </w:r>
      <w:r w:rsidRPr="000A1306">
        <w:t xml:space="preserve"> valsts pārvaldes uzdevumu pārdali starp VSIA </w:t>
      </w:r>
      <w:r w:rsidR="009917B1">
        <w:t>“</w:t>
      </w:r>
      <w:r w:rsidRPr="000A1306">
        <w:t xml:space="preserve">Latvijas Proves birojs” un Valsts ieņēmumu dienestu (VID), nododot VID valsts pārvaldes </w:t>
      </w:r>
      <w:r w:rsidRPr="000A1306">
        <w:lastRenderedPageBreak/>
        <w:t xml:space="preserve">uzdevumu </w:t>
      </w:r>
      <w:r w:rsidR="00323EE2">
        <w:t>-</w:t>
      </w:r>
      <w:r w:rsidRPr="000A1306">
        <w:t xml:space="preserve"> dārgmetālu, dārgakmeņu un to izstrādājumu marķēšanas, obligātās provēšanas, uzglabāšanas un preču drošuma pārbaužu veikšanu vietās, kur notiek saimnieciskā darbība ar dārgmetāliem, dārgakmeņiem un to izstrādājumiem.</w:t>
      </w:r>
    </w:p>
    <w:p w14:paraId="6AA84551" w14:textId="267BD3E3" w:rsidR="00BE627B" w:rsidRPr="000A1306" w:rsidRDefault="002B4DC3" w:rsidP="00BE627B">
      <w:pPr>
        <w:pStyle w:val="ListParagraph"/>
        <w:numPr>
          <w:ilvl w:val="0"/>
          <w:numId w:val="1"/>
        </w:numPr>
        <w:ind w:left="284" w:hanging="284"/>
        <w:jc w:val="both"/>
      </w:pPr>
      <w:r>
        <w:t>L</w:t>
      </w:r>
      <w:r w:rsidR="00BE627B" w:rsidRPr="000A1306">
        <w:t xml:space="preserve">ikumā </w:t>
      </w:r>
      <w:r w:rsidR="00CB2B68">
        <w:t>“</w:t>
      </w:r>
      <w:r w:rsidR="00BE627B" w:rsidRPr="000A1306">
        <w:t xml:space="preserve">Par Konvenciju par dārgmetālu izstrādājumu pārbaudi uz zīmogošanu un tās grozījumiem” </w:t>
      </w:r>
      <w:r w:rsidR="00323EE2">
        <w:t>-</w:t>
      </w:r>
      <w:r w:rsidR="00BE627B" w:rsidRPr="000A1306">
        <w:t xml:space="preserve"> precizēt pilnvarotās iestādes Konvencijas par dārgmetālu izstrādājumu pārbaudi un zīmogošanu tās 1988.gada 18.maija redakcijā 5.panta 1.punktā noteikto uzdevumu izpildei </w:t>
      </w:r>
      <w:r w:rsidR="00323EE2">
        <w:t>-</w:t>
      </w:r>
      <w:r w:rsidR="00BE627B" w:rsidRPr="000A1306">
        <w:t xml:space="preserve"> </w:t>
      </w:r>
      <w:r w:rsidR="00CB2B68">
        <w:t>“</w:t>
      </w:r>
      <w:r w:rsidR="00BE627B" w:rsidRPr="000A1306">
        <w:t xml:space="preserve">Latvijas Proves birojs” </w:t>
      </w:r>
      <w:r w:rsidR="00323EE2">
        <w:t>-</w:t>
      </w:r>
      <w:r w:rsidR="00BE627B" w:rsidRPr="000A1306">
        <w:t xml:space="preserve"> juridisko statusu, izslēdzot no likuma tekstu vārdu „valsts”.</w:t>
      </w:r>
    </w:p>
    <w:p w14:paraId="547826EA" w14:textId="7BF0D716" w:rsidR="00BE627B" w:rsidRPr="000A1306" w:rsidRDefault="00BE627B" w:rsidP="00BE627B">
      <w:pPr>
        <w:pStyle w:val="ListParagraph"/>
        <w:numPr>
          <w:ilvl w:val="0"/>
          <w:numId w:val="1"/>
        </w:numPr>
        <w:ind w:left="284" w:hanging="284"/>
        <w:jc w:val="both"/>
      </w:pPr>
      <w:r w:rsidRPr="000A1306">
        <w:t xml:space="preserve">Ķīmisko vielu likumā </w:t>
      </w:r>
      <w:r w:rsidR="00323EE2">
        <w:t>-</w:t>
      </w:r>
      <w:r w:rsidRPr="000A1306">
        <w:t xml:space="preserve"> ka turpmāk dārgmetālu, dārgakmeņu un to izstrādājumu kontroli veic VID.</w:t>
      </w:r>
    </w:p>
    <w:p w14:paraId="2079CDD4" w14:textId="46E32C08" w:rsidR="00BE627B" w:rsidRDefault="00BE627B" w:rsidP="00C77E2D">
      <w:pPr>
        <w:spacing w:after="120"/>
        <w:ind w:firstLine="720"/>
      </w:pPr>
      <w:r>
        <w:t xml:space="preserve">Iepriekšminēto tiesību aktu grozījumu projekti 2012.gada 2.martā tika iesniegti Valsts kancelejā, un to tālāka virzība tika atlikta līdz brīdim, kad tiks pabeigta VSIA </w:t>
      </w:r>
      <w:r w:rsidR="00CB2B68">
        <w:t>“</w:t>
      </w:r>
      <w:r>
        <w:t xml:space="preserve">Latvijas Proves birojs” izvērtēšana atbilstoši Ministru kabineta rīkojumiem un Publisko personu komercdarbības koncepcijai. Pēc kapitālsabiedrības izvērtēšanas un tiesību aktu grozījumu pieņemšanas tika plānots VSIA </w:t>
      </w:r>
      <w:r w:rsidR="00CB2B68">
        <w:t>“</w:t>
      </w:r>
      <w:r>
        <w:t xml:space="preserve">Latvijas Proves birojs” kapitāla daļas atsavināt AS </w:t>
      </w:r>
      <w:r w:rsidR="00CB2B68">
        <w:t>“</w:t>
      </w:r>
      <w:r>
        <w:t xml:space="preserve">Privatizācijas aģentūra”, lai tā tālāk atbilstoši savai kompetencei organizētu valsts kapitāla daļu atsavināšanu, un vienu no VSIA </w:t>
      </w:r>
      <w:r w:rsidR="009917B1">
        <w:t>“</w:t>
      </w:r>
      <w:r>
        <w:t>Latvijas Proves birojs” valsts pārvaldes uzdevumiem nodotu VID.</w:t>
      </w:r>
    </w:p>
    <w:p w14:paraId="7BDA0A4A" w14:textId="77777777" w:rsidR="00BE627B" w:rsidRDefault="00BE627B" w:rsidP="00BE627B">
      <w:pPr>
        <w:ind w:firstLine="720"/>
      </w:pPr>
      <w:r>
        <w:t>Pēc Ministru kabineta uzdevumu saņemšanas un</w:t>
      </w:r>
      <w:r w:rsidR="002B4DC3">
        <w:t>,</w:t>
      </w:r>
      <w:r>
        <w:t xml:space="preserve"> lai izvērtētu VSIA </w:t>
      </w:r>
      <w:r w:rsidR="00CB2B68">
        <w:t>“</w:t>
      </w:r>
      <w:r>
        <w:t>Latvijas Proves birojs” kapitāla daļu atsavināšanas lietderību, Finanšu ministrijai kā VSIA “Latvijas Proves birojs” kapitāla daļu turētājam bija būtiski atbildēt uz diviem jautājumiem:</w:t>
      </w:r>
    </w:p>
    <w:p w14:paraId="76C9B5A3" w14:textId="77777777" w:rsidR="00BE627B" w:rsidRPr="000A1306" w:rsidRDefault="00BE627B" w:rsidP="00BE627B">
      <w:pPr>
        <w:pStyle w:val="ListParagraph"/>
        <w:numPr>
          <w:ilvl w:val="0"/>
          <w:numId w:val="9"/>
        </w:numPr>
        <w:ind w:left="284" w:hanging="284"/>
        <w:jc w:val="both"/>
        <w:rPr>
          <w:b/>
        </w:rPr>
      </w:pPr>
      <w:r w:rsidRPr="002F5D9B">
        <w:t xml:space="preserve">vai ir iespējama VSIA </w:t>
      </w:r>
      <w:r w:rsidR="00CB2B68">
        <w:t>“</w:t>
      </w:r>
      <w:r w:rsidRPr="002F5D9B">
        <w:t xml:space="preserve">Latvijas Proves birojs” kapitāla daļu atsavināšana privātajam komersantam, nodrošinot proves iestādes pilnīgu neatkarību atbilstoši Konvencijā par dārgmetālu izstrādājumu pārbaudi un zīmogošanu noteiktajam, kas nosaka, ka proves pārbaudes iestādei ir izvirzītas </w:t>
      </w:r>
      <w:r w:rsidRPr="000A1306">
        <w:t>šādas prasības:</w:t>
      </w:r>
    </w:p>
    <w:p w14:paraId="334A18B0" w14:textId="77777777" w:rsidR="00BE627B" w:rsidRPr="000A1306" w:rsidRDefault="00BE627B" w:rsidP="00BE627B">
      <w:pPr>
        <w:pStyle w:val="ListParagraph"/>
        <w:numPr>
          <w:ilvl w:val="0"/>
          <w:numId w:val="8"/>
        </w:numPr>
        <w:jc w:val="both"/>
      </w:pPr>
      <w:r w:rsidRPr="000A1306">
        <w:t>tai ir atbilstoši darbinieki, kā arī nepieciešamie līdzekļi un aprīkojums;</w:t>
      </w:r>
    </w:p>
    <w:p w14:paraId="3CA1F61F" w14:textId="77777777" w:rsidR="00BE627B" w:rsidRPr="000A1306" w:rsidRDefault="00BE627B" w:rsidP="00BE627B">
      <w:pPr>
        <w:pStyle w:val="ListParagraph"/>
        <w:numPr>
          <w:ilvl w:val="0"/>
          <w:numId w:val="8"/>
        </w:numPr>
        <w:jc w:val="both"/>
      </w:pPr>
      <w:r w:rsidRPr="000A1306">
        <w:t>tās darbiniekiem piemīt tehniskā kompetence un profesionālais godīgums;</w:t>
      </w:r>
    </w:p>
    <w:p w14:paraId="2C6BE977" w14:textId="614EBBA5" w:rsidR="00BE627B" w:rsidRPr="000A1306" w:rsidRDefault="00B41D3A" w:rsidP="00BE627B">
      <w:pPr>
        <w:pStyle w:val="ListParagraph"/>
        <w:numPr>
          <w:ilvl w:val="0"/>
          <w:numId w:val="8"/>
        </w:numPr>
        <w:jc w:val="both"/>
      </w:pPr>
      <w:r>
        <w:t>tā</w:t>
      </w:r>
      <w:r w:rsidR="00BE627B" w:rsidRPr="000A1306">
        <w:t>s vadības pārstāvjiem un tehniskajiem darbiniekiem jābūt neatkarīgiem no jebkādām attiecīgajā jomā tieši vai netieši ieinteresētajām aprindām, grupējumiem vai personām;</w:t>
      </w:r>
    </w:p>
    <w:p w14:paraId="42E84AC7" w14:textId="1993EC89" w:rsidR="00BE627B" w:rsidRPr="000A1306" w:rsidRDefault="00B41D3A" w:rsidP="00BE627B">
      <w:pPr>
        <w:pStyle w:val="ListParagraph"/>
        <w:numPr>
          <w:ilvl w:val="0"/>
          <w:numId w:val="8"/>
        </w:numPr>
        <w:jc w:val="both"/>
      </w:pPr>
      <w:r>
        <w:t xml:space="preserve">tās </w:t>
      </w:r>
      <w:r w:rsidR="00BE627B" w:rsidRPr="000A1306">
        <w:t>darbinieki nedrīkst izpaust dienesta noslēpumus</w:t>
      </w:r>
      <w:r w:rsidR="002B4DC3">
        <w:t>;</w:t>
      </w:r>
    </w:p>
    <w:p w14:paraId="6489983F" w14:textId="77777777" w:rsidR="00BE627B" w:rsidRPr="000A1306" w:rsidRDefault="00BE627B" w:rsidP="00BE627B">
      <w:pPr>
        <w:pStyle w:val="ListParagraph"/>
        <w:numPr>
          <w:ilvl w:val="0"/>
          <w:numId w:val="9"/>
        </w:numPr>
        <w:ind w:left="284" w:hanging="284"/>
        <w:jc w:val="both"/>
      </w:pPr>
      <w:r w:rsidRPr="000A1306">
        <w:t>vai VID, pieņemot valsts pārvaldes uzdevumu, spēs nodrošināt valsts pārvaldes uzdevuma (tirgus uzraudzības un kontrole) nepārtrauktību, pēctecību un kvalitāti, un vai šāda uzdevuma pildīšanai VID būs pieejami budžeta līdzekļi.</w:t>
      </w:r>
    </w:p>
    <w:p w14:paraId="304416CF" w14:textId="77777777" w:rsidR="00BE627B" w:rsidRDefault="00BE627B" w:rsidP="00BE627B">
      <w:pPr>
        <w:ind w:firstLine="720"/>
      </w:pPr>
      <w:r w:rsidRPr="000A1306">
        <w:t>Sniedzot atbildi uz pirmo jautājumu</w:t>
      </w:r>
      <w:r>
        <w:t xml:space="preserve">, atbilstoši </w:t>
      </w:r>
      <w:r w:rsidRPr="000B541D">
        <w:t>Konvencij</w:t>
      </w:r>
      <w:r>
        <w:t xml:space="preserve">as </w:t>
      </w:r>
      <w:r w:rsidRPr="000B541D">
        <w:t>par dārgmetālu izstrādājumu pārbaudi un zīmogošanu</w:t>
      </w:r>
      <w:r>
        <w:t xml:space="preserve"> prasībām, VSIA “Latvijas Proves birojs” kapitāla daļas būtu atsavināmas tādam privātajam komersantam, kas savā darbībā būtu neatkarīgs (nebūtu saistīts ar ražošanu, tirdzniecību vai tamlīdzīgām jomām un pakalpojumiem) un būtu tehniski nodrošināts un kompetents. Tādi tirgus dalībnieki Eiropā pastāv, l</w:t>
      </w:r>
      <w:r>
        <w:rPr>
          <w:rFonts w:eastAsia="Calibri"/>
        </w:rPr>
        <w:t>īdz ar to, no tiesiskā viedokļa ir iespējama sabiedrības kapitāla daļu atsavināšana.</w:t>
      </w:r>
    </w:p>
    <w:p w14:paraId="3F2BDDA3" w14:textId="77777777" w:rsidR="00BE627B" w:rsidRDefault="00BE627B" w:rsidP="00BE627B">
      <w:pPr>
        <w:ind w:firstLine="720"/>
      </w:pPr>
      <w:r w:rsidRPr="000A1306">
        <w:t>Sniedzot atbildi uz otro jautājumu</w:t>
      </w:r>
      <w:r>
        <w:t xml:space="preserve">, Finanšu ministrija konstatēja, ka VID, pārņemot valsts pārvaldes uzdevumu, būtu atbildīgs par proves tirgus dalībnieku uzraudzību un dārgmetālu, dārgakmeņu un to izstrādājumu marķēšanas, obligātās provēšanas, uzglabāšanas un preču drošuma prasību kontroli visā valstī. Tas nozīmē, ka šī uzdevuma izpildei VID būtu nepieciešams piesaistīt papildu budžeta līdzekļus </w:t>
      </w:r>
      <w:r w:rsidRPr="008415B3">
        <w:t xml:space="preserve">kapitālieguldījumu veikšanai un cilvēkresursus </w:t>
      </w:r>
      <w:r>
        <w:t>piesaistei</w:t>
      </w:r>
      <w:r w:rsidRPr="008415B3">
        <w:t>. Lai risinātu šo situāciju un atrastu efektīvāko uzraudzības un kontroles mehānismu, Finanšu ministrija</w:t>
      </w:r>
      <w:r>
        <w:t xml:space="preserve"> uzsāka finansiālo risku izvērtēšanu, k</w:t>
      </w:r>
      <w:r w:rsidRPr="00E211FE">
        <w:t xml:space="preserve">as saistīts ar VSIA </w:t>
      </w:r>
      <w:r w:rsidR="009917B1">
        <w:t>“</w:t>
      </w:r>
      <w:r w:rsidRPr="00E211FE">
        <w:t>Latvijas Proves birojs” valsts pārvaldes uzdevuma nodošanu VID</w:t>
      </w:r>
      <w:r>
        <w:t xml:space="preserve">. </w:t>
      </w:r>
    </w:p>
    <w:p w14:paraId="10E29946" w14:textId="1A68AFA7" w:rsidR="00BE627B" w:rsidRDefault="00BE627B" w:rsidP="00BE627B">
      <w:pPr>
        <w:ind w:firstLine="720"/>
      </w:pPr>
      <w:r w:rsidRPr="008415B3">
        <w:t xml:space="preserve">VSIA </w:t>
      </w:r>
      <w:r w:rsidR="009917B1">
        <w:t>“</w:t>
      </w:r>
      <w:r w:rsidRPr="008415B3">
        <w:t>Latvijas Proves birojs”</w:t>
      </w:r>
      <w:r>
        <w:t xml:space="preserve"> darbība nav pieskaitāma valsts stratēģiskām attīstības vai drošības jomām, taču tā ir virzīta uz patērētāju tiesību aizsardzību, preču drošuma nodrošināšanu, godīgas konkurences nodrošināšanas, eksporta un tirgus attīstības veicināšanu. </w:t>
      </w:r>
      <w:r>
        <w:lastRenderedPageBreak/>
        <w:t>Kapitālsabiedrības sniegtie pakalpojumi atvieglo preču eksportu uz citām valstīm, sniedz garantijas veicot finanšu ieguldījumus dārgmetālos, dārgakmeņos, kā arī veicina sabiedrības uzticamību dārgmetālu tirdzniecības sistēmai.</w:t>
      </w:r>
      <w:r w:rsidRPr="005872DB">
        <w:t xml:space="preserve"> </w:t>
      </w:r>
      <w:r>
        <w:t xml:space="preserve">Patlaban to visu pilnā apmērā par saviem budžeta līdzekļiem nodrošina </w:t>
      </w:r>
      <w:r w:rsidRPr="008415B3">
        <w:t xml:space="preserve">VSIA </w:t>
      </w:r>
      <w:r w:rsidR="00CB2B68">
        <w:t>“</w:t>
      </w:r>
      <w:r w:rsidRPr="008415B3">
        <w:t>Latvijas Proves birojs”</w:t>
      </w:r>
      <w:r>
        <w:t xml:space="preserve">, bet no valsts budžeta </w:t>
      </w:r>
      <w:r w:rsidR="003A4A16">
        <w:t>tiek saņemts finansējums</w:t>
      </w:r>
      <w:r>
        <w:t xml:space="preserve"> 35 572 EUR</w:t>
      </w:r>
      <w:r w:rsidR="00B41D3A">
        <w:t xml:space="preserve"> </w:t>
      </w:r>
      <w:r w:rsidR="003A4A16">
        <w:t xml:space="preserve">apmērā </w:t>
      </w:r>
      <w:r w:rsidR="00B41D3A">
        <w:t>(20</w:t>
      </w:r>
      <w:r w:rsidR="00AE216D">
        <w:t>09</w:t>
      </w:r>
      <w:r w:rsidR="00B41D3A">
        <w:t xml:space="preserve">.gadā šis finansējums </w:t>
      </w:r>
      <w:r w:rsidR="00AE216D">
        <w:t>bija 105 500 EUR apmērā)</w:t>
      </w:r>
      <w:r w:rsidR="00B41D3A">
        <w:t>.</w:t>
      </w:r>
      <w:r w:rsidR="003A4A16">
        <w:t xml:space="preserve"> </w:t>
      </w:r>
      <w:r w:rsidR="003A4A16" w:rsidRPr="008415B3">
        <w:t xml:space="preserve">VSIA </w:t>
      </w:r>
      <w:r w:rsidR="003A4A16">
        <w:t>“</w:t>
      </w:r>
      <w:r w:rsidR="003A4A16" w:rsidRPr="008415B3">
        <w:t>Latvijas Proves birojs”</w:t>
      </w:r>
      <w:r w:rsidR="003A4A16">
        <w:t xml:space="preserve"> ikgadējo izdevumu </w:t>
      </w:r>
      <w:r w:rsidR="00D11B88">
        <w:t>(atalgojums, VSAOI, k</w:t>
      </w:r>
      <w:r w:rsidR="00D11B88" w:rsidRPr="00CD664A">
        <w:rPr>
          <w:color w:val="000000"/>
        </w:rPr>
        <w:t>ārtējie izdevumi</w:t>
      </w:r>
      <w:r w:rsidR="00D11B88">
        <w:rPr>
          <w:color w:val="000000"/>
        </w:rPr>
        <w:t xml:space="preserve"> </w:t>
      </w:r>
      <w:r w:rsidR="00D11B88" w:rsidRPr="00CD664A">
        <w:rPr>
          <w:color w:val="000000"/>
        </w:rPr>
        <w:t>(īre, komunālie, transporta, sakari materiāli ekspertīžu veikšanai, apmācība)</w:t>
      </w:r>
      <w:r w:rsidR="00D11B88">
        <w:rPr>
          <w:color w:val="000000"/>
        </w:rPr>
        <w:t xml:space="preserve"> </w:t>
      </w:r>
      <w:r w:rsidR="004218BD">
        <w:t xml:space="preserve">un 2014.gada sešu mēnešu ieņēmumu </w:t>
      </w:r>
      <w:r w:rsidR="003A4A16">
        <w:t>atšifrējums atspoguļots informatīvā ziņojuma 1.</w:t>
      </w:r>
      <w:r w:rsidR="004218BD">
        <w:t xml:space="preserve"> un 2.</w:t>
      </w:r>
      <w:r w:rsidR="003A4A16">
        <w:t>tabulā.</w:t>
      </w:r>
    </w:p>
    <w:p w14:paraId="73FF90F7" w14:textId="77777777" w:rsidR="003A4A16" w:rsidRPr="003A4A16" w:rsidRDefault="003A4A16" w:rsidP="003A4A16">
      <w:pPr>
        <w:pStyle w:val="ListParagraph"/>
        <w:ind w:left="0"/>
        <w:contextualSpacing w:val="0"/>
        <w:jc w:val="right"/>
        <w:rPr>
          <w:sz w:val="20"/>
          <w:szCs w:val="20"/>
        </w:rPr>
      </w:pPr>
      <w:r w:rsidRPr="003A4A16">
        <w:rPr>
          <w:sz w:val="20"/>
          <w:szCs w:val="20"/>
        </w:rPr>
        <w:t>1.tabula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7"/>
        <w:gridCol w:w="2500"/>
      </w:tblGrid>
      <w:tr w:rsidR="00D11B88" w14:paraId="5AEF7DE3" w14:textId="77777777" w:rsidTr="00D11B88">
        <w:trPr>
          <w:trHeight w:val="386"/>
          <w:jc w:val="center"/>
        </w:trPr>
        <w:tc>
          <w:tcPr>
            <w:tcW w:w="5807" w:type="dxa"/>
            <w:shd w:val="clear" w:color="auto" w:fill="B4C6E7" w:themeFill="accent5" w:themeFillTint="66"/>
            <w:tcMar>
              <w:top w:w="0" w:type="dxa"/>
              <w:left w:w="108" w:type="dxa"/>
              <w:bottom w:w="0" w:type="dxa"/>
              <w:right w:w="108" w:type="dxa"/>
            </w:tcMar>
            <w:vAlign w:val="center"/>
            <w:hideMark/>
          </w:tcPr>
          <w:p w14:paraId="7B2A1772" w14:textId="77777777" w:rsidR="00D11B88" w:rsidRDefault="00D11B88" w:rsidP="00D11B88">
            <w:pPr>
              <w:jc w:val="center"/>
              <w:rPr>
                <w:b/>
                <w:bCs/>
              </w:rPr>
            </w:pPr>
            <w:r>
              <w:rPr>
                <w:b/>
                <w:bCs/>
              </w:rPr>
              <w:t>Pārvaldes uzdevums</w:t>
            </w:r>
          </w:p>
        </w:tc>
        <w:tc>
          <w:tcPr>
            <w:tcW w:w="2500" w:type="dxa"/>
            <w:shd w:val="clear" w:color="auto" w:fill="B4C6E7" w:themeFill="accent5" w:themeFillTint="66"/>
            <w:tcMar>
              <w:top w:w="0" w:type="dxa"/>
              <w:left w:w="108" w:type="dxa"/>
              <w:bottom w:w="0" w:type="dxa"/>
              <w:right w:w="108" w:type="dxa"/>
            </w:tcMar>
            <w:vAlign w:val="center"/>
            <w:hideMark/>
          </w:tcPr>
          <w:p w14:paraId="18D26814" w14:textId="77777777" w:rsidR="00D11B88" w:rsidRDefault="00D11B88" w:rsidP="00D11B88">
            <w:pPr>
              <w:jc w:val="center"/>
              <w:rPr>
                <w:b/>
                <w:bCs/>
              </w:rPr>
            </w:pPr>
            <w:r>
              <w:rPr>
                <w:b/>
                <w:bCs/>
              </w:rPr>
              <w:t>Izmaksas, EUR/gadā</w:t>
            </w:r>
          </w:p>
        </w:tc>
      </w:tr>
      <w:tr w:rsidR="00D11B88" w14:paraId="555D4B76" w14:textId="77777777" w:rsidTr="00D11B88">
        <w:trPr>
          <w:trHeight w:val="1227"/>
          <w:jc w:val="center"/>
        </w:trPr>
        <w:tc>
          <w:tcPr>
            <w:tcW w:w="5807" w:type="dxa"/>
            <w:tcMar>
              <w:top w:w="0" w:type="dxa"/>
              <w:left w:w="108" w:type="dxa"/>
              <w:bottom w:w="0" w:type="dxa"/>
              <w:right w:w="108" w:type="dxa"/>
            </w:tcMar>
            <w:vAlign w:val="center"/>
            <w:hideMark/>
          </w:tcPr>
          <w:p w14:paraId="6AC99176" w14:textId="11A0668F" w:rsidR="00D11B88" w:rsidRDefault="00D11B88" w:rsidP="00D11B88">
            <w:pPr>
              <w:jc w:val="left"/>
            </w:pPr>
            <w:r>
              <w:rPr>
                <w:color w:val="000000"/>
                <w:lang w:eastAsia="lv-LV"/>
              </w:rPr>
              <w:t>Vietu reģistrācija, kur tiek veikta saimnieciskā darbība ar dārgmetāliem, dārgakmeņiem un to izstrādājumiem, un dārgmetālu izstrādājumu izgatavotāju personiskos zīmogus</w:t>
            </w:r>
          </w:p>
        </w:tc>
        <w:tc>
          <w:tcPr>
            <w:tcW w:w="2500" w:type="dxa"/>
            <w:tcMar>
              <w:top w:w="0" w:type="dxa"/>
              <w:left w:w="108" w:type="dxa"/>
              <w:bottom w:w="0" w:type="dxa"/>
              <w:right w:w="108" w:type="dxa"/>
            </w:tcMar>
            <w:vAlign w:val="center"/>
            <w:hideMark/>
          </w:tcPr>
          <w:p w14:paraId="51DE39D4" w14:textId="77777777" w:rsidR="00D11B88" w:rsidRDefault="00D11B88" w:rsidP="00D11B88">
            <w:pPr>
              <w:jc w:val="center"/>
            </w:pPr>
            <w:r>
              <w:t>3621</w:t>
            </w:r>
          </w:p>
        </w:tc>
      </w:tr>
      <w:tr w:rsidR="00D11B88" w14:paraId="68C78808" w14:textId="77777777" w:rsidTr="00D11B88">
        <w:trPr>
          <w:trHeight w:val="1840"/>
          <w:jc w:val="center"/>
        </w:trPr>
        <w:tc>
          <w:tcPr>
            <w:tcW w:w="5807" w:type="dxa"/>
            <w:tcMar>
              <w:top w:w="0" w:type="dxa"/>
              <w:left w:w="108" w:type="dxa"/>
              <w:bottom w:w="0" w:type="dxa"/>
              <w:right w:w="108" w:type="dxa"/>
            </w:tcMar>
            <w:vAlign w:val="center"/>
            <w:hideMark/>
          </w:tcPr>
          <w:p w14:paraId="5B9ABF11" w14:textId="5FEA10E6" w:rsidR="00D11B88" w:rsidRDefault="00D11B88" w:rsidP="00D11B88">
            <w:pPr>
              <w:jc w:val="left"/>
            </w:pPr>
            <w:r>
              <w:rPr>
                <w:color w:val="000000"/>
                <w:lang w:eastAsia="lv-LV"/>
              </w:rPr>
              <w:t>Vietu pārbaudes, kur tiek veikta saimnieciskā darbība ar dārgmetāliem, dārgakmeņiem un to izstrādājumiem, un sastāda administratīvā pārkāpuma protokolu par konstatētajiem pārkāpumiem dārgmetālu, dārgakmeņu un to izstrādājumu marķēšanas, obligātās provēšanas, uzglabāšanas un preču drošuma prasību ievērošanā</w:t>
            </w:r>
          </w:p>
        </w:tc>
        <w:tc>
          <w:tcPr>
            <w:tcW w:w="2500" w:type="dxa"/>
            <w:tcMar>
              <w:top w:w="0" w:type="dxa"/>
              <w:left w:w="108" w:type="dxa"/>
              <w:bottom w:w="0" w:type="dxa"/>
              <w:right w:w="108" w:type="dxa"/>
            </w:tcMar>
            <w:vAlign w:val="center"/>
            <w:hideMark/>
          </w:tcPr>
          <w:p w14:paraId="5AA0E03E" w14:textId="77777777" w:rsidR="00D11B88" w:rsidRDefault="00D11B88" w:rsidP="00D11B88">
            <w:pPr>
              <w:jc w:val="center"/>
            </w:pPr>
            <w:r>
              <w:t>21642</w:t>
            </w:r>
          </w:p>
        </w:tc>
      </w:tr>
      <w:tr w:rsidR="00D11B88" w14:paraId="286202B5" w14:textId="77777777" w:rsidTr="00D11B88">
        <w:trPr>
          <w:trHeight w:val="704"/>
          <w:jc w:val="center"/>
        </w:trPr>
        <w:tc>
          <w:tcPr>
            <w:tcW w:w="5807" w:type="dxa"/>
            <w:tcMar>
              <w:top w:w="0" w:type="dxa"/>
              <w:left w:w="108" w:type="dxa"/>
              <w:bottom w:w="0" w:type="dxa"/>
              <w:right w:w="108" w:type="dxa"/>
            </w:tcMar>
            <w:vAlign w:val="center"/>
            <w:hideMark/>
          </w:tcPr>
          <w:p w14:paraId="1511678A" w14:textId="77777777" w:rsidR="00D11B88" w:rsidRDefault="00D11B88" w:rsidP="00D11B88">
            <w:pPr>
              <w:jc w:val="left"/>
            </w:pPr>
            <w:r>
              <w:rPr>
                <w:color w:val="000000"/>
                <w:lang w:eastAsia="lv-LV"/>
              </w:rPr>
              <w:t>Dārgmetālu un dārgakmeņu izstrādājumu atbilstības preču drošuma prasībām novērtēšana</w:t>
            </w:r>
          </w:p>
        </w:tc>
        <w:tc>
          <w:tcPr>
            <w:tcW w:w="2500" w:type="dxa"/>
            <w:tcMar>
              <w:top w:w="0" w:type="dxa"/>
              <w:left w:w="108" w:type="dxa"/>
              <w:bottom w:w="0" w:type="dxa"/>
              <w:right w:w="108" w:type="dxa"/>
            </w:tcMar>
            <w:vAlign w:val="center"/>
            <w:hideMark/>
          </w:tcPr>
          <w:p w14:paraId="57BDD35A" w14:textId="77777777" w:rsidR="00D11B88" w:rsidRDefault="00D11B88" w:rsidP="00D11B88">
            <w:pPr>
              <w:jc w:val="center"/>
            </w:pPr>
            <w:r>
              <w:t>25737</w:t>
            </w:r>
          </w:p>
        </w:tc>
      </w:tr>
    </w:tbl>
    <w:p w14:paraId="530E9984" w14:textId="77777777" w:rsidR="00D11B88" w:rsidRDefault="00D11B88" w:rsidP="00D11B88">
      <w:pPr>
        <w:rPr>
          <w:rFonts w:ascii="Calibri" w:eastAsiaTheme="minorHAnsi" w:hAnsi="Calibri"/>
          <w:color w:val="000000"/>
          <w:sz w:val="22"/>
          <w:szCs w:val="22"/>
        </w:rPr>
      </w:pPr>
    </w:p>
    <w:p w14:paraId="7C239CE4" w14:textId="77777777" w:rsidR="003A4A16" w:rsidRDefault="003A4A16" w:rsidP="00E36722">
      <w:pPr>
        <w:ind w:firstLine="720"/>
      </w:pPr>
    </w:p>
    <w:p w14:paraId="43840BEA" w14:textId="4E1CA47C" w:rsidR="004218BD" w:rsidRPr="004218BD" w:rsidRDefault="004218BD" w:rsidP="004218BD">
      <w:pPr>
        <w:ind w:firstLine="720"/>
        <w:jc w:val="right"/>
        <w:rPr>
          <w:sz w:val="20"/>
        </w:rPr>
      </w:pPr>
      <w:r w:rsidRPr="004218BD">
        <w:rPr>
          <w:sz w:val="20"/>
        </w:rPr>
        <w:t>2.tabula</w:t>
      </w:r>
    </w:p>
    <w:tbl>
      <w:tblPr>
        <w:tblStyle w:val="TableGrid"/>
        <w:tblW w:w="0" w:type="auto"/>
        <w:tblLook w:val="04A0" w:firstRow="1" w:lastRow="0" w:firstColumn="1" w:lastColumn="0" w:noHBand="0" w:noVBand="1"/>
      </w:tblPr>
      <w:tblGrid>
        <w:gridCol w:w="6378"/>
        <w:gridCol w:w="1257"/>
        <w:gridCol w:w="1426"/>
      </w:tblGrid>
      <w:tr w:rsidR="004218BD" w:rsidRPr="00E57871" w14:paraId="61A97B7A" w14:textId="77777777" w:rsidTr="00462FF0">
        <w:trPr>
          <w:trHeight w:val="438"/>
        </w:trPr>
        <w:tc>
          <w:tcPr>
            <w:tcW w:w="6658" w:type="dxa"/>
            <w:shd w:val="clear" w:color="auto" w:fill="B4C6E7" w:themeFill="accent5" w:themeFillTint="66"/>
            <w:vAlign w:val="center"/>
          </w:tcPr>
          <w:p w14:paraId="094E6F5E" w14:textId="1D233709" w:rsidR="004218BD" w:rsidRPr="00E57871" w:rsidRDefault="004218BD" w:rsidP="00E57871">
            <w:pPr>
              <w:spacing w:before="60" w:after="60"/>
              <w:jc w:val="center"/>
              <w:rPr>
                <w:b/>
                <w:color w:val="000000"/>
                <w:szCs w:val="24"/>
              </w:rPr>
            </w:pPr>
            <w:r w:rsidRPr="00E57871">
              <w:rPr>
                <w:b/>
                <w:szCs w:val="24"/>
              </w:rPr>
              <w:t>2014.gada sešu mēnešu ieņēmumu atšifrējums</w:t>
            </w:r>
          </w:p>
        </w:tc>
        <w:tc>
          <w:tcPr>
            <w:tcW w:w="1275" w:type="dxa"/>
            <w:shd w:val="clear" w:color="auto" w:fill="B4C6E7" w:themeFill="accent5" w:themeFillTint="66"/>
            <w:vAlign w:val="center"/>
          </w:tcPr>
          <w:p w14:paraId="2113125C" w14:textId="6B0317A1" w:rsidR="004218BD" w:rsidRPr="00E57871" w:rsidRDefault="004218BD" w:rsidP="00E57871">
            <w:pPr>
              <w:spacing w:before="60" w:after="60"/>
              <w:jc w:val="center"/>
              <w:rPr>
                <w:b/>
                <w:color w:val="000000"/>
                <w:szCs w:val="24"/>
              </w:rPr>
            </w:pPr>
            <w:r w:rsidRPr="00E57871">
              <w:rPr>
                <w:b/>
                <w:color w:val="000000"/>
                <w:szCs w:val="24"/>
              </w:rPr>
              <w:t>EUR</w:t>
            </w:r>
          </w:p>
        </w:tc>
        <w:tc>
          <w:tcPr>
            <w:tcW w:w="1344" w:type="dxa"/>
            <w:shd w:val="clear" w:color="auto" w:fill="B4C6E7" w:themeFill="accent5" w:themeFillTint="66"/>
            <w:vAlign w:val="center"/>
          </w:tcPr>
          <w:p w14:paraId="73B42983" w14:textId="0061A846" w:rsidR="004218BD" w:rsidRPr="00E57871" w:rsidRDefault="00101D9E" w:rsidP="00E57871">
            <w:pPr>
              <w:spacing w:before="60" w:after="60"/>
              <w:jc w:val="center"/>
              <w:rPr>
                <w:b/>
                <w:color w:val="000000"/>
                <w:szCs w:val="24"/>
              </w:rPr>
            </w:pPr>
            <w:r>
              <w:rPr>
                <w:b/>
                <w:color w:val="000000"/>
                <w:sz w:val="22"/>
                <w:szCs w:val="22"/>
              </w:rPr>
              <w:t>Īpatsvars no kopējiem ieņēmumiem</w:t>
            </w:r>
          </w:p>
        </w:tc>
      </w:tr>
      <w:tr w:rsidR="004218BD" w:rsidRPr="00E57871" w14:paraId="51AE8837" w14:textId="77777777" w:rsidTr="00462FF0">
        <w:trPr>
          <w:trHeight w:val="403"/>
        </w:trPr>
        <w:tc>
          <w:tcPr>
            <w:tcW w:w="6658" w:type="dxa"/>
            <w:vAlign w:val="center"/>
          </w:tcPr>
          <w:p w14:paraId="35612DFF" w14:textId="5AE3397F" w:rsidR="004218BD" w:rsidRPr="00E57871" w:rsidRDefault="004218BD" w:rsidP="00E57871">
            <w:pPr>
              <w:spacing w:before="60" w:after="60"/>
              <w:rPr>
                <w:szCs w:val="24"/>
              </w:rPr>
            </w:pPr>
            <w:r w:rsidRPr="00E57871">
              <w:rPr>
                <w:color w:val="000000"/>
                <w:szCs w:val="24"/>
              </w:rPr>
              <w:t>Dotācija</w:t>
            </w:r>
          </w:p>
        </w:tc>
        <w:tc>
          <w:tcPr>
            <w:tcW w:w="1275" w:type="dxa"/>
            <w:vAlign w:val="center"/>
          </w:tcPr>
          <w:p w14:paraId="6C2E5CCF" w14:textId="410A5750" w:rsidR="004218BD" w:rsidRPr="00E57871" w:rsidRDefault="004218BD" w:rsidP="00E57871">
            <w:pPr>
              <w:spacing w:before="60" w:after="60"/>
              <w:jc w:val="center"/>
              <w:rPr>
                <w:szCs w:val="24"/>
              </w:rPr>
            </w:pPr>
            <w:r w:rsidRPr="00E57871">
              <w:rPr>
                <w:color w:val="000000"/>
                <w:szCs w:val="24"/>
                <w:lang w:val="en-US"/>
              </w:rPr>
              <w:t>17</w:t>
            </w:r>
            <w:r w:rsidR="00E57871" w:rsidRPr="00E57871">
              <w:rPr>
                <w:color w:val="000000"/>
                <w:szCs w:val="24"/>
                <w:lang w:val="en-US"/>
              </w:rPr>
              <w:t> </w:t>
            </w:r>
            <w:r w:rsidRPr="00E57871">
              <w:rPr>
                <w:color w:val="000000"/>
                <w:szCs w:val="24"/>
                <w:lang w:val="en-US"/>
              </w:rPr>
              <w:t>786</w:t>
            </w:r>
          </w:p>
        </w:tc>
        <w:tc>
          <w:tcPr>
            <w:tcW w:w="1344" w:type="dxa"/>
            <w:vAlign w:val="center"/>
          </w:tcPr>
          <w:p w14:paraId="49AB74D9" w14:textId="49490735" w:rsidR="004218BD" w:rsidRPr="00E57871" w:rsidRDefault="004218BD" w:rsidP="00E57871">
            <w:pPr>
              <w:spacing w:before="60" w:after="60"/>
              <w:jc w:val="center"/>
              <w:rPr>
                <w:szCs w:val="24"/>
              </w:rPr>
            </w:pPr>
            <w:r w:rsidRPr="00E57871">
              <w:rPr>
                <w:color w:val="000000"/>
                <w:szCs w:val="24"/>
                <w:lang w:val="en-US"/>
              </w:rPr>
              <w:t>5%</w:t>
            </w:r>
          </w:p>
        </w:tc>
      </w:tr>
      <w:tr w:rsidR="004218BD" w:rsidRPr="00E57871" w14:paraId="605AA8B6" w14:textId="77777777" w:rsidTr="00462FF0">
        <w:trPr>
          <w:trHeight w:val="423"/>
        </w:trPr>
        <w:tc>
          <w:tcPr>
            <w:tcW w:w="6658" w:type="dxa"/>
            <w:vAlign w:val="center"/>
          </w:tcPr>
          <w:p w14:paraId="0F43AFBB" w14:textId="2B96DA99" w:rsidR="004218BD" w:rsidRPr="00E57871" w:rsidRDefault="004218BD" w:rsidP="00E57871">
            <w:pPr>
              <w:spacing w:before="60" w:after="60"/>
              <w:rPr>
                <w:color w:val="000000"/>
                <w:szCs w:val="24"/>
              </w:rPr>
            </w:pPr>
            <w:r w:rsidRPr="00E57871">
              <w:rPr>
                <w:color w:val="000000"/>
                <w:szCs w:val="24"/>
              </w:rPr>
              <w:t>Valsts apbalvojumi (kompensācija)</w:t>
            </w:r>
          </w:p>
        </w:tc>
        <w:tc>
          <w:tcPr>
            <w:tcW w:w="1275" w:type="dxa"/>
            <w:vAlign w:val="center"/>
          </w:tcPr>
          <w:p w14:paraId="32B95879" w14:textId="44C466AA" w:rsidR="004218BD" w:rsidRPr="00E57871" w:rsidRDefault="004218BD" w:rsidP="00E57871">
            <w:pPr>
              <w:spacing w:before="60" w:after="60"/>
              <w:jc w:val="center"/>
              <w:rPr>
                <w:color w:val="000000"/>
                <w:szCs w:val="24"/>
                <w:lang w:val="en-US"/>
              </w:rPr>
            </w:pPr>
            <w:r w:rsidRPr="00E57871">
              <w:rPr>
                <w:color w:val="000000"/>
                <w:szCs w:val="24"/>
                <w:lang w:val="en-US"/>
              </w:rPr>
              <w:t>54</w:t>
            </w:r>
            <w:r w:rsidR="00E57871" w:rsidRPr="00E57871">
              <w:rPr>
                <w:color w:val="000000"/>
                <w:szCs w:val="24"/>
                <w:lang w:val="en-US"/>
              </w:rPr>
              <w:t> </w:t>
            </w:r>
            <w:r w:rsidRPr="00E57871">
              <w:rPr>
                <w:color w:val="000000"/>
                <w:szCs w:val="24"/>
                <w:lang w:val="en-US"/>
              </w:rPr>
              <w:t>699</w:t>
            </w:r>
          </w:p>
        </w:tc>
        <w:tc>
          <w:tcPr>
            <w:tcW w:w="1344" w:type="dxa"/>
            <w:vAlign w:val="center"/>
          </w:tcPr>
          <w:p w14:paraId="0B83F500" w14:textId="6AA10CF5" w:rsidR="004218BD" w:rsidRPr="00E57871" w:rsidRDefault="004218BD" w:rsidP="00E57871">
            <w:pPr>
              <w:spacing w:before="60" w:after="60"/>
              <w:jc w:val="center"/>
              <w:rPr>
                <w:color w:val="000000"/>
                <w:szCs w:val="24"/>
                <w:lang w:val="en-US"/>
              </w:rPr>
            </w:pPr>
            <w:r w:rsidRPr="00E57871">
              <w:rPr>
                <w:color w:val="000000"/>
                <w:szCs w:val="24"/>
                <w:lang w:val="en-US"/>
              </w:rPr>
              <w:t>16%</w:t>
            </w:r>
          </w:p>
        </w:tc>
      </w:tr>
      <w:tr w:rsidR="004218BD" w:rsidRPr="00E57871" w14:paraId="668E3616" w14:textId="77777777" w:rsidTr="00462FF0">
        <w:trPr>
          <w:trHeight w:val="414"/>
        </w:trPr>
        <w:tc>
          <w:tcPr>
            <w:tcW w:w="6658" w:type="dxa"/>
            <w:vAlign w:val="center"/>
          </w:tcPr>
          <w:p w14:paraId="7F7F6B60" w14:textId="713CBC8C" w:rsidR="004218BD" w:rsidRPr="00E57871" w:rsidRDefault="004218BD" w:rsidP="00E57871">
            <w:pPr>
              <w:spacing w:before="60" w:after="60"/>
              <w:rPr>
                <w:color w:val="000000"/>
                <w:szCs w:val="24"/>
              </w:rPr>
            </w:pPr>
            <w:r w:rsidRPr="00E57871">
              <w:rPr>
                <w:color w:val="000000"/>
                <w:szCs w:val="24"/>
              </w:rPr>
              <w:t>Zelta, platīna, pallādija izstrādājumu provēšana un zīmogošana</w:t>
            </w:r>
          </w:p>
        </w:tc>
        <w:tc>
          <w:tcPr>
            <w:tcW w:w="1275" w:type="dxa"/>
            <w:vAlign w:val="center"/>
          </w:tcPr>
          <w:p w14:paraId="56473B8F" w14:textId="3DA34FFD" w:rsidR="004218BD" w:rsidRPr="00E57871" w:rsidRDefault="004218BD" w:rsidP="00E57871">
            <w:pPr>
              <w:spacing w:before="60" w:after="60"/>
              <w:jc w:val="center"/>
              <w:rPr>
                <w:color w:val="000000"/>
                <w:szCs w:val="24"/>
                <w:lang w:val="en-US"/>
              </w:rPr>
            </w:pPr>
            <w:r w:rsidRPr="00E57871">
              <w:rPr>
                <w:color w:val="000000"/>
                <w:szCs w:val="24"/>
                <w:lang w:val="en-US"/>
              </w:rPr>
              <w:t>82</w:t>
            </w:r>
            <w:r w:rsidR="00E57871" w:rsidRPr="00E57871">
              <w:rPr>
                <w:color w:val="000000"/>
                <w:szCs w:val="24"/>
                <w:lang w:val="en-US"/>
              </w:rPr>
              <w:t> </w:t>
            </w:r>
            <w:r w:rsidRPr="00E57871">
              <w:rPr>
                <w:color w:val="000000"/>
                <w:szCs w:val="24"/>
                <w:lang w:val="en-US"/>
              </w:rPr>
              <w:t>162</w:t>
            </w:r>
          </w:p>
        </w:tc>
        <w:tc>
          <w:tcPr>
            <w:tcW w:w="1344" w:type="dxa"/>
            <w:vAlign w:val="center"/>
          </w:tcPr>
          <w:p w14:paraId="05C4B631" w14:textId="277E5335" w:rsidR="004218BD" w:rsidRPr="00E57871" w:rsidRDefault="004218BD" w:rsidP="00E57871">
            <w:pPr>
              <w:spacing w:before="60" w:after="60"/>
              <w:jc w:val="center"/>
              <w:rPr>
                <w:color w:val="000000"/>
                <w:szCs w:val="24"/>
                <w:lang w:val="en-US"/>
              </w:rPr>
            </w:pPr>
            <w:r w:rsidRPr="00E57871">
              <w:rPr>
                <w:color w:val="000000"/>
                <w:szCs w:val="24"/>
                <w:lang w:val="en-US"/>
              </w:rPr>
              <w:t>24%</w:t>
            </w:r>
          </w:p>
        </w:tc>
      </w:tr>
      <w:tr w:rsidR="004218BD" w:rsidRPr="00E57871" w14:paraId="334C6E4C" w14:textId="77777777" w:rsidTr="00462FF0">
        <w:trPr>
          <w:trHeight w:val="421"/>
        </w:trPr>
        <w:tc>
          <w:tcPr>
            <w:tcW w:w="6658" w:type="dxa"/>
            <w:vAlign w:val="center"/>
          </w:tcPr>
          <w:p w14:paraId="0D61BE25" w14:textId="189FDCAD" w:rsidR="004218BD" w:rsidRPr="00E57871" w:rsidRDefault="004218BD" w:rsidP="00E57871">
            <w:pPr>
              <w:spacing w:before="60" w:after="60"/>
              <w:rPr>
                <w:color w:val="000000"/>
                <w:szCs w:val="24"/>
              </w:rPr>
            </w:pPr>
            <w:r w:rsidRPr="00E57871">
              <w:rPr>
                <w:color w:val="000000"/>
                <w:szCs w:val="24"/>
              </w:rPr>
              <w:t>Sudraba izstrādājumu provēšana un zīmogošana</w:t>
            </w:r>
          </w:p>
        </w:tc>
        <w:tc>
          <w:tcPr>
            <w:tcW w:w="1275" w:type="dxa"/>
            <w:vAlign w:val="center"/>
          </w:tcPr>
          <w:p w14:paraId="79C856E6" w14:textId="3D407AA5" w:rsidR="004218BD" w:rsidRPr="00E57871" w:rsidRDefault="004218BD" w:rsidP="00E57871">
            <w:pPr>
              <w:spacing w:before="60" w:after="60"/>
              <w:jc w:val="center"/>
              <w:rPr>
                <w:color w:val="000000"/>
                <w:szCs w:val="24"/>
                <w:lang w:val="en-US"/>
              </w:rPr>
            </w:pPr>
            <w:r w:rsidRPr="00E57871">
              <w:rPr>
                <w:color w:val="000000"/>
                <w:szCs w:val="24"/>
                <w:lang w:val="en-US"/>
              </w:rPr>
              <w:t>90</w:t>
            </w:r>
            <w:r w:rsidR="00E57871" w:rsidRPr="00E57871">
              <w:rPr>
                <w:color w:val="000000"/>
                <w:szCs w:val="24"/>
                <w:lang w:val="en-US"/>
              </w:rPr>
              <w:t> </w:t>
            </w:r>
            <w:r w:rsidRPr="00E57871">
              <w:rPr>
                <w:color w:val="000000"/>
                <w:szCs w:val="24"/>
                <w:lang w:val="en-US"/>
              </w:rPr>
              <w:t>494</w:t>
            </w:r>
          </w:p>
        </w:tc>
        <w:tc>
          <w:tcPr>
            <w:tcW w:w="1344" w:type="dxa"/>
            <w:vAlign w:val="center"/>
          </w:tcPr>
          <w:p w14:paraId="15BA9E02" w14:textId="223FE0DF" w:rsidR="004218BD" w:rsidRPr="00E57871" w:rsidRDefault="004218BD" w:rsidP="00E57871">
            <w:pPr>
              <w:spacing w:before="60" w:after="60"/>
              <w:jc w:val="center"/>
              <w:rPr>
                <w:color w:val="000000"/>
                <w:szCs w:val="24"/>
                <w:lang w:val="en-US"/>
              </w:rPr>
            </w:pPr>
            <w:r w:rsidRPr="00E57871">
              <w:rPr>
                <w:color w:val="000000"/>
                <w:szCs w:val="24"/>
                <w:lang w:val="en-US"/>
              </w:rPr>
              <w:t>26%</w:t>
            </w:r>
          </w:p>
        </w:tc>
      </w:tr>
      <w:tr w:rsidR="004218BD" w:rsidRPr="00E57871" w14:paraId="56E4228E" w14:textId="77777777" w:rsidTr="00462FF0">
        <w:trPr>
          <w:trHeight w:val="413"/>
        </w:trPr>
        <w:tc>
          <w:tcPr>
            <w:tcW w:w="6658" w:type="dxa"/>
            <w:vAlign w:val="center"/>
          </w:tcPr>
          <w:p w14:paraId="7908B2BB" w14:textId="06A60AB2" w:rsidR="004218BD" w:rsidRPr="00E57871" w:rsidRDefault="004218BD" w:rsidP="00E57871">
            <w:pPr>
              <w:spacing w:before="60" w:after="60"/>
              <w:rPr>
                <w:color w:val="000000"/>
                <w:szCs w:val="24"/>
              </w:rPr>
            </w:pPr>
            <w:r w:rsidRPr="00E57871">
              <w:rPr>
                <w:color w:val="000000"/>
                <w:szCs w:val="24"/>
              </w:rPr>
              <w:t>Obligāti provējamo izstrādājumu testēšana</w:t>
            </w:r>
          </w:p>
        </w:tc>
        <w:tc>
          <w:tcPr>
            <w:tcW w:w="1275" w:type="dxa"/>
            <w:vAlign w:val="center"/>
          </w:tcPr>
          <w:p w14:paraId="5DBDAF4F" w14:textId="6DADEEB2" w:rsidR="004218BD" w:rsidRPr="00E57871" w:rsidRDefault="004218BD" w:rsidP="00E57871">
            <w:pPr>
              <w:spacing w:before="60" w:after="60"/>
              <w:jc w:val="center"/>
              <w:rPr>
                <w:color w:val="000000"/>
                <w:szCs w:val="24"/>
                <w:lang w:val="en-US"/>
              </w:rPr>
            </w:pPr>
            <w:r w:rsidRPr="00E57871">
              <w:rPr>
                <w:color w:val="000000"/>
                <w:szCs w:val="24"/>
                <w:lang w:val="en-US"/>
              </w:rPr>
              <w:t>28</w:t>
            </w:r>
            <w:r w:rsidR="00E57871" w:rsidRPr="00E57871">
              <w:rPr>
                <w:color w:val="000000"/>
                <w:szCs w:val="24"/>
                <w:lang w:val="en-US"/>
              </w:rPr>
              <w:t> </w:t>
            </w:r>
            <w:r w:rsidRPr="00E57871">
              <w:rPr>
                <w:color w:val="000000"/>
                <w:szCs w:val="24"/>
                <w:lang w:val="en-US"/>
              </w:rPr>
              <w:t>577</w:t>
            </w:r>
          </w:p>
        </w:tc>
        <w:tc>
          <w:tcPr>
            <w:tcW w:w="1344" w:type="dxa"/>
            <w:vAlign w:val="center"/>
          </w:tcPr>
          <w:p w14:paraId="50FB61CF" w14:textId="09AED120" w:rsidR="004218BD" w:rsidRPr="00E57871" w:rsidRDefault="004218BD" w:rsidP="00E57871">
            <w:pPr>
              <w:spacing w:before="60" w:after="60"/>
              <w:jc w:val="center"/>
              <w:rPr>
                <w:color w:val="000000"/>
                <w:szCs w:val="24"/>
                <w:lang w:val="en-US"/>
              </w:rPr>
            </w:pPr>
            <w:r w:rsidRPr="00E57871">
              <w:rPr>
                <w:color w:val="000000"/>
                <w:szCs w:val="24"/>
                <w:lang w:val="en-US"/>
              </w:rPr>
              <w:t>8%</w:t>
            </w:r>
          </w:p>
        </w:tc>
      </w:tr>
      <w:tr w:rsidR="004218BD" w:rsidRPr="00E57871" w14:paraId="2027CB35" w14:textId="77777777" w:rsidTr="00462FF0">
        <w:trPr>
          <w:trHeight w:val="419"/>
        </w:trPr>
        <w:tc>
          <w:tcPr>
            <w:tcW w:w="6658" w:type="dxa"/>
            <w:vAlign w:val="center"/>
          </w:tcPr>
          <w:p w14:paraId="169F1BED" w14:textId="571C93BD" w:rsidR="004218BD" w:rsidRPr="00E57871" w:rsidRDefault="004218BD" w:rsidP="00E57871">
            <w:pPr>
              <w:spacing w:before="60" w:after="60"/>
              <w:rPr>
                <w:color w:val="000000"/>
                <w:szCs w:val="24"/>
              </w:rPr>
            </w:pPr>
            <w:r w:rsidRPr="00E57871">
              <w:rPr>
                <w:color w:val="000000"/>
                <w:szCs w:val="24"/>
              </w:rPr>
              <w:t>Juvelierizstrādājumu dārgakmeņu ekspertīzes</w:t>
            </w:r>
          </w:p>
        </w:tc>
        <w:tc>
          <w:tcPr>
            <w:tcW w:w="1275" w:type="dxa"/>
            <w:vAlign w:val="center"/>
          </w:tcPr>
          <w:p w14:paraId="70FF15B5" w14:textId="44AB0BF0" w:rsidR="004218BD" w:rsidRPr="00E57871" w:rsidRDefault="004218BD" w:rsidP="00E57871">
            <w:pPr>
              <w:spacing w:before="60" w:after="60"/>
              <w:jc w:val="center"/>
              <w:rPr>
                <w:color w:val="000000"/>
                <w:szCs w:val="24"/>
                <w:lang w:val="en-US"/>
              </w:rPr>
            </w:pPr>
            <w:r w:rsidRPr="00E57871">
              <w:rPr>
                <w:color w:val="000000"/>
                <w:szCs w:val="24"/>
                <w:lang w:val="en-US"/>
              </w:rPr>
              <w:t>10</w:t>
            </w:r>
            <w:r w:rsidR="00E57871" w:rsidRPr="00E57871">
              <w:rPr>
                <w:color w:val="000000"/>
                <w:szCs w:val="24"/>
                <w:lang w:val="en-US"/>
              </w:rPr>
              <w:t> </w:t>
            </w:r>
            <w:r w:rsidRPr="00E57871">
              <w:rPr>
                <w:color w:val="000000"/>
                <w:szCs w:val="24"/>
                <w:lang w:val="en-US"/>
              </w:rPr>
              <w:t>020</w:t>
            </w:r>
          </w:p>
        </w:tc>
        <w:tc>
          <w:tcPr>
            <w:tcW w:w="1344" w:type="dxa"/>
            <w:vAlign w:val="center"/>
          </w:tcPr>
          <w:p w14:paraId="04F0ACF4" w14:textId="48550237" w:rsidR="004218BD" w:rsidRPr="00E57871" w:rsidRDefault="004218BD" w:rsidP="00E57871">
            <w:pPr>
              <w:spacing w:before="60" w:after="60"/>
              <w:jc w:val="center"/>
              <w:rPr>
                <w:color w:val="000000"/>
                <w:szCs w:val="24"/>
                <w:lang w:val="en-US"/>
              </w:rPr>
            </w:pPr>
            <w:r w:rsidRPr="00E57871">
              <w:rPr>
                <w:color w:val="000000"/>
                <w:szCs w:val="24"/>
                <w:lang w:val="en-US"/>
              </w:rPr>
              <w:t>3%</w:t>
            </w:r>
          </w:p>
        </w:tc>
      </w:tr>
      <w:tr w:rsidR="004218BD" w:rsidRPr="00E57871" w14:paraId="1AD8A150" w14:textId="77777777" w:rsidTr="00462FF0">
        <w:trPr>
          <w:trHeight w:val="410"/>
        </w:trPr>
        <w:tc>
          <w:tcPr>
            <w:tcW w:w="6658" w:type="dxa"/>
            <w:vAlign w:val="center"/>
          </w:tcPr>
          <w:p w14:paraId="3AC74BCA" w14:textId="560599B9" w:rsidR="004218BD" w:rsidRPr="00E57871" w:rsidRDefault="004218BD" w:rsidP="00E57871">
            <w:pPr>
              <w:spacing w:before="60" w:after="60"/>
              <w:rPr>
                <w:color w:val="000000"/>
                <w:szCs w:val="24"/>
              </w:rPr>
            </w:pPr>
            <w:r w:rsidRPr="00E57871">
              <w:rPr>
                <w:color w:val="000000"/>
                <w:szCs w:val="24"/>
              </w:rPr>
              <w:t>Testēšanas pakalpojumi</w:t>
            </w:r>
          </w:p>
        </w:tc>
        <w:tc>
          <w:tcPr>
            <w:tcW w:w="1275" w:type="dxa"/>
            <w:vAlign w:val="center"/>
          </w:tcPr>
          <w:p w14:paraId="0AB35589" w14:textId="70F5D7F7" w:rsidR="004218BD" w:rsidRPr="00E57871" w:rsidRDefault="004218BD" w:rsidP="00E57871">
            <w:pPr>
              <w:spacing w:before="60" w:after="60"/>
              <w:jc w:val="center"/>
              <w:rPr>
                <w:color w:val="000000"/>
                <w:szCs w:val="24"/>
                <w:lang w:val="en-US"/>
              </w:rPr>
            </w:pPr>
            <w:r w:rsidRPr="00E57871">
              <w:rPr>
                <w:color w:val="000000"/>
                <w:szCs w:val="24"/>
                <w:lang w:val="en-US"/>
              </w:rPr>
              <w:t>57</w:t>
            </w:r>
            <w:r w:rsidR="00E57871" w:rsidRPr="00E57871">
              <w:rPr>
                <w:color w:val="000000"/>
                <w:szCs w:val="24"/>
                <w:lang w:val="en-US"/>
              </w:rPr>
              <w:t> </w:t>
            </w:r>
            <w:r w:rsidRPr="00E57871">
              <w:rPr>
                <w:color w:val="000000"/>
                <w:szCs w:val="24"/>
                <w:lang w:val="en-US"/>
              </w:rPr>
              <w:t>497</w:t>
            </w:r>
          </w:p>
        </w:tc>
        <w:tc>
          <w:tcPr>
            <w:tcW w:w="1344" w:type="dxa"/>
            <w:vAlign w:val="center"/>
          </w:tcPr>
          <w:p w14:paraId="1CE51162" w14:textId="2AC6370C" w:rsidR="004218BD" w:rsidRPr="00E57871" w:rsidRDefault="004218BD" w:rsidP="00E57871">
            <w:pPr>
              <w:spacing w:before="60" w:after="60"/>
              <w:jc w:val="center"/>
              <w:rPr>
                <w:color w:val="000000"/>
                <w:szCs w:val="24"/>
                <w:lang w:val="en-US"/>
              </w:rPr>
            </w:pPr>
            <w:r w:rsidRPr="00E57871">
              <w:rPr>
                <w:color w:val="000000"/>
                <w:szCs w:val="24"/>
                <w:lang w:val="en-US"/>
              </w:rPr>
              <w:t>17%</w:t>
            </w:r>
          </w:p>
        </w:tc>
      </w:tr>
      <w:tr w:rsidR="004218BD" w:rsidRPr="00E57871" w14:paraId="33E3D77D" w14:textId="77777777" w:rsidTr="00462FF0">
        <w:trPr>
          <w:trHeight w:val="417"/>
        </w:trPr>
        <w:tc>
          <w:tcPr>
            <w:tcW w:w="6658" w:type="dxa"/>
            <w:vAlign w:val="center"/>
          </w:tcPr>
          <w:p w14:paraId="2AF8E13F" w14:textId="337ECA6B" w:rsidR="004218BD" w:rsidRPr="00E57871" w:rsidRDefault="004218BD" w:rsidP="00E57871">
            <w:pPr>
              <w:spacing w:before="60" w:after="60"/>
              <w:rPr>
                <w:color w:val="000000"/>
                <w:szCs w:val="24"/>
              </w:rPr>
            </w:pPr>
            <w:r w:rsidRPr="00E57871">
              <w:rPr>
                <w:color w:val="000000"/>
                <w:szCs w:val="24"/>
              </w:rPr>
              <w:t>Personiskie zīmogi un lāzergravēšanas un citi pakalpojumi</w:t>
            </w:r>
          </w:p>
        </w:tc>
        <w:tc>
          <w:tcPr>
            <w:tcW w:w="1275" w:type="dxa"/>
            <w:vAlign w:val="center"/>
          </w:tcPr>
          <w:p w14:paraId="28E603E8" w14:textId="226B2082" w:rsidR="004218BD" w:rsidRPr="00E57871" w:rsidRDefault="004218BD" w:rsidP="00E57871">
            <w:pPr>
              <w:spacing w:before="60" w:after="60"/>
              <w:jc w:val="center"/>
              <w:rPr>
                <w:color w:val="000000"/>
                <w:szCs w:val="24"/>
                <w:lang w:val="en-US"/>
              </w:rPr>
            </w:pPr>
            <w:r w:rsidRPr="00E57871">
              <w:rPr>
                <w:color w:val="000000"/>
                <w:szCs w:val="24"/>
                <w:lang w:val="en-US"/>
              </w:rPr>
              <w:t>6</w:t>
            </w:r>
            <w:r w:rsidR="00E57871" w:rsidRPr="00E57871">
              <w:rPr>
                <w:color w:val="000000"/>
                <w:szCs w:val="24"/>
                <w:lang w:val="en-US"/>
              </w:rPr>
              <w:t> </w:t>
            </w:r>
            <w:r w:rsidRPr="00E57871">
              <w:rPr>
                <w:color w:val="000000"/>
                <w:szCs w:val="24"/>
                <w:lang w:val="en-US"/>
              </w:rPr>
              <w:t>362</w:t>
            </w:r>
          </w:p>
        </w:tc>
        <w:tc>
          <w:tcPr>
            <w:tcW w:w="1344" w:type="dxa"/>
            <w:vAlign w:val="center"/>
          </w:tcPr>
          <w:p w14:paraId="1B30A2D7" w14:textId="0478C6A9" w:rsidR="004218BD" w:rsidRPr="00E57871" w:rsidRDefault="004218BD" w:rsidP="00E57871">
            <w:pPr>
              <w:spacing w:before="60" w:after="60"/>
              <w:jc w:val="center"/>
              <w:rPr>
                <w:color w:val="000000"/>
                <w:szCs w:val="24"/>
                <w:lang w:val="en-US"/>
              </w:rPr>
            </w:pPr>
            <w:r w:rsidRPr="00E57871">
              <w:rPr>
                <w:color w:val="000000"/>
                <w:szCs w:val="24"/>
                <w:lang w:val="en-US"/>
              </w:rPr>
              <w:t>2%</w:t>
            </w:r>
          </w:p>
        </w:tc>
      </w:tr>
      <w:tr w:rsidR="004218BD" w:rsidRPr="00E57871" w14:paraId="0B0D44FA" w14:textId="77777777" w:rsidTr="00462FF0">
        <w:trPr>
          <w:trHeight w:val="423"/>
        </w:trPr>
        <w:tc>
          <w:tcPr>
            <w:tcW w:w="6658" w:type="dxa"/>
            <w:vAlign w:val="center"/>
          </w:tcPr>
          <w:p w14:paraId="0F2A8A81" w14:textId="030F99EA" w:rsidR="004218BD" w:rsidRPr="00E57871" w:rsidRDefault="004218BD" w:rsidP="00E57871">
            <w:pPr>
              <w:spacing w:before="60" w:after="60"/>
              <w:jc w:val="right"/>
              <w:rPr>
                <w:color w:val="000000"/>
                <w:szCs w:val="24"/>
              </w:rPr>
            </w:pPr>
            <w:r w:rsidRPr="00E57871">
              <w:rPr>
                <w:b/>
                <w:bCs/>
                <w:color w:val="000000"/>
                <w:szCs w:val="24"/>
              </w:rPr>
              <w:t>Kopā:</w:t>
            </w:r>
          </w:p>
        </w:tc>
        <w:tc>
          <w:tcPr>
            <w:tcW w:w="1275" w:type="dxa"/>
            <w:vAlign w:val="center"/>
          </w:tcPr>
          <w:p w14:paraId="6E1038DF" w14:textId="02CAE5C9" w:rsidR="004218BD" w:rsidRPr="00E57871" w:rsidRDefault="004218BD" w:rsidP="00E57871">
            <w:pPr>
              <w:spacing w:before="60" w:after="60"/>
              <w:jc w:val="center"/>
              <w:rPr>
                <w:color w:val="000000"/>
                <w:szCs w:val="24"/>
                <w:lang w:val="en-US"/>
              </w:rPr>
            </w:pPr>
            <w:r w:rsidRPr="00E57871">
              <w:rPr>
                <w:b/>
                <w:bCs/>
                <w:color w:val="000000"/>
                <w:szCs w:val="24"/>
                <w:lang w:val="en-US"/>
              </w:rPr>
              <w:t>347</w:t>
            </w:r>
            <w:r w:rsidR="00E57871" w:rsidRPr="00E57871">
              <w:rPr>
                <w:b/>
                <w:bCs/>
                <w:color w:val="000000"/>
                <w:szCs w:val="24"/>
                <w:lang w:val="en-US"/>
              </w:rPr>
              <w:t> </w:t>
            </w:r>
            <w:r w:rsidRPr="00E57871">
              <w:rPr>
                <w:b/>
                <w:bCs/>
                <w:color w:val="000000"/>
                <w:szCs w:val="24"/>
                <w:lang w:val="en-US"/>
              </w:rPr>
              <w:t>599</w:t>
            </w:r>
          </w:p>
        </w:tc>
        <w:tc>
          <w:tcPr>
            <w:tcW w:w="1344" w:type="dxa"/>
            <w:vAlign w:val="center"/>
          </w:tcPr>
          <w:p w14:paraId="7F62C42F" w14:textId="7D226937" w:rsidR="004218BD" w:rsidRPr="00E57871" w:rsidRDefault="004218BD" w:rsidP="00E57871">
            <w:pPr>
              <w:spacing w:before="60" w:after="60"/>
              <w:jc w:val="center"/>
              <w:rPr>
                <w:color w:val="000000"/>
                <w:szCs w:val="24"/>
                <w:lang w:val="en-US"/>
              </w:rPr>
            </w:pPr>
            <w:r w:rsidRPr="00E57871">
              <w:rPr>
                <w:b/>
                <w:bCs/>
                <w:color w:val="000000"/>
                <w:szCs w:val="24"/>
                <w:lang w:val="en-US"/>
              </w:rPr>
              <w:t>100%</w:t>
            </w:r>
          </w:p>
        </w:tc>
      </w:tr>
    </w:tbl>
    <w:p w14:paraId="4C9F00A0" w14:textId="77777777" w:rsidR="004218BD" w:rsidRDefault="004218BD" w:rsidP="00E36722">
      <w:pPr>
        <w:ind w:firstLine="720"/>
      </w:pPr>
    </w:p>
    <w:p w14:paraId="19BEEBE8" w14:textId="7DE6445A" w:rsidR="003A4A16" w:rsidRDefault="00BE627B" w:rsidP="003A4A16">
      <w:pPr>
        <w:ind w:firstLine="720"/>
      </w:pPr>
      <w:r>
        <w:t xml:space="preserve">Ja pēc </w:t>
      </w:r>
      <w:r w:rsidRPr="008415B3">
        <w:t xml:space="preserve">VSIA </w:t>
      </w:r>
      <w:r w:rsidR="00CB2B68">
        <w:t>“</w:t>
      </w:r>
      <w:r w:rsidRPr="008415B3">
        <w:t>Latvijas Proves birojs”</w:t>
      </w:r>
      <w:r>
        <w:t xml:space="preserve"> kapitāla daļu atsavināšanas kā dārgmetālu un dārgakmeņu tirgus dalībnieku uzraudzītāju un kontrolieri kļūtu VID, būtu nepieciešams ilgāks laika periods, lai VID spētu nodrošināt iepriekš </w:t>
      </w:r>
      <w:r w:rsidRPr="008415B3">
        <w:t xml:space="preserve">VSIA </w:t>
      </w:r>
      <w:r w:rsidR="00CB2B68">
        <w:t>“</w:t>
      </w:r>
      <w:r w:rsidRPr="008415B3">
        <w:t xml:space="preserve">Latvijas Proves birojs” </w:t>
      </w:r>
      <w:r>
        <w:t xml:space="preserve">sniegto pakalpojumu kvalitāti, kā arī izmaksas valsts pārvaldes uzdevuma nodrošināšanai būtu krietni </w:t>
      </w:r>
      <w:r w:rsidRPr="007F12E2">
        <w:t>lielākas, proti, vismaz 305 </w:t>
      </w:r>
      <w:r w:rsidR="007F12E2" w:rsidRPr="007F12E2">
        <w:t>737</w:t>
      </w:r>
      <w:r w:rsidRPr="007F12E2">
        <w:t xml:space="preserve"> EUR, nodrošinot dārgakmeņu un dārgmetālu ekspertu piesaisti, augstākās kvalitātes kapitālieguldījumu iekārtu un ierīču iegādi, </w:t>
      </w:r>
      <w:r w:rsidR="007F12E2" w:rsidRPr="007F12E2">
        <w:t xml:space="preserve">apmācībām, neskaitot </w:t>
      </w:r>
      <w:r w:rsidRPr="007F12E2">
        <w:lastRenderedPageBreak/>
        <w:t xml:space="preserve">atalgojumus atbilstoši specializācijai un nozarei, ar darba samaksu saistīto nodokļu un nodevu samaksu, telpu nomu izmeklējumu veikšanai, telpu pielāgošanai, </w:t>
      </w:r>
      <w:r w:rsidR="00B41D3A" w:rsidRPr="007F12E2">
        <w:t>kvalitātes nodrošināšanai.</w:t>
      </w:r>
      <w:r w:rsidR="003A4A16" w:rsidRPr="007F12E2">
        <w:t xml:space="preserve"> Vienreizējo izmaksu valsts pārvaldes uzdevuma uzsākšanai atšifrējums</w:t>
      </w:r>
      <w:r w:rsidR="003A4A16">
        <w:t xml:space="preserve"> atspoguļots informatīvā ziņojuma </w:t>
      </w:r>
      <w:r w:rsidR="004218BD">
        <w:t>3</w:t>
      </w:r>
      <w:r w:rsidR="003A4A16">
        <w:t>.tabulā.</w:t>
      </w:r>
    </w:p>
    <w:p w14:paraId="5DAEADDE" w14:textId="71681F8D" w:rsidR="003A4A16" w:rsidRPr="004415E1" w:rsidRDefault="004218BD" w:rsidP="004415E1">
      <w:pPr>
        <w:pStyle w:val="ListParagraph"/>
        <w:ind w:left="0"/>
        <w:contextualSpacing w:val="0"/>
        <w:jc w:val="right"/>
        <w:rPr>
          <w:sz w:val="20"/>
          <w:szCs w:val="20"/>
        </w:rPr>
      </w:pPr>
      <w:r>
        <w:rPr>
          <w:sz w:val="20"/>
          <w:szCs w:val="20"/>
        </w:rPr>
        <w:t>3</w:t>
      </w:r>
      <w:r w:rsidR="003A4A16" w:rsidRPr="004415E1">
        <w:rPr>
          <w:sz w:val="20"/>
          <w:szCs w:val="20"/>
        </w:rPr>
        <w:t>.tabula</w:t>
      </w:r>
    </w:p>
    <w:tbl>
      <w:tblPr>
        <w:tblStyle w:val="TableGrid"/>
        <w:tblW w:w="0" w:type="auto"/>
        <w:tblLook w:val="04A0" w:firstRow="1" w:lastRow="0" w:firstColumn="1" w:lastColumn="0" w:noHBand="0" w:noVBand="1"/>
      </w:tblPr>
      <w:tblGrid>
        <w:gridCol w:w="6499"/>
        <w:gridCol w:w="2562"/>
      </w:tblGrid>
      <w:tr w:rsidR="003A4A16" w:rsidRPr="00E57871" w14:paraId="05821057" w14:textId="77777777" w:rsidTr="00462FF0">
        <w:trPr>
          <w:trHeight w:val="369"/>
        </w:trPr>
        <w:tc>
          <w:tcPr>
            <w:tcW w:w="6659" w:type="dxa"/>
            <w:shd w:val="clear" w:color="auto" w:fill="B4C6E7" w:themeFill="accent5" w:themeFillTint="66"/>
            <w:vAlign w:val="center"/>
          </w:tcPr>
          <w:p w14:paraId="79BE626B" w14:textId="790AEE1F" w:rsidR="003A4A16" w:rsidRPr="00E57871" w:rsidRDefault="00E57871" w:rsidP="00E57871">
            <w:pPr>
              <w:pStyle w:val="ListParagraph"/>
              <w:spacing w:before="60" w:after="60"/>
              <w:ind w:left="0"/>
              <w:contextualSpacing w:val="0"/>
              <w:jc w:val="center"/>
              <w:rPr>
                <w:b/>
                <w:szCs w:val="24"/>
              </w:rPr>
            </w:pPr>
            <w:r>
              <w:rPr>
                <w:b/>
                <w:szCs w:val="24"/>
              </w:rPr>
              <w:t>Ieguldījumu veids</w:t>
            </w:r>
          </w:p>
        </w:tc>
        <w:tc>
          <w:tcPr>
            <w:tcW w:w="2618" w:type="dxa"/>
            <w:shd w:val="clear" w:color="auto" w:fill="B4C6E7" w:themeFill="accent5" w:themeFillTint="66"/>
            <w:vAlign w:val="center"/>
          </w:tcPr>
          <w:p w14:paraId="17D29A9C" w14:textId="3015E9C5" w:rsidR="003A4A16" w:rsidRPr="00E57871" w:rsidRDefault="004415E1" w:rsidP="00E57871">
            <w:pPr>
              <w:pStyle w:val="ListParagraph"/>
              <w:spacing w:before="60" w:after="60"/>
              <w:ind w:left="0"/>
              <w:contextualSpacing w:val="0"/>
              <w:jc w:val="center"/>
              <w:rPr>
                <w:b/>
                <w:szCs w:val="24"/>
              </w:rPr>
            </w:pPr>
            <w:r w:rsidRPr="00E57871">
              <w:rPr>
                <w:b/>
                <w:szCs w:val="24"/>
              </w:rPr>
              <w:t>EUR</w:t>
            </w:r>
          </w:p>
        </w:tc>
      </w:tr>
      <w:tr w:rsidR="00E57871" w:rsidRPr="00E57871" w14:paraId="67D2EEC6" w14:textId="77777777" w:rsidTr="00462FF0">
        <w:tc>
          <w:tcPr>
            <w:tcW w:w="9277" w:type="dxa"/>
            <w:gridSpan w:val="2"/>
            <w:vAlign w:val="center"/>
          </w:tcPr>
          <w:p w14:paraId="5F51FFE5" w14:textId="21F96E58" w:rsidR="00E57871" w:rsidRPr="00E57871" w:rsidRDefault="00E57871" w:rsidP="00E57871">
            <w:pPr>
              <w:pStyle w:val="ListParagraph"/>
              <w:spacing w:before="60" w:after="60"/>
              <w:ind w:left="0"/>
              <w:contextualSpacing w:val="0"/>
              <w:rPr>
                <w:color w:val="000000"/>
                <w:szCs w:val="24"/>
              </w:rPr>
            </w:pPr>
            <w:r w:rsidRPr="00E57871">
              <w:rPr>
                <w:b/>
                <w:szCs w:val="24"/>
              </w:rPr>
              <w:t>Paraugu atlase un sijājošā diagnostika (</w:t>
            </w:r>
            <w:proofErr w:type="spellStart"/>
            <w:r w:rsidRPr="00E57871">
              <w:rPr>
                <w:b/>
                <w:szCs w:val="24"/>
              </w:rPr>
              <w:t>skrīnings</w:t>
            </w:r>
            <w:proofErr w:type="spellEnd"/>
            <w:r w:rsidRPr="00E57871">
              <w:rPr>
                <w:b/>
                <w:szCs w:val="24"/>
              </w:rPr>
              <w:t>):</w:t>
            </w:r>
          </w:p>
        </w:tc>
      </w:tr>
      <w:tr w:rsidR="004415E1" w:rsidRPr="00E57871" w14:paraId="5FF5CE6B" w14:textId="77777777" w:rsidTr="00462FF0">
        <w:tc>
          <w:tcPr>
            <w:tcW w:w="6659" w:type="dxa"/>
            <w:vAlign w:val="center"/>
          </w:tcPr>
          <w:p w14:paraId="2ECFCBAF" w14:textId="12226D6D" w:rsidR="004415E1" w:rsidRPr="00E57871" w:rsidRDefault="004415E1" w:rsidP="00E57871">
            <w:pPr>
              <w:pStyle w:val="ListParagraph"/>
              <w:spacing w:before="60" w:after="60"/>
              <w:ind w:left="0"/>
              <w:contextualSpacing w:val="0"/>
              <w:rPr>
                <w:b/>
                <w:szCs w:val="24"/>
              </w:rPr>
            </w:pPr>
            <w:r w:rsidRPr="00E57871">
              <w:rPr>
                <w:color w:val="000000"/>
                <w:szCs w:val="24"/>
              </w:rPr>
              <w:t>Kapitālieguldījumi</w:t>
            </w:r>
          </w:p>
        </w:tc>
        <w:tc>
          <w:tcPr>
            <w:tcW w:w="2618" w:type="dxa"/>
            <w:vAlign w:val="center"/>
          </w:tcPr>
          <w:p w14:paraId="74C5B676" w14:textId="1837887E" w:rsidR="004415E1" w:rsidRPr="00E57871" w:rsidRDefault="004415E1" w:rsidP="00E57871">
            <w:pPr>
              <w:pStyle w:val="ListParagraph"/>
              <w:spacing w:before="60" w:after="60"/>
              <w:ind w:left="0"/>
              <w:contextualSpacing w:val="0"/>
              <w:jc w:val="center"/>
              <w:rPr>
                <w:b/>
                <w:szCs w:val="24"/>
              </w:rPr>
            </w:pPr>
            <w:r w:rsidRPr="00E57871">
              <w:rPr>
                <w:color w:val="000000"/>
                <w:szCs w:val="24"/>
              </w:rPr>
              <w:t>85</w:t>
            </w:r>
            <w:r w:rsidR="00E57871">
              <w:rPr>
                <w:color w:val="000000"/>
                <w:szCs w:val="24"/>
              </w:rPr>
              <w:t> </w:t>
            </w:r>
            <w:r w:rsidRPr="00E57871">
              <w:rPr>
                <w:color w:val="000000"/>
                <w:szCs w:val="24"/>
              </w:rPr>
              <w:t>000</w:t>
            </w:r>
          </w:p>
        </w:tc>
      </w:tr>
      <w:tr w:rsidR="004415E1" w:rsidRPr="00E57871" w14:paraId="6CFC52A7" w14:textId="77777777" w:rsidTr="00462FF0">
        <w:tc>
          <w:tcPr>
            <w:tcW w:w="6659" w:type="dxa"/>
            <w:vAlign w:val="center"/>
          </w:tcPr>
          <w:p w14:paraId="5F1C580E" w14:textId="31B6B33A" w:rsidR="004415E1" w:rsidRPr="00E57871" w:rsidRDefault="004415E1" w:rsidP="00E57871">
            <w:pPr>
              <w:pStyle w:val="ListParagraph"/>
              <w:spacing w:before="60" w:after="60"/>
              <w:ind w:left="0"/>
              <w:contextualSpacing w:val="0"/>
              <w:rPr>
                <w:color w:val="000000"/>
                <w:szCs w:val="24"/>
              </w:rPr>
            </w:pPr>
            <w:r w:rsidRPr="00E57871">
              <w:rPr>
                <w:color w:val="000000"/>
                <w:szCs w:val="24"/>
              </w:rPr>
              <w:t>Inventārs, materiāli</w:t>
            </w:r>
          </w:p>
        </w:tc>
        <w:tc>
          <w:tcPr>
            <w:tcW w:w="2618" w:type="dxa"/>
            <w:vAlign w:val="center"/>
          </w:tcPr>
          <w:p w14:paraId="5D6B006E" w14:textId="257C0D83"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8</w:t>
            </w:r>
            <w:r w:rsidR="00E57871">
              <w:rPr>
                <w:color w:val="000000"/>
                <w:szCs w:val="24"/>
              </w:rPr>
              <w:t> </w:t>
            </w:r>
            <w:r w:rsidRPr="00E57871">
              <w:rPr>
                <w:color w:val="000000"/>
                <w:szCs w:val="24"/>
              </w:rPr>
              <w:t>400</w:t>
            </w:r>
          </w:p>
        </w:tc>
      </w:tr>
      <w:tr w:rsidR="004415E1" w:rsidRPr="00E57871" w14:paraId="575D31B1" w14:textId="77777777" w:rsidTr="00462FF0">
        <w:tc>
          <w:tcPr>
            <w:tcW w:w="6659" w:type="dxa"/>
            <w:vAlign w:val="center"/>
          </w:tcPr>
          <w:p w14:paraId="7AEB69C1" w14:textId="4B1E5310" w:rsidR="004415E1" w:rsidRPr="00E57871" w:rsidRDefault="004415E1" w:rsidP="00E57871">
            <w:pPr>
              <w:pStyle w:val="ListParagraph"/>
              <w:spacing w:before="60" w:after="60"/>
              <w:ind w:left="0"/>
              <w:contextualSpacing w:val="0"/>
              <w:rPr>
                <w:color w:val="000000"/>
                <w:szCs w:val="24"/>
              </w:rPr>
            </w:pPr>
            <w:r w:rsidRPr="00E57871">
              <w:rPr>
                <w:color w:val="000000"/>
                <w:szCs w:val="24"/>
              </w:rPr>
              <w:t>Personāla apmācība</w:t>
            </w:r>
          </w:p>
        </w:tc>
        <w:tc>
          <w:tcPr>
            <w:tcW w:w="2618" w:type="dxa"/>
            <w:vAlign w:val="center"/>
          </w:tcPr>
          <w:p w14:paraId="34450853" w14:textId="231F15DC"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6</w:t>
            </w:r>
            <w:r w:rsidR="00E57871">
              <w:rPr>
                <w:color w:val="000000"/>
                <w:szCs w:val="24"/>
              </w:rPr>
              <w:t> </w:t>
            </w:r>
            <w:r w:rsidRPr="00E57871">
              <w:rPr>
                <w:color w:val="000000"/>
                <w:szCs w:val="24"/>
              </w:rPr>
              <w:t>000</w:t>
            </w:r>
          </w:p>
        </w:tc>
      </w:tr>
      <w:tr w:rsidR="00E57871" w:rsidRPr="00E57871" w14:paraId="5C123880" w14:textId="77777777" w:rsidTr="00462FF0">
        <w:trPr>
          <w:trHeight w:val="401"/>
        </w:trPr>
        <w:tc>
          <w:tcPr>
            <w:tcW w:w="9277" w:type="dxa"/>
            <w:gridSpan w:val="2"/>
            <w:shd w:val="clear" w:color="auto" w:fill="auto"/>
            <w:vAlign w:val="center"/>
          </w:tcPr>
          <w:p w14:paraId="0DE9C409" w14:textId="5E69BDBF" w:rsidR="00E57871" w:rsidRPr="00E57871" w:rsidRDefault="00E57871" w:rsidP="00E57871">
            <w:pPr>
              <w:pStyle w:val="ListParagraph"/>
              <w:spacing w:before="60" w:after="60"/>
              <w:ind w:left="0"/>
              <w:contextualSpacing w:val="0"/>
              <w:rPr>
                <w:color w:val="000000"/>
                <w:szCs w:val="24"/>
              </w:rPr>
            </w:pPr>
            <w:r w:rsidRPr="00E57871">
              <w:rPr>
                <w:b/>
                <w:szCs w:val="24"/>
              </w:rPr>
              <w:t>Paraugu testēšana (ISO 11427, ISO 11426, ISO</w:t>
            </w:r>
            <w:r w:rsidRPr="00E57871">
              <w:rPr>
                <w:szCs w:val="24"/>
              </w:rPr>
              <w:t xml:space="preserve"> </w:t>
            </w:r>
            <w:r w:rsidRPr="00E57871">
              <w:rPr>
                <w:b/>
                <w:szCs w:val="24"/>
              </w:rPr>
              <w:t>11494 ISO11495)</w:t>
            </w:r>
            <w:r>
              <w:rPr>
                <w:b/>
                <w:szCs w:val="24"/>
              </w:rPr>
              <w:t>:</w:t>
            </w:r>
          </w:p>
        </w:tc>
      </w:tr>
      <w:tr w:rsidR="004415E1" w:rsidRPr="00E57871" w14:paraId="6877D18D" w14:textId="77777777" w:rsidTr="00462FF0">
        <w:tc>
          <w:tcPr>
            <w:tcW w:w="6659" w:type="dxa"/>
            <w:vAlign w:val="center"/>
          </w:tcPr>
          <w:p w14:paraId="19EF223A" w14:textId="13061822" w:rsidR="004415E1" w:rsidRPr="00E57871" w:rsidRDefault="004415E1" w:rsidP="00E57871">
            <w:pPr>
              <w:pStyle w:val="ListParagraph"/>
              <w:spacing w:before="60" w:after="60"/>
              <w:ind w:left="0"/>
              <w:contextualSpacing w:val="0"/>
              <w:rPr>
                <w:b/>
                <w:szCs w:val="24"/>
              </w:rPr>
            </w:pPr>
            <w:r w:rsidRPr="00E57871">
              <w:rPr>
                <w:color w:val="000000"/>
                <w:szCs w:val="24"/>
                <w:lang w:val="en-US"/>
              </w:rPr>
              <w:t>Kapitālieguldījumi</w:t>
            </w:r>
          </w:p>
        </w:tc>
        <w:tc>
          <w:tcPr>
            <w:tcW w:w="2618" w:type="dxa"/>
            <w:vAlign w:val="center"/>
          </w:tcPr>
          <w:p w14:paraId="0600D1A8" w14:textId="19A12659"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lang w:val="en-US"/>
              </w:rPr>
              <w:t>145</w:t>
            </w:r>
            <w:r w:rsidR="00E57871">
              <w:rPr>
                <w:color w:val="000000"/>
                <w:szCs w:val="24"/>
                <w:lang w:val="en-US"/>
              </w:rPr>
              <w:t> </w:t>
            </w:r>
            <w:r w:rsidRPr="00E57871">
              <w:rPr>
                <w:color w:val="000000"/>
                <w:szCs w:val="24"/>
                <w:lang w:val="en-US"/>
              </w:rPr>
              <w:t>000</w:t>
            </w:r>
          </w:p>
        </w:tc>
      </w:tr>
      <w:tr w:rsidR="004415E1" w:rsidRPr="00E57871" w14:paraId="6917A021" w14:textId="77777777" w:rsidTr="00462FF0">
        <w:tc>
          <w:tcPr>
            <w:tcW w:w="6659" w:type="dxa"/>
            <w:vAlign w:val="center"/>
          </w:tcPr>
          <w:p w14:paraId="31A981E7" w14:textId="366E295F"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Inventārs, materiāli</w:t>
            </w:r>
          </w:p>
        </w:tc>
        <w:tc>
          <w:tcPr>
            <w:tcW w:w="2618" w:type="dxa"/>
            <w:vAlign w:val="center"/>
          </w:tcPr>
          <w:p w14:paraId="4EE95967" w14:textId="5648F5A1"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6</w:t>
            </w:r>
            <w:r w:rsidR="00E57871">
              <w:rPr>
                <w:color w:val="000000"/>
                <w:szCs w:val="24"/>
                <w:lang w:val="en-US"/>
              </w:rPr>
              <w:t> </w:t>
            </w:r>
            <w:r w:rsidRPr="00E57871">
              <w:rPr>
                <w:color w:val="000000"/>
                <w:szCs w:val="24"/>
                <w:lang w:val="en-US"/>
              </w:rPr>
              <w:t>000</w:t>
            </w:r>
          </w:p>
        </w:tc>
      </w:tr>
      <w:tr w:rsidR="004415E1" w:rsidRPr="00E57871" w14:paraId="1363430C" w14:textId="77777777" w:rsidTr="00462FF0">
        <w:tc>
          <w:tcPr>
            <w:tcW w:w="6659" w:type="dxa"/>
            <w:vAlign w:val="center"/>
          </w:tcPr>
          <w:p w14:paraId="4708A958" w14:textId="02155C6A"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Personāla apmācība</w:t>
            </w:r>
          </w:p>
        </w:tc>
        <w:tc>
          <w:tcPr>
            <w:tcW w:w="2618" w:type="dxa"/>
            <w:vAlign w:val="center"/>
          </w:tcPr>
          <w:p w14:paraId="32557481" w14:textId="4803FE66"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4</w:t>
            </w:r>
            <w:r w:rsidR="00E57871">
              <w:rPr>
                <w:color w:val="000000"/>
                <w:szCs w:val="24"/>
                <w:lang w:val="en-US"/>
              </w:rPr>
              <w:t> </w:t>
            </w:r>
            <w:r w:rsidRPr="00E57871">
              <w:rPr>
                <w:color w:val="000000"/>
                <w:szCs w:val="24"/>
                <w:lang w:val="en-US"/>
              </w:rPr>
              <w:t>000</w:t>
            </w:r>
          </w:p>
        </w:tc>
      </w:tr>
      <w:tr w:rsidR="004415E1" w:rsidRPr="00E57871" w14:paraId="38A0BA64" w14:textId="77777777" w:rsidTr="00462FF0">
        <w:trPr>
          <w:trHeight w:val="419"/>
        </w:trPr>
        <w:tc>
          <w:tcPr>
            <w:tcW w:w="6659" w:type="dxa"/>
            <w:vAlign w:val="center"/>
          </w:tcPr>
          <w:p w14:paraId="22FB3198" w14:textId="2274DB59" w:rsidR="004415E1" w:rsidRPr="00E57871" w:rsidRDefault="004415E1" w:rsidP="00E57871">
            <w:pPr>
              <w:pStyle w:val="ListParagraph"/>
              <w:spacing w:before="60" w:after="60"/>
              <w:ind w:left="0"/>
              <w:contextualSpacing w:val="0"/>
              <w:jc w:val="right"/>
              <w:rPr>
                <w:b/>
                <w:color w:val="000000"/>
                <w:szCs w:val="24"/>
                <w:lang w:val="en-US"/>
              </w:rPr>
            </w:pPr>
            <w:proofErr w:type="spellStart"/>
            <w:r w:rsidRPr="00E57871">
              <w:rPr>
                <w:b/>
                <w:color w:val="000000"/>
                <w:szCs w:val="24"/>
                <w:lang w:val="en-US"/>
              </w:rPr>
              <w:t>Kopā</w:t>
            </w:r>
            <w:proofErr w:type="spellEnd"/>
            <w:r w:rsidR="00E57871">
              <w:rPr>
                <w:b/>
                <w:color w:val="000000"/>
                <w:szCs w:val="24"/>
                <w:lang w:val="en-US"/>
              </w:rPr>
              <w:t>:</w:t>
            </w:r>
          </w:p>
        </w:tc>
        <w:tc>
          <w:tcPr>
            <w:tcW w:w="2618" w:type="dxa"/>
            <w:vAlign w:val="center"/>
          </w:tcPr>
          <w:p w14:paraId="19AA62E5" w14:textId="5C4371E2" w:rsidR="004415E1" w:rsidRPr="00E57871" w:rsidRDefault="004415E1" w:rsidP="00E57871">
            <w:pPr>
              <w:pStyle w:val="ListParagraph"/>
              <w:spacing w:before="60" w:after="60"/>
              <w:ind w:left="0"/>
              <w:contextualSpacing w:val="0"/>
              <w:jc w:val="center"/>
              <w:rPr>
                <w:b/>
                <w:color w:val="000000"/>
                <w:szCs w:val="24"/>
                <w:lang w:val="en-US"/>
              </w:rPr>
            </w:pPr>
            <w:r w:rsidRPr="00E57871">
              <w:rPr>
                <w:b/>
                <w:color w:val="000000"/>
                <w:szCs w:val="24"/>
                <w:lang w:val="en-US"/>
              </w:rPr>
              <w:t>305</w:t>
            </w:r>
            <w:r w:rsidR="00E57871">
              <w:rPr>
                <w:b/>
                <w:color w:val="000000"/>
                <w:szCs w:val="24"/>
                <w:lang w:val="en-US"/>
              </w:rPr>
              <w:t> </w:t>
            </w:r>
            <w:r w:rsidRPr="00E57871">
              <w:rPr>
                <w:b/>
                <w:color w:val="000000"/>
                <w:szCs w:val="24"/>
                <w:lang w:val="en-US"/>
              </w:rPr>
              <w:t>737</w:t>
            </w:r>
          </w:p>
        </w:tc>
      </w:tr>
    </w:tbl>
    <w:p w14:paraId="7ABCFEF1" w14:textId="77777777" w:rsidR="00B41D3A" w:rsidRDefault="00B41D3A" w:rsidP="00E36722">
      <w:pPr>
        <w:ind w:firstLine="720"/>
      </w:pPr>
    </w:p>
    <w:p w14:paraId="601ECAD9" w14:textId="50144798" w:rsidR="00BE627B" w:rsidRDefault="00BE627B" w:rsidP="00E36722">
      <w:pPr>
        <w:ind w:firstLine="720"/>
      </w:pPr>
      <w:r>
        <w:t>Pēc atkārtotām konsultācijām ar VID, iestāde nepiekrita pārņemt attiecīgo valsts pārvaldes uzdevumu bez attiecīgu budžeta līdzekļu piešķiršanas, arī l</w:t>
      </w:r>
      <w:r w:rsidRPr="008415B3">
        <w:t xml:space="preserve">ikumā </w:t>
      </w:r>
      <w:r w:rsidR="00657F76">
        <w:t>“</w:t>
      </w:r>
      <w:r w:rsidRPr="008415B3">
        <w:t>Par valsts budžetu 2014.gadam”</w:t>
      </w:r>
      <w:r>
        <w:t xml:space="preserve"> un turpmākajiem gadiem</w:t>
      </w:r>
      <w:r w:rsidRPr="008415B3">
        <w:t xml:space="preserve"> šādi līdzekļi </w:t>
      </w:r>
      <w:r>
        <w:t>neti</w:t>
      </w:r>
      <w:r w:rsidR="00956915">
        <w:t>e</w:t>
      </w:r>
      <w:r>
        <w:t>k</w:t>
      </w:r>
      <w:r w:rsidRPr="008415B3">
        <w:t xml:space="preserve"> paredzēti.</w:t>
      </w:r>
    </w:p>
    <w:p w14:paraId="1858DE6C" w14:textId="77777777" w:rsidR="00BE627B" w:rsidRDefault="00BE627B" w:rsidP="00BE627B">
      <w:pPr>
        <w:ind w:firstLine="720"/>
      </w:pPr>
      <w:r>
        <w:t>Līdz ar to, i</w:t>
      </w:r>
      <w:r w:rsidRPr="008E3A3E">
        <w:t xml:space="preserve">evērojot to, ka VSIA </w:t>
      </w:r>
      <w:r w:rsidR="00657F76">
        <w:t>“</w:t>
      </w:r>
      <w:r w:rsidRPr="008E3A3E">
        <w:t xml:space="preserve">Latvijas Proves birojs” kapitāla daļu atsavināšanas finansiālie riski liecina par </w:t>
      </w:r>
      <w:r>
        <w:t xml:space="preserve">atsavināšanas </w:t>
      </w:r>
      <w:r w:rsidRPr="008E3A3E">
        <w:t xml:space="preserve">procesa nelietderīgumu, Finanšu ministrija </w:t>
      </w:r>
      <w:r>
        <w:t xml:space="preserve">2014.gada 7.februārī </w:t>
      </w:r>
      <w:r w:rsidRPr="008E3A3E">
        <w:t xml:space="preserve">atsauca iepriekš (2012.gada 2.martā) Valsts kancelejā iesniegtos likuma </w:t>
      </w:r>
      <w:r w:rsidR="00657F76">
        <w:t>“</w:t>
      </w:r>
      <w:r w:rsidRPr="008E3A3E">
        <w:t xml:space="preserve">Par valsts proves uzraudzību”, Ķīmisko vielu likuma un likuma </w:t>
      </w:r>
      <w:r w:rsidR="00657F76">
        <w:t>“</w:t>
      </w:r>
      <w:r w:rsidRPr="008E3A3E">
        <w:t>Par Konvenciju par dārgmetālu izstrādājumu pārbaudi uz zīmogošanu un tās grozījumiem” grozījumu projektus</w:t>
      </w:r>
      <w:r>
        <w:t>.</w:t>
      </w:r>
    </w:p>
    <w:p w14:paraId="245984D1" w14:textId="245D282D" w:rsidR="00BE627B" w:rsidRPr="00F45642" w:rsidRDefault="00BE627B" w:rsidP="00BE627B">
      <w:pPr>
        <w:ind w:firstLine="720"/>
        <w:rPr>
          <w:szCs w:val="24"/>
        </w:rPr>
      </w:pPr>
      <w:r w:rsidRPr="00F45642">
        <w:rPr>
          <w:szCs w:val="24"/>
        </w:rPr>
        <w:t xml:space="preserve">Ņemot vērā iepriekš minēto, Finanšu ministrija </w:t>
      </w:r>
      <w:r w:rsidR="00CC1BDD" w:rsidRPr="00F45642">
        <w:rPr>
          <w:szCs w:val="24"/>
        </w:rPr>
        <w:t xml:space="preserve">nolēma </w:t>
      </w:r>
      <w:r w:rsidRPr="00F45642">
        <w:rPr>
          <w:szCs w:val="24"/>
        </w:rPr>
        <w:t xml:space="preserve">neatsavināt VSIA “Latvijas Proves birojs” kapitāla daļas, atstājot </w:t>
      </w:r>
      <w:r w:rsidR="00CC1BDD" w:rsidRPr="00F45642">
        <w:rPr>
          <w:szCs w:val="24"/>
        </w:rPr>
        <w:t xml:space="preserve">valsts kapitālsabiedrības </w:t>
      </w:r>
      <w:r w:rsidRPr="00F45642">
        <w:rPr>
          <w:szCs w:val="24"/>
        </w:rPr>
        <w:t>pā</w:t>
      </w:r>
      <w:r w:rsidR="00E57871">
        <w:rPr>
          <w:szCs w:val="24"/>
        </w:rPr>
        <w:t>rziņā deleģēto valsts pārvaldes</w:t>
      </w:r>
      <w:r w:rsidRPr="00F45642">
        <w:rPr>
          <w:szCs w:val="24"/>
        </w:rPr>
        <w:t xml:space="preserve"> uzdevumu izpildi.</w:t>
      </w:r>
      <w:r w:rsidR="00F45642" w:rsidRPr="00F45642">
        <w:rPr>
          <w:szCs w:val="24"/>
        </w:rPr>
        <w:t xml:space="preserve"> Pēc </w:t>
      </w:r>
      <w:r w:rsidR="00953CA3">
        <w:rPr>
          <w:szCs w:val="24"/>
        </w:rPr>
        <w:t>Publisko personu kapitālsabiedrību un kapitāla daļu pārvaldības likum</w:t>
      </w:r>
      <w:r w:rsidR="00E57871">
        <w:rPr>
          <w:szCs w:val="24"/>
          <w:shd w:val="clear" w:color="auto" w:fill="FFFFFF"/>
        </w:rPr>
        <w:t>a pieņemšanas Saeimā un spēkā stāšanās</w:t>
      </w:r>
      <w:r w:rsidR="00F45642" w:rsidRPr="00F45642">
        <w:rPr>
          <w:szCs w:val="24"/>
          <w:shd w:val="clear" w:color="auto" w:fill="FFFFFF"/>
        </w:rPr>
        <w:t xml:space="preserve"> </w:t>
      </w:r>
      <w:r w:rsidR="00F45642" w:rsidRPr="00F45642">
        <w:rPr>
          <w:szCs w:val="24"/>
        </w:rPr>
        <w:t>Finanšu ministrija atkārtoti izvērtēs VSIA “Latvijas Proves birojs” darbību atbilstoši spēkā esošajiem normatīvajiem aktiem.</w:t>
      </w:r>
    </w:p>
    <w:p w14:paraId="19490684" w14:textId="77777777" w:rsidR="005872DB" w:rsidRDefault="005872DB" w:rsidP="00E57871">
      <w:pPr>
        <w:rPr>
          <w:szCs w:val="24"/>
        </w:rPr>
      </w:pPr>
    </w:p>
    <w:p w14:paraId="218BBF76" w14:textId="77777777" w:rsidR="00FF03F8" w:rsidRPr="001B397B" w:rsidRDefault="00FF03F8" w:rsidP="001B397B">
      <w:pPr>
        <w:jc w:val="center"/>
        <w:rPr>
          <w:b/>
          <w:szCs w:val="24"/>
        </w:rPr>
      </w:pPr>
      <w:r w:rsidRPr="001B397B">
        <w:rPr>
          <w:b/>
          <w:szCs w:val="24"/>
        </w:rPr>
        <w:t xml:space="preserve">SIA </w:t>
      </w:r>
      <w:r w:rsidR="009917B1">
        <w:rPr>
          <w:b/>
          <w:szCs w:val="24"/>
        </w:rPr>
        <w:t>“</w:t>
      </w:r>
      <w:r w:rsidRPr="001B397B">
        <w:rPr>
          <w:b/>
          <w:szCs w:val="24"/>
        </w:rPr>
        <w:t>VNĪ pilis”</w:t>
      </w:r>
    </w:p>
    <w:p w14:paraId="093CCC9D" w14:textId="77777777" w:rsidR="00FF03F8" w:rsidRPr="00763296" w:rsidRDefault="00FF03F8" w:rsidP="00FF03F8">
      <w:pPr>
        <w:rPr>
          <w:szCs w:val="24"/>
        </w:rPr>
      </w:pPr>
    </w:p>
    <w:p w14:paraId="7C826618" w14:textId="1DAA33CB" w:rsidR="00FF03F8" w:rsidRDefault="00FF03F8" w:rsidP="00FF03F8">
      <w:pPr>
        <w:ind w:firstLine="720"/>
        <w:rPr>
          <w:szCs w:val="24"/>
        </w:rPr>
      </w:pPr>
      <w:r>
        <w:rPr>
          <w:szCs w:val="24"/>
        </w:rPr>
        <w:t xml:space="preserve">VAS </w:t>
      </w:r>
      <w:r w:rsidR="009917B1">
        <w:rPr>
          <w:szCs w:val="24"/>
        </w:rPr>
        <w:t>“</w:t>
      </w:r>
      <w:r>
        <w:rPr>
          <w:szCs w:val="24"/>
        </w:rPr>
        <w:t xml:space="preserve">Valsts nekustamie īpašumi” meitas uzņēmumu </w:t>
      </w:r>
      <w:r w:rsidRPr="00AD0C82">
        <w:rPr>
          <w:szCs w:val="24"/>
        </w:rPr>
        <w:t xml:space="preserve">SIA </w:t>
      </w:r>
      <w:r w:rsidR="009917B1">
        <w:rPr>
          <w:szCs w:val="24"/>
        </w:rPr>
        <w:t>“</w:t>
      </w:r>
      <w:r w:rsidRPr="00AD0C82">
        <w:rPr>
          <w:szCs w:val="24"/>
        </w:rPr>
        <w:t xml:space="preserve">VNĪ pilis” dibināšanas mērķis </w:t>
      </w:r>
      <w:r w:rsidR="00EC7A10">
        <w:rPr>
          <w:szCs w:val="24"/>
        </w:rPr>
        <w:t>ir</w:t>
      </w:r>
      <w:r w:rsidRPr="00AD0C82">
        <w:rPr>
          <w:szCs w:val="24"/>
        </w:rPr>
        <w:t xml:space="preserve"> apsaimniekot </w:t>
      </w:r>
      <w:r w:rsidRPr="002661D1">
        <w:rPr>
          <w:szCs w:val="24"/>
        </w:rPr>
        <w:t xml:space="preserve">Mežotnes </w:t>
      </w:r>
      <w:r>
        <w:rPr>
          <w:szCs w:val="24"/>
        </w:rPr>
        <w:t xml:space="preserve">pils </w:t>
      </w:r>
      <w:r w:rsidRPr="002661D1">
        <w:rPr>
          <w:szCs w:val="24"/>
        </w:rPr>
        <w:t xml:space="preserve">un </w:t>
      </w:r>
      <w:proofErr w:type="spellStart"/>
      <w:r w:rsidRPr="002661D1">
        <w:rPr>
          <w:szCs w:val="24"/>
        </w:rPr>
        <w:t>Igates</w:t>
      </w:r>
      <w:proofErr w:type="spellEnd"/>
      <w:r w:rsidRPr="002661D1">
        <w:rPr>
          <w:szCs w:val="24"/>
        </w:rPr>
        <w:t xml:space="preserve"> pils</w:t>
      </w:r>
      <w:r w:rsidRPr="00AD0C82">
        <w:rPr>
          <w:szCs w:val="24"/>
        </w:rPr>
        <w:t xml:space="preserve"> kompleksu</w:t>
      </w:r>
      <w:r>
        <w:rPr>
          <w:szCs w:val="24"/>
        </w:rPr>
        <w:t>s</w:t>
      </w:r>
      <w:r w:rsidRPr="00AD0C82">
        <w:rPr>
          <w:szCs w:val="24"/>
        </w:rPr>
        <w:t>, saglabājot to kultūrvēsturisko vērtību</w:t>
      </w:r>
      <w:r>
        <w:rPr>
          <w:szCs w:val="24"/>
        </w:rPr>
        <w:t xml:space="preserve"> un </w:t>
      </w:r>
      <w:r w:rsidRPr="00AD0C82">
        <w:rPr>
          <w:szCs w:val="24"/>
        </w:rPr>
        <w:t>nodrošin</w:t>
      </w:r>
      <w:r>
        <w:rPr>
          <w:szCs w:val="24"/>
        </w:rPr>
        <w:t>o</w:t>
      </w:r>
      <w:r w:rsidRPr="00AD0C82">
        <w:rPr>
          <w:szCs w:val="24"/>
        </w:rPr>
        <w:t>t to pieejamību</w:t>
      </w:r>
      <w:r>
        <w:rPr>
          <w:szCs w:val="24"/>
        </w:rPr>
        <w:t xml:space="preserve"> un </w:t>
      </w:r>
      <w:r w:rsidRPr="00AD0C82">
        <w:rPr>
          <w:szCs w:val="24"/>
        </w:rPr>
        <w:t>mūsdienu prasībām atbilstošu kultūras pakalpojumu kvalitāti</w:t>
      </w:r>
      <w:r>
        <w:rPr>
          <w:szCs w:val="24"/>
        </w:rPr>
        <w:t>.</w:t>
      </w:r>
    </w:p>
    <w:p w14:paraId="3193965D" w14:textId="4491CACB" w:rsidR="00FF03F8" w:rsidRPr="008415B3" w:rsidRDefault="00EC7A10" w:rsidP="00FF03F8">
      <w:pPr>
        <w:ind w:firstLine="720"/>
        <w:rPr>
          <w:szCs w:val="24"/>
        </w:rPr>
      </w:pPr>
      <w:r>
        <w:rPr>
          <w:bCs/>
          <w:szCs w:val="24"/>
          <w:lang w:eastAsia="lv-LV"/>
        </w:rPr>
        <w:t xml:space="preserve">Atbilstoši </w:t>
      </w:r>
      <w:r w:rsidR="00FF03F8">
        <w:rPr>
          <w:bCs/>
          <w:szCs w:val="24"/>
          <w:lang w:eastAsia="lv-LV"/>
        </w:rPr>
        <w:t>Ministru prezidenta izveidotā</w:t>
      </w:r>
      <w:r>
        <w:rPr>
          <w:bCs/>
          <w:szCs w:val="24"/>
          <w:lang w:eastAsia="lv-LV"/>
        </w:rPr>
        <w:t>s</w:t>
      </w:r>
      <w:r w:rsidR="00FF03F8">
        <w:rPr>
          <w:bCs/>
          <w:szCs w:val="24"/>
          <w:lang w:eastAsia="lv-LV"/>
        </w:rPr>
        <w:t xml:space="preserve"> darba grupa</w:t>
      </w:r>
      <w:r>
        <w:rPr>
          <w:bCs/>
          <w:szCs w:val="24"/>
          <w:lang w:eastAsia="lv-LV"/>
        </w:rPr>
        <w:t>s rekomendācijai</w:t>
      </w:r>
      <w:r w:rsidR="00FF03F8">
        <w:rPr>
          <w:bCs/>
          <w:szCs w:val="24"/>
          <w:lang w:eastAsia="lv-LV"/>
        </w:rPr>
        <w:t xml:space="preserve"> </w:t>
      </w:r>
      <w:r w:rsidRPr="008415B3">
        <w:rPr>
          <w:szCs w:val="24"/>
        </w:rPr>
        <w:t xml:space="preserve">VAS </w:t>
      </w:r>
      <w:r>
        <w:rPr>
          <w:szCs w:val="24"/>
        </w:rPr>
        <w:t>“</w:t>
      </w:r>
      <w:r w:rsidRPr="008415B3">
        <w:rPr>
          <w:szCs w:val="24"/>
        </w:rPr>
        <w:t xml:space="preserve">Valsts nekustamie īpašumi” uzsāka darbu pie Mežotnes pils un </w:t>
      </w:r>
      <w:proofErr w:type="spellStart"/>
      <w:r w:rsidRPr="008415B3">
        <w:rPr>
          <w:szCs w:val="24"/>
        </w:rPr>
        <w:t>Igates</w:t>
      </w:r>
      <w:proofErr w:type="spellEnd"/>
      <w:r w:rsidRPr="008415B3">
        <w:rPr>
          <w:szCs w:val="24"/>
        </w:rPr>
        <w:t xml:space="preserve"> pils darbības stratēģijas izstrādes</w:t>
      </w:r>
      <w:r>
        <w:rPr>
          <w:bCs/>
          <w:szCs w:val="24"/>
          <w:lang w:eastAsia="lv-LV"/>
        </w:rPr>
        <w:t xml:space="preserve"> </w:t>
      </w:r>
      <w:r w:rsidR="00FF03F8">
        <w:rPr>
          <w:bCs/>
          <w:szCs w:val="24"/>
          <w:lang w:eastAsia="lv-LV"/>
        </w:rPr>
        <w:t xml:space="preserve">izvērtējot VAS </w:t>
      </w:r>
      <w:r w:rsidR="009917B1">
        <w:rPr>
          <w:bCs/>
          <w:szCs w:val="24"/>
          <w:lang w:eastAsia="lv-LV"/>
        </w:rPr>
        <w:t>“</w:t>
      </w:r>
      <w:r w:rsidR="00FF03F8">
        <w:rPr>
          <w:bCs/>
          <w:szCs w:val="24"/>
          <w:lang w:eastAsia="lv-LV"/>
        </w:rPr>
        <w:t xml:space="preserve">Valsts nekustamie īpašumi” meitas sabiedrības SIA </w:t>
      </w:r>
      <w:r w:rsidR="009917B1">
        <w:rPr>
          <w:bCs/>
          <w:szCs w:val="24"/>
          <w:lang w:eastAsia="lv-LV"/>
        </w:rPr>
        <w:t>“</w:t>
      </w:r>
      <w:r w:rsidR="00FF03F8">
        <w:rPr>
          <w:bCs/>
          <w:szCs w:val="24"/>
          <w:lang w:eastAsia="lv-LV"/>
        </w:rPr>
        <w:t>VNĪ pilis” darbību</w:t>
      </w:r>
      <w:r>
        <w:rPr>
          <w:bCs/>
          <w:szCs w:val="24"/>
          <w:lang w:eastAsia="lv-LV"/>
        </w:rPr>
        <w:t>, lietderību</w:t>
      </w:r>
      <w:r w:rsidR="00FF03F8">
        <w:rPr>
          <w:bCs/>
          <w:szCs w:val="24"/>
          <w:lang w:eastAsia="lv-LV"/>
        </w:rPr>
        <w:t xml:space="preserve"> un atbilstību normatīvo aktu prasībām</w:t>
      </w:r>
      <w:r w:rsidR="00FF03F8" w:rsidRPr="008415B3">
        <w:rPr>
          <w:szCs w:val="24"/>
        </w:rPr>
        <w:t>.</w:t>
      </w:r>
    </w:p>
    <w:p w14:paraId="50A7752E" w14:textId="7A31D8E9" w:rsidR="0037562F" w:rsidRDefault="00FF03F8" w:rsidP="00C003A7">
      <w:pPr>
        <w:spacing w:after="60"/>
        <w:ind w:firstLine="720"/>
        <w:rPr>
          <w:szCs w:val="24"/>
        </w:rPr>
      </w:pPr>
      <w:r w:rsidRPr="00E36722">
        <w:rPr>
          <w:szCs w:val="24"/>
        </w:rPr>
        <w:t xml:space="preserve">Finanšu ministrija </w:t>
      </w:r>
      <w:r w:rsidR="00E36722">
        <w:rPr>
          <w:szCs w:val="24"/>
        </w:rPr>
        <w:t xml:space="preserve">2014.gada 6.jūnija akcionāru sapulcē pieņēma zināšanai </w:t>
      </w:r>
      <w:r w:rsidR="00BC2338" w:rsidRPr="00E36722">
        <w:rPr>
          <w:szCs w:val="24"/>
        </w:rPr>
        <w:t xml:space="preserve">par VAS </w:t>
      </w:r>
      <w:r w:rsidR="009917B1">
        <w:rPr>
          <w:szCs w:val="24"/>
        </w:rPr>
        <w:t>“</w:t>
      </w:r>
      <w:r w:rsidR="00BC2338" w:rsidRPr="00E36722">
        <w:rPr>
          <w:szCs w:val="24"/>
        </w:rPr>
        <w:t xml:space="preserve">Valsts nekustamie īpašumi” </w:t>
      </w:r>
      <w:r w:rsidR="00E36722">
        <w:rPr>
          <w:szCs w:val="24"/>
        </w:rPr>
        <w:t xml:space="preserve">un </w:t>
      </w:r>
      <w:r w:rsidR="00BC2338" w:rsidRPr="00E36722">
        <w:rPr>
          <w:szCs w:val="24"/>
        </w:rPr>
        <w:t xml:space="preserve">SIA </w:t>
      </w:r>
      <w:r w:rsidR="009917B1">
        <w:rPr>
          <w:szCs w:val="24"/>
        </w:rPr>
        <w:t>“</w:t>
      </w:r>
      <w:r w:rsidR="00BC2338" w:rsidRPr="00E36722">
        <w:rPr>
          <w:szCs w:val="24"/>
        </w:rPr>
        <w:t>VNĪ pilis”</w:t>
      </w:r>
      <w:r w:rsidR="00E36722">
        <w:rPr>
          <w:szCs w:val="24"/>
        </w:rPr>
        <w:t xml:space="preserve"> izstrādāto koncepciju par </w:t>
      </w:r>
      <w:r w:rsidR="00E36722" w:rsidRPr="008415B3">
        <w:rPr>
          <w:szCs w:val="24"/>
        </w:rPr>
        <w:t xml:space="preserve">Mežotnes pils un </w:t>
      </w:r>
      <w:proofErr w:type="spellStart"/>
      <w:r w:rsidR="00E36722" w:rsidRPr="00775B91">
        <w:rPr>
          <w:szCs w:val="24"/>
        </w:rPr>
        <w:t>Igates</w:t>
      </w:r>
      <w:proofErr w:type="spellEnd"/>
      <w:r w:rsidR="00E36722" w:rsidRPr="00775B91">
        <w:rPr>
          <w:szCs w:val="24"/>
        </w:rPr>
        <w:t xml:space="preserve"> pils turpmāko darbību, atbalstot </w:t>
      </w:r>
      <w:r w:rsidR="006C634D" w:rsidRPr="00775B91">
        <w:rPr>
          <w:szCs w:val="24"/>
        </w:rPr>
        <w:t xml:space="preserve">priekšlikumu par SIA </w:t>
      </w:r>
      <w:r w:rsidR="009917B1">
        <w:rPr>
          <w:szCs w:val="24"/>
        </w:rPr>
        <w:t>“</w:t>
      </w:r>
      <w:r w:rsidR="006C634D" w:rsidRPr="00775B91">
        <w:rPr>
          <w:szCs w:val="24"/>
        </w:rPr>
        <w:t xml:space="preserve">VNĪ Pilis” likvidāciju vai reorganizāciju, pievienojot to VAS “Valsts nekustamie īpašumi”, pēc tam, kad tiks īstenota </w:t>
      </w:r>
      <w:r w:rsidR="00EB41C4" w:rsidRPr="008415B3">
        <w:rPr>
          <w:szCs w:val="24"/>
        </w:rPr>
        <w:t xml:space="preserve">Mežotnes un </w:t>
      </w:r>
      <w:proofErr w:type="spellStart"/>
      <w:r w:rsidR="00EB41C4" w:rsidRPr="008415B3">
        <w:rPr>
          <w:szCs w:val="24"/>
        </w:rPr>
        <w:t>Igates</w:t>
      </w:r>
      <w:proofErr w:type="spellEnd"/>
      <w:r w:rsidR="00EB41C4" w:rsidRPr="008415B3">
        <w:rPr>
          <w:szCs w:val="24"/>
        </w:rPr>
        <w:t xml:space="preserve"> pils</w:t>
      </w:r>
      <w:r w:rsidR="006C634D" w:rsidRPr="00775B91">
        <w:rPr>
          <w:szCs w:val="24"/>
        </w:rPr>
        <w:t xml:space="preserve"> </w:t>
      </w:r>
      <w:r w:rsidR="00EB41C4">
        <w:rPr>
          <w:szCs w:val="24"/>
        </w:rPr>
        <w:t xml:space="preserve">plānotās </w:t>
      </w:r>
      <w:r w:rsidR="00E57871">
        <w:rPr>
          <w:szCs w:val="24"/>
        </w:rPr>
        <w:t>attīstības virzieni.</w:t>
      </w:r>
    </w:p>
    <w:p w14:paraId="1F04B9E8" w14:textId="60AC7569" w:rsidR="0037562F" w:rsidRPr="00C003A7" w:rsidRDefault="006C634D" w:rsidP="00C003A7">
      <w:pPr>
        <w:ind w:firstLine="720"/>
        <w:rPr>
          <w:rFonts w:eastAsiaTheme="minorHAnsi"/>
          <w:szCs w:val="24"/>
        </w:rPr>
      </w:pPr>
      <w:r w:rsidRPr="0037562F">
        <w:rPr>
          <w:b/>
          <w:szCs w:val="24"/>
        </w:rPr>
        <w:lastRenderedPageBreak/>
        <w:t>Mežotnes pils</w:t>
      </w:r>
      <w:r w:rsidRPr="0037562F">
        <w:rPr>
          <w:szCs w:val="24"/>
        </w:rPr>
        <w:t xml:space="preserve"> ilgtermiņa att</w:t>
      </w:r>
      <w:r w:rsidR="00C003A7">
        <w:rPr>
          <w:szCs w:val="24"/>
        </w:rPr>
        <w:t xml:space="preserve">īstības scenārijs </w:t>
      </w:r>
      <w:r w:rsidR="00323EE2">
        <w:rPr>
          <w:szCs w:val="24"/>
        </w:rPr>
        <w:t>-</w:t>
      </w:r>
      <w:r w:rsidR="00C003A7">
        <w:rPr>
          <w:szCs w:val="24"/>
        </w:rPr>
        <w:t xml:space="preserve"> līdzšinējās </w:t>
      </w:r>
      <w:r w:rsidRPr="0037562F">
        <w:rPr>
          <w:szCs w:val="24"/>
        </w:rPr>
        <w:t>darbības attīstīšana atbilstoši Mežotnes pils kultūrvēsturiskajam statusam</w:t>
      </w:r>
      <w:r w:rsidR="00775B91" w:rsidRPr="0037562F">
        <w:rPr>
          <w:szCs w:val="24"/>
        </w:rPr>
        <w:t>, veicot</w:t>
      </w:r>
      <w:r w:rsidRPr="0037562F">
        <w:rPr>
          <w:rFonts w:eastAsia="Symbol"/>
          <w:color w:val="000000"/>
          <w:szCs w:val="24"/>
          <w:lang w:eastAsia="lv-LV"/>
        </w:rPr>
        <w:t xml:space="preserve"> neatliekamos ieguldījumus kompleksa ēku tehniskā stāvokļa saglabāšanai</w:t>
      </w:r>
      <w:r w:rsidR="00775B91" w:rsidRPr="0037562F">
        <w:rPr>
          <w:rFonts w:eastAsia="Symbol"/>
          <w:color w:val="000000"/>
          <w:szCs w:val="24"/>
          <w:lang w:eastAsia="lv-LV"/>
        </w:rPr>
        <w:t xml:space="preserve"> un piesaistot</w:t>
      </w:r>
      <w:r w:rsidRPr="0037562F">
        <w:rPr>
          <w:rFonts w:eastAsia="Symbol"/>
          <w:color w:val="000000"/>
          <w:szCs w:val="24"/>
          <w:lang w:eastAsia="lv-LV"/>
        </w:rPr>
        <w:t xml:space="preserve"> sad</w:t>
      </w:r>
      <w:r w:rsidR="00C003A7">
        <w:rPr>
          <w:rFonts w:eastAsia="Symbol"/>
          <w:color w:val="000000"/>
          <w:szCs w:val="24"/>
          <w:lang w:eastAsia="lv-LV"/>
        </w:rPr>
        <w:t xml:space="preserve">arbības partneri </w:t>
      </w:r>
      <w:r w:rsidR="00323EE2">
        <w:rPr>
          <w:rFonts w:eastAsia="Symbol"/>
          <w:color w:val="000000"/>
          <w:szCs w:val="24"/>
          <w:lang w:eastAsia="lv-LV"/>
        </w:rPr>
        <w:t>-</w:t>
      </w:r>
      <w:r w:rsidR="00C003A7">
        <w:rPr>
          <w:rFonts w:eastAsia="Symbol"/>
          <w:color w:val="000000"/>
          <w:szCs w:val="24"/>
          <w:lang w:eastAsia="lv-LV"/>
        </w:rPr>
        <w:t xml:space="preserve"> pieczvaigžņu </w:t>
      </w:r>
      <w:r w:rsidRPr="0037562F">
        <w:rPr>
          <w:rFonts w:eastAsia="Symbol"/>
          <w:color w:val="000000"/>
          <w:szCs w:val="24"/>
          <w:lang w:eastAsia="lv-LV"/>
        </w:rPr>
        <w:t>viesnīcas operatoru</w:t>
      </w:r>
      <w:r w:rsidR="0037562F" w:rsidRPr="0037562F">
        <w:rPr>
          <w:rFonts w:eastAsia="Symbol"/>
          <w:color w:val="000000"/>
          <w:szCs w:val="24"/>
          <w:lang w:eastAsia="lv-LV"/>
        </w:rPr>
        <w:t>.</w:t>
      </w:r>
      <w:r w:rsidR="001F3AE6">
        <w:rPr>
          <w:rFonts w:eastAsia="Symbol"/>
          <w:color w:val="000000"/>
          <w:szCs w:val="24"/>
          <w:lang w:eastAsia="lv-LV"/>
        </w:rPr>
        <w:t xml:space="preserve"> Mežotnes pils aktivitāšu plāns</w:t>
      </w:r>
      <w:r w:rsidR="00E414D2">
        <w:rPr>
          <w:rFonts w:eastAsia="Symbol"/>
          <w:color w:val="000000"/>
          <w:szCs w:val="24"/>
          <w:lang w:eastAsia="lv-LV"/>
        </w:rPr>
        <w:t xml:space="preserve"> norādīts informatīvā ziņojuma </w:t>
      </w:r>
      <w:r w:rsidR="00506B31">
        <w:rPr>
          <w:rFonts w:eastAsia="Symbol"/>
          <w:color w:val="000000"/>
          <w:szCs w:val="24"/>
          <w:lang w:eastAsia="lv-LV"/>
        </w:rPr>
        <w:t>4</w:t>
      </w:r>
      <w:r w:rsidR="00E414D2">
        <w:rPr>
          <w:rFonts w:eastAsia="Symbol"/>
          <w:color w:val="000000"/>
          <w:szCs w:val="24"/>
          <w:lang w:eastAsia="lv-LV"/>
        </w:rPr>
        <w:t xml:space="preserve">. un </w:t>
      </w:r>
      <w:r w:rsidR="00506B31">
        <w:rPr>
          <w:rFonts w:eastAsia="Symbol"/>
          <w:color w:val="000000"/>
          <w:szCs w:val="24"/>
          <w:lang w:eastAsia="lv-LV"/>
        </w:rPr>
        <w:t>5</w:t>
      </w:r>
      <w:r w:rsidR="00E414D2">
        <w:rPr>
          <w:rFonts w:eastAsia="Symbol"/>
          <w:color w:val="000000"/>
          <w:szCs w:val="24"/>
          <w:lang w:eastAsia="lv-LV"/>
        </w:rPr>
        <w:t>.tabulā.</w:t>
      </w:r>
    </w:p>
    <w:p w14:paraId="5E195E9A" w14:textId="5E50EB74" w:rsidR="00E414D2" w:rsidRPr="00506B31" w:rsidRDefault="00506B31" w:rsidP="003B3223">
      <w:pPr>
        <w:pStyle w:val="ListParagraph"/>
        <w:keepNext/>
        <w:ind w:left="426"/>
        <w:jc w:val="right"/>
        <w:rPr>
          <w:rFonts w:cs="Times New Roman"/>
          <w:sz w:val="20"/>
          <w:szCs w:val="20"/>
        </w:rPr>
      </w:pPr>
      <w:r w:rsidRPr="00506B31">
        <w:rPr>
          <w:rFonts w:cs="Times New Roman"/>
          <w:sz w:val="20"/>
          <w:szCs w:val="20"/>
        </w:rPr>
        <w:t>4</w:t>
      </w:r>
      <w:r w:rsidR="00E414D2" w:rsidRPr="00506B31">
        <w:rPr>
          <w:rFonts w:cs="Times New Roman"/>
          <w:sz w:val="20"/>
          <w:szCs w:val="20"/>
        </w:rPr>
        <w:t>.tabula</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709"/>
        <w:gridCol w:w="425"/>
        <w:gridCol w:w="425"/>
        <w:gridCol w:w="425"/>
        <w:gridCol w:w="426"/>
        <w:gridCol w:w="425"/>
        <w:gridCol w:w="425"/>
        <w:gridCol w:w="425"/>
        <w:gridCol w:w="474"/>
      </w:tblGrid>
      <w:tr w:rsidR="00E414D2" w:rsidRPr="0037562F" w14:paraId="2DBB10E5" w14:textId="77777777" w:rsidTr="003B3223">
        <w:trPr>
          <w:trHeight w:val="300"/>
          <w:jc w:val="center"/>
        </w:trPr>
        <w:tc>
          <w:tcPr>
            <w:tcW w:w="5100" w:type="dxa"/>
            <w:vMerge w:val="restart"/>
            <w:shd w:val="clear" w:color="auto" w:fill="B4C6E7" w:themeFill="accent5" w:themeFillTint="66"/>
            <w:noWrap/>
            <w:vAlign w:val="center"/>
            <w:hideMark/>
          </w:tcPr>
          <w:p w14:paraId="33713C71" w14:textId="1F5F80E0" w:rsidR="00E414D2" w:rsidRPr="003B3223" w:rsidRDefault="00E414D2" w:rsidP="003B3223">
            <w:pPr>
              <w:keepNext/>
              <w:spacing w:before="60" w:after="60"/>
              <w:jc w:val="center"/>
              <w:rPr>
                <w:b/>
                <w:szCs w:val="24"/>
              </w:rPr>
            </w:pPr>
            <w:r w:rsidRPr="00C003A7">
              <w:rPr>
                <w:b/>
                <w:szCs w:val="24"/>
              </w:rPr>
              <w:t>Minimālā programma / pirmā kārta</w:t>
            </w:r>
          </w:p>
        </w:tc>
        <w:tc>
          <w:tcPr>
            <w:tcW w:w="709" w:type="dxa"/>
            <w:shd w:val="clear" w:color="auto" w:fill="B4C6E7" w:themeFill="accent5" w:themeFillTint="66"/>
            <w:noWrap/>
            <w:vAlign w:val="bottom"/>
            <w:hideMark/>
          </w:tcPr>
          <w:p w14:paraId="1A28883B" w14:textId="77777777" w:rsidR="00E414D2" w:rsidRPr="00C003A7" w:rsidRDefault="00E414D2" w:rsidP="003B3223">
            <w:pPr>
              <w:keepNext/>
              <w:spacing w:before="60" w:after="60"/>
              <w:jc w:val="center"/>
              <w:rPr>
                <w:b/>
                <w:bCs/>
                <w:color w:val="000000"/>
                <w:szCs w:val="24"/>
                <w:lang w:eastAsia="lv-LV"/>
              </w:rPr>
            </w:pPr>
            <w:r w:rsidRPr="00C003A7">
              <w:rPr>
                <w:b/>
                <w:bCs/>
                <w:color w:val="000000"/>
                <w:szCs w:val="24"/>
                <w:lang w:eastAsia="lv-LV"/>
              </w:rPr>
              <w:t>2014</w:t>
            </w:r>
          </w:p>
        </w:tc>
        <w:tc>
          <w:tcPr>
            <w:tcW w:w="850" w:type="dxa"/>
            <w:gridSpan w:val="2"/>
            <w:shd w:val="clear" w:color="auto" w:fill="B4C6E7" w:themeFill="accent5" w:themeFillTint="66"/>
            <w:noWrap/>
            <w:vAlign w:val="bottom"/>
            <w:hideMark/>
          </w:tcPr>
          <w:p w14:paraId="1FFEF65C" w14:textId="77777777" w:rsidR="00E414D2" w:rsidRPr="00C003A7" w:rsidRDefault="00E414D2" w:rsidP="003B3223">
            <w:pPr>
              <w:keepNext/>
              <w:spacing w:before="60" w:after="60"/>
              <w:jc w:val="center"/>
              <w:rPr>
                <w:b/>
                <w:bCs/>
                <w:color w:val="000000"/>
                <w:szCs w:val="24"/>
                <w:lang w:eastAsia="lv-LV"/>
              </w:rPr>
            </w:pPr>
            <w:r w:rsidRPr="00C003A7">
              <w:rPr>
                <w:b/>
                <w:bCs/>
                <w:color w:val="000000"/>
                <w:szCs w:val="24"/>
                <w:lang w:eastAsia="lv-LV"/>
              </w:rPr>
              <w:t>2015</w:t>
            </w:r>
          </w:p>
        </w:tc>
        <w:tc>
          <w:tcPr>
            <w:tcW w:w="851" w:type="dxa"/>
            <w:gridSpan w:val="2"/>
            <w:shd w:val="clear" w:color="auto" w:fill="B4C6E7" w:themeFill="accent5" w:themeFillTint="66"/>
            <w:noWrap/>
            <w:vAlign w:val="bottom"/>
            <w:hideMark/>
          </w:tcPr>
          <w:p w14:paraId="133DE05F" w14:textId="77777777" w:rsidR="00E414D2" w:rsidRPr="00C003A7" w:rsidRDefault="00E414D2" w:rsidP="003B3223">
            <w:pPr>
              <w:keepNext/>
              <w:spacing w:before="60" w:after="60"/>
              <w:jc w:val="center"/>
              <w:rPr>
                <w:b/>
                <w:bCs/>
                <w:color w:val="000000"/>
                <w:szCs w:val="24"/>
                <w:lang w:eastAsia="lv-LV"/>
              </w:rPr>
            </w:pPr>
            <w:r w:rsidRPr="00C003A7">
              <w:rPr>
                <w:b/>
                <w:bCs/>
                <w:color w:val="000000"/>
                <w:szCs w:val="24"/>
                <w:lang w:eastAsia="lv-LV"/>
              </w:rPr>
              <w:t>2016</w:t>
            </w:r>
          </w:p>
        </w:tc>
        <w:tc>
          <w:tcPr>
            <w:tcW w:w="850" w:type="dxa"/>
            <w:gridSpan w:val="2"/>
            <w:shd w:val="clear" w:color="auto" w:fill="B4C6E7" w:themeFill="accent5" w:themeFillTint="66"/>
            <w:noWrap/>
            <w:vAlign w:val="bottom"/>
            <w:hideMark/>
          </w:tcPr>
          <w:p w14:paraId="47D551C9" w14:textId="77777777" w:rsidR="00E414D2" w:rsidRPr="00C003A7" w:rsidRDefault="00E414D2" w:rsidP="003B3223">
            <w:pPr>
              <w:keepNext/>
              <w:spacing w:before="60" w:after="60"/>
              <w:jc w:val="center"/>
              <w:rPr>
                <w:b/>
                <w:bCs/>
                <w:color w:val="000000"/>
                <w:szCs w:val="24"/>
                <w:lang w:eastAsia="lv-LV"/>
              </w:rPr>
            </w:pPr>
            <w:r w:rsidRPr="00C003A7">
              <w:rPr>
                <w:b/>
                <w:bCs/>
                <w:color w:val="000000"/>
                <w:szCs w:val="24"/>
                <w:lang w:eastAsia="lv-LV"/>
              </w:rPr>
              <w:t>2017</w:t>
            </w:r>
          </w:p>
        </w:tc>
        <w:tc>
          <w:tcPr>
            <w:tcW w:w="899" w:type="dxa"/>
            <w:gridSpan w:val="2"/>
            <w:shd w:val="clear" w:color="auto" w:fill="B4C6E7" w:themeFill="accent5" w:themeFillTint="66"/>
            <w:noWrap/>
            <w:vAlign w:val="bottom"/>
            <w:hideMark/>
          </w:tcPr>
          <w:p w14:paraId="5DAF6B7A" w14:textId="77777777" w:rsidR="00E414D2" w:rsidRPr="00C003A7" w:rsidRDefault="00E414D2" w:rsidP="003B3223">
            <w:pPr>
              <w:keepNext/>
              <w:spacing w:before="60" w:after="60"/>
              <w:jc w:val="center"/>
              <w:rPr>
                <w:b/>
                <w:bCs/>
                <w:color w:val="000000"/>
                <w:szCs w:val="24"/>
                <w:lang w:eastAsia="lv-LV"/>
              </w:rPr>
            </w:pPr>
            <w:r w:rsidRPr="00C003A7">
              <w:rPr>
                <w:b/>
                <w:bCs/>
                <w:color w:val="000000"/>
                <w:szCs w:val="24"/>
                <w:lang w:eastAsia="lv-LV"/>
              </w:rPr>
              <w:t>2018</w:t>
            </w:r>
          </w:p>
        </w:tc>
      </w:tr>
      <w:tr w:rsidR="00E414D2" w:rsidRPr="0037562F" w14:paraId="4FFD07AD" w14:textId="77777777" w:rsidTr="00E319E1">
        <w:trPr>
          <w:trHeight w:val="315"/>
          <w:jc w:val="center"/>
        </w:trPr>
        <w:tc>
          <w:tcPr>
            <w:tcW w:w="5100" w:type="dxa"/>
            <w:vMerge/>
            <w:shd w:val="clear" w:color="auto" w:fill="B4C6E7" w:themeFill="accent5" w:themeFillTint="66"/>
            <w:noWrap/>
            <w:vAlign w:val="bottom"/>
            <w:hideMark/>
          </w:tcPr>
          <w:p w14:paraId="6DDD981A" w14:textId="77777777" w:rsidR="00E414D2" w:rsidRPr="00C003A7" w:rsidRDefault="00E414D2" w:rsidP="003B3223">
            <w:pPr>
              <w:keepNext/>
              <w:spacing w:before="60" w:after="60"/>
              <w:rPr>
                <w:color w:val="000000"/>
                <w:szCs w:val="24"/>
                <w:lang w:eastAsia="lv-LV"/>
              </w:rPr>
            </w:pPr>
          </w:p>
        </w:tc>
        <w:tc>
          <w:tcPr>
            <w:tcW w:w="709" w:type="dxa"/>
            <w:shd w:val="clear" w:color="auto" w:fill="B4C6E7" w:themeFill="accent5" w:themeFillTint="66"/>
            <w:noWrap/>
            <w:vAlign w:val="bottom"/>
            <w:hideMark/>
          </w:tcPr>
          <w:p w14:paraId="6921140E"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II</w:t>
            </w:r>
          </w:p>
        </w:tc>
        <w:tc>
          <w:tcPr>
            <w:tcW w:w="425" w:type="dxa"/>
            <w:shd w:val="clear" w:color="auto" w:fill="B4C6E7" w:themeFill="accent5" w:themeFillTint="66"/>
            <w:noWrap/>
            <w:vAlign w:val="bottom"/>
            <w:hideMark/>
          </w:tcPr>
          <w:p w14:paraId="350B4B9B"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w:t>
            </w:r>
          </w:p>
        </w:tc>
        <w:tc>
          <w:tcPr>
            <w:tcW w:w="425" w:type="dxa"/>
            <w:shd w:val="clear" w:color="auto" w:fill="B4C6E7" w:themeFill="accent5" w:themeFillTint="66"/>
            <w:noWrap/>
            <w:vAlign w:val="bottom"/>
            <w:hideMark/>
          </w:tcPr>
          <w:p w14:paraId="0D605014"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II</w:t>
            </w:r>
          </w:p>
        </w:tc>
        <w:tc>
          <w:tcPr>
            <w:tcW w:w="425" w:type="dxa"/>
            <w:shd w:val="clear" w:color="auto" w:fill="B4C6E7" w:themeFill="accent5" w:themeFillTint="66"/>
            <w:noWrap/>
            <w:vAlign w:val="bottom"/>
            <w:hideMark/>
          </w:tcPr>
          <w:p w14:paraId="42ECCFC7"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w:t>
            </w:r>
          </w:p>
        </w:tc>
        <w:tc>
          <w:tcPr>
            <w:tcW w:w="426" w:type="dxa"/>
            <w:shd w:val="clear" w:color="auto" w:fill="B4C6E7" w:themeFill="accent5" w:themeFillTint="66"/>
            <w:noWrap/>
            <w:vAlign w:val="bottom"/>
            <w:hideMark/>
          </w:tcPr>
          <w:p w14:paraId="11EBEE32"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II</w:t>
            </w:r>
          </w:p>
        </w:tc>
        <w:tc>
          <w:tcPr>
            <w:tcW w:w="425" w:type="dxa"/>
            <w:shd w:val="clear" w:color="auto" w:fill="B4C6E7" w:themeFill="accent5" w:themeFillTint="66"/>
            <w:noWrap/>
            <w:vAlign w:val="bottom"/>
            <w:hideMark/>
          </w:tcPr>
          <w:p w14:paraId="231DB308"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w:t>
            </w:r>
          </w:p>
        </w:tc>
        <w:tc>
          <w:tcPr>
            <w:tcW w:w="425" w:type="dxa"/>
            <w:shd w:val="clear" w:color="auto" w:fill="B4C6E7" w:themeFill="accent5" w:themeFillTint="66"/>
            <w:noWrap/>
            <w:vAlign w:val="bottom"/>
            <w:hideMark/>
          </w:tcPr>
          <w:p w14:paraId="4569FC98"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II</w:t>
            </w:r>
          </w:p>
        </w:tc>
        <w:tc>
          <w:tcPr>
            <w:tcW w:w="425" w:type="dxa"/>
            <w:shd w:val="clear" w:color="auto" w:fill="B4C6E7" w:themeFill="accent5" w:themeFillTint="66"/>
            <w:noWrap/>
            <w:vAlign w:val="bottom"/>
            <w:hideMark/>
          </w:tcPr>
          <w:p w14:paraId="0E0C2006"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w:t>
            </w:r>
          </w:p>
        </w:tc>
        <w:tc>
          <w:tcPr>
            <w:tcW w:w="474" w:type="dxa"/>
            <w:shd w:val="clear" w:color="auto" w:fill="B4C6E7" w:themeFill="accent5" w:themeFillTint="66"/>
            <w:noWrap/>
            <w:vAlign w:val="bottom"/>
            <w:hideMark/>
          </w:tcPr>
          <w:p w14:paraId="023540A1" w14:textId="77777777" w:rsidR="00E414D2" w:rsidRPr="00C003A7" w:rsidRDefault="00E414D2" w:rsidP="003B3223">
            <w:pPr>
              <w:keepNext/>
              <w:spacing w:before="60" w:after="60"/>
              <w:jc w:val="center"/>
              <w:rPr>
                <w:color w:val="000000"/>
                <w:szCs w:val="24"/>
                <w:lang w:eastAsia="lv-LV"/>
              </w:rPr>
            </w:pPr>
            <w:r w:rsidRPr="00C003A7">
              <w:rPr>
                <w:color w:val="000000"/>
                <w:szCs w:val="24"/>
                <w:lang w:eastAsia="lv-LV"/>
              </w:rPr>
              <w:t>II</w:t>
            </w:r>
          </w:p>
        </w:tc>
      </w:tr>
      <w:tr w:rsidR="003B3223" w:rsidRPr="0037562F" w14:paraId="279DDD6F" w14:textId="77777777" w:rsidTr="00B86D9F">
        <w:trPr>
          <w:trHeight w:val="690"/>
          <w:jc w:val="center"/>
        </w:trPr>
        <w:tc>
          <w:tcPr>
            <w:tcW w:w="5100" w:type="dxa"/>
            <w:shd w:val="clear" w:color="auto" w:fill="auto"/>
            <w:noWrap/>
            <w:hideMark/>
          </w:tcPr>
          <w:p w14:paraId="0E73D5BF" w14:textId="6D0B5802" w:rsidR="003B3223" w:rsidRPr="00C003A7" w:rsidRDefault="009114BE" w:rsidP="009114BE">
            <w:pPr>
              <w:spacing w:before="60" w:after="60"/>
              <w:jc w:val="left"/>
              <w:rPr>
                <w:color w:val="000000"/>
                <w:szCs w:val="24"/>
                <w:lang w:eastAsia="lv-LV"/>
              </w:rPr>
            </w:pPr>
            <w:r>
              <w:rPr>
                <w:rFonts w:eastAsia="Symbol"/>
                <w:color w:val="000000"/>
                <w:szCs w:val="24"/>
                <w:lang w:eastAsia="lv-LV"/>
              </w:rPr>
              <w:t>N</w:t>
            </w:r>
            <w:r w:rsidR="003B3223" w:rsidRPr="00C003A7">
              <w:rPr>
                <w:rFonts w:eastAsia="Symbol"/>
                <w:color w:val="000000"/>
                <w:szCs w:val="24"/>
                <w:lang w:eastAsia="lv-LV"/>
              </w:rPr>
              <w:t xml:space="preserve">eatliekamo ieguldījumu </w:t>
            </w:r>
            <w:r>
              <w:rPr>
                <w:rFonts w:eastAsia="Symbol"/>
                <w:color w:val="000000"/>
                <w:szCs w:val="24"/>
                <w:lang w:eastAsia="lv-LV"/>
              </w:rPr>
              <w:t xml:space="preserve">veikšana </w:t>
            </w:r>
            <w:r w:rsidR="003B3223" w:rsidRPr="00C003A7">
              <w:rPr>
                <w:rFonts w:eastAsia="Symbol"/>
                <w:color w:val="000000"/>
                <w:szCs w:val="24"/>
                <w:lang w:eastAsia="lv-LV"/>
              </w:rPr>
              <w:t>kompleksa ēku tehniskā stāvokļa saglabāšanai</w:t>
            </w:r>
          </w:p>
        </w:tc>
        <w:tc>
          <w:tcPr>
            <w:tcW w:w="709" w:type="dxa"/>
            <w:shd w:val="clear" w:color="000000" w:fill="DCE6F1"/>
            <w:noWrap/>
            <w:vAlign w:val="center"/>
            <w:hideMark/>
          </w:tcPr>
          <w:p w14:paraId="0CDBAE79"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62C10044" w14:textId="14FFE688"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auto" w:fill="auto"/>
            <w:noWrap/>
            <w:vAlign w:val="center"/>
            <w:hideMark/>
          </w:tcPr>
          <w:p w14:paraId="21342645" w14:textId="383BBA43"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68ACD851" w14:textId="6665616C" w:rsidR="003B3223" w:rsidRPr="00C003A7" w:rsidRDefault="003B3223" w:rsidP="00E319E1">
            <w:pPr>
              <w:spacing w:before="60" w:after="60"/>
              <w:jc w:val="center"/>
              <w:rPr>
                <w:color w:val="000000"/>
                <w:szCs w:val="24"/>
                <w:lang w:eastAsia="lv-LV"/>
              </w:rPr>
            </w:pPr>
          </w:p>
        </w:tc>
        <w:tc>
          <w:tcPr>
            <w:tcW w:w="426" w:type="dxa"/>
            <w:shd w:val="clear" w:color="auto" w:fill="auto"/>
            <w:noWrap/>
            <w:vAlign w:val="center"/>
            <w:hideMark/>
          </w:tcPr>
          <w:p w14:paraId="49F37E8E" w14:textId="5A575834"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1D4AF357" w14:textId="63DFB947"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5F661DB5" w14:textId="18D3B256"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6B8E7F12" w14:textId="0C6D430B" w:rsidR="003B3223" w:rsidRPr="00C003A7" w:rsidRDefault="003B3223" w:rsidP="00E319E1">
            <w:pPr>
              <w:spacing w:before="60" w:after="60"/>
              <w:jc w:val="center"/>
              <w:rPr>
                <w:color w:val="000000"/>
                <w:szCs w:val="24"/>
                <w:lang w:eastAsia="lv-LV"/>
              </w:rPr>
            </w:pPr>
          </w:p>
        </w:tc>
        <w:tc>
          <w:tcPr>
            <w:tcW w:w="474" w:type="dxa"/>
            <w:shd w:val="clear" w:color="auto" w:fill="auto"/>
            <w:noWrap/>
            <w:vAlign w:val="center"/>
            <w:hideMark/>
          </w:tcPr>
          <w:p w14:paraId="54ADB8F8" w14:textId="56B1C081" w:rsidR="003B3223" w:rsidRPr="00C003A7" w:rsidRDefault="003B3223" w:rsidP="00E319E1">
            <w:pPr>
              <w:spacing w:before="60" w:after="60"/>
              <w:jc w:val="center"/>
              <w:rPr>
                <w:color w:val="000000"/>
                <w:szCs w:val="24"/>
                <w:lang w:eastAsia="lv-LV"/>
              </w:rPr>
            </w:pPr>
          </w:p>
        </w:tc>
      </w:tr>
      <w:tr w:rsidR="003B3223" w:rsidRPr="0037562F" w14:paraId="77BD05AA" w14:textId="77777777" w:rsidTr="009349FB">
        <w:trPr>
          <w:trHeight w:val="690"/>
          <w:jc w:val="center"/>
        </w:trPr>
        <w:tc>
          <w:tcPr>
            <w:tcW w:w="5100" w:type="dxa"/>
            <w:shd w:val="clear" w:color="auto" w:fill="auto"/>
            <w:noWrap/>
            <w:hideMark/>
          </w:tcPr>
          <w:p w14:paraId="5BF6F457" w14:textId="4093025E" w:rsidR="003B3223" w:rsidRPr="00C003A7" w:rsidRDefault="009114BE" w:rsidP="009114BE">
            <w:pPr>
              <w:spacing w:before="60" w:after="60"/>
              <w:jc w:val="left"/>
              <w:rPr>
                <w:color w:val="000000"/>
                <w:szCs w:val="24"/>
                <w:lang w:eastAsia="lv-LV"/>
              </w:rPr>
            </w:pPr>
            <w:r>
              <w:rPr>
                <w:rFonts w:eastAsia="Symbol"/>
                <w:color w:val="000000"/>
                <w:szCs w:val="24"/>
                <w:lang w:eastAsia="lv-LV"/>
              </w:rPr>
              <w:t xml:space="preserve">Sadarbības </w:t>
            </w:r>
            <w:r w:rsidR="003B3223" w:rsidRPr="00C003A7">
              <w:rPr>
                <w:rFonts w:eastAsia="Symbol"/>
                <w:color w:val="000000"/>
                <w:szCs w:val="24"/>
                <w:lang w:eastAsia="lv-LV"/>
              </w:rPr>
              <w:t>p</w:t>
            </w:r>
            <w:r>
              <w:rPr>
                <w:rFonts w:eastAsia="Symbol"/>
                <w:color w:val="000000"/>
                <w:szCs w:val="24"/>
                <w:lang w:eastAsia="lv-LV"/>
              </w:rPr>
              <w:t xml:space="preserve">artnera </w:t>
            </w:r>
            <w:r w:rsidR="003B3223">
              <w:rPr>
                <w:rFonts w:eastAsia="Symbol"/>
                <w:color w:val="000000"/>
                <w:szCs w:val="24"/>
                <w:lang w:eastAsia="lv-LV"/>
              </w:rPr>
              <w:t>–</w:t>
            </w:r>
            <w:r w:rsidR="003B3223" w:rsidRPr="00C003A7">
              <w:rPr>
                <w:rFonts w:eastAsia="Symbol"/>
                <w:color w:val="000000"/>
                <w:szCs w:val="24"/>
                <w:lang w:eastAsia="lv-LV"/>
              </w:rPr>
              <w:t xml:space="preserve"> pieczvaigžņu</w:t>
            </w:r>
            <w:r w:rsidR="003B3223">
              <w:rPr>
                <w:rFonts w:eastAsia="Symbol"/>
                <w:color w:val="000000"/>
                <w:szCs w:val="24"/>
                <w:lang w:eastAsia="lv-LV"/>
              </w:rPr>
              <w:t xml:space="preserve"> </w:t>
            </w:r>
            <w:r>
              <w:rPr>
                <w:rFonts w:eastAsia="Symbol"/>
                <w:color w:val="000000"/>
                <w:szCs w:val="24"/>
                <w:lang w:eastAsia="lv-LV"/>
              </w:rPr>
              <w:t>viesnīcas operatora – p</w:t>
            </w:r>
            <w:r w:rsidRPr="00C003A7">
              <w:rPr>
                <w:rFonts w:eastAsia="Symbol"/>
                <w:color w:val="000000"/>
                <w:szCs w:val="24"/>
                <w:lang w:eastAsia="lv-LV"/>
              </w:rPr>
              <w:t>iesaistī</w:t>
            </w:r>
            <w:r>
              <w:rPr>
                <w:rFonts w:eastAsia="Symbol"/>
                <w:color w:val="000000"/>
                <w:szCs w:val="24"/>
                <w:lang w:eastAsia="lv-LV"/>
              </w:rPr>
              <w:t>šana</w:t>
            </w:r>
            <w:r w:rsidR="003B3223" w:rsidRPr="00C003A7">
              <w:rPr>
                <w:rFonts w:eastAsia="Symbol"/>
                <w:color w:val="000000"/>
                <w:szCs w:val="24"/>
                <w:lang w:eastAsia="lv-LV"/>
              </w:rPr>
              <w:t xml:space="preserve">, </w:t>
            </w:r>
            <w:r>
              <w:rPr>
                <w:rFonts w:eastAsia="Symbol"/>
                <w:color w:val="000000"/>
                <w:szCs w:val="24"/>
                <w:lang w:eastAsia="lv-LV"/>
              </w:rPr>
              <w:t>sadarbības modeļa</w:t>
            </w:r>
            <w:r w:rsidRPr="00C003A7">
              <w:rPr>
                <w:rFonts w:eastAsia="Symbol"/>
                <w:color w:val="000000"/>
                <w:szCs w:val="24"/>
                <w:lang w:eastAsia="lv-LV"/>
              </w:rPr>
              <w:t xml:space="preserve"> izstrād</w:t>
            </w:r>
            <w:r>
              <w:rPr>
                <w:rFonts w:eastAsia="Symbol"/>
                <w:color w:val="000000"/>
                <w:szCs w:val="24"/>
                <w:lang w:eastAsia="lv-LV"/>
              </w:rPr>
              <w:t>āšana</w:t>
            </w:r>
            <w:r w:rsidR="003B3223" w:rsidRPr="00C003A7">
              <w:rPr>
                <w:rFonts w:eastAsia="Symbol"/>
                <w:color w:val="000000"/>
                <w:szCs w:val="24"/>
                <w:lang w:eastAsia="lv-LV"/>
              </w:rPr>
              <w:t>, sadarbības nosacījumu</w:t>
            </w:r>
            <w:r w:rsidRPr="00C003A7">
              <w:rPr>
                <w:rFonts w:eastAsia="Symbol"/>
                <w:color w:val="000000"/>
                <w:szCs w:val="24"/>
                <w:lang w:eastAsia="lv-LV"/>
              </w:rPr>
              <w:t xml:space="preserve"> definē</w:t>
            </w:r>
            <w:r>
              <w:rPr>
                <w:rFonts w:eastAsia="Symbol"/>
                <w:color w:val="000000"/>
                <w:szCs w:val="24"/>
                <w:lang w:eastAsia="lv-LV"/>
              </w:rPr>
              <w:t>šana</w:t>
            </w:r>
            <w:r w:rsidR="003B3223" w:rsidRPr="00C003A7">
              <w:rPr>
                <w:rFonts w:eastAsia="Symbol"/>
                <w:color w:val="000000"/>
                <w:szCs w:val="24"/>
                <w:lang w:eastAsia="lv-LV"/>
              </w:rPr>
              <w:t>, t.sk.</w:t>
            </w:r>
          </w:p>
        </w:tc>
        <w:tc>
          <w:tcPr>
            <w:tcW w:w="709" w:type="dxa"/>
            <w:shd w:val="clear" w:color="000000" w:fill="DCE6F1"/>
            <w:noWrap/>
            <w:vAlign w:val="center"/>
            <w:hideMark/>
          </w:tcPr>
          <w:p w14:paraId="2C088366"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5DA5B911"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39B9B949"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250605E1"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6" w:type="dxa"/>
            <w:shd w:val="clear" w:color="auto" w:fill="auto"/>
            <w:noWrap/>
            <w:vAlign w:val="center"/>
            <w:hideMark/>
          </w:tcPr>
          <w:p w14:paraId="731C52D7" w14:textId="7C3307F3"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20A2F499" w14:textId="4CC4F57B"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268E5A0A" w14:textId="3B0A416E"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3E20FDE9" w14:textId="137CF952" w:rsidR="003B3223" w:rsidRPr="00C003A7" w:rsidRDefault="003B3223" w:rsidP="00E319E1">
            <w:pPr>
              <w:spacing w:before="60" w:after="60"/>
              <w:jc w:val="center"/>
              <w:rPr>
                <w:color w:val="000000"/>
                <w:szCs w:val="24"/>
                <w:lang w:eastAsia="lv-LV"/>
              </w:rPr>
            </w:pPr>
          </w:p>
        </w:tc>
        <w:tc>
          <w:tcPr>
            <w:tcW w:w="474" w:type="dxa"/>
            <w:shd w:val="clear" w:color="auto" w:fill="auto"/>
            <w:noWrap/>
            <w:vAlign w:val="center"/>
            <w:hideMark/>
          </w:tcPr>
          <w:p w14:paraId="12B9AA0A" w14:textId="3C7588E5" w:rsidR="003B3223" w:rsidRPr="00C003A7" w:rsidRDefault="003B3223" w:rsidP="00E319E1">
            <w:pPr>
              <w:spacing w:before="60" w:after="60"/>
              <w:jc w:val="center"/>
              <w:rPr>
                <w:color w:val="000000"/>
                <w:szCs w:val="24"/>
                <w:lang w:eastAsia="lv-LV"/>
              </w:rPr>
            </w:pPr>
          </w:p>
        </w:tc>
      </w:tr>
      <w:tr w:rsidR="003B3223" w:rsidRPr="0037562F" w14:paraId="7B5401D3" w14:textId="77777777" w:rsidTr="006306AA">
        <w:trPr>
          <w:trHeight w:val="431"/>
          <w:jc w:val="center"/>
        </w:trPr>
        <w:tc>
          <w:tcPr>
            <w:tcW w:w="9259" w:type="dxa"/>
            <w:gridSpan w:val="10"/>
            <w:shd w:val="clear" w:color="auto" w:fill="auto"/>
            <w:noWrap/>
            <w:hideMark/>
          </w:tcPr>
          <w:p w14:paraId="78D415C4" w14:textId="3AEE4512" w:rsidR="003B3223" w:rsidRPr="00C003A7" w:rsidRDefault="003B3223" w:rsidP="003B3223">
            <w:pPr>
              <w:spacing w:before="60" w:after="60"/>
              <w:ind w:firstLineChars="200" w:firstLine="480"/>
              <w:rPr>
                <w:i/>
                <w:iCs/>
                <w:color w:val="000000"/>
                <w:szCs w:val="24"/>
                <w:lang w:eastAsia="lv-LV"/>
              </w:rPr>
            </w:pPr>
            <w:r w:rsidRPr="00C003A7">
              <w:rPr>
                <w:rFonts w:eastAsia="Courier New"/>
                <w:i/>
                <w:iCs/>
                <w:color w:val="000000"/>
                <w:szCs w:val="24"/>
                <w:lang w:eastAsia="lv-LV"/>
              </w:rPr>
              <w:t>Nosacījumi attiecībā uz ieguldījumu veikšanu (pozīcijas, summas, finansētājs)</w:t>
            </w:r>
          </w:p>
        </w:tc>
      </w:tr>
      <w:tr w:rsidR="003B3223" w:rsidRPr="0037562F" w14:paraId="30142523" w14:textId="77777777" w:rsidTr="00090650">
        <w:trPr>
          <w:trHeight w:val="423"/>
          <w:jc w:val="center"/>
        </w:trPr>
        <w:tc>
          <w:tcPr>
            <w:tcW w:w="9259" w:type="dxa"/>
            <w:gridSpan w:val="10"/>
            <w:shd w:val="clear" w:color="auto" w:fill="auto"/>
            <w:noWrap/>
            <w:hideMark/>
          </w:tcPr>
          <w:p w14:paraId="33ED4245" w14:textId="77777777" w:rsidR="003B3223" w:rsidRPr="00C003A7" w:rsidRDefault="003B3223" w:rsidP="003B3223">
            <w:pPr>
              <w:spacing w:before="60" w:after="60"/>
              <w:ind w:firstLineChars="200" w:firstLine="480"/>
              <w:rPr>
                <w:i/>
                <w:iCs/>
                <w:color w:val="000000"/>
                <w:szCs w:val="24"/>
                <w:lang w:eastAsia="lv-LV"/>
              </w:rPr>
            </w:pPr>
            <w:r w:rsidRPr="00C003A7">
              <w:rPr>
                <w:rFonts w:eastAsia="Courier New"/>
                <w:i/>
                <w:iCs/>
                <w:color w:val="000000"/>
                <w:szCs w:val="24"/>
                <w:lang w:eastAsia="lv-LV"/>
              </w:rPr>
              <w:t>Nosacījumi attiecībā uz partnera kvalifikāciju (pieredze līdzīgu objektu vadīšanā)</w:t>
            </w:r>
          </w:p>
        </w:tc>
      </w:tr>
      <w:tr w:rsidR="003B3223" w:rsidRPr="0037562F" w14:paraId="28247884" w14:textId="77777777" w:rsidTr="004E47EB">
        <w:trPr>
          <w:trHeight w:val="690"/>
          <w:jc w:val="center"/>
        </w:trPr>
        <w:tc>
          <w:tcPr>
            <w:tcW w:w="5100" w:type="dxa"/>
            <w:shd w:val="clear" w:color="auto" w:fill="auto"/>
            <w:noWrap/>
            <w:hideMark/>
          </w:tcPr>
          <w:p w14:paraId="5941AB73" w14:textId="5886E92E" w:rsidR="003B3223" w:rsidRPr="00C003A7" w:rsidRDefault="009114BE" w:rsidP="003B3223">
            <w:pPr>
              <w:spacing w:before="60" w:after="60"/>
              <w:jc w:val="left"/>
              <w:rPr>
                <w:color w:val="000000"/>
                <w:szCs w:val="24"/>
                <w:lang w:eastAsia="lv-LV"/>
              </w:rPr>
            </w:pPr>
            <w:r>
              <w:rPr>
                <w:rFonts w:eastAsia="Symbol"/>
                <w:color w:val="000000"/>
                <w:szCs w:val="24"/>
                <w:lang w:eastAsia="lv-LV"/>
              </w:rPr>
              <w:t>Ieguldījumu veikšana</w:t>
            </w:r>
            <w:r w:rsidR="003B3223" w:rsidRPr="00C003A7">
              <w:rPr>
                <w:rFonts w:eastAsia="Symbol"/>
                <w:color w:val="000000"/>
                <w:szCs w:val="24"/>
                <w:lang w:eastAsia="lv-LV"/>
              </w:rPr>
              <w:t xml:space="preserve"> sadarbībā ar piesaistīto partneri:</w:t>
            </w:r>
          </w:p>
        </w:tc>
        <w:tc>
          <w:tcPr>
            <w:tcW w:w="709" w:type="dxa"/>
            <w:shd w:val="clear" w:color="auto" w:fill="auto"/>
            <w:noWrap/>
            <w:vAlign w:val="center"/>
            <w:hideMark/>
          </w:tcPr>
          <w:p w14:paraId="475B3285" w14:textId="76C3755F"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10ADE6B2" w14:textId="437AB060"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7A77EDFD" w14:textId="54CD3E3F" w:rsidR="003B3223" w:rsidRPr="00C003A7" w:rsidRDefault="003B3223" w:rsidP="00E319E1">
            <w:pPr>
              <w:spacing w:before="60" w:after="60"/>
              <w:jc w:val="center"/>
              <w:rPr>
                <w:color w:val="000000"/>
                <w:szCs w:val="24"/>
                <w:lang w:eastAsia="lv-LV"/>
              </w:rPr>
            </w:pPr>
          </w:p>
        </w:tc>
        <w:tc>
          <w:tcPr>
            <w:tcW w:w="425" w:type="dxa"/>
            <w:shd w:val="clear" w:color="auto" w:fill="auto"/>
            <w:noWrap/>
            <w:vAlign w:val="center"/>
            <w:hideMark/>
          </w:tcPr>
          <w:p w14:paraId="65F1ED02" w14:textId="60D9DBE3" w:rsidR="003B3223" w:rsidRPr="00C003A7" w:rsidRDefault="003B3223" w:rsidP="00E319E1">
            <w:pPr>
              <w:spacing w:before="60" w:after="60"/>
              <w:jc w:val="center"/>
              <w:rPr>
                <w:color w:val="000000"/>
                <w:szCs w:val="24"/>
                <w:lang w:eastAsia="lv-LV"/>
              </w:rPr>
            </w:pPr>
          </w:p>
        </w:tc>
        <w:tc>
          <w:tcPr>
            <w:tcW w:w="426" w:type="dxa"/>
            <w:shd w:val="clear" w:color="000000" w:fill="DCE6F1"/>
            <w:noWrap/>
            <w:vAlign w:val="center"/>
            <w:hideMark/>
          </w:tcPr>
          <w:p w14:paraId="0D1E475D"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5DA461E5"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064C875B"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25" w:type="dxa"/>
            <w:shd w:val="clear" w:color="000000" w:fill="DCE6F1"/>
            <w:noWrap/>
            <w:vAlign w:val="center"/>
            <w:hideMark/>
          </w:tcPr>
          <w:p w14:paraId="40F15685"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c>
          <w:tcPr>
            <w:tcW w:w="474" w:type="dxa"/>
            <w:shd w:val="clear" w:color="000000" w:fill="DCE6F1"/>
            <w:noWrap/>
            <w:vAlign w:val="center"/>
            <w:hideMark/>
          </w:tcPr>
          <w:p w14:paraId="05910975" w14:textId="77777777" w:rsidR="003B3223" w:rsidRPr="00C003A7" w:rsidRDefault="003B3223" w:rsidP="00E319E1">
            <w:pPr>
              <w:spacing w:before="60" w:after="60"/>
              <w:jc w:val="center"/>
              <w:rPr>
                <w:color w:val="000000"/>
                <w:szCs w:val="24"/>
                <w:lang w:eastAsia="lv-LV"/>
              </w:rPr>
            </w:pPr>
            <w:r w:rsidRPr="00C003A7">
              <w:rPr>
                <w:color w:val="000000"/>
                <w:szCs w:val="24"/>
                <w:lang w:eastAsia="lv-LV"/>
              </w:rPr>
              <w:t>x</w:t>
            </w:r>
          </w:p>
        </w:tc>
      </w:tr>
      <w:tr w:rsidR="003B3223" w:rsidRPr="0037562F" w14:paraId="41D97197" w14:textId="77777777" w:rsidTr="00BD6015">
        <w:trPr>
          <w:trHeight w:val="425"/>
          <w:jc w:val="center"/>
        </w:trPr>
        <w:tc>
          <w:tcPr>
            <w:tcW w:w="9259" w:type="dxa"/>
            <w:gridSpan w:val="10"/>
            <w:shd w:val="clear" w:color="auto" w:fill="auto"/>
            <w:noWrap/>
            <w:vAlign w:val="center"/>
            <w:hideMark/>
          </w:tcPr>
          <w:p w14:paraId="42E7634E" w14:textId="77777777" w:rsidR="003B3223" w:rsidRPr="00C003A7" w:rsidRDefault="003B3223" w:rsidP="003B3223">
            <w:pPr>
              <w:spacing w:before="60" w:after="60"/>
              <w:ind w:left="374"/>
              <w:rPr>
                <w:i/>
                <w:iCs/>
                <w:color w:val="000000"/>
                <w:szCs w:val="24"/>
                <w:lang w:eastAsia="lv-LV"/>
              </w:rPr>
            </w:pPr>
            <w:r w:rsidRPr="00C003A7">
              <w:rPr>
                <w:rFonts w:eastAsia="Courier New"/>
                <w:i/>
                <w:iCs/>
                <w:color w:val="000000"/>
                <w:szCs w:val="24"/>
                <w:lang w:eastAsia="lv-LV"/>
              </w:rPr>
              <w:t>Attīstīt esošo četrzvaigžņu viesnīcu pieczvaigžņu viesnīcas līmenī pils ēkas 3.stāvā</w:t>
            </w:r>
          </w:p>
        </w:tc>
      </w:tr>
      <w:tr w:rsidR="003B3223" w:rsidRPr="0037562F" w14:paraId="726DBF4D" w14:textId="77777777" w:rsidTr="002209C0">
        <w:trPr>
          <w:trHeight w:val="417"/>
          <w:jc w:val="center"/>
        </w:trPr>
        <w:tc>
          <w:tcPr>
            <w:tcW w:w="9259" w:type="dxa"/>
            <w:gridSpan w:val="10"/>
            <w:shd w:val="clear" w:color="auto" w:fill="auto"/>
            <w:noWrap/>
            <w:hideMark/>
          </w:tcPr>
          <w:p w14:paraId="465628F3" w14:textId="77777777" w:rsidR="003B3223" w:rsidRPr="00C003A7" w:rsidRDefault="003B3223" w:rsidP="003B3223">
            <w:pPr>
              <w:spacing w:before="60" w:after="60"/>
              <w:ind w:firstLineChars="200" w:firstLine="480"/>
              <w:rPr>
                <w:i/>
                <w:iCs/>
                <w:color w:val="000000"/>
                <w:szCs w:val="24"/>
                <w:lang w:eastAsia="lv-LV"/>
              </w:rPr>
            </w:pPr>
            <w:r w:rsidRPr="00C003A7">
              <w:rPr>
                <w:rFonts w:eastAsia="Courier New"/>
                <w:i/>
                <w:iCs/>
                <w:color w:val="000000"/>
                <w:szCs w:val="24"/>
                <w:lang w:eastAsia="lv-LV"/>
              </w:rPr>
              <w:t>Papildināt interjeru un ierīkot Mežotnes pils muzeju pils ēkas 2.stāvā</w:t>
            </w:r>
          </w:p>
        </w:tc>
      </w:tr>
      <w:tr w:rsidR="003B3223" w:rsidRPr="0037562F" w14:paraId="4A8CF575" w14:textId="77777777" w:rsidTr="008D473B">
        <w:trPr>
          <w:trHeight w:val="408"/>
          <w:jc w:val="center"/>
        </w:trPr>
        <w:tc>
          <w:tcPr>
            <w:tcW w:w="9259" w:type="dxa"/>
            <w:gridSpan w:val="10"/>
            <w:shd w:val="clear" w:color="auto" w:fill="auto"/>
            <w:noWrap/>
            <w:hideMark/>
          </w:tcPr>
          <w:p w14:paraId="75153B32" w14:textId="77777777" w:rsidR="003B3223" w:rsidRPr="00C003A7" w:rsidRDefault="003B3223" w:rsidP="003B3223">
            <w:pPr>
              <w:spacing w:before="60" w:after="60"/>
              <w:ind w:firstLineChars="200" w:firstLine="480"/>
              <w:rPr>
                <w:i/>
                <w:iCs/>
                <w:color w:val="000000"/>
                <w:szCs w:val="24"/>
                <w:lang w:eastAsia="lv-LV"/>
              </w:rPr>
            </w:pPr>
            <w:r w:rsidRPr="00C003A7">
              <w:rPr>
                <w:rFonts w:eastAsia="Courier New"/>
                <w:i/>
                <w:iCs/>
                <w:color w:val="000000"/>
                <w:szCs w:val="24"/>
                <w:lang w:eastAsia="lv-LV"/>
              </w:rPr>
              <w:t>Izveidot augstākās klases restorānu pils ēkas 1. stāvā</w:t>
            </w:r>
          </w:p>
        </w:tc>
      </w:tr>
    </w:tbl>
    <w:p w14:paraId="1CB172EE" w14:textId="77777777" w:rsidR="0037562F" w:rsidRPr="003B3223" w:rsidRDefault="0037562F" w:rsidP="0037562F">
      <w:pPr>
        <w:rPr>
          <w:sz w:val="20"/>
        </w:rPr>
      </w:pPr>
    </w:p>
    <w:p w14:paraId="7236E696" w14:textId="128FBA01" w:rsidR="00E414D2" w:rsidRPr="00506B31" w:rsidRDefault="00506B31" w:rsidP="00E414D2">
      <w:pPr>
        <w:jc w:val="right"/>
        <w:rPr>
          <w:sz w:val="20"/>
        </w:rPr>
      </w:pPr>
      <w:r w:rsidRPr="00506B31">
        <w:rPr>
          <w:sz w:val="20"/>
        </w:rPr>
        <w:t>5</w:t>
      </w:r>
      <w:r w:rsidR="00E414D2" w:rsidRPr="00506B31">
        <w:rPr>
          <w:sz w:val="20"/>
        </w:rPr>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3"/>
        <w:gridCol w:w="1134"/>
        <w:gridCol w:w="1134"/>
        <w:gridCol w:w="1081"/>
      </w:tblGrid>
      <w:tr w:rsidR="0037562F" w:rsidRPr="00C003A7" w14:paraId="57715BF7" w14:textId="77777777" w:rsidTr="009114BE">
        <w:trPr>
          <w:trHeight w:val="315"/>
          <w:jc w:val="center"/>
        </w:trPr>
        <w:tc>
          <w:tcPr>
            <w:tcW w:w="5903" w:type="dxa"/>
            <w:shd w:val="clear" w:color="auto" w:fill="B4C6E7" w:themeFill="accent5" w:themeFillTint="66"/>
            <w:noWrap/>
            <w:vAlign w:val="center"/>
            <w:hideMark/>
          </w:tcPr>
          <w:p w14:paraId="43518E3A" w14:textId="4F9D3EDF" w:rsidR="0037562F" w:rsidRPr="00C003A7" w:rsidRDefault="00E414D2" w:rsidP="00C003A7">
            <w:pPr>
              <w:spacing w:before="60" w:after="60"/>
              <w:jc w:val="center"/>
              <w:rPr>
                <w:b/>
                <w:color w:val="000000"/>
                <w:szCs w:val="24"/>
                <w:lang w:eastAsia="lv-LV"/>
              </w:rPr>
            </w:pPr>
            <w:r w:rsidRPr="00C003A7">
              <w:rPr>
                <w:b/>
                <w:szCs w:val="24"/>
              </w:rPr>
              <w:t>Pilnā programma / otrā kārta</w:t>
            </w:r>
          </w:p>
        </w:tc>
        <w:tc>
          <w:tcPr>
            <w:tcW w:w="1134" w:type="dxa"/>
            <w:shd w:val="clear" w:color="auto" w:fill="B4C6E7" w:themeFill="accent5" w:themeFillTint="66"/>
            <w:noWrap/>
            <w:vAlign w:val="bottom"/>
            <w:hideMark/>
          </w:tcPr>
          <w:p w14:paraId="2ACA167F" w14:textId="77777777" w:rsidR="0037562F" w:rsidRPr="00C003A7" w:rsidRDefault="0037562F" w:rsidP="00C003A7">
            <w:pPr>
              <w:spacing w:before="60" w:after="60"/>
              <w:jc w:val="center"/>
              <w:rPr>
                <w:b/>
                <w:bCs/>
                <w:color w:val="000000"/>
                <w:szCs w:val="24"/>
                <w:lang w:eastAsia="lv-LV"/>
              </w:rPr>
            </w:pPr>
            <w:r w:rsidRPr="00C003A7">
              <w:rPr>
                <w:b/>
                <w:bCs/>
                <w:color w:val="000000"/>
                <w:szCs w:val="24"/>
                <w:lang w:eastAsia="lv-LV"/>
              </w:rPr>
              <w:t>2018</w:t>
            </w:r>
          </w:p>
        </w:tc>
        <w:tc>
          <w:tcPr>
            <w:tcW w:w="1134" w:type="dxa"/>
            <w:shd w:val="clear" w:color="auto" w:fill="B4C6E7" w:themeFill="accent5" w:themeFillTint="66"/>
            <w:noWrap/>
            <w:vAlign w:val="bottom"/>
            <w:hideMark/>
          </w:tcPr>
          <w:p w14:paraId="25CDCE4B" w14:textId="77777777" w:rsidR="0037562F" w:rsidRPr="00C003A7" w:rsidRDefault="0037562F" w:rsidP="00C003A7">
            <w:pPr>
              <w:spacing w:before="60" w:after="60"/>
              <w:jc w:val="center"/>
              <w:rPr>
                <w:b/>
                <w:bCs/>
                <w:color w:val="000000"/>
                <w:szCs w:val="24"/>
                <w:lang w:eastAsia="lv-LV"/>
              </w:rPr>
            </w:pPr>
            <w:r w:rsidRPr="00C003A7">
              <w:rPr>
                <w:b/>
                <w:bCs/>
                <w:color w:val="000000"/>
                <w:szCs w:val="24"/>
                <w:lang w:eastAsia="lv-LV"/>
              </w:rPr>
              <w:t>2019</w:t>
            </w:r>
          </w:p>
        </w:tc>
        <w:tc>
          <w:tcPr>
            <w:tcW w:w="1081" w:type="dxa"/>
            <w:shd w:val="clear" w:color="auto" w:fill="B4C6E7" w:themeFill="accent5" w:themeFillTint="66"/>
            <w:noWrap/>
            <w:vAlign w:val="bottom"/>
            <w:hideMark/>
          </w:tcPr>
          <w:p w14:paraId="636FEA03" w14:textId="77777777" w:rsidR="0037562F" w:rsidRPr="00C003A7" w:rsidRDefault="0037562F" w:rsidP="00C003A7">
            <w:pPr>
              <w:spacing w:before="60" w:after="60"/>
              <w:jc w:val="center"/>
              <w:rPr>
                <w:b/>
                <w:bCs/>
                <w:color w:val="000000"/>
                <w:szCs w:val="24"/>
                <w:lang w:eastAsia="lv-LV"/>
              </w:rPr>
            </w:pPr>
            <w:r w:rsidRPr="00C003A7">
              <w:rPr>
                <w:b/>
                <w:bCs/>
                <w:color w:val="000000"/>
                <w:szCs w:val="24"/>
                <w:lang w:eastAsia="lv-LV"/>
              </w:rPr>
              <w:t>2020</w:t>
            </w:r>
          </w:p>
        </w:tc>
      </w:tr>
      <w:tr w:rsidR="0037562F" w:rsidRPr="00C003A7" w14:paraId="507E4910" w14:textId="77777777" w:rsidTr="009114BE">
        <w:trPr>
          <w:trHeight w:val="392"/>
          <w:jc w:val="center"/>
        </w:trPr>
        <w:tc>
          <w:tcPr>
            <w:tcW w:w="5903" w:type="dxa"/>
            <w:shd w:val="clear" w:color="auto" w:fill="auto"/>
            <w:noWrap/>
            <w:vAlign w:val="center"/>
            <w:hideMark/>
          </w:tcPr>
          <w:p w14:paraId="32E1FBA2" w14:textId="014711A8" w:rsidR="0037562F" w:rsidRPr="00C003A7" w:rsidRDefault="009114BE" w:rsidP="003B3223">
            <w:pPr>
              <w:spacing w:before="60" w:after="60"/>
              <w:jc w:val="left"/>
              <w:rPr>
                <w:color w:val="000000"/>
                <w:szCs w:val="24"/>
                <w:lang w:eastAsia="lv-LV"/>
              </w:rPr>
            </w:pPr>
            <w:r>
              <w:rPr>
                <w:color w:val="000000"/>
                <w:szCs w:val="24"/>
                <w:lang w:eastAsia="lv-LV"/>
              </w:rPr>
              <w:t xml:space="preserve">Tūrisma </w:t>
            </w:r>
            <w:r w:rsidR="0037562F" w:rsidRPr="00C003A7">
              <w:rPr>
                <w:color w:val="000000"/>
                <w:szCs w:val="24"/>
                <w:lang w:eastAsia="lv-LV"/>
              </w:rPr>
              <w:t>klases viesnīcu administratīvajā ēkā</w:t>
            </w:r>
            <w:r>
              <w:rPr>
                <w:color w:val="000000"/>
                <w:szCs w:val="24"/>
                <w:lang w:eastAsia="lv-LV"/>
              </w:rPr>
              <w:t xml:space="preserve"> izveidošana</w:t>
            </w:r>
          </w:p>
        </w:tc>
        <w:tc>
          <w:tcPr>
            <w:tcW w:w="1134" w:type="dxa"/>
            <w:shd w:val="clear" w:color="000000" w:fill="DCE6F1"/>
            <w:noWrap/>
            <w:vAlign w:val="center"/>
            <w:hideMark/>
          </w:tcPr>
          <w:p w14:paraId="227F34B8"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c>
          <w:tcPr>
            <w:tcW w:w="1134" w:type="dxa"/>
            <w:shd w:val="clear" w:color="000000" w:fill="DCE6F1"/>
            <w:noWrap/>
            <w:vAlign w:val="center"/>
            <w:hideMark/>
          </w:tcPr>
          <w:p w14:paraId="05163989"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c>
          <w:tcPr>
            <w:tcW w:w="1081" w:type="dxa"/>
            <w:shd w:val="clear" w:color="auto" w:fill="auto"/>
            <w:noWrap/>
            <w:vAlign w:val="bottom"/>
            <w:hideMark/>
          </w:tcPr>
          <w:p w14:paraId="40A9E335" w14:textId="20D58DFA" w:rsidR="0037562F" w:rsidRPr="00C003A7" w:rsidRDefault="0037562F" w:rsidP="00E319E1">
            <w:pPr>
              <w:spacing w:before="60" w:after="60"/>
              <w:jc w:val="center"/>
              <w:rPr>
                <w:color w:val="000000"/>
                <w:szCs w:val="24"/>
                <w:lang w:eastAsia="lv-LV"/>
              </w:rPr>
            </w:pPr>
          </w:p>
        </w:tc>
      </w:tr>
      <w:tr w:rsidR="0037562F" w:rsidRPr="00C003A7" w14:paraId="6C3F1385" w14:textId="77777777" w:rsidTr="009114BE">
        <w:trPr>
          <w:trHeight w:val="392"/>
          <w:jc w:val="center"/>
        </w:trPr>
        <w:tc>
          <w:tcPr>
            <w:tcW w:w="5903" w:type="dxa"/>
            <w:shd w:val="clear" w:color="auto" w:fill="auto"/>
            <w:noWrap/>
            <w:vAlign w:val="center"/>
            <w:hideMark/>
          </w:tcPr>
          <w:p w14:paraId="17C5B85E" w14:textId="2CA80167" w:rsidR="0037562F" w:rsidRPr="00C003A7" w:rsidRDefault="009114BE" w:rsidP="003B3223">
            <w:pPr>
              <w:spacing w:before="60" w:after="60"/>
              <w:jc w:val="left"/>
              <w:rPr>
                <w:color w:val="000000"/>
                <w:szCs w:val="24"/>
                <w:lang w:eastAsia="lv-LV"/>
              </w:rPr>
            </w:pPr>
            <w:proofErr w:type="spellStart"/>
            <w:r>
              <w:rPr>
                <w:color w:val="000000"/>
                <w:szCs w:val="24"/>
                <w:lang w:eastAsia="lv-LV"/>
              </w:rPr>
              <w:t>M</w:t>
            </w:r>
            <w:r w:rsidR="0037562F" w:rsidRPr="00C003A7">
              <w:rPr>
                <w:color w:val="000000"/>
                <w:szCs w:val="24"/>
                <w:lang w:eastAsia="lv-LV"/>
              </w:rPr>
              <w:t>ultifunkcionālu</w:t>
            </w:r>
            <w:proofErr w:type="spellEnd"/>
            <w:r w:rsidR="0037562F" w:rsidRPr="00C003A7">
              <w:rPr>
                <w:color w:val="000000"/>
                <w:szCs w:val="24"/>
                <w:lang w:eastAsia="lv-LV"/>
              </w:rPr>
              <w:t xml:space="preserve"> pasākumu telpu sporta zālē</w:t>
            </w:r>
            <w:r>
              <w:rPr>
                <w:color w:val="000000"/>
                <w:szCs w:val="24"/>
                <w:lang w:eastAsia="lv-LV"/>
              </w:rPr>
              <w:t xml:space="preserve"> izveidošana</w:t>
            </w:r>
          </w:p>
        </w:tc>
        <w:tc>
          <w:tcPr>
            <w:tcW w:w="1134" w:type="dxa"/>
            <w:shd w:val="clear" w:color="auto" w:fill="auto"/>
            <w:noWrap/>
            <w:vAlign w:val="bottom"/>
            <w:hideMark/>
          </w:tcPr>
          <w:p w14:paraId="173EA18D" w14:textId="3BB4629F" w:rsidR="0037562F" w:rsidRPr="00C003A7" w:rsidRDefault="0037562F" w:rsidP="00E319E1">
            <w:pPr>
              <w:spacing w:before="60" w:after="60"/>
              <w:jc w:val="center"/>
              <w:rPr>
                <w:color w:val="000000"/>
                <w:szCs w:val="24"/>
                <w:lang w:eastAsia="lv-LV"/>
              </w:rPr>
            </w:pPr>
          </w:p>
        </w:tc>
        <w:tc>
          <w:tcPr>
            <w:tcW w:w="1134" w:type="dxa"/>
            <w:shd w:val="clear" w:color="000000" w:fill="DCE6F1"/>
            <w:noWrap/>
            <w:vAlign w:val="center"/>
            <w:hideMark/>
          </w:tcPr>
          <w:p w14:paraId="58C868ED"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c>
          <w:tcPr>
            <w:tcW w:w="1081" w:type="dxa"/>
            <w:shd w:val="clear" w:color="000000" w:fill="DCE6F1"/>
            <w:noWrap/>
            <w:vAlign w:val="center"/>
            <w:hideMark/>
          </w:tcPr>
          <w:p w14:paraId="1B6E299C"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r>
      <w:tr w:rsidR="0037562F" w:rsidRPr="00C003A7" w14:paraId="63A924A8" w14:textId="77777777" w:rsidTr="009114BE">
        <w:trPr>
          <w:trHeight w:val="392"/>
          <w:jc w:val="center"/>
        </w:trPr>
        <w:tc>
          <w:tcPr>
            <w:tcW w:w="5903" w:type="dxa"/>
            <w:shd w:val="clear" w:color="auto" w:fill="auto"/>
            <w:noWrap/>
            <w:vAlign w:val="center"/>
            <w:hideMark/>
          </w:tcPr>
          <w:p w14:paraId="4ADCCAF4" w14:textId="0D9BE24F" w:rsidR="0037562F" w:rsidRPr="00C003A7" w:rsidRDefault="009114BE" w:rsidP="009114BE">
            <w:pPr>
              <w:spacing w:before="60" w:after="60"/>
              <w:jc w:val="left"/>
              <w:rPr>
                <w:color w:val="000000"/>
                <w:szCs w:val="24"/>
                <w:lang w:eastAsia="lv-LV"/>
              </w:rPr>
            </w:pPr>
            <w:r>
              <w:rPr>
                <w:color w:val="000000"/>
                <w:szCs w:val="24"/>
                <w:lang w:eastAsia="lv-LV"/>
              </w:rPr>
              <w:t>Kompleksa teritorijas</w:t>
            </w:r>
            <w:r w:rsidRPr="00C003A7">
              <w:rPr>
                <w:color w:val="000000"/>
                <w:szCs w:val="24"/>
                <w:lang w:eastAsia="lv-LV"/>
              </w:rPr>
              <w:t xml:space="preserve"> </w:t>
            </w:r>
            <w:r>
              <w:rPr>
                <w:color w:val="000000"/>
                <w:szCs w:val="24"/>
                <w:lang w:eastAsia="lv-LV"/>
              </w:rPr>
              <w:t>labiekārtošana</w:t>
            </w:r>
          </w:p>
        </w:tc>
        <w:tc>
          <w:tcPr>
            <w:tcW w:w="1134" w:type="dxa"/>
            <w:shd w:val="clear" w:color="auto" w:fill="auto"/>
            <w:noWrap/>
            <w:vAlign w:val="bottom"/>
            <w:hideMark/>
          </w:tcPr>
          <w:p w14:paraId="1362D360" w14:textId="12384D73" w:rsidR="0037562F" w:rsidRPr="00C003A7" w:rsidRDefault="0037562F" w:rsidP="00E319E1">
            <w:pPr>
              <w:spacing w:before="60" w:after="60"/>
              <w:jc w:val="center"/>
              <w:rPr>
                <w:color w:val="000000"/>
                <w:szCs w:val="24"/>
                <w:lang w:eastAsia="lv-LV"/>
              </w:rPr>
            </w:pPr>
          </w:p>
        </w:tc>
        <w:tc>
          <w:tcPr>
            <w:tcW w:w="1134" w:type="dxa"/>
            <w:shd w:val="clear" w:color="000000" w:fill="DCE6F1"/>
            <w:noWrap/>
            <w:vAlign w:val="center"/>
            <w:hideMark/>
          </w:tcPr>
          <w:p w14:paraId="5153D075"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c>
          <w:tcPr>
            <w:tcW w:w="1081" w:type="dxa"/>
            <w:shd w:val="clear" w:color="000000" w:fill="DCE6F1"/>
            <w:noWrap/>
            <w:vAlign w:val="center"/>
            <w:hideMark/>
          </w:tcPr>
          <w:p w14:paraId="1770F664" w14:textId="77777777" w:rsidR="0037562F" w:rsidRPr="00C003A7" w:rsidRDefault="0037562F" w:rsidP="00E319E1">
            <w:pPr>
              <w:spacing w:before="60" w:after="60"/>
              <w:jc w:val="center"/>
              <w:rPr>
                <w:color w:val="000000"/>
                <w:szCs w:val="24"/>
                <w:lang w:eastAsia="lv-LV"/>
              </w:rPr>
            </w:pPr>
            <w:r w:rsidRPr="00C003A7">
              <w:rPr>
                <w:color w:val="000000"/>
                <w:szCs w:val="24"/>
                <w:lang w:eastAsia="lv-LV"/>
              </w:rPr>
              <w:t>x</w:t>
            </w:r>
          </w:p>
        </w:tc>
      </w:tr>
    </w:tbl>
    <w:p w14:paraId="6075E8D0" w14:textId="77777777" w:rsidR="003B3223" w:rsidRDefault="003B3223" w:rsidP="003B3223"/>
    <w:p w14:paraId="6AF02210" w14:textId="37754F7F" w:rsidR="0037562F" w:rsidRDefault="0037562F" w:rsidP="003B3223">
      <w:r>
        <w:t>Līdz sadarbības partnera piesaistei SIA ”VNĪ Pilis” turpinās veikt pilnvarni</w:t>
      </w:r>
      <w:r w:rsidR="003B3223">
        <w:t>eka pienākumus atbilstoši 2003.gada 9.</w:t>
      </w:r>
      <w:r>
        <w:t>maijā noslēgtajam pilnvarojuma līgumam Nr.1916.</w:t>
      </w:r>
    </w:p>
    <w:p w14:paraId="584CCD29" w14:textId="0FCE6FB7" w:rsidR="0037562F" w:rsidRPr="003B3223" w:rsidRDefault="0037562F" w:rsidP="003B3223">
      <w:r w:rsidRPr="003B3223">
        <w:t>Finansiālais pamatojums šāda scenārija izvēlei</w:t>
      </w:r>
      <w:r w:rsidR="00DE737F" w:rsidRPr="003B3223">
        <w:t xml:space="preserve"> </w:t>
      </w:r>
      <w:r w:rsidR="003B3223" w:rsidRPr="003B3223">
        <w:t xml:space="preserve">atspoguļots </w:t>
      </w:r>
      <w:r w:rsidR="003B3223" w:rsidRPr="003B3223">
        <w:rPr>
          <w:rFonts w:eastAsia="Symbol"/>
          <w:color w:val="000000"/>
          <w:szCs w:val="24"/>
          <w:lang w:eastAsia="lv-LV"/>
        </w:rPr>
        <w:t xml:space="preserve">informatīvā ziņojuma </w:t>
      </w:r>
      <w:r w:rsidR="00506B31" w:rsidRPr="003B3223">
        <w:t>6</w:t>
      </w:r>
      <w:r w:rsidR="003B3223" w:rsidRPr="003B3223">
        <w:t xml:space="preserve">.tabulā. </w:t>
      </w:r>
      <w:r w:rsidRPr="003B3223">
        <w:t>Veiktās finanšu prognozes apliecina rekomendētā attīstības scenārija dzīvotspēju.</w:t>
      </w:r>
    </w:p>
    <w:p w14:paraId="219471EE" w14:textId="35029D6B" w:rsidR="00DE737F" w:rsidRPr="00506B31" w:rsidRDefault="00506B31" w:rsidP="003B3223">
      <w:pPr>
        <w:jc w:val="right"/>
        <w:rPr>
          <w:sz w:val="20"/>
        </w:rPr>
      </w:pPr>
      <w:r>
        <w:rPr>
          <w:sz w:val="20"/>
        </w:rPr>
        <w:t>6</w:t>
      </w:r>
      <w:r w:rsidR="00DE737F" w:rsidRPr="00506B31">
        <w:rPr>
          <w:sz w:val="20"/>
        </w:rPr>
        <w:t>.tabula</w:t>
      </w:r>
    </w:p>
    <w:tbl>
      <w:tblPr>
        <w:tblStyle w:val="LightList-Accent1"/>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1440"/>
        <w:gridCol w:w="1376"/>
        <w:gridCol w:w="1180"/>
      </w:tblGrid>
      <w:tr w:rsidR="00956915" w:rsidRPr="003B3223" w14:paraId="373E7F92" w14:textId="77777777" w:rsidTr="003B32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281" w:type="dxa"/>
            <w:shd w:val="clear" w:color="auto" w:fill="B4C6E7" w:themeFill="accent5" w:themeFillTint="66"/>
            <w:noWrap/>
            <w:vAlign w:val="center"/>
            <w:hideMark/>
          </w:tcPr>
          <w:p w14:paraId="15678EF7" w14:textId="77777777" w:rsidR="0037562F" w:rsidRPr="003B3223" w:rsidRDefault="0037562F" w:rsidP="003B3223">
            <w:pPr>
              <w:spacing w:before="60" w:after="60"/>
              <w:jc w:val="center"/>
              <w:rPr>
                <w:rFonts w:ascii="Times New Roman" w:hAnsi="Times New Roman"/>
                <w:color w:val="auto"/>
                <w:sz w:val="24"/>
                <w:szCs w:val="24"/>
                <w:lang w:eastAsia="lv-LV"/>
              </w:rPr>
            </w:pPr>
            <w:r w:rsidRPr="003B3223">
              <w:rPr>
                <w:rFonts w:ascii="Times New Roman" w:hAnsi="Times New Roman"/>
                <w:color w:val="auto"/>
                <w:sz w:val="24"/>
                <w:szCs w:val="24"/>
                <w:lang w:eastAsia="lv-LV"/>
              </w:rPr>
              <w:t>Ēka</w:t>
            </w:r>
          </w:p>
        </w:tc>
        <w:tc>
          <w:tcPr>
            <w:tcW w:w="1440" w:type="dxa"/>
            <w:shd w:val="clear" w:color="auto" w:fill="B4C6E7" w:themeFill="accent5" w:themeFillTint="66"/>
            <w:noWrap/>
            <w:vAlign w:val="center"/>
            <w:hideMark/>
          </w:tcPr>
          <w:p w14:paraId="40E450E1" w14:textId="77777777" w:rsidR="0037562F" w:rsidRPr="003B3223" w:rsidRDefault="0037562F" w:rsidP="003B322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lv-LV"/>
              </w:rPr>
            </w:pPr>
            <w:r w:rsidRPr="003B3223">
              <w:rPr>
                <w:rFonts w:ascii="Times New Roman" w:hAnsi="Times New Roman"/>
                <w:color w:val="auto"/>
                <w:sz w:val="24"/>
                <w:szCs w:val="24"/>
                <w:lang w:eastAsia="lv-LV"/>
              </w:rPr>
              <w:t>NPV</w:t>
            </w:r>
          </w:p>
        </w:tc>
        <w:tc>
          <w:tcPr>
            <w:tcW w:w="1376" w:type="dxa"/>
            <w:shd w:val="clear" w:color="auto" w:fill="B4C6E7" w:themeFill="accent5" w:themeFillTint="66"/>
            <w:vAlign w:val="center"/>
            <w:hideMark/>
          </w:tcPr>
          <w:p w14:paraId="11FF9598" w14:textId="77777777" w:rsidR="0037562F" w:rsidRPr="003B3223" w:rsidRDefault="0037562F" w:rsidP="003B322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lv-LV"/>
              </w:rPr>
            </w:pPr>
            <w:r w:rsidRPr="003B3223">
              <w:rPr>
                <w:rFonts w:ascii="Times New Roman" w:hAnsi="Times New Roman"/>
                <w:color w:val="auto"/>
                <w:sz w:val="24"/>
                <w:szCs w:val="24"/>
                <w:lang w:eastAsia="lv-LV"/>
              </w:rPr>
              <w:t>Investīcijas</w:t>
            </w:r>
          </w:p>
        </w:tc>
        <w:tc>
          <w:tcPr>
            <w:tcW w:w="1180" w:type="dxa"/>
            <w:shd w:val="clear" w:color="auto" w:fill="B4C6E7" w:themeFill="accent5" w:themeFillTint="66"/>
            <w:vAlign w:val="center"/>
            <w:hideMark/>
          </w:tcPr>
          <w:p w14:paraId="151A9122" w14:textId="77777777" w:rsidR="0037562F" w:rsidRPr="003B3223" w:rsidRDefault="0037562F" w:rsidP="003B322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lv-LV"/>
              </w:rPr>
            </w:pPr>
            <w:r w:rsidRPr="003B3223">
              <w:rPr>
                <w:rFonts w:ascii="Times New Roman" w:hAnsi="Times New Roman"/>
                <w:color w:val="auto"/>
                <w:sz w:val="24"/>
                <w:szCs w:val="24"/>
                <w:lang w:eastAsia="lv-LV"/>
              </w:rPr>
              <w:t>IRR</w:t>
            </w:r>
          </w:p>
        </w:tc>
      </w:tr>
      <w:tr w:rsidR="0037562F" w:rsidRPr="003B3223" w14:paraId="393F70BE" w14:textId="77777777" w:rsidTr="003B32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81" w:type="dxa"/>
            <w:tcBorders>
              <w:top w:val="none" w:sz="0" w:space="0" w:color="auto"/>
              <w:left w:val="none" w:sz="0" w:space="0" w:color="auto"/>
              <w:bottom w:val="none" w:sz="0" w:space="0" w:color="auto"/>
            </w:tcBorders>
            <w:noWrap/>
            <w:hideMark/>
          </w:tcPr>
          <w:p w14:paraId="73B0E30C" w14:textId="77777777" w:rsidR="0037562F" w:rsidRPr="003B3223" w:rsidRDefault="0037562F" w:rsidP="003B3223">
            <w:pPr>
              <w:spacing w:before="60" w:after="60"/>
              <w:jc w:val="left"/>
              <w:rPr>
                <w:rFonts w:ascii="Times New Roman" w:hAnsi="Times New Roman"/>
                <w:b w:val="0"/>
                <w:color w:val="000000"/>
                <w:sz w:val="24"/>
                <w:szCs w:val="24"/>
                <w:lang w:eastAsia="lv-LV"/>
              </w:rPr>
            </w:pPr>
            <w:r w:rsidRPr="003B3223">
              <w:rPr>
                <w:rFonts w:ascii="Times New Roman" w:hAnsi="Times New Roman"/>
                <w:b w:val="0"/>
                <w:color w:val="000000"/>
                <w:sz w:val="24"/>
                <w:szCs w:val="24"/>
                <w:lang w:eastAsia="lv-LV"/>
              </w:rPr>
              <w:t xml:space="preserve">Pils ēkas biznesa un </w:t>
            </w:r>
            <w:proofErr w:type="spellStart"/>
            <w:r w:rsidRPr="003B3223">
              <w:rPr>
                <w:rFonts w:ascii="Times New Roman" w:hAnsi="Times New Roman"/>
                <w:b w:val="0"/>
                <w:color w:val="000000"/>
                <w:sz w:val="24"/>
                <w:szCs w:val="24"/>
                <w:lang w:eastAsia="lv-LV"/>
              </w:rPr>
              <w:t>nek.īp.pieauguma</w:t>
            </w:r>
            <w:proofErr w:type="spellEnd"/>
            <w:r w:rsidRPr="003B3223">
              <w:rPr>
                <w:rFonts w:ascii="Times New Roman" w:hAnsi="Times New Roman"/>
                <w:b w:val="0"/>
                <w:color w:val="000000"/>
                <w:sz w:val="24"/>
                <w:szCs w:val="24"/>
                <w:lang w:eastAsia="lv-LV"/>
              </w:rPr>
              <w:t xml:space="preserve"> vērtība</w:t>
            </w:r>
          </w:p>
        </w:tc>
        <w:tc>
          <w:tcPr>
            <w:tcW w:w="1440" w:type="dxa"/>
            <w:tcBorders>
              <w:top w:val="none" w:sz="0" w:space="0" w:color="auto"/>
              <w:bottom w:val="none" w:sz="0" w:space="0" w:color="auto"/>
            </w:tcBorders>
            <w:noWrap/>
            <w:hideMark/>
          </w:tcPr>
          <w:p w14:paraId="6403297C"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1 457 782</w:t>
            </w:r>
          </w:p>
        </w:tc>
        <w:tc>
          <w:tcPr>
            <w:tcW w:w="1376" w:type="dxa"/>
            <w:tcBorders>
              <w:top w:val="none" w:sz="0" w:space="0" w:color="auto"/>
              <w:bottom w:val="none" w:sz="0" w:space="0" w:color="auto"/>
            </w:tcBorders>
            <w:noWrap/>
            <w:hideMark/>
          </w:tcPr>
          <w:p w14:paraId="685B6A10"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521 691</w:t>
            </w:r>
          </w:p>
        </w:tc>
        <w:tc>
          <w:tcPr>
            <w:tcW w:w="1180" w:type="dxa"/>
            <w:tcBorders>
              <w:top w:val="none" w:sz="0" w:space="0" w:color="auto"/>
              <w:bottom w:val="none" w:sz="0" w:space="0" w:color="auto"/>
              <w:right w:val="none" w:sz="0" w:space="0" w:color="auto"/>
            </w:tcBorders>
            <w:noWrap/>
            <w:hideMark/>
          </w:tcPr>
          <w:p w14:paraId="1600D6DC"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33,3%</w:t>
            </w:r>
          </w:p>
        </w:tc>
      </w:tr>
      <w:tr w:rsidR="0037562F" w:rsidRPr="003B3223" w14:paraId="2EF6CD02" w14:textId="77777777" w:rsidTr="003B3223">
        <w:trPr>
          <w:trHeight w:val="300"/>
          <w:jc w:val="center"/>
        </w:trPr>
        <w:tc>
          <w:tcPr>
            <w:cnfStyle w:val="001000000000" w:firstRow="0" w:lastRow="0" w:firstColumn="1" w:lastColumn="0" w:oddVBand="0" w:evenVBand="0" w:oddHBand="0" w:evenHBand="0" w:firstRowFirstColumn="0" w:firstRowLastColumn="0" w:lastRowFirstColumn="0" w:lastRowLastColumn="0"/>
            <w:tcW w:w="5281" w:type="dxa"/>
            <w:noWrap/>
            <w:hideMark/>
          </w:tcPr>
          <w:p w14:paraId="51D4F30D" w14:textId="77777777" w:rsidR="0037562F" w:rsidRPr="003B3223" w:rsidRDefault="0037562F" w:rsidP="003B3223">
            <w:pPr>
              <w:spacing w:before="60" w:after="60"/>
              <w:jc w:val="left"/>
              <w:rPr>
                <w:rFonts w:ascii="Times New Roman" w:hAnsi="Times New Roman"/>
                <w:b w:val="0"/>
                <w:color w:val="000000"/>
                <w:sz w:val="24"/>
                <w:szCs w:val="24"/>
                <w:lang w:eastAsia="lv-LV"/>
              </w:rPr>
            </w:pPr>
            <w:r w:rsidRPr="003B3223">
              <w:rPr>
                <w:rFonts w:ascii="Times New Roman" w:hAnsi="Times New Roman"/>
                <w:b w:val="0"/>
                <w:color w:val="000000"/>
                <w:sz w:val="24"/>
                <w:szCs w:val="24"/>
                <w:lang w:eastAsia="lv-LV"/>
              </w:rPr>
              <w:t xml:space="preserve">Administratīvās ēkas biznesa un </w:t>
            </w:r>
            <w:proofErr w:type="spellStart"/>
            <w:r w:rsidRPr="003B3223">
              <w:rPr>
                <w:rFonts w:ascii="Times New Roman" w:hAnsi="Times New Roman"/>
                <w:b w:val="0"/>
                <w:color w:val="000000"/>
                <w:sz w:val="24"/>
                <w:szCs w:val="24"/>
                <w:lang w:eastAsia="lv-LV"/>
              </w:rPr>
              <w:t>nek.īp.pieauguma</w:t>
            </w:r>
            <w:proofErr w:type="spellEnd"/>
            <w:r w:rsidRPr="003B3223">
              <w:rPr>
                <w:rFonts w:ascii="Times New Roman" w:hAnsi="Times New Roman"/>
                <w:b w:val="0"/>
                <w:color w:val="000000"/>
                <w:sz w:val="24"/>
                <w:szCs w:val="24"/>
                <w:lang w:eastAsia="lv-LV"/>
              </w:rPr>
              <w:t xml:space="preserve"> vērtība</w:t>
            </w:r>
          </w:p>
        </w:tc>
        <w:tc>
          <w:tcPr>
            <w:tcW w:w="1440" w:type="dxa"/>
            <w:noWrap/>
            <w:hideMark/>
          </w:tcPr>
          <w:p w14:paraId="717D253E"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761 858</w:t>
            </w:r>
          </w:p>
        </w:tc>
        <w:tc>
          <w:tcPr>
            <w:tcW w:w="1376" w:type="dxa"/>
            <w:noWrap/>
            <w:hideMark/>
          </w:tcPr>
          <w:p w14:paraId="690AAE76"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2 172 912</w:t>
            </w:r>
          </w:p>
        </w:tc>
        <w:tc>
          <w:tcPr>
            <w:tcW w:w="1180" w:type="dxa"/>
            <w:noWrap/>
            <w:hideMark/>
          </w:tcPr>
          <w:p w14:paraId="59D3D748"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6,2%</w:t>
            </w:r>
          </w:p>
        </w:tc>
      </w:tr>
      <w:tr w:rsidR="0037562F" w:rsidRPr="003B3223" w14:paraId="7F12EA94" w14:textId="77777777" w:rsidTr="003B32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81" w:type="dxa"/>
            <w:tcBorders>
              <w:top w:val="none" w:sz="0" w:space="0" w:color="auto"/>
              <w:left w:val="none" w:sz="0" w:space="0" w:color="auto"/>
              <w:bottom w:val="none" w:sz="0" w:space="0" w:color="auto"/>
            </w:tcBorders>
            <w:noWrap/>
            <w:hideMark/>
          </w:tcPr>
          <w:p w14:paraId="4D239620" w14:textId="77777777" w:rsidR="0037562F" w:rsidRPr="003B3223" w:rsidRDefault="0037562F" w:rsidP="003B3223">
            <w:pPr>
              <w:spacing w:before="60" w:after="60"/>
              <w:jc w:val="left"/>
              <w:rPr>
                <w:rFonts w:ascii="Times New Roman" w:hAnsi="Times New Roman"/>
                <w:b w:val="0"/>
                <w:color w:val="000000"/>
                <w:sz w:val="24"/>
                <w:szCs w:val="24"/>
                <w:lang w:eastAsia="lv-LV"/>
              </w:rPr>
            </w:pPr>
            <w:r w:rsidRPr="003B3223">
              <w:rPr>
                <w:rFonts w:ascii="Times New Roman" w:hAnsi="Times New Roman"/>
                <w:b w:val="0"/>
                <w:color w:val="000000"/>
                <w:sz w:val="24"/>
                <w:szCs w:val="24"/>
                <w:lang w:eastAsia="lv-LV"/>
              </w:rPr>
              <w:t xml:space="preserve">Sporta zāles biznesa un </w:t>
            </w:r>
            <w:proofErr w:type="spellStart"/>
            <w:r w:rsidRPr="003B3223">
              <w:rPr>
                <w:rFonts w:ascii="Times New Roman" w:hAnsi="Times New Roman"/>
                <w:b w:val="0"/>
                <w:color w:val="000000"/>
                <w:sz w:val="24"/>
                <w:szCs w:val="24"/>
                <w:lang w:eastAsia="lv-LV"/>
              </w:rPr>
              <w:t>nek.īp.pieauguma</w:t>
            </w:r>
            <w:proofErr w:type="spellEnd"/>
            <w:r w:rsidRPr="003B3223">
              <w:rPr>
                <w:rFonts w:ascii="Times New Roman" w:hAnsi="Times New Roman"/>
                <w:b w:val="0"/>
                <w:color w:val="000000"/>
                <w:sz w:val="24"/>
                <w:szCs w:val="24"/>
                <w:lang w:eastAsia="lv-LV"/>
              </w:rPr>
              <w:t xml:space="preserve"> vērtība</w:t>
            </w:r>
          </w:p>
        </w:tc>
        <w:tc>
          <w:tcPr>
            <w:tcW w:w="1440" w:type="dxa"/>
            <w:tcBorders>
              <w:top w:val="none" w:sz="0" w:space="0" w:color="auto"/>
              <w:bottom w:val="none" w:sz="0" w:space="0" w:color="auto"/>
            </w:tcBorders>
            <w:noWrap/>
            <w:hideMark/>
          </w:tcPr>
          <w:p w14:paraId="69431FA4"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692 676</w:t>
            </w:r>
          </w:p>
        </w:tc>
        <w:tc>
          <w:tcPr>
            <w:tcW w:w="1376" w:type="dxa"/>
            <w:tcBorders>
              <w:top w:val="none" w:sz="0" w:space="0" w:color="auto"/>
              <w:bottom w:val="none" w:sz="0" w:space="0" w:color="auto"/>
            </w:tcBorders>
            <w:noWrap/>
            <w:hideMark/>
          </w:tcPr>
          <w:p w14:paraId="4F21C47F"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627 546</w:t>
            </w:r>
          </w:p>
        </w:tc>
        <w:tc>
          <w:tcPr>
            <w:tcW w:w="1180" w:type="dxa"/>
            <w:tcBorders>
              <w:top w:val="none" w:sz="0" w:space="0" w:color="auto"/>
              <w:bottom w:val="none" w:sz="0" w:space="0" w:color="auto"/>
              <w:right w:val="none" w:sz="0" w:space="0" w:color="auto"/>
            </w:tcBorders>
            <w:noWrap/>
            <w:hideMark/>
          </w:tcPr>
          <w:p w14:paraId="5D7C27E2"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16,5%</w:t>
            </w:r>
          </w:p>
        </w:tc>
      </w:tr>
      <w:tr w:rsidR="0037562F" w:rsidRPr="003B3223" w14:paraId="2A0DB294" w14:textId="77777777" w:rsidTr="003B3223">
        <w:trPr>
          <w:trHeight w:val="300"/>
          <w:jc w:val="center"/>
        </w:trPr>
        <w:tc>
          <w:tcPr>
            <w:cnfStyle w:val="001000000000" w:firstRow="0" w:lastRow="0" w:firstColumn="1" w:lastColumn="0" w:oddVBand="0" w:evenVBand="0" w:oddHBand="0" w:evenHBand="0" w:firstRowFirstColumn="0" w:firstRowLastColumn="0" w:lastRowFirstColumn="0" w:lastRowLastColumn="0"/>
            <w:tcW w:w="5281" w:type="dxa"/>
            <w:noWrap/>
            <w:hideMark/>
          </w:tcPr>
          <w:p w14:paraId="13BE3C09" w14:textId="77777777" w:rsidR="0037562F" w:rsidRPr="003B3223" w:rsidRDefault="0037562F" w:rsidP="003B3223">
            <w:pPr>
              <w:spacing w:before="60" w:after="60"/>
              <w:jc w:val="left"/>
              <w:rPr>
                <w:rFonts w:ascii="Times New Roman" w:hAnsi="Times New Roman"/>
                <w:b w:val="0"/>
                <w:color w:val="000000"/>
                <w:sz w:val="24"/>
                <w:szCs w:val="24"/>
                <w:lang w:eastAsia="lv-LV"/>
              </w:rPr>
            </w:pPr>
            <w:r w:rsidRPr="003B3223">
              <w:rPr>
                <w:rFonts w:ascii="Times New Roman" w:hAnsi="Times New Roman"/>
                <w:b w:val="0"/>
                <w:color w:val="000000"/>
                <w:sz w:val="24"/>
                <w:szCs w:val="24"/>
                <w:lang w:eastAsia="lv-LV"/>
              </w:rPr>
              <w:t>Teritorijas labiekārtošana</w:t>
            </w:r>
          </w:p>
        </w:tc>
        <w:tc>
          <w:tcPr>
            <w:tcW w:w="1440" w:type="dxa"/>
            <w:noWrap/>
            <w:hideMark/>
          </w:tcPr>
          <w:p w14:paraId="0411D9F3"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p>
        </w:tc>
        <w:tc>
          <w:tcPr>
            <w:tcW w:w="1376" w:type="dxa"/>
            <w:noWrap/>
            <w:hideMark/>
          </w:tcPr>
          <w:p w14:paraId="3BE2E6FD"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3B3223">
              <w:rPr>
                <w:rFonts w:ascii="Times New Roman" w:hAnsi="Times New Roman"/>
                <w:color w:val="000000"/>
                <w:sz w:val="24"/>
                <w:szCs w:val="24"/>
                <w:lang w:eastAsia="lv-LV"/>
              </w:rPr>
              <w:t>169 037</w:t>
            </w:r>
          </w:p>
        </w:tc>
        <w:tc>
          <w:tcPr>
            <w:tcW w:w="1180" w:type="dxa"/>
            <w:noWrap/>
            <w:hideMark/>
          </w:tcPr>
          <w:p w14:paraId="0AC45C18" w14:textId="77777777" w:rsidR="0037562F" w:rsidRPr="003B3223" w:rsidRDefault="0037562F" w:rsidP="003B322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p>
        </w:tc>
      </w:tr>
      <w:tr w:rsidR="0037562F" w:rsidRPr="003B3223" w14:paraId="0D5A9950" w14:textId="77777777" w:rsidTr="003B32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81" w:type="dxa"/>
            <w:tcBorders>
              <w:top w:val="none" w:sz="0" w:space="0" w:color="auto"/>
              <w:left w:val="none" w:sz="0" w:space="0" w:color="auto"/>
              <w:bottom w:val="none" w:sz="0" w:space="0" w:color="auto"/>
            </w:tcBorders>
            <w:noWrap/>
            <w:hideMark/>
          </w:tcPr>
          <w:p w14:paraId="6A889188" w14:textId="44BB7A8F" w:rsidR="0037562F" w:rsidRPr="003B3223" w:rsidRDefault="0037562F" w:rsidP="003B3223">
            <w:pPr>
              <w:spacing w:before="60" w:after="60"/>
              <w:jc w:val="right"/>
              <w:rPr>
                <w:rFonts w:ascii="Times New Roman" w:hAnsi="Times New Roman"/>
                <w:color w:val="000000"/>
                <w:sz w:val="24"/>
                <w:szCs w:val="24"/>
                <w:lang w:eastAsia="lv-LV"/>
              </w:rPr>
            </w:pPr>
            <w:r w:rsidRPr="003B3223">
              <w:rPr>
                <w:rFonts w:ascii="Times New Roman" w:hAnsi="Times New Roman"/>
                <w:color w:val="000000"/>
                <w:sz w:val="24"/>
                <w:szCs w:val="24"/>
                <w:lang w:eastAsia="lv-LV"/>
              </w:rPr>
              <w:t>Kopā</w:t>
            </w:r>
            <w:r w:rsidR="003B3223" w:rsidRPr="003B3223">
              <w:rPr>
                <w:rFonts w:ascii="Times New Roman" w:hAnsi="Times New Roman"/>
                <w:color w:val="000000"/>
                <w:sz w:val="24"/>
                <w:szCs w:val="24"/>
                <w:lang w:eastAsia="lv-LV"/>
              </w:rPr>
              <w:t>:</w:t>
            </w:r>
          </w:p>
        </w:tc>
        <w:tc>
          <w:tcPr>
            <w:tcW w:w="1440" w:type="dxa"/>
            <w:tcBorders>
              <w:top w:val="none" w:sz="0" w:space="0" w:color="auto"/>
              <w:bottom w:val="none" w:sz="0" w:space="0" w:color="auto"/>
            </w:tcBorders>
            <w:noWrap/>
            <w:hideMark/>
          </w:tcPr>
          <w:p w14:paraId="14441056"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eastAsia="lv-LV"/>
              </w:rPr>
            </w:pPr>
            <w:r w:rsidRPr="003B3223">
              <w:rPr>
                <w:rFonts w:ascii="Times New Roman" w:hAnsi="Times New Roman"/>
                <w:b/>
                <w:bCs/>
                <w:color w:val="000000"/>
                <w:sz w:val="24"/>
                <w:szCs w:val="24"/>
                <w:lang w:eastAsia="lv-LV"/>
              </w:rPr>
              <w:t>2 912 316</w:t>
            </w:r>
          </w:p>
        </w:tc>
        <w:tc>
          <w:tcPr>
            <w:tcW w:w="1376" w:type="dxa"/>
            <w:tcBorders>
              <w:top w:val="none" w:sz="0" w:space="0" w:color="auto"/>
              <w:bottom w:val="none" w:sz="0" w:space="0" w:color="auto"/>
            </w:tcBorders>
            <w:noWrap/>
            <w:hideMark/>
          </w:tcPr>
          <w:p w14:paraId="1233655F"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eastAsia="lv-LV"/>
              </w:rPr>
            </w:pPr>
            <w:r w:rsidRPr="003B3223">
              <w:rPr>
                <w:rFonts w:ascii="Times New Roman" w:hAnsi="Times New Roman"/>
                <w:b/>
                <w:bCs/>
                <w:color w:val="000000"/>
                <w:sz w:val="24"/>
                <w:szCs w:val="24"/>
                <w:lang w:eastAsia="lv-LV"/>
              </w:rPr>
              <w:t>3 491 187</w:t>
            </w:r>
          </w:p>
        </w:tc>
        <w:tc>
          <w:tcPr>
            <w:tcW w:w="1180" w:type="dxa"/>
            <w:tcBorders>
              <w:top w:val="none" w:sz="0" w:space="0" w:color="auto"/>
              <w:bottom w:val="none" w:sz="0" w:space="0" w:color="auto"/>
              <w:right w:val="none" w:sz="0" w:space="0" w:color="auto"/>
            </w:tcBorders>
            <w:noWrap/>
            <w:hideMark/>
          </w:tcPr>
          <w:p w14:paraId="58C4B4D8" w14:textId="77777777" w:rsidR="0037562F" w:rsidRPr="003B3223" w:rsidRDefault="0037562F" w:rsidP="003B322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eastAsia="lv-LV"/>
              </w:rPr>
            </w:pPr>
            <w:r w:rsidRPr="003B3223">
              <w:rPr>
                <w:rFonts w:ascii="Times New Roman" w:hAnsi="Times New Roman"/>
                <w:b/>
                <w:bCs/>
                <w:color w:val="000000"/>
                <w:sz w:val="24"/>
                <w:szCs w:val="24"/>
                <w:lang w:eastAsia="lv-LV"/>
              </w:rPr>
              <w:t>13,0%</w:t>
            </w:r>
          </w:p>
        </w:tc>
      </w:tr>
    </w:tbl>
    <w:p w14:paraId="566F6216" w14:textId="77777777" w:rsidR="003B3223" w:rsidRDefault="003B3223" w:rsidP="003B3223"/>
    <w:p w14:paraId="67B8598B" w14:textId="468E086F" w:rsidR="0037562F" w:rsidRDefault="0037562F" w:rsidP="003B3223">
      <w:pPr>
        <w:spacing w:after="60"/>
      </w:pPr>
      <w:r>
        <w:lastRenderedPageBreak/>
        <w:t>Finanšu prognozes administratīvās ēkas un sporta zāles biznesa darbībai tiks precizētas, vadoties pēc aktuālās ekonomiskās situācijas vidējā termiņā atbilstoši aktivitāšu plānam pirms galējā lēmuma pieņemšanas par šo ēku attīstīšanu (2018.-2020.gads).</w:t>
      </w:r>
    </w:p>
    <w:p w14:paraId="0C700D70" w14:textId="3A3BD389" w:rsidR="006C634D" w:rsidRDefault="00775B91" w:rsidP="0037562F">
      <w:pPr>
        <w:ind w:firstLine="660"/>
        <w:rPr>
          <w:rFonts w:eastAsia="Symbol"/>
          <w:color w:val="000000"/>
          <w:szCs w:val="24"/>
          <w:lang w:eastAsia="lv-LV"/>
        </w:rPr>
      </w:pPr>
      <w:proofErr w:type="spellStart"/>
      <w:r w:rsidRPr="0037562F">
        <w:rPr>
          <w:rFonts w:eastAsia="Symbol"/>
          <w:b/>
          <w:color w:val="000000"/>
          <w:szCs w:val="24"/>
          <w:lang w:eastAsia="lv-LV"/>
        </w:rPr>
        <w:t>Igates</w:t>
      </w:r>
      <w:proofErr w:type="spellEnd"/>
      <w:r w:rsidRPr="0037562F">
        <w:rPr>
          <w:rFonts w:eastAsia="Symbol"/>
          <w:b/>
          <w:color w:val="000000"/>
          <w:szCs w:val="24"/>
          <w:lang w:eastAsia="lv-LV"/>
        </w:rPr>
        <w:t xml:space="preserve"> pils</w:t>
      </w:r>
      <w:r w:rsidRPr="0037562F">
        <w:rPr>
          <w:rFonts w:eastAsia="Symbol"/>
          <w:color w:val="000000"/>
          <w:szCs w:val="24"/>
          <w:lang w:eastAsia="lv-LV"/>
        </w:rPr>
        <w:t xml:space="preserve"> i</w:t>
      </w:r>
      <w:r w:rsidR="006C634D" w:rsidRPr="0037562F">
        <w:rPr>
          <w:szCs w:val="24"/>
        </w:rPr>
        <w:t>lgtermiņa attīstības scenārijs</w:t>
      </w:r>
      <w:r w:rsidRPr="0037562F">
        <w:rPr>
          <w:szCs w:val="24"/>
        </w:rPr>
        <w:t xml:space="preserve"> </w:t>
      </w:r>
      <w:r w:rsidR="00323EE2">
        <w:rPr>
          <w:szCs w:val="24"/>
        </w:rPr>
        <w:t>-</w:t>
      </w:r>
      <w:r w:rsidRPr="0037562F">
        <w:rPr>
          <w:szCs w:val="24"/>
        </w:rPr>
        <w:t xml:space="preserve"> </w:t>
      </w:r>
      <w:proofErr w:type="spellStart"/>
      <w:r w:rsidR="003B3223">
        <w:rPr>
          <w:szCs w:val="24"/>
        </w:rPr>
        <w:t>Igates</w:t>
      </w:r>
      <w:proofErr w:type="spellEnd"/>
      <w:r w:rsidR="003B3223">
        <w:rPr>
          <w:szCs w:val="24"/>
        </w:rPr>
        <w:t xml:space="preserve"> </w:t>
      </w:r>
      <w:r w:rsidR="006C634D" w:rsidRPr="0037562F">
        <w:rPr>
          <w:szCs w:val="24"/>
        </w:rPr>
        <w:t>pils kompleksa iznomāšana ilgtermiņā</w:t>
      </w:r>
      <w:r w:rsidRPr="0037562F">
        <w:rPr>
          <w:szCs w:val="24"/>
        </w:rPr>
        <w:t xml:space="preserve"> vai pils atsavināšana,</w:t>
      </w:r>
      <w:r w:rsidRPr="0037562F">
        <w:rPr>
          <w:iCs/>
          <w:color w:val="000000"/>
          <w:szCs w:val="24"/>
          <w:lang w:eastAsia="lv-LV"/>
        </w:rPr>
        <w:t xml:space="preserve"> ja viena gada laikā neizdosies piesaistīt nomnieku.</w:t>
      </w:r>
      <w:r w:rsidR="008D2C7E" w:rsidRPr="008D2C7E">
        <w:rPr>
          <w:rFonts w:eastAsia="Symbol"/>
          <w:color w:val="000000"/>
          <w:szCs w:val="24"/>
          <w:lang w:eastAsia="lv-LV"/>
        </w:rPr>
        <w:t xml:space="preserve"> </w:t>
      </w:r>
      <w:proofErr w:type="spellStart"/>
      <w:r w:rsidR="008D2C7E">
        <w:rPr>
          <w:rFonts w:eastAsia="Symbol"/>
          <w:color w:val="000000"/>
          <w:szCs w:val="24"/>
          <w:lang w:eastAsia="lv-LV"/>
        </w:rPr>
        <w:t>Igates</w:t>
      </w:r>
      <w:proofErr w:type="spellEnd"/>
      <w:r w:rsidR="008D2C7E">
        <w:rPr>
          <w:rFonts w:eastAsia="Symbol"/>
          <w:color w:val="000000"/>
          <w:szCs w:val="24"/>
          <w:lang w:eastAsia="lv-LV"/>
        </w:rPr>
        <w:t xml:space="preserve"> pils aktivitāšu plāns norādīts informatīvā ziņojuma </w:t>
      </w:r>
      <w:r w:rsidR="00506B31">
        <w:rPr>
          <w:rFonts w:eastAsia="Symbol"/>
          <w:color w:val="000000"/>
          <w:szCs w:val="24"/>
          <w:lang w:eastAsia="lv-LV"/>
        </w:rPr>
        <w:t>7</w:t>
      </w:r>
      <w:r w:rsidR="008D2C7E">
        <w:rPr>
          <w:rFonts w:eastAsia="Symbol"/>
          <w:color w:val="000000"/>
          <w:szCs w:val="24"/>
          <w:lang w:eastAsia="lv-LV"/>
        </w:rPr>
        <w:t>.tabulā.</w:t>
      </w:r>
    </w:p>
    <w:p w14:paraId="2C1FA3CC" w14:textId="454A5E6E" w:rsidR="008D2C7E" w:rsidRPr="003B3223" w:rsidRDefault="00506B31" w:rsidP="008D2C7E">
      <w:pPr>
        <w:jc w:val="right"/>
        <w:rPr>
          <w:rFonts w:eastAsiaTheme="minorHAnsi"/>
          <w:sz w:val="20"/>
        </w:rPr>
      </w:pPr>
      <w:r w:rsidRPr="003B3223">
        <w:rPr>
          <w:rFonts w:eastAsia="Symbol"/>
          <w:color w:val="000000"/>
          <w:sz w:val="20"/>
          <w:lang w:eastAsia="lv-LV"/>
        </w:rPr>
        <w:t>7</w:t>
      </w:r>
      <w:r w:rsidR="008D2C7E" w:rsidRPr="003B3223">
        <w:rPr>
          <w:rFonts w:eastAsia="Symbol"/>
          <w:color w:val="000000"/>
          <w:sz w:val="20"/>
          <w:lang w:eastAsia="lv-LV"/>
        </w:rPr>
        <w:t>.tabula</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850"/>
        <w:gridCol w:w="536"/>
        <w:gridCol w:w="376"/>
        <w:gridCol w:w="676"/>
        <w:gridCol w:w="376"/>
        <w:gridCol w:w="497"/>
        <w:gridCol w:w="376"/>
      </w:tblGrid>
      <w:tr w:rsidR="008D2C7E" w:rsidRPr="003B3223" w14:paraId="11FE0D1F" w14:textId="77777777" w:rsidTr="00B67C18">
        <w:trPr>
          <w:trHeight w:val="300"/>
          <w:jc w:val="center"/>
        </w:trPr>
        <w:tc>
          <w:tcPr>
            <w:tcW w:w="5614" w:type="dxa"/>
            <w:vMerge w:val="restart"/>
            <w:shd w:val="clear" w:color="auto" w:fill="B4C6E7" w:themeFill="accent5" w:themeFillTint="66"/>
            <w:noWrap/>
            <w:vAlign w:val="center"/>
            <w:hideMark/>
          </w:tcPr>
          <w:p w14:paraId="067975C9" w14:textId="77777777" w:rsidR="008D2C7E" w:rsidRPr="003B3223" w:rsidRDefault="008D2C7E" w:rsidP="003B3223">
            <w:pPr>
              <w:spacing w:before="60" w:after="60"/>
              <w:jc w:val="center"/>
              <w:rPr>
                <w:color w:val="000000"/>
                <w:szCs w:val="24"/>
                <w:lang w:eastAsia="lv-LV"/>
              </w:rPr>
            </w:pPr>
            <w:r w:rsidRPr="003B3223">
              <w:rPr>
                <w:b/>
                <w:szCs w:val="24"/>
              </w:rPr>
              <w:t>Aktivitāšu plāns</w:t>
            </w:r>
          </w:p>
        </w:tc>
        <w:tc>
          <w:tcPr>
            <w:tcW w:w="850" w:type="dxa"/>
            <w:shd w:val="clear" w:color="auto" w:fill="B4C6E7" w:themeFill="accent5" w:themeFillTint="66"/>
            <w:noWrap/>
            <w:vAlign w:val="bottom"/>
            <w:hideMark/>
          </w:tcPr>
          <w:p w14:paraId="7CA85BF5" w14:textId="77777777" w:rsidR="008D2C7E" w:rsidRPr="003B3223" w:rsidRDefault="008D2C7E" w:rsidP="003B3223">
            <w:pPr>
              <w:spacing w:before="60" w:after="60"/>
              <w:jc w:val="center"/>
              <w:rPr>
                <w:b/>
                <w:bCs/>
                <w:color w:val="000000"/>
                <w:szCs w:val="24"/>
                <w:lang w:eastAsia="lv-LV"/>
              </w:rPr>
            </w:pPr>
            <w:r w:rsidRPr="003B3223">
              <w:rPr>
                <w:b/>
                <w:bCs/>
                <w:color w:val="000000"/>
                <w:szCs w:val="24"/>
                <w:lang w:eastAsia="lv-LV"/>
              </w:rPr>
              <w:t>2014</w:t>
            </w:r>
          </w:p>
        </w:tc>
        <w:tc>
          <w:tcPr>
            <w:tcW w:w="912" w:type="dxa"/>
            <w:gridSpan w:val="2"/>
            <w:shd w:val="clear" w:color="auto" w:fill="B4C6E7" w:themeFill="accent5" w:themeFillTint="66"/>
            <w:noWrap/>
            <w:vAlign w:val="bottom"/>
            <w:hideMark/>
          </w:tcPr>
          <w:p w14:paraId="61DCD231" w14:textId="77777777" w:rsidR="008D2C7E" w:rsidRPr="003B3223" w:rsidRDefault="008D2C7E" w:rsidP="003B3223">
            <w:pPr>
              <w:spacing w:before="60" w:after="60"/>
              <w:jc w:val="center"/>
              <w:rPr>
                <w:b/>
                <w:bCs/>
                <w:color w:val="000000"/>
                <w:szCs w:val="24"/>
                <w:lang w:eastAsia="lv-LV"/>
              </w:rPr>
            </w:pPr>
            <w:r w:rsidRPr="003B3223">
              <w:rPr>
                <w:b/>
                <w:bCs/>
                <w:color w:val="000000"/>
                <w:szCs w:val="24"/>
                <w:lang w:eastAsia="lv-LV"/>
              </w:rPr>
              <w:t>2015</w:t>
            </w:r>
          </w:p>
        </w:tc>
        <w:tc>
          <w:tcPr>
            <w:tcW w:w="1052" w:type="dxa"/>
            <w:gridSpan w:val="2"/>
            <w:shd w:val="clear" w:color="auto" w:fill="B4C6E7" w:themeFill="accent5" w:themeFillTint="66"/>
            <w:noWrap/>
            <w:vAlign w:val="bottom"/>
            <w:hideMark/>
          </w:tcPr>
          <w:p w14:paraId="6F789C4E" w14:textId="77777777" w:rsidR="008D2C7E" w:rsidRPr="003B3223" w:rsidRDefault="008D2C7E" w:rsidP="003B3223">
            <w:pPr>
              <w:spacing w:before="60" w:after="60"/>
              <w:jc w:val="center"/>
              <w:rPr>
                <w:b/>
                <w:bCs/>
                <w:color w:val="000000"/>
                <w:szCs w:val="24"/>
                <w:lang w:eastAsia="lv-LV"/>
              </w:rPr>
            </w:pPr>
            <w:r w:rsidRPr="003B3223">
              <w:rPr>
                <w:b/>
                <w:bCs/>
                <w:color w:val="000000"/>
                <w:szCs w:val="24"/>
                <w:lang w:eastAsia="lv-LV"/>
              </w:rPr>
              <w:t>2016</w:t>
            </w:r>
          </w:p>
        </w:tc>
        <w:tc>
          <w:tcPr>
            <w:tcW w:w="873" w:type="dxa"/>
            <w:gridSpan w:val="2"/>
            <w:shd w:val="clear" w:color="auto" w:fill="B4C6E7" w:themeFill="accent5" w:themeFillTint="66"/>
            <w:noWrap/>
            <w:vAlign w:val="bottom"/>
            <w:hideMark/>
          </w:tcPr>
          <w:p w14:paraId="01115BDE" w14:textId="77777777" w:rsidR="008D2C7E" w:rsidRPr="003B3223" w:rsidRDefault="008D2C7E" w:rsidP="003B3223">
            <w:pPr>
              <w:spacing w:before="60" w:after="60"/>
              <w:jc w:val="center"/>
              <w:rPr>
                <w:b/>
                <w:bCs/>
                <w:color w:val="000000"/>
                <w:szCs w:val="24"/>
                <w:lang w:eastAsia="lv-LV"/>
              </w:rPr>
            </w:pPr>
            <w:r w:rsidRPr="003B3223">
              <w:rPr>
                <w:b/>
                <w:bCs/>
                <w:color w:val="000000"/>
                <w:szCs w:val="24"/>
                <w:lang w:eastAsia="lv-LV"/>
              </w:rPr>
              <w:t>2017</w:t>
            </w:r>
          </w:p>
        </w:tc>
      </w:tr>
      <w:tr w:rsidR="00B67C18" w:rsidRPr="003B3223" w14:paraId="45E3451B" w14:textId="77777777" w:rsidTr="00B67C18">
        <w:trPr>
          <w:trHeight w:val="300"/>
          <w:jc w:val="center"/>
        </w:trPr>
        <w:tc>
          <w:tcPr>
            <w:tcW w:w="5614" w:type="dxa"/>
            <w:vMerge/>
            <w:shd w:val="clear" w:color="auto" w:fill="B4C6E7" w:themeFill="accent5" w:themeFillTint="66"/>
            <w:noWrap/>
            <w:vAlign w:val="bottom"/>
            <w:hideMark/>
          </w:tcPr>
          <w:p w14:paraId="5A4A1DF3" w14:textId="77777777" w:rsidR="008D2C7E" w:rsidRPr="003B3223" w:rsidRDefault="008D2C7E" w:rsidP="003B3223">
            <w:pPr>
              <w:spacing w:before="60" w:after="60"/>
              <w:rPr>
                <w:color w:val="000000"/>
                <w:szCs w:val="24"/>
                <w:lang w:eastAsia="lv-LV"/>
              </w:rPr>
            </w:pPr>
          </w:p>
        </w:tc>
        <w:tc>
          <w:tcPr>
            <w:tcW w:w="850" w:type="dxa"/>
            <w:shd w:val="clear" w:color="auto" w:fill="B4C6E7" w:themeFill="accent5" w:themeFillTint="66"/>
            <w:noWrap/>
            <w:vAlign w:val="bottom"/>
            <w:hideMark/>
          </w:tcPr>
          <w:p w14:paraId="686BE7C0"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II</w:t>
            </w:r>
          </w:p>
        </w:tc>
        <w:tc>
          <w:tcPr>
            <w:tcW w:w="536" w:type="dxa"/>
            <w:shd w:val="clear" w:color="auto" w:fill="B4C6E7" w:themeFill="accent5" w:themeFillTint="66"/>
            <w:noWrap/>
            <w:vAlign w:val="bottom"/>
            <w:hideMark/>
          </w:tcPr>
          <w:p w14:paraId="0EA6ABA3"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w:t>
            </w:r>
          </w:p>
        </w:tc>
        <w:tc>
          <w:tcPr>
            <w:tcW w:w="376" w:type="dxa"/>
            <w:shd w:val="clear" w:color="auto" w:fill="B4C6E7" w:themeFill="accent5" w:themeFillTint="66"/>
            <w:noWrap/>
            <w:vAlign w:val="bottom"/>
            <w:hideMark/>
          </w:tcPr>
          <w:p w14:paraId="2B133B7F"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II</w:t>
            </w:r>
          </w:p>
        </w:tc>
        <w:tc>
          <w:tcPr>
            <w:tcW w:w="676" w:type="dxa"/>
            <w:shd w:val="clear" w:color="auto" w:fill="B4C6E7" w:themeFill="accent5" w:themeFillTint="66"/>
            <w:noWrap/>
            <w:vAlign w:val="bottom"/>
            <w:hideMark/>
          </w:tcPr>
          <w:p w14:paraId="1BDE4238"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w:t>
            </w:r>
          </w:p>
        </w:tc>
        <w:tc>
          <w:tcPr>
            <w:tcW w:w="376" w:type="dxa"/>
            <w:shd w:val="clear" w:color="auto" w:fill="B4C6E7" w:themeFill="accent5" w:themeFillTint="66"/>
            <w:noWrap/>
            <w:vAlign w:val="bottom"/>
            <w:hideMark/>
          </w:tcPr>
          <w:p w14:paraId="389F11F8"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II</w:t>
            </w:r>
          </w:p>
        </w:tc>
        <w:tc>
          <w:tcPr>
            <w:tcW w:w="497" w:type="dxa"/>
            <w:shd w:val="clear" w:color="auto" w:fill="B4C6E7" w:themeFill="accent5" w:themeFillTint="66"/>
            <w:noWrap/>
            <w:vAlign w:val="bottom"/>
            <w:hideMark/>
          </w:tcPr>
          <w:p w14:paraId="498136B4"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w:t>
            </w:r>
          </w:p>
        </w:tc>
        <w:tc>
          <w:tcPr>
            <w:tcW w:w="376" w:type="dxa"/>
            <w:shd w:val="clear" w:color="auto" w:fill="B4C6E7" w:themeFill="accent5" w:themeFillTint="66"/>
            <w:noWrap/>
            <w:vAlign w:val="bottom"/>
            <w:hideMark/>
          </w:tcPr>
          <w:p w14:paraId="7D1C6889" w14:textId="77777777" w:rsidR="008D2C7E" w:rsidRPr="003B3223" w:rsidRDefault="008D2C7E" w:rsidP="003B3223">
            <w:pPr>
              <w:spacing w:before="60" w:after="60"/>
              <w:jc w:val="center"/>
              <w:rPr>
                <w:color w:val="000000"/>
                <w:szCs w:val="24"/>
                <w:lang w:eastAsia="lv-LV"/>
              </w:rPr>
            </w:pPr>
            <w:r w:rsidRPr="003B3223">
              <w:rPr>
                <w:color w:val="000000"/>
                <w:szCs w:val="24"/>
                <w:lang w:eastAsia="lv-LV"/>
              </w:rPr>
              <w:t>II</w:t>
            </w:r>
          </w:p>
        </w:tc>
      </w:tr>
      <w:tr w:rsidR="0037562F" w:rsidRPr="003B3223" w14:paraId="02464AEB" w14:textId="77777777" w:rsidTr="00B67C18">
        <w:trPr>
          <w:trHeight w:val="300"/>
          <w:jc w:val="center"/>
        </w:trPr>
        <w:tc>
          <w:tcPr>
            <w:tcW w:w="5614" w:type="dxa"/>
            <w:shd w:val="clear" w:color="auto" w:fill="auto"/>
            <w:noWrap/>
            <w:vAlign w:val="center"/>
            <w:hideMark/>
          </w:tcPr>
          <w:p w14:paraId="3ADF0808" w14:textId="77777777" w:rsidR="0037562F" w:rsidRPr="003B3223" w:rsidRDefault="0037562F" w:rsidP="003B3223">
            <w:pPr>
              <w:spacing w:before="60" w:after="60"/>
              <w:rPr>
                <w:color w:val="000000"/>
                <w:szCs w:val="24"/>
                <w:lang w:eastAsia="lv-LV"/>
              </w:rPr>
            </w:pPr>
            <w:r w:rsidRPr="003B3223">
              <w:rPr>
                <w:rFonts w:eastAsia="Symbol"/>
                <w:color w:val="000000"/>
                <w:szCs w:val="24"/>
                <w:lang w:eastAsia="lv-LV"/>
              </w:rPr>
              <w:t>Ilgtermiņa nomas līguma nosacījumu definēšana, t.sk.</w:t>
            </w:r>
          </w:p>
        </w:tc>
        <w:tc>
          <w:tcPr>
            <w:tcW w:w="850" w:type="dxa"/>
            <w:shd w:val="clear" w:color="000000" w:fill="DCE6F1"/>
            <w:noWrap/>
            <w:vAlign w:val="bottom"/>
            <w:hideMark/>
          </w:tcPr>
          <w:p w14:paraId="1943F1FA"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536" w:type="dxa"/>
            <w:shd w:val="clear" w:color="auto" w:fill="auto"/>
            <w:noWrap/>
            <w:vAlign w:val="bottom"/>
            <w:hideMark/>
          </w:tcPr>
          <w:p w14:paraId="5EA6B9D8" w14:textId="04118553"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3D346BE2" w14:textId="2F34633F" w:rsidR="0037562F" w:rsidRPr="003B3223" w:rsidRDefault="0037562F" w:rsidP="00E319E1">
            <w:pPr>
              <w:spacing w:before="60" w:after="60"/>
              <w:jc w:val="center"/>
              <w:rPr>
                <w:color w:val="000000"/>
                <w:szCs w:val="24"/>
                <w:lang w:eastAsia="lv-LV"/>
              </w:rPr>
            </w:pPr>
          </w:p>
        </w:tc>
        <w:tc>
          <w:tcPr>
            <w:tcW w:w="676" w:type="dxa"/>
            <w:shd w:val="clear" w:color="auto" w:fill="auto"/>
            <w:noWrap/>
            <w:vAlign w:val="bottom"/>
            <w:hideMark/>
          </w:tcPr>
          <w:p w14:paraId="1F1BA3D5" w14:textId="07D0342B"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0268D6FC" w14:textId="596E05A6" w:rsidR="0037562F" w:rsidRPr="003B3223" w:rsidRDefault="0037562F" w:rsidP="00E319E1">
            <w:pPr>
              <w:spacing w:before="60" w:after="60"/>
              <w:jc w:val="center"/>
              <w:rPr>
                <w:color w:val="000000"/>
                <w:szCs w:val="24"/>
                <w:lang w:eastAsia="lv-LV"/>
              </w:rPr>
            </w:pPr>
          </w:p>
        </w:tc>
        <w:tc>
          <w:tcPr>
            <w:tcW w:w="497" w:type="dxa"/>
            <w:shd w:val="clear" w:color="auto" w:fill="auto"/>
            <w:noWrap/>
            <w:vAlign w:val="bottom"/>
            <w:hideMark/>
          </w:tcPr>
          <w:p w14:paraId="0B0C224B" w14:textId="6CDB9BB3"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6B8C592F" w14:textId="3FF11F88" w:rsidR="0037562F" w:rsidRPr="003B3223" w:rsidRDefault="0037562F" w:rsidP="00E319E1">
            <w:pPr>
              <w:spacing w:before="60" w:after="60"/>
              <w:jc w:val="center"/>
              <w:rPr>
                <w:color w:val="000000"/>
                <w:szCs w:val="24"/>
                <w:lang w:eastAsia="lv-LV"/>
              </w:rPr>
            </w:pPr>
          </w:p>
        </w:tc>
      </w:tr>
      <w:tr w:rsidR="0037562F" w:rsidRPr="003B3223" w14:paraId="79FB8B55" w14:textId="77777777" w:rsidTr="00B67C18">
        <w:trPr>
          <w:trHeight w:val="300"/>
          <w:jc w:val="center"/>
        </w:trPr>
        <w:tc>
          <w:tcPr>
            <w:tcW w:w="9301" w:type="dxa"/>
            <w:gridSpan w:val="8"/>
            <w:shd w:val="clear" w:color="auto" w:fill="auto"/>
            <w:vAlign w:val="center"/>
            <w:hideMark/>
          </w:tcPr>
          <w:p w14:paraId="5DB4BE76" w14:textId="77777777" w:rsidR="0037562F" w:rsidRPr="003B3223" w:rsidRDefault="0037562F" w:rsidP="003B3223">
            <w:pPr>
              <w:spacing w:before="60" w:after="60"/>
              <w:ind w:firstLineChars="200" w:firstLine="480"/>
              <w:rPr>
                <w:i/>
                <w:iCs/>
                <w:color w:val="000000"/>
                <w:szCs w:val="24"/>
                <w:lang w:eastAsia="lv-LV"/>
              </w:rPr>
            </w:pPr>
            <w:proofErr w:type="spellStart"/>
            <w:r w:rsidRPr="003B3223">
              <w:rPr>
                <w:i/>
                <w:iCs/>
                <w:color w:val="000000"/>
                <w:szCs w:val="24"/>
                <w:lang w:eastAsia="lv-LV"/>
              </w:rPr>
              <w:t>Igates</w:t>
            </w:r>
            <w:proofErr w:type="spellEnd"/>
            <w:r w:rsidRPr="003B3223">
              <w:rPr>
                <w:i/>
                <w:iCs/>
                <w:color w:val="000000"/>
                <w:szCs w:val="24"/>
                <w:lang w:eastAsia="lv-LV"/>
              </w:rPr>
              <w:t xml:space="preserve"> pils kompleksa saglabāšana kā publiski pieejams tūrisma objekts*</w:t>
            </w:r>
          </w:p>
        </w:tc>
      </w:tr>
      <w:tr w:rsidR="0037562F" w:rsidRPr="003B3223" w14:paraId="77D01533" w14:textId="77777777" w:rsidTr="00B67C18">
        <w:trPr>
          <w:trHeight w:val="300"/>
          <w:jc w:val="center"/>
        </w:trPr>
        <w:tc>
          <w:tcPr>
            <w:tcW w:w="9301" w:type="dxa"/>
            <w:gridSpan w:val="8"/>
            <w:shd w:val="clear" w:color="auto" w:fill="auto"/>
            <w:vAlign w:val="center"/>
            <w:hideMark/>
          </w:tcPr>
          <w:p w14:paraId="421D4440" w14:textId="77777777" w:rsidR="0037562F" w:rsidRPr="003B3223" w:rsidRDefault="0037562F" w:rsidP="003B3223">
            <w:pPr>
              <w:spacing w:before="60" w:after="60"/>
              <w:ind w:firstLineChars="200" w:firstLine="480"/>
              <w:rPr>
                <w:i/>
                <w:iCs/>
                <w:color w:val="000000"/>
                <w:szCs w:val="24"/>
                <w:lang w:eastAsia="lv-LV"/>
              </w:rPr>
            </w:pPr>
            <w:r w:rsidRPr="003B3223">
              <w:rPr>
                <w:rFonts w:eastAsia="Courier New"/>
                <w:i/>
                <w:iCs/>
                <w:color w:val="000000"/>
                <w:szCs w:val="24"/>
                <w:lang w:eastAsia="lv-LV"/>
              </w:rPr>
              <w:t>Nosacījumi attiecībā uz ieguldījumu veikšanu (pozīcijas, summas)</w:t>
            </w:r>
          </w:p>
        </w:tc>
      </w:tr>
      <w:tr w:rsidR="0037562F" w:rsidRPr="003B3223" w14:paraId="607CF643" w14:textId="77777777" w:rsidTr="00B67C18">
        <w:trPr>
          <w:trHeight w:val="300"/>
          <w:jc w:val="center"/>
        </w:trPr>
        <w:tc>
          <w:tcPr>
            <w:tcW w:w="9301" w:type="dxa"/>
            <w:gridSpan w:val="8"/>
            <w:shd w:val="clear" w:color="auto" w:fill="auto"/>
            <w:vAlign w:val="center"/>
            <w:hideMark/>
          </w:tcPr>
          <w:p w14:paraId="04CA5073" w14:textId="77777777" w:rsidR="0037562F" w:rsidRPr="003B3223" w:rsidRDefault="0037562F" w:rsidP="003B3223">
            <w:pPr>
              <w:spacing w:before="60" w:after="60"/>
              <w:ind w:firstLineChars="200" w:firstLine="480"/>
              <w:rPr>
                <w:i/>
                <w:iCs/>
                <w:color w:val="000000"/>
                <w:szCs w:val="24"/>
                <w:lang w:eastAsia="lv-LV"/>
              </w:rPr>
            </w:pPr>
            <w:r w:rsidRPr="003B3223">
              <w:rPr>
                <w:rFonts w:eastAsia="Courier New"/>
                <w:i/>
                <w:iCs/>
                <w:color w:val="000000"/>
                <w:szCs w:val="24"/>
                <w:lang w:eastAsia="lv-LV"/>
              </w:rPr>
              <w:t>Nosacījumi attiecībā uz partnera kvalifikāciju (pieredze līdzīgu objektu vadīšanā)</w:t>
            </w:r>
          </w:p>
        </w:tc>
      </w:tr>
      <w:tr w:rsidR="00B67C18" w:rsidRPr="003B3223" w14:paraId="1538B65E" w14:textId="77777777" w:rsidTr="00B67C18">
        <w:trPr>
          <w:trHeight w:val="300"/>
          <w:jc w:val="center"/>
        </w:trPr>
        <w:tc>
          <w:tcPr>
            <w:tcW w:w="5614" w:type="dxa"/>
            <w:shd w:val="clear" w:color="auto" w:fill="auto"/>
            <w:noWrap/>
            <w:vAlign w:val="center"/>
            <w:hideMark/>
          </w:tcPr>
          <w:p w14:paraId="350041CE" w14:textId="77777777" w:rsidR="0037562F" w:rsidRPr="003B3223" w:rsidRDefault="0037562F" w:rsidP="003B3223">
            <w:pPr>
              <w:spacing w:before="60" w:after="60"/>
              <w:rPr>
                <w:color w:val="000000"/>
                <w:szCs w:val="24"/>
                <w:lang w:eastAsia="lv-LV"/>
              </w:rPr>
            </w:pPr>
            <w:r w:rsidRPr="003B3223">
              <w:rPr>
                <w:rFonts w:eastAsia="Symbol"/>
                <w:color w:val="000000"/>
                <w:szCs w:val="24"/>
                <w:lang w:eastAsia="lv-LV"/>
              </w:rPr>
              <w:t>Nomnieka atrašana un nomas līguma parakstīšana**</w:t>
            </w:r>
          </w:p>
        </w:tc>
        <w:tc>
          <w:tcPr>
            <w:tcW w:w="850" w:type="dxa"/>
            <w:shd w:val="clear" w:color="000000" w:fill="DCE6F1"/>
            <w:noWrap/>
            <w:vAlign w:val="bottom"/>
            <w:hideMark/>
          </w:tcPr>
          <w:p w14:paraId="65E95107"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536" w:type="dxa"/>
            <w:shd w:val="clear" w:color="000000" w:fill="DCE6F1"/>
            <w:noWrap/>
            <w:vAlign w:val="bottom"/>
            <w:hideMark/>
          </w:tcPr>
          <w:p w14:paraId="42D6678A"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376" w:type="dxa"/>
            <w:shd w:val="clear" w:color="000000" w:fill="DCE6F1"/>
            <w:noWrap/>
            <w:vAlign w:val="bottom"/>
            <w:hideMark/>
          </w:tcPr>
          <w:p w14:paraId="364EE57C"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676" w:type="dxa"/>
            <w:shd w:val="clear" w:color="auto" w:fill="auto"/>
            <w:noWrap/>
            <w:vAlign w:val="bottom"/>
            <w:hideMark/>
          </w:tcPr>
          <w:p w14:paraId="0BC6A369" w14:textId="205387D7"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5E77B30F" w14:textId="3F8EF801" w:rsidR="0037562F" w:rsidRPr="003B3223" w:rsidRDefault="0037562F" w:rsidP="00E319E1">
            <w:pPr>
              <w:spacing w:before="60" w:after="60"/>
              <w:jc w:val="center"/>
              <w:rPr>
                <w:color w:val="000000"/>
                <w:szCs w:val="24"/>
                <w:lang w:eastAsia="lv-LV"/>
              </w:rPr>
            </w:pPr>
          </w:p>
        </w:tc>
        <w:tc>
          <w:tcPr>
            <w:tcW w:w="497" w:type="dxa"/>
            <w:shd w:val="clear" w:color="auto" w:fill="auto"/>
            <w:noWrap/>
            <w:vAlign w:val="bottom"/>
            <w:hideMark/>
          </w:tcPr>
          <w:p w14:paraId="311D1DF7" w14:textId="6ACD2157"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45136C90" w14:textId="5A8504C9" w:rsidR="0037562F" w:rsidRPr="003B3223" w:rsidRDefault="0037562F" w:rsidP="00E319E1">
            <w:pPr>
              <w:spacing w:before="60" w:after="60"/>
              <w:jc w:val="center"/>
              <w:rPr>
                <w:color w:val="000000"/>
                <w:szCs w:val="24"/>
                <w:lang w:eastAsia="lv-LV"/>
              </w:rPr>
            </w:pPr>
          </w:p>
        </w:tc>
      </w:tr>
      <w:tr w:rsidR="00B67C18" w:rsidRPr="003B3223" w14:paraId="23FD136A" w14:textId="77777777" w:rsidTr="00B67C18">
        <w:trPr>
          <w:trHeight w:val="315"/>
          <w:jc w:val="center"/>
        </w:trPr>
        <w:tc>
          <w:tcPr>
            <w:tcW w:w="5614" w:type="dxa"/>
            <w:shd w:val="clear" w:color="auto" w:fill="auto"/>
            <w:noWrap/>
            <w:vAlign w:val="center"/>
            <w:hideMark/>
          </w:tcPr>
          <w:p w14:paraId="3BB8F6C3" w14:textId="77777777" w:rsidR="0037562F" w:rsidRPr="003B3223" w:rsidRDefault="0037562F" w:rsidP="003B3223">
            <w:pPr>
              <w:spacing w:before="60" w:after="60"/>
              <w:rPr>
                <w:color w:val="000000"/>
                <w:szCs w:val="24"/>
                <w:lang w:eastAsia="lv-LV"/>
              </w:rPr>
            </w:pPr>
            <w:r w:rsidRPr="003B3223">
              <w:rPr>
                <w:rFonts w:eastAsia="Symbol"/>
                <w:color w:val="000000"/>
                <w:szCs w:val="24"/>
                <w:lang w:eastAsia="lv-LV"/>
              </w:rPr>
              <w:t xml:space="preserve">Ieguldījumu veikšana </w:t>
            </w:r>
            <w:proofErr w:type="spellStart"/>
            <w:r w:rsidRPr="003B3223">
              <w:rPr>
                <w:rFonts w:eastAsia="Symbol"/>
                <w:color w:val="000000"/>
                <w:szCs w:val="24"/>
                <w:lang w:eastAsia="lv-LV"/>
              </w:rPr>
              <w:t>Igates</w:t>
            </w:r>
            <w:proofErr w:type="spellEnd"/>
            <w:r w:rsidRPr="003B3223">
              <w:rPr>
                <w:rFonts w:eastAsia="Symbol"/>
                <w:color w:val="000000"/>
                <w:szCs w:val="24"/>
                <w:lang w:eastAsia="lv-LV"/>
              </w:rPr>
              <w:t xml:space="preserve"> pils kompleksā</w:t>
            </w:r>
          </w:p>
        </w:tc>
        <w:tc>
          <w:tcPr>
            <w:tcW w:w="850" w:type="dxa"/>
            <w:shd w:val="clear" w:color="auto" w:fill="auto"/>
            <w:noWrap/>
            <w:vAlign w:val="bottom"/>
            <w:hideMark/>
          </w:tcPr>
          <w:p w14:paraId="41DF5CAC" w14:textId="3C15685D" w:rsidR="0037562F" w:rsidRPr="003B3223" w:rsidRDefault="0037562F" w:rsidP="00E319E1">
            <w:pPr>
              <w:spacing w:before="60" w:after="60"/>
              <w:jc w:val="center"/>
              <w:rPr>
                <w:color w:val="000000"/>
                <w:szCs w:val="24"/>
                <w:lang w:eastAsia="lv-LV"/>
              </w:rPr>
            </w:pPr>
          </w:p>
        </w:tc>
        <w:tc>
          <w:tcPr>
            <w:tcW w:w="536" w:type="dxa"/>
            <w:shd w:val="clear" w:color="auto" w:fill="auto"/>
            <w:noWrap/>
            <w:vAlign w:val="bottom"/>
            <w:hideMark/>
          </w:tcPr>
          <w:p w14:paraId="30F3176A" w14:textId="1C518D5B"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78D60AAE" w14:textId="7FA8A02A" w:rsidR="0037562F" w:rsidRPr="003B3223" w:rsidRDefault="0037562F" w:rsidP="00E319E1">
            <w:pPr>
              <w:spacing w:before="60" w:after="60"/>
              <w:jc w:val="center"/>
              <w:rPr>
                <w:color w:val="000000"/>
                <w:szCs w:val="24"/>
                <w:lang w:eastAsia="lv-LV"/>
              </w:rPr>
            </w:pPr>
          </w:p>
        </w:tc>
        <w:tc>
          <w:tcPr>
            <w:tcW w:w="676" w:type="dxa"/>
            <w:shd w:val="clear" w:color="000000" w:fill="DCE6F1"/>
            <w:noWrap/>
            <w:vAlign w:val="bottom"/>
            <w:hideMark/>
          </w:tcPr>
          <w:p w14:paraId="4664B8DC"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376" w:type="dxa"/>
            <w:shd w:val="clear" w:color="000000" w:fill="DCE6F1"/>
            <w:noWrap/>
            <w:vAlign w:val="bottom"/>
            <w:hideMark/>
          </w:tcPr>
          <w:p w14:paraId="2114AF4F"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497" w:type="dxa"/>
            <w:shd w:val="clear" w:color="000000" w:fill="DCE6F1"/>
            <w:noWrap/>
            <w:vAlign w:val="bottom"/>
            <w:hideMark/>
          </w:tcPr>
          <w:p w14:paraId="319625F1"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c>
          <w:tcPr>
            <w:tcW w:w="376" w:type="dxa"/>
            <w:shd w:val="clear" w:color="000000" w:fill="DCE6F1"/>
            <w:noWrap/>
            <w:vAlign w:val="bottom"/>
            <w:hideMark/>
          </w:tcPr>
          <w:p w14:paraId="683A69E3" w14:textId="77777777" w:rsidR="0037562F" w:rsidRPr="003B3223" w:rsidRDefault="0037562F" w:rsidP="00E319E1">
            <w:pPr>
              <w:spacing w:before="60" w:after="60"/>
              <w:jc w:val="center"/>
              <w:rPr>
                <w:color w:val="000000"/>
                <w:szCs w:val="24"/>
                <w:lang w:eastAsia="lv-LV"/>
              </w:rPr>
            </w:pPr>
            <w:r w:rsidRPr="003B3223">
              <w:rPr>
                <w:color w:val="000000"/>
                <w:szCs w:val="24"/>
                <w:lang w:eastAsia="lv-LV"/>
              </w:rPr>
              <w:t>x</w:t>
            </w:r>
          </w:p>
        </w:tc>
      </w:tr>
      <w:tr w:rsidR="0037562F" w:rsidRPr="003B3223" w14:paraId="5D783EE1" w14:textId="77777777" w:rsidTr="00B67C18">
        <w:trPr>
          <w:trHeight w:val="300"/>
          <w:jc w:val="center"/>
        </w:trPr>
        <w:tc>
          <w:tcPr>
            <w:tcW w:w="5614" w:type="dxa"/>
            <w:shd w:val="clear" w:color="auto" w:fill="auto"/>
            <w:noWrap/>
            <w:vAlign w:val="bottom"/>
            <w:hideMark/>
          </w:tcPr>
          <w:p w14:paraId="3EDE9D34" w14:textId="77777777" w:rsidR="0037562F" w:rsidRPr="003B3223" w:rsidRDefault="0037562F" w:rsidP="003B3223">
            <w:pPr>
              <w:spacing w:before="60" w:after="60"/>
              <w:rPr>
                <w:color w:val="000000"/>
                <w:szCs w:val="24"/>
                <w:lang w:eastAsia="lv-LV"/>
              </w:rPr>
            </w:pPr>
          </w:p>
        </w:tc>
        <w:tc>
          <w:tcPr>
            <w:tcW w:w="850" w:type="dxa"/>
            <w:shd w:val="clear" w:color="auto" w:fill="auto"/>
            <w:noWrap/>
            <w:vAlign w:val="bottom"/>
            <w:hideMark/>
          </w:tcPr>
          <w:p w14:paraId="7D41A99B" w14:textId="77777777" w:rsidR="0037562F" w:rsidRPr="003B3223" w:rsidRDefault="0037562F" w:rsidP="00E319E1">
            <w:pPr>
              <w:spacing w:before="60" w:after="60"/>
              <w:jc w:val="center"/>
              <w:rPr>
                <w:color w:val="000000"/>
                <w:szCs w:val="24"/>
                <w:lang w:eastAsia="lv-LV"/>
              </w:rPr>
            </w:pPr>
          </w:p>
        </w:tc>
        <w:tc>
          <w:tcPr>
            <w:tcW w:w="536" w:type="dxa"/>
            <w:shd w:val="clear" w:color="auto" w:fill="auto"/>
            <w:noWrap/>
            <w:vAlign w:val="bottom"/>
            <w:hideMark/>
          </w:tcPr>
          <w:p w14:paraId="5B1497B8" w14:textId="77777777"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400D43C9" w14:textId="77777777" w:rsidR="0037562F" w:rsidRPr="003B3223" w:rsidRDefault="0037562F" w:rsidP="00E319E1">
            <w:pPr>
              <w:spacing w:before="60" w:after="60"/>
              <w:jc w:val="center"/>
              <w:rPr>
                <w:color w:val="000000"/>
                <w:szCs w:val="24"/>
                <w:lang w:eastAsia="lv-LV"/>
              </w:rPr>
            </w:pPr>
          </w:p>
        </w:tc>
        <w:tc>
          <w:tcPr>
            <w:tcW w:w="676" w:type="dxa"/>
            <w:shd w:val="clear" w:color="auto" w:fill="auto"/>
            <w:noWrap/>
            <w:vAlign w:val="bottom"/>
            <w:hideMark/>
          </w:tcPr>
          <w:p w14:paraId="57EE5CF8" w14:textId="77777777"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6E7185F6" w14:textId="77777777" w:rsidR="0037562F" w:rsidRPr="003B3223" w:rsidRDefault="0037562F" w:rsidP="00E319E1">
            <w:pPr>
              <w:spacing w:before="60" w:after="60"/>
              <w:jc w:val="center"/>
              <w:rPr>
                <w:color w:val="000000"/>
                <w:szCs w:val="24"/>
                <w:lang w:eastAsia="lv-LV"/>
              </w:rPr>
            </w:pPr>
          </w:p>
        </w:tc>
        <w:tc>
          <w:tcPr>
            <w:tcW w:w="497" w:type="dxa"/>
            <w:shd w:val="clear" w:color="auto" w:fill="auto"/>
            <w:noWrap/>
            <w:vAlign w:val="bottom"/>
            <w:hideMark/>
          </w:tcPr>
          <w:p w14:paraId="142D0F7A" w14:textId="77777777" w:rsidR="0037562F" w:rsidRPr="003B3223" w:rsidRDefault="0037562F" w:rsidP="00E319E1">
            <w:pPr>
              <w:spacing w:before="60" w:after="60"/>
              <w:jc w:val="center"/>
              <w:rPr>
                <w:color w:val="000000"/>
                <w:szCs w:val="24"/>
                <w:lang w:eastAsia="lv-LV"/>
              </w:rPr>
            </w:pPr>
          </w:p>
        </w:tc>
        <w:tc>
          <w:tcPr>
            <w:tcW w:w="376" w:type="dxa"/>
            <w:shd w:val="clear" w:color="auto" w:fill="auto"/>
            <w:noWrap/>
            <w:vAlign w:val="bottom"/>
            <w:hideMark/>
          </w:tcPr>
          <w:p w14:paraId="1FB77E62" w14:textId="77777777" w:rsidR="0037562F" w:rsidRPr="003B3223" w:rsidRDefault="0037562F" w:rsidP="00E319E1">
            <w:pPr>
              <w:spacing w:before="60" w:after="60"/>
              <w:jc w:val="center"/>
              <w:rPr>
                <w:color w:val="000000"/>
                <w:szCs w:val="24"/>
                <w:lang w:eastAsia="lv-LV"/>
              </w:rPr>
            </w:pPr>
          </w:p>
        </w:tc>
      </w:tr>
      <w:tr w:rsidR="0037562F" w:rsidRPr="003B3223" w14:paraId="5376EFC2" w14:textId="77777777" w:rsidTr="00B67C18">
        <w:trPr>
          <w:trHeight w:val="300"/>
          <w:jc w:val="center"/>
        </w:trPr>
        <w:tc>
          <w:tcPr>
            <w:tcW w:w="9301" w:type="dxa"/>
            <w:gridSpan w:val="8"/>
            <w:shd w:val="clear" w:color="auto" w:fill="auto"/>
            <w:noWrap/>
            <w:vAlign w:val="bottom"/>
            <w:hideMark/>
          </w:tcPr>
          <w:p w14:paraId="6911304D" w14:textId="77777777" w:rsidR="0037562F" w:rsidRPr="003B3223" w:rsidRDefault="0037562F" w:rsidP="003B3223">
            <w:pPr>
              <w:spacing w:before="60" w:after="60"/>
              <w:rPr>
                <w:i/>
                <w:iCs/>
                <w:color w:val="000000"/>
                <w:szCs w:val="24"/>
                <w:lang w:eastAsia="lv-LV"/>
              </w:rPr>
            </w:pPr>
            <w:r w:rsidRPr="003B3223">
              <w:rPr>
                <w:i/>
                <w:iCs/>
                <w:color w:val="000000"/>
                <w:szCs w:val="24"/>
                <w:lang w:eastAsia="lv-LV"/>
              </w:rPr>
              <w:t>*Gadījumā, ja 6 mēnešu laikā neizdosies piesaistīt nomnieku ar šādu nosacījumu, šis nosacījums tiks atcelts</w:t>
            </w:r>
          </w:p>
        </w:tc>
      </w:tr>
      <w:tr w:rsidR="0037562F" w:rsidRPr="003B3223" w14:paraId="5D49B467" w14:textId="77777777" w:rsidTr="00B67C18">
        <w:trPr>
          <w:trHeight w:val="300"/>
          <w:jc w:val="center"/>
        </w:trPr>
        <w:tc>
          <w:tcPr>
            <w:tcW w:w="9301" w:type="dxa"/>
            <w:gridSpan w:val="8"/>
            <w:shd w:val="clear" w:color="auto" w:fill="auto"/>
            <w:noWrap/>
            <w:vAlign w:val="bottom"/>
            <w:hideMark/>
          </w:tcPr>
          <w:p w14:paraId="14D8D400" w14:textId="77777777" w:rsidR="0037562F" w:rsidRPr="003B3223" w:rsidRDefault="0037562F" w:rsidP="003B3223">
            <w:pPr>
              <w:spacing w:before="60" w:after="60"/>
              <w:rPr>
                <w:i/>
                <w:iCs/>
                <w:color w:val="000000"/>
                <w:szCs w:val="24"/>
                <w:lang w:eastAsia="lv-LV"/>
              </w:rPr>
            </w:pPr>
            <w:r w:rsidRPr="003B3223">
              <w:rPr>
                <w:i/>
                <w:iCs/>
                <w:color w:val="000000"/>
                <w:szCs w:val="24"/>
                <w:lang w:eastAsia="lv-LV"/>
              </w:rPr>
              <w:t xml:space="preserve">**Gadījumā, ja viena gada laikā neizdosies piesaistīt nomnieku, tiks lemts par </w:t>
            </w:r>
            <w:proofErr w:type="spellStart"/>
            <w:r w:rsidRPr="003B3223">
              <w:rPr>
                <w:i/>
                <w:iCs/>
                <w:color w:val="000000"/>
                <w:szCs w:val="24"/>
                <w:lang w:eastAsia="lv-LV"/>
              </w:rPr>
              <w:t>Igates</w:t>
            </w:r>
            <w:proofErr w:type="spellEnd"/>
            <w:r w:rsidRPr="003B3223">
              <w:rPr>
                <w:i/>
                <w:iCs/>
                <w:color w:val="000000"/>
                <w:szCs w:val="24"/>
                <w:lang w:eastAsia="lv-LV"/>
              </w:rPr>
              <w:t xml:space="preserve"> pils pārdošanu</w:t>
            </w:r>
          </w:p>
        </w:tc>
      </w:tr>
    </w:tbl>
    <w:p w14:paraId="17538D87" w14:textId="77777777" w:rsidR="003B3223" w:rsidRDefault="003B3223" w:rsidP="003B3223"/>
    <w:p w14:paraId="6F9ABA4B" w14:textId="1FBAE10E" w:rsidR="0037562F" w:rsidRDefault="0037562F" w:rsidP="00E319E1">
      <w:pPr>
        <w:spacing w:after="60"/>
        <w:ind w:firstLine="720"/>
      </w:pPr>
      <w:r>
        <w:t>Līdz nomas līguma noslēgšanai SIA ”VNĪ Pilis” turpinās veikt pilnvarni</w:t>
      </w:r>
      <w:r w:rsidR="00E319E1">
        <w:t>eka pienākumus atbilstoši 2003.gada 9.</w:t>
      </w:r>
      <w:r>
        <w:t>maijā noslēgtajam pilnvarojuma līgumam Nr.1916.</w:t>
      </w:r>
    </w:p>
    <w:p w14:paraId="2A4A48AC" w14:textId="460C2400" w:rsidR="00775B91" w:rsidRDefault="00775B91" w:rsidP="003B3223">
      <w:pPr>
        <w:ind w:firstLine="720"/>
        <w:rPr>
          <w:szCs w:val="24"/>
        </w:rPr>
      </w:pPr>
      <w:r>
        <w:t xml:space="preserve">Ņemot vērā iepriekš minēto, Finanšu ministrija </w:t>
      </w:r>
      <w:r w:rsidR="008D2C7E">
        <w:t xml:space="preserve">nolēma </w:t>
      </w:r>
      <w:r w:rsidRPr="00775B91">
        <w:rPr>
          <w:szCs w:val="24"/>
        </w:rPr>
        <w:t>SIA ”VNĪ Pilis” likvid</w:t>
      </w:r>
      <w:r>
        <w:rPr>
          <w:szCs w:val="24"/>
        </w:rPr>
        <w:t xml:space="preserve">ēt </w:t>
      </w:r>
      <w:r w:rsidRPr="00775B91">
        <w:rPr>
          <w:szCs w:val="24"/>
        </w:rPr>
        <w:t>vai reorganiz</w:t>
      </w:r>
      <w:r>
        <w:rPr>
          <w:szCs w:val="24"/>
        </w:rPr>
        <w:t>ēt</w:t>
      </w:r>
      <w:r w:rsidRPr="00775B91">
        <w:rPr>
          <w:szCs w:val="24"/>
        </w:rPr>
        <w:t>, pievienojot to VAS “Valsts nekustamie īpašumi”, pēc tam, kad tiks īstenot</w:t>
      </w:r>
      <w:r>
        <w:rPr>
          <w:szCs w:val="24"/>
        </w:rPr>
        <w:t>i</w:t>
      </w:r>
      <w:r w:rsidRPr="00775B91">
        <w:rPr>
          <w:szCs w:val="24"/>
        </w:rPr>
        <w:t xml:space="preserve"> koncepcijā </w:t>
      </w:r>
      <w:r>
        <w:rPr>
          <w:szCs w:val="24"/>
        </w:rPr>
        <w:t xml:space="preserve">noteiktie Mežotnes un </w:t>
      </w:r>
      <w:proofErr w:type="spellStart"/>
      <w:r>
        <w:rPr>
          <w:szCs w:val="24"/>
        </w:rPr>
        <w:t>Igates</w:t>
      </w:r>
      <w:proofErr w:type="spellEnd"/>
      <w:r>
        <w:rPr>
          <w:szCs w:val="24"/>
        </w:rPr>
        <w:t xml:space="preserve"> pils</w:t>
      </w:r>
      <w:r w:rsidRPr="00775B91">
        <w:rPr>
          <w:szCs w:val="24"/>
        </w:rPr>
        <w:t xml:space="preserve"> attīstības virzieni</w:t>
      </w:r>
      <w:r>
        <w:rPr>
          <w:szCs w:val="24"/>
        </w:rPr>
        <w:t>.</w:t>
      </w:r>
    </w:p>
    <w:p w14:paraId="7ED2B12B" w14:textId="77777777" w:rsidR="00E338A8" w:rsidRPr="00E319E1" w:rsidRDefault="00E338A8" w:rsidP="00E319E1">
      <w:pPr>
        <w:rPr>
          <w:szCs w:val="24"/>
        </w:rPr>
      </w:pPr>
    </w:p>
    <w:p w14:paraId="73E3B1C8" w14:textId="77777777" w:rsidR="00FF03F8" w:rsidRPr="00E319E1" w:rsidRDefault="00FF03F8" w:rsidP="003B3223">
      <w:pPr>
        <w:rPr>
          <w:szCs w:val="24"/>
        </w:rPr>
      </w:pPr>
    </w:p>
    <w:p w14:paraId="01284CE8" w14:textId="77777777" w:rsidR="00FF03F8" w:rsidRPr="00E319E1" w:rsidRDefault="00FF03F8" w:rsidP="003B3223">
      <w:pPr>
        <w:rPr>
          <w:szCs w:val="24"/>
        </w:rPr>
      </w:pPr>
    </w:p>
    <w:p w14:paraId="63089433" w14:textId="77777777" w:rsidR="00FF03F8" w:rsidRPr="00E319E1" w:rsidRDefault="00FF03F8" w:rsidP="003B3223">
      <w:pPr>
        <w:rPr>
          <w:szCs w:val="24"/>
        </w:rPr>
      </w:pPr>
    </w:p>
    <w:p w14:paraId="49C9BBCB" w14:textId="39B171C4" w:rsidR="00C83F5A" w:rsidRPr="00E319E1" w:rsidRDefault="00E319E1" w:rsidP="00FF03F8">
      <w:pPr>
        <w:rPr>
          <w:szCs w:val="24"/>
        </w:rPr>
      </w:pPr>
      <w:r w:rsidRPr="00E319E1">
        <w:rPr>
          <w:szCs w:val="24"/>
        </w:rPr>
        <w:t>F</w:t>
      </w:r>
      <w:r w:rsidR="00FF03F8" w:rsidRPr="00E319E1">
        <w:rPr>
          <w:szCs w:val="24"/>
        </w:rPr>
        <w:t>inanšu ministr</w:t>
      </w:r>
      <w:r w:rsidR="00A81838">
        <w:rPr>
          <w:szCs w:val="24"/>
        </w:rPr>
        <w:t>s</w:t>
      </w:r>
      <w:r w:rsidR="00A81838">
        <w:rPr>
          <w:szCs w:val="24"/>
        </w:rPr>
        <w:tab/>
      </w:r>
      <w:r w:rsidR="00A81838">
        <w:rPr>
          <w:szCs w:val="24"/>
        </w:rPr>
        <w:tab/>
      </w:r>
      <w:r w:rsidR="00A81838">
        <w:rPr>
          <w:szCs w:val="24"/>
        </w:rPr>
        <w:tab/>
      </w:r>
      <w:r w:rsidR="00A81838">
        <w:rPr>
          <w:szCs w:val="24"/>
        </w:rPr>
        <w:tab/>
      </w:r>
      <w:r w:rsidR="00A81838">
        <w:rPr>
          <w:szCs w:val="24"/>
        </w:rPr>
        <w:tab/>
      </w:r>
      <w:r w:rsidR="00A81838">
        <w:rPr>
          <w:szCs w:val="24"/>
        </w:rPr>
        <w:tab/>
      </w:r>
      <w:r w:rsidR="00A81838">
        <w:rPr>
          <w:szCs w:val="24"/>
        </w:rPr>
        <w:tab/>
      </w:r>
      <w:r w:rsidR="00A81838">
        <w:rPr>
          <w:szCs w:val="24"/>
        </w:rPr>
        <w:tab/>
      </w:r>
      <w:proofErr w:type="spellStart"/>
      <w:r w:rsidR="00A81838">
        <w:rPr>
          <w:szCs w:val="24"/>
        </w:rPr>
        <w:t>A.Vilks</w:t>
      </w:r>
      <w:proofErr w:type="spellEnd"/>
    </w:p>
    <w:p w14:paraId="5B36285F" w14:textId="77777777" w:rsidR="00CB2B68" w:rsidRPr="00E319E1" w:rsidRDefault="00CB2B68" w:rsidP="00FF03F8">
      <w:pPr>
        <w:rPr>
          <w:szCs w:val="24"/>
        </w:rPr>
      </w:pPr>
    </w:p>
    <w:p w14:paraId="47B7A53E" w14:textId="77777777" w:rsidR="00452020" w:rsidRPr="00E319E1" w:rsidRDefault="00452020" w:rsidP="00FF03F8">
      <w:pPr>
        <w:rPr>
          <w:szCs w:val="24"/>
        </w:rPr>
      </w:pPr>
    </w:p>
    <w:p w14:paraId="580311FE" w14:textId="77777777" w:rsidR="00CB2B68" w:rsidRPr="00E319E1" w:rsidRDefault="00CB2B68" w:rsidP="00FF03F8">
      <w:pPr>
        <w:rPr>
          <w:szCs w:val="24"/>
        </w:rPr>
      </w:pPr>
    </w:p>
    <w:p w14:paraId="08D61B9D" w14:textId="77777777" w:rsidR="00CB2B68" w:rsidRPr="00E319E1" w:rsidRDefault="00CB2B68" w:rsidP="00FF03F8">
      <w:pPr>
        <w:rPr>
          <w:szCs w:val="24"/>
        </w:rPr>
      </w:pPr>
    </w:p>
    <w:p w14:paraId="18EDFD73" w14:textId="77777777" w:rsidR="00CB2B68" w:rsidRPr="00E319E1" w:rsidRDefault="00CB2B68" w:rsidP="00FF03F8">
      <w:pPr>
        <w:rPr>
          <w:szCs w:val="24"/>
        </w:rPr>
      </w:pPr>
    </w:p>
    <w:p w14:paraId="7D20ED14" w14:textId="77777777" w:rsidR="00CB2B68" w:rsidRPr="00E319E1" w:rsidRDefault="00CB2B68" w:rsidP="00FF03F8">
      <w:pPr>
        <w:rPr>
          <w:szCs w:val="24"/>
        </w:rPr>
      </w:pPr>
    </w:p>
    <w:p w14:paraId="47CD204E" w14:textId="2F2E75E4" w:rsidR="00E319E1" w:rsidRPr="00E319E1" w:rsidRDefault="00323EE2" w:rsidP="00E319E1">
      <w:pPr>
        <w:rPr>
          <w:sz w:val="20"/>
        </w:rPr>
      </w:pPr>
      <w:r>
        <w:rPr>
          <w:sz w:val="20"/>
        </w:rPr>
        <w:t>16.09</w:t>
      </w:r>
      <w:r w:rsidR="00306D96">
        <w:rPr>
          <w:sz w:val="20"/>
        </w:rPr>
        <w:t xml:space="preserve">.2014.  </w:t>
      </w:r>
      <w:r w:rsidR="00B44444">
        <w:rPr>
          <w:sz w:val="20"/>
        </w:rPr>
        <w:t>16</w:t>
      </w:r>
      <w:r w:rsidR="00306D96">
        <w:rPr>
          <w:sz w:val="20"/>
        </w:rPr>
        <w:t>:</w:t>
      </w:r>
      <w:r w:rsidR="00FC083D">
        <w:rPr>
          <w:sz w:val="20"/>
        </w:rPr>
        <w:t>00</w:t>
      </w:r>
    </w:p>
    <w:p w14:paraId="235D3D0F" w14:textId="77777777" w:rsidR="00E319E1" w:rsidRPr="00E319E1" w:rsidRDefault="00E319E1" w:rsidP="00E319E1">
      <w:pPr>
        <w:rPr>
          <w:sz w:val="20"/>
        </w:rPr>
      </w:pPr>
      <w:r w:rsidRPr="00E319E1">
        <w:rPr>
          <w:sz w:val="20"/>
        </w:rPr>
        <w:fldChar w:fldCharType="begin"/>
      </w:r>
      <w:r w:rsidRPr="00E319E1">
        <w:rPr>
          <w:sz w:val="20"/>
        </w:rPr>
        <w:instrText xml:space="preserve"> NUMWORDS   \* MERGEFORMAT </w:instrText>
      </w:r>
      <w:r w:rsidRPr="00E319E1">
        <w:rPr>
          <w:sz w:val="20"/>
        </w:rPr>
        <w:fldChar w:fldCharType="separate"/>
      </w:r>
      <w:r w:rsidR="00A838E2">
        <w:rPr>
          <w:noProof/>
          <w:sz w:val="20"/>
        </w:rPr>
        <w:t>2039</w:t>
      </w:r>
      <w:r w:rsidRPr="00E319E1">
        <w:rPr>
          <w:sz w:val="20"/>
        </w:rPr>
        <w:fldChar w:fldCharType="end"/>
      </w:r>
    </w:p>
    <w:p w14:paraId="2B2AA0F0" w14:textId="174EC3F3" w:rsidR="00CB2B68" w:rsidRPr="00E319E1" w:rsidRDefault="00CB2B68" w:rsidP="00CB2B68">
      <w:pPr>
        <w:rPr>
          <w:sz w:val="20"/>
        </w:rPr>
      </w:pPr>
      <w:proofErr w:type="spellStart"/>
      <w:r w:rsidRPr="00E319E1">
        <w:rPr>
          <w:sz w:val="20"/>
        </w:rPr>
        <w:t>R.Kosmane</w:t>
      </w:r>
      <w:proofErr w:type="spellEnd"/>
    </w:p>
    <w:p w14:paraId="42C3AC37" w14:textId="643C9BD6" w:rsidR="00E319E1" w:rsidRPr="00E319E1" w:rsidRDefault="00E319E1">
      <w:pPr>
        <w:rPr>
          <w:sz w:val="20"/>
        </w:rPr>
      </w:pPr>
      <w:r w:rsidRPr="00E319E1">
        <w:rPr>
          <w:sz w:val="20"/>
        </w:rPr>
        <w:t>67</w:t>
      </w:r>
      <w:r w:rsidR="00CB2B68" w:rsidRPr="00E319E1">
        <w:rPr>
          <w:sz w:val="20"/>
        </w:rPr>
        <w:t>09550</w:t>
      </w:r>
      <w:bookmarkStart w:id="0" w:name="_GoBack"/>
      <w:bookmarkEnd w:id="0"/>
      <w:r w:rsidR="00CB2B68" w:rsidRPr="00E319E1">
        <w:rPr>
          <w:sz w:val="20"/>
        </w:rPr>
        <w:t>5</w:t>
      </w:r>
      <w:r w:rsidRPr="00E319E1">
        <w:rPr>
          <w:sz w:val="20"/>
        </w:rPr>
        <w:t>, Raimonda.Kosmane@fm.gov.lv</w:t>
      </w:r>
    </w:p>
    <w:sectPr w:rsidR="00E319E1" w:rsidRPr="00E319E1" w:rsidSect="00E319E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6E94" w14:textId="77777777" w:rsidR="001877B3" w:rsidRDefault="001877B3" w:rsidP="00FF03F8">
      <w:r>
        <w:separator/>
      </w:r>
    </w:p>
  </w:endnote>
  <w:endnote w:type="continuationSeparator" w:id="0">
    <w:p w14:paraId="77E19ED3" w14:textId="77777777" w:rsidR="001877B3" w:rsidRDefault="001877B3" w:rsidP="00F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0F40" w14:textId="6E005B8D" w:rsidR="00FF03F8" w:rsidRPr="00323EE2" w:rsidRDefault="00323EE2" w:rsidP="00E319E1">
    <w:pPr>
      <w:autoSpaceDE w:val="0"/>
      <w:autoSpaceDN w:val="0"/>
      <w:adjustRightInd w:val="0"/>
      <w:rPr>
        <w:sz w:val="16"/>
        <w:szCs w:val="16"/>
        <w:lang w:eastAsia="lv-LV"/>
      </w:rPr>
    </w:pPr>
    <w:r w:rsidRPr="00323EE2">
      <w:rPr>
        <w:sz w:val="16"/>
        <w:szCs w:val="16"/>
      </w:rPr>
      <w:t>FMZino_16092014_kapsabiedribu_atsavin</w:t>
    </w:r>
    <w:r w:rsidR="00E319E1" w:rsidRPr="00323EE2">
      <w:rPr>
        <w:sz w:val="16"/>
        <w:szCs w:val="16"/>
      </w:rPr>
      <w:t xml:space="preserve">; </w:t>
    </w:r>
    <w:r w:rsidR="00E319E1" w:rsidRPr="00323EE2">
      <w:rPr>
        <w:sz w:val="16"/>
        <w:szCs w:val="16"/>
        <w:lang w:eastAsia="lv-LV"/>
      </w:rPr>
      <w:t>Informatīvais ziņojums  “</w:t>
    </w:r>
    <w:r w:rsidR="00E319E1" w:rsidRPr="00323EE2">
      <w:rPr>
        <w:sz w:val="16"/>
        <w:szCs w:val="16"/>
      </w:rPr>
      <w:t>Par valsts līdzdalības kapitālsabiedrībās izvērtēšanu un ar Ministru prezidenta 2012.gada 19.jūnija rīkojumu Nr.233 izveidotās darba grupas priekšlikumiem turpmākai rīcībai”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B5D0" w14:textId="385725BB" w:rsidR="00076739" w:rsidRPr="00323EE2" w:rsidRDefault="00323EE2" w:rsidP="00323EE2">
    <w:pPr>
      <w:autoSpaceDE w:val="0"/>
      <w:autoSpaceDN w:val="0"/>
      <w:adjustRightInd w:val="0"/>
      <w:rPr>
        <w:sz w:val="16"/>
        <w:szCs w:val="16"/>
        <w:lang w:eastAsia="lv-LV"/>
      </w:rPr>
    </w:pPr>
    <w:r w:rsidRPr="00323EE2">
      <w:rPr>
        <w:sz w:val="16"/>
        <w:szCs w:val="16"/>
      </w:rPr>
      <w:t xml:space="preserve">FMZino_16092014_kapsabiedribu_atsavin; </w:t>
    </w:r>
    <w:r w:rsidRPr="00323EE2">
      <w:rPr>
        <w:sz w:val="16"/>
        <w:szCs w:val="16"/>
        <w:lang w:eastAsia="lv-LV"/>
      </w:rPr>
      <w:t>Informatīvais ziņojums  “</w:t>
    </w:r>
    <w:r w:rsidRPr="00323EE2">
      <w:rPr>
        <w:sz w:val="16"/>
        <w:szCs w:val="16"/>
      </w:rPr>
      <w:t>Par valsts līdzdalības kapitālsabiedrībās izvērtēšanu un ar Ministru prezidenta 2012.gada 19.jūnija rīkojumu Nr.233 izveidotās darba grupas priekšlikumiem turpmākai rīcībai”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D9EB" w14:textId="77777777" w:rsidR="001877B3" w:rsidRDefault="001877B3" w:rsidP="00FF03F8">
      <w:r>
        <w:separator/>
      </w:r>
    </w:p>
  </w:footnote>
  <w:footnote w:type="continuationSeparator" w:id="0">
    <w:p w14:paraId="3978BDF2" w14:textId="77777777" w:rsidR="001877B3" w:rsidRDefault="001877B3" w:rsidP="00FF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3556"/>
      <w:docPartObj>
        <w:docPartGallery w:val="Page Numbers (Top of Page)"/>
        <w:docPartUnique/>
      </w:docPartObj>
    </w:sdtPr>
    <w:sdtEndPr>
      <w:rPr>
        <w:noProof/>
      </w:rPr>
    </w:sdtEndPr>
    <w:sdtContent>
      <w:p w14:paraId="7A25F257" w14:textId="46A089A8" w:rsidR="00076739" w:rsidRDefault="00076739">
        <w:pPr>
          <w:pStyle w:val="Header"/>
          <w:jc w:val="center"/>
        </w:pPr>
        <w:r>
          <w:fldChar w:fldCharType="begin"/>
        </w:r>
        <w:r>
          <w:instrText xml:space="preserve"> PAGE   \* MERGEFORMAT </w:instrText>
        </w:r>
        <w:r>
          <w:fldChar w:fldCharType="separate"/>
        </w:r>
        <w:r w:rsidR="00A838E2">
          <w:rPr>
            <w:noProof/>
          </w:rPr>
          <w:t>5</w:t>
        </w:r>
        <w:r>
          <w:rPr>
            <w:noProof/>
          </w:rPr>
          <w:fldChar w:fldCharType="end"/>
        </w:r>
      </w:p>
    </w:sdtContent>
  </w:sdt>
  <w:p w14:paraId="416AE612" w14:textId="77777777" w:rsidR="00076739" w:rsidRDefault="0007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723"/>
    <w:multiLevelType w:val="hybridMultilevel"/>
    <w:tmpl w:val="BB0434A2"/>
    <w:lvl w:ilvl="0" w:tplc="0D12D7B8">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F405BA"/>
    <w:multiLevelType w:val="hybridMultilevel"/>
    <w:tmpl w:val="DEB8EF6E"/>
    <w:lvl w:ilvl="0" w:tplc="AC26C6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F318BC"/>
    <w:multiLevelType w:val="hybridMultilevel"/>
    <w:tmpl w:val="EDA2E2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7D24F73"/>
    <w:multiLevelType w:val="hybridMultilevel"/>
    <w:tmpl w:val="2848DCAA"/>
    <w:lvl w:ilvl="0" w:tplc="04260005">
      <w:start w:val="1"/>
      <w:numFmt w:val="bullet"/>
      <w:lvlText w:val=""/>
      <w:lvlJc w:val="left"/>
      <w:pPr>
        <w:ind w:left="1020" w:hanging="360"/>
      </w:pPr>
      <w:rPr>
        <w:rFonts w:ascii="Wingdings" w:hAnsi="Wingding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9183D77"/>
    <w:multiLevelType w:val="hybridMultilevel"/>
    <w:tmpl w:val="CD527908"/>
    <w:lvl w:ilvl="0" w:tplc="63E4B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13861F3"/>
    <w:multiLevelType w:val="hybridMultilevel"/>
    <w:tmpl w:val="9E5237B6"/>
    <w:lvl w:ilvl="0" w:tplc="1ECE1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44B02F2"/>
    <w:multiLevelType w:val="hybridMultilevel"/>
    <w:tmpl w:val="EAAEB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E0412"/>
    <w:multiLevelType w:val="hybridMultilevel"/>
    <w:tmpl w:val="C3703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9930007"/>
    <w:multiLevelType w:val="hybridMultilevel"/>
    <w:tmpl w:val="AE9C1A48"/>
    <w:lvl w:ilvl="0" w:tplc="1DC0C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C1D59E2"/>
    <w:multiLevelType w:val="hybridMultilevel"/>
    <w:tmpl w:val="9F169E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585E1B"/>
    <w:multiLevelType w:val="hybridMultilevel"/>
    <w:tmpl w:val="0076F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200066"/>
    <w:multiLevelType w:val="multilevel"/>
    <w:tmpl w:val="5276E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8"/>
  </w:num>
  <w:num w:numId="5">
    <w:abstractNumId w:val="5"/>
  </w:num>
  <w:num w:numId="6">
    <w:abstractNumId w:val="1"/>
  </w:num>
  <w:num w:numId="7">
    <w:abstractNumId w:val="7"/>
  </w:num>
  <w:num w:numId="8">
    <w:abstractNumId w:val="3"/>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F8"/>
    <w:rsid w:val="00003727"/>
    <w:rsid w:val="00006E41"/>
    <w:rsid w:val="00020A2A"/>
    <w:rsid w:val="000458D6"/>
    <w:rsid w:val="00076739"/>
    <w:rsid w:val="000F79D2"/>
    <w:rsid w:val="00101D9E"/>
    <w:rsid w:val="001031F7"/>
    <w:rsid w:val="00126A0C"/>
    <w:rsid w:val="00150947"/>
    <w:rsid w:val="001877B3"/>
    <w:rsid w:val="001A75AE"/>
    <w:rsid w:val="001B397B"/>
    <w:rsid w:val="001D49F1"/>
    <w:rsid w:val="001F07FB"/>
    <w:rsid w:val="001F3AE6"/>
    <w:rsid w:val="001F7584"/>
    <w:rsid w:val="00230D3A"/>
    <w:rsid w:val="00261AA6"/>
    <w:rsid w:val="00290F66"/>
    <w:rsid w:val="002B4DC3"/>
    <w:rsid w:val="002C383A"/>
    <w:rsid w:val="002E4B59"/>
    <w:rsid w:val="002E5FF4"/>
    <w:rsid w:val="002F4408"/>
    <w:rsid w:val="00306D96"/>
    <w:rsid w:val="00323EE2"/>
    <w:rsid w:val="00343E7B"/>
    <w:rsid w:val="003713DF"/>
    <w:rsid w:val="0037562F"/>
    <w:rsid w:val="003838BA"/>
    <w:rsid w:val="00390B31"/>
    <w:rsid w:val="003A4A16"/>
    <w:rsid w:val="003B3223"/>
    <w:rsid w:val="004218BD"/>
    <w:rsid w:val="004415E1"/>
    <w:rsid w:val="004513C1"/>
    <w:rsid w:val="00452020"/>
    <w:rsid w:val="00462FF0"/>
    <w:rsid w:val="004732F7"/>
    <w:rsid w:val="004815ED"/>
    <w:rsid w:val="004C453A"/>
    <w:rsid w:val="00506B31"/>
    <w:rsid w:val="005270C1"/>
    <w:rsid w:val="00532A69"/>
    <w:rsid w:val="00544F99"/>
    <w:rsid w:val="005731AE"/>
    <w:rsid w:val="005872DB"/>
    <w:rsid w:val="005B1A96"/>
    <w:rsid w:val="006261D9"/>
    <w:rsid w:val="00657F76"/>
    <w:rsid w:val="006C634D"/>
    <w:rsid w:val="006E1528"/>
    <w:rsid w:val="00702EC5"/>
    <w:rsid w:val="00705F20"/>
    <w:rsid w:val="00727CB7"/>
    <w:rsid w:val="00763296"/>
    <w:rsid w:val="00775B91"/>
    <w:rsid w:val="007846B4"/>
    <w:rsid w:val="007B6ADD"/>
    <w:rsid w:val="007F12E2"/>
    <w:rsid w:val="008553C4"/>
    <w:rsid w:val="008559C2"/>
    <w:rsid w:val="00870B02"/>
    <w:rsid w:val="008A7AB0"/>
    <w:rsid w:val="008D2C7E"/>
    <w:rsid w:val="009114BE"/>
    <w:rsid w:val="009445C3"/>
    <w:rsid w:val="00953CA3"/>
    <w:rsid w:val="00956915"/>
    <w:rsid w:val="0096394E"/>
    <w:rsid w:val="009917B1"/>
    <w:rsid w:val="009C44A5"/>
    <w:rsid w:val="009C566F"/>
    <w:rsid w:val="009D3633"/>
    <w:rsid w:val="00A21717"/>
    <w:rsid w:val="00A809A2"/>
    <w:rsid w:val="00A81838"/>
    <w:rsid w:val="00A838E2"/>
    <w:rsid w:val="00AA029E"/>
    <w:rsid w:val="00AD5D50"/>
    <w:rsid w:val="00AE216D"/>
    <w:rsid w:val="00B17EAB"/>
    <w:rsid w:val="00B377CB"/>
    <w:rsid w:val="00B41D3A"/>
    <w:rsid w:val="00B44444"/>
    <w:rsid w:val="00B67C18"/>
    <w:rsid w:val="00B76CC7"/>
    <w:rsid w:val="00B96ADB"/>
    <w:rsid w:val="00BC2338"/>
    <w:rsid w:val="00BE627B"/>
    <w:rsid w:val="00BF548F"/>
    <w:rsid w:val="00C003A7"/>
    <w:rsid w:val="00C756AF"/>
    <w:rsid w:val="00C77E2D"/>
    <w:rsid w:val="00C83F5A"/>
    <w:rsid w:val="00CB2B68"/>
    <w:rsid w:val="00CB3D2F"/>
    <w:rsid w:val="00CC1BDD"/>
    <w:rsid w:val="00CD0A52"/>
    <w:rsid w:val="00CD2DD6"/>
    <w:rsid w:val="00D11B88"/>
    <w:rsid w:val="00D13371"/>
    <w:rsid w:val="00D61E7C"/>
    <w:rsid w:val="00D67550"/>
    <w:rsid w:val="00DA1EC3"/>
    <w:rsid w:val="00DB1CE0"/>
    <w:rsid w:val="00DE737F"/>
    <w:rsid w:val="00E023CE"/>
    <w:rsid w:val="00E211FE"/>
    <w:rsid w:val="00E319E1"/>
    <w:rsid w:val="00E338A8"/>
    <w:rsid w:val="00E342AB"/>
    <w:rsid w:val="00E36722"/>
    <w:rsid w:val="00E414D2"/>
    <w:rsid w:val="00E535C1"/>
    <w:rsid w:val="00E57871"/>
    <w:rsid w:val="00EB15A5"/>
    <w:rsid w:val="00EB41C4"/>
    <w:rsid w:val="00EC7A10"/>
    <w:rsid w:val="00EF1801"/>
    <w:rsid w:val="00F01B03"/>
    <w:rsid w:val="00F0758C"/>
    <w:rsid w:val="00F45642"/>
    <w:rsid w:val="00F8083E"/>
    <w:rsid w:val="00FC083D"/>
    <w:rsid w:val="00FF0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2173"/>
  <w15:docId w15:val="{9E3D84E1-3B53-4A16-B02B-81B44F61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F8"/>
    <w:pPr>
      <w:jc w:val="both"/>
    </w:pPr>
    <w:rPr>
      <w:rFonts w:eastAsia="Times New Roman" w:cs="Times New Roman"/>
      <w:szCs w:val="20"/>
    </w:rPr>
  </w:style>
  <w:style w:type="paragraph" w:styleId="Heading1">
    <w:name w:val="heading 1"/>
    <w:basedOn w:val="Normal"/>
    <w:next w:val="Normal"/>
    <w:link w:val="Heading1Char"/>
    <w:uiPriority w:val="9"/>
    <w:qFormat/>
    <w:rsid w:val="006C634D"/>
    <w:pPr>
      <w:keepNext/>
      <w:keepLines/>
      <w:numPr>
        <w:numId w:val="10"/>
      </w:numPr>
      <w:spacing w:before="240" w:line="276" w:lineRule="auto"/>
      <w:jc w:val="left"/>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C634D"/>
    <w:pPr>
      <w:keepNext/>
      <w:keepLines/>
      <w:numPr>
        <w:ilvl w:val="1"/>
        <w:numId w:val="10"/>
      </w:numPr>
      <w:spacing w:before="240" w:after="120" w:line="276" w:lineRule="auto"/>
      <w:jc w:val="left"/>
      <w:outlineLvl w:val="1"/>
    </w:pPr>
    <w:rPr>
      <w:rFonts w:asciiTheme="minorHAnsi" w:eastAsiaTheme="majorEastAsia" w:hAnsiTheme="minorHAnsi" w:cstheme="majorBidi"/>
      <w:b/>
      <w:szCs w:val="24"/>
    </w:rPr>
  </w:style>
  <w:style w:type="paragraph" w:styleId="Heading3">
    <w:name w:val="heading 3"/>
    <w:basedOn w:val="Normal"/>
    <w:next w:val="Normal"/>
    <w:link w:val="Heading3Char"/>
    <w:uiPriority w:val="9"/>
    <w:unhideWhenUsed/>
    <w:qFormat/>
    <w:rsid w:val="006C634D"/>
    <w:pPr>
      <w:keepNext/>
      <w:keepLines/>
      <w:numPr>
        <w:ilvl w:val="2"/>
        <w:numId w:val="10"/>
      </w:numPr>
      <w:spacing w:before="40" w:line="276" w:lineRule="auto"/>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C634D"/>
    <w:pPr>
      <w:keepNext/>
      <w:keepLines/>
      <w:numPr>
        <w:ilvl w:val="3"/>
        <w:numId w:val="10"/>
      </w:numPr>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6C634D"/>
    <w:pPr>
      <w:keepNext/>
      <w:keepLines/>
      <w:numPr>
        <w:ilvl w:val="4"/>
        <w:numId w:val="10"/>
      </w:numPr>
      <w:spacing w:before="40" w:line="276" w:lineRule="auto"/>
      <w:jc w:val="left"/>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6C634D"/>
    <w:pPr>
      <w:keepNext/>
      <w:keepLines/>
      <w:numPr>
        <w:ilvl w:val="5"/>
        <w:numId w:val="10"/>
      </w:numPr>
      <w:spacing w:before="40" w:line="276" w:lineRule="auto"/>
      <w:jc w:val="left"/>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6C634D"/>
    <w:pPr>
      <w:keepNext/>
      <w:keepLines/>
      <w:numPr>
        <w:ilvl w:val="6"/>
        <w:numId w:val="10"/>
      </w:numPr>
      <w:spacing w:before="40" w:line="276" w:lineRule="auto"/>
      <w:jc w:val="left"/>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6C634D"/>
    <w:pPr>
      <w:keepNext/>
      <w:keepLines/>
      <w:numPr>
        <w:ilvl w:val="7"/>
        <w:numId w:val="10"/>
      </w:numPr>
      <w:spacing w:before="40" w:line="276"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34D"/>
    <w:pPr>
      <w:keepNext/>
      <w:keepLines/>
      <w:numPr>
        <w:ilvl w:val="8"/>
        <w:numId w:val="10"/>
      </w:numPr>
      <w:spacing w:before="4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F8"/>
    <w:pPr>
      <w:ind w:left="720"/>
      <w:contextualSpacing/>
      <w:jc w:val="left"/>
    </w:pPr>
    <w:rPr>
      <w:rFonts w:eastAsiaTheme="minorHAnsi" w:cstheme="minorBidi"/>
      <w:szCs w:val="22"/>
    </w:rPr>
  </w:style>
  <w:style w:type="character" w:styleId="Hyperlink">
    <w:name w:val="Hyperlink"/>
    <w:basedOn w:val="DefaultParagraphFont"/>
    <w:uiPriority w:val="99"/>
    <w:unhideWhenUsed/>
    <w:rsid w:val="00FF03F8"/>
    <w:rPr>
      <w:color w:val="0000FF"/>
      <w:u w:val="single"/>
    </w:rPr>
  </w:style>
  <w:style w:type="paragraph" w:styleId="Header">
    <w:name w:val="header"/>
    <w:basedOn w:val="Normal"/>
    <w:link w:val="HeaderChar"/>
    <w:uiPriority w:val="99"/>
    <w:unhideWhenUsed/>
    <w:rsid w:val="00FF03F8"/>
    <w:pPr>
      <w:tabs>
        <w:tab w:val="center" w:pos="4153"/>
        <w:tab w:val="right" w:pos="8306"/>
      </w:tabs>
    </w:pPr>
  </w:style>
  <w:style w:type="character" w:customStyle="1" w:styleId="HeaderChar">
    <w:name w:val="Header Char"/>
    <w:basedOn w:val="DefaultParagraphFont"/>
    <w:link w:val="Header"/>
    <w:uiPriority w:val="99"/>
    <w:rsid w:val="00FF03F8"/>
    <w:rPr>
      <w:rFonts w:eastAsia="Times New Roman" w:cs="Times New Roman"/>
      <w:szCs w:val="20"/>
    </w:rPr>
  </w:style>
  <w:style w:type="paragraph" w:styleId="Footer">
    <w:name w:val="footer"/>
    <w:basedOn w:val="Normal"/>
    <w:link w:val="FooterChar"/>
    <w:uiPriority w:val="99"/>
    <w:unhideWhenUsed/>
    <w:rsid w:val="00FF03F8"/>
    <w:pPr>
      <w:tabs>
        <w:tab w:val="center" w:pos="4153"/>
        <w:tab w:val="right" w:pos="8306"/>
      </w:tabs>
    </w:pPr>
  </w:style>
  <w:style w:type="character" w:customStyle="1" w:styleId="FooterChar">
    <w:name w:val="Footer Char"/>
    <w:basedOn w:val="DefaultParagraphFont"/>
    <w:link w:val="Footer"/>
    <w:uiPriority w:val="99"/>
    <w:rsid w:val="00FF03F8"/>
    <w:rPr>
      <w:rFonts w:eastAsia="Times New Roman" w:cs="Times New Roman"/>
      <w:szCs w:val="20"/>
    </w:rPr>
  </w:style>
  <w:style w:type="paragraph" w:styleId="BalloonText">
    <w:name w:val="Balloon Text"/>
    <w:basedOn w:val="Normal"/>
    <w:link w:val="BalloonTextChar"/>
    <w:uiPriority w:val="99"/>
    <w:semiHidden/>
    <w:unhideWhenUsed/>
    <w:rsid w:val="00FF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F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634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C634D"/>
    <w:rPr>
      <w:rFonts w:asciiTheme="minorHAnsi" w:eastAsiaTheme="majorEastAsia" w:hAnsiTheme="minorHAnsi" w:cstheme="majorBidi"/>
      <w:b/>
      <w:szCs w:val="24"/>
    </w:rPr>
  </w:style>
  <w:style w:type="character" w:customStyle="1" w:styleId="Heading3Char">
    <w:name w:val="Heading 3 Char"/>
    <w:basedOn w:val="DefaultParagraphFont"/>
    <w:link w:val="Heading3"/>
    <w:uiPriority w:val="9"/>
    <w:rsid w:val="006C634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6C634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6C634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6C634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6C634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6C6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3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7562F"/>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7562F"/>
    <w:rPr>
      <w:rFonts w:asciiTheme="minorHAnsi" w:hAnsiTheme="minorHAnsi"/>
      <w:sz w:val="20"/>
      <w:szCs w:val="20"/>
    </w:rPr>
  </w:style>
  <w:style w:type="character" w:styleId="FootnoteReference">
    <w:name w:val="footnote reference"/>
    <w:basedOn w:val="DefaultParagraphFont"/>
    <w:uiPriority w:val="99"/>
    <w:semiHidden/>
    <w:unhideWhenUsed/>
    <w:rsid w:val="0037562F"/>
    <w:rPr>
      <w:vertAlign w:val="superscript"/>
    </w:rPr>
  </w:style>
  <w:style w:type="table" w:styleId="LightList-Accent1">
    <w:name w:val="Light List Accent 1"/>
    <w:basedOn w:val="TableNormal"/>
    <w:uiPriority w:val="61"/>
    <w:rsid w:val="0037562F"/>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2B4DC3"/>
    <w:rPr>
      <w:sz w:val="16"/>
      <w:szCs w:val="16"/>
    </w:rPr>
  </w:style>
  <w:style w:type="paragraph" w:styleId="CommentText">
    <w:name w:val="annotation text"/>
    <w:basedOn w:val="Normal"/>
    <w:link w:val="CommentTextChar"/>
    <w:uiPriority w:val="99"/>
    <w:semiHidden/>
    <w:unhideWhenUsed/>
    <w:rsid w:val="002B4DC3"/>
    <w:rPr>
      <w:sz w:val="20"/>
    </w:rPr>
  </w:style>
  <w:style w:type="character" w:customStyle="1" w:styleId="CommentTextChar">
    <w:name w:val="Comment Text Char"/>
    <w:basedOn w:val="DefaultParagraphFont"/>
    <w:link w:val="CommentText"/>
    <w:uiPriority w:val="99"/>
    <w:semiHidden/>
    <w:rsid w:val="002B4D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C3"/>
    <w:rPr>
      <w:b/>
      <w:bCs/>
    </w:rPr>
  </w:style>
  <w:style w:type="character" w:customStyle="1" w:styleId="CommentSubjectChar">
    <w:name w:val="Comment Subject Char"/>
    <w:basedOn w:val="CommentTextChar"/>
    <w:link w:val="CommentSubject"/>
    <w:uiPriority w:val="99"/>
    <w:semiHidden/>
    <w:rsid w:val="002B4DC3"/>
    <w:rPr>
      <w:rFonts w:eastAsia="Times New Roman" w:cs="Times New Roman"/>
      <w:b/>
      <w:bCs/>
      <w:sz w:val="20"/>
      <w:szCs w:val="20"/>
    </w:rPr>
  </w:style>
  <w:style w:type="table" w:styleId="TableGrid">
    <w:name w:val="Table Grid"/>
    <w:basedOn w:val="TableNormal"/>
    <w:uiPriority w:val="39"/>
    <w:rsid w:val="00B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338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2064</Words>
  <Characters>14432</Characters>
  <Application>Microsoft Office Word</Application>
  <DocSecurity>0</DocSecurity>
  <Lines>424</Lines>
  <Paragraphs>242</Paragraphs>
  <ScaleCrop>false</ScaleCrop>
  <HeadingPairs>
    <vt:vector size="2" baseType="variant">
      <vt:variant>
        <vt:lpstr>Title</vt:lpstr>
      </vt:variant>
      <vt:variant>
        <vt:i4>1</vt:i4>
      </vt:variant>
    </vt:vector>
  </HeadingPairs>
  <TitlesOfParts>
    <vt:vector size="1" baseType="lpstr">
      <vt:lpstr>Informatīvais ziņojums  “Par valsts līdzdalības kapitālsabiedrībās izvērtēšanu un ar Ministru prezidenta 2012.gada 19.jūnija rīkojumu Nr.233 izveidotās darba grupas priekšlikumiem turpmākai rīcībai”</vt:lpstr>
    </vt:vector>
  </TitlesOfParts>
  <Company>Finanšu ministrija</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kapitālsabiedrībās izvērtēšanu un ar Ministru prezidenta 2012.gada 19.jūnija rīkojumu Nr.233 izveidotās darba grupas priekšlikumiem turpmākai rīcībai”</dc:title>
  <dc:subject/>
  <dc:creator>raimonda.kosmane@fm.gov.lv</dc:creator>
  <cp:keywords/>
  <dc:description/>
  <cp:lastModifiedBy>Raimonda</cp:lastModifiedBy>
  <cp:revision>8</cp:revision>
  <cp:lastPrinted>2014-09-16T13:02:00Z</cp:lastPrinted>
  <dcterms:created xsi:type="dcterms:W3CDTF">2014-09-11T12:31:00Z</dcterms:created>
  <dcterms:modified xsi:type="dcterms:W3CDTF">2014-09-17T11:44:00Z</dcterms:modified>
</cp:coreProperties>
</file>